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205105</wp:posOffset>
            </wp:positionH>
            <wp:positionV relativeFrom="page">
              <wp:posOffset>154305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170180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46355</wp:posOffset>
            </wp:positionV>
            <wp:extent cx="5467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735" cy="8255"/>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59690</wp:posOffset>
            </wp:positionV>
            <wp:extent cx="5467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6735" cy="8255"/>
                    </a:xfrm>
                    <a:prstGeom prst="rect">
                      <a:avLst/>
                    </a:prstGeom>
                    <a:noFill/>
                  </pic:spPr>
                </pic:pic>
              </a:graphicData>
            </a:graphic>
          </wp:anchor>
        </w:drawing>
      </w:r>
    </w:p>
    <w:p>
      <w:pPr>
        <w:spacing w:after="0" w:line="1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42" w:lineRule="exact"/>
        <w:rPr>
          <w:sz w:val="24"/>
          <w:szCs w:val="24"/>
          <w:color w:val="auto"/>
        </w:rPr>
      </w:pPr>
    </w:p>
    <w:p>
      <w:pPr>
        <w:ind w:left="460" w:hanging="457"/>
        <w:spacing w:after="0"/>
        <w:tabs>
          <w:tab w:leader="none" w:pos="460" w:val="left"/>
        </w:tabs>
        <w:numPr>
          <w:ilvl w:val="0"/>
          <w:numId w:val="1"/>
        </w:numPr>
        <w:rPr>
          <w:rFonts w:ascii="MS PGothic" w:cs="MS PGothic" w:eastAsia="MS PGothic" w:hAnsi="MS PGothic"/>
          <w:sz w:val="19"/>
          <w:szCs w:val="19"/>
          <w:color w:val="auto"/>
        </w:rPr>
      </w:pPr>
      <w:r>
        <w:rPr>
          <w:rFonts w:ascii="Arial" w:cs="Arial" w:eastAsia="Arial" w:hAnsi="Arial"/>
          <w:sz w:val="17"/>
          <w:szCs w:val="17"/>
          <w:b w:val="1"/>
          <w:bCs w:val="1"/>
          <w:color w:val="auto"/>
        </w:rPr>
        <w:t>ANNUAL REPORT PURSUANT TO SECTION 13 OR 15(d) OF THE SECURITIES EXCHANGE ACT OF 1934</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3" w:lineRule="exact"/>
        <w:rPr>
          <w:sz w:val="24"/>
          <w:szCs w:val="24"/>
          <w:color w:val="auto"/>
        </w:rPr>
      </w:pPr>
    </w:p>
    <w:p>
      <w:pPr>
        <w:ind w:left="460" w:hanging="457"/>
        <w:spacing w:after="0"/>
        <w:tabs>
          <w:tab w:leader="none" w:pos="460" w:val="left"/>
        </w:tabs>
        <w:numPr>
          <w:ilvl w:val="0"/>
          <w:numId w:val="2"/>
        </w:numPr>
        <w:rPr>
          <w:rFonts w:ascii="MS PGothic" w:cs="MS PGothic" w:eastAsia="MS PGothic" w:hAnsi="MS PGothic"/>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1" w:lineRule="exact"/>
        <w:rPr>
          <w:sz w:val="24"/>
          <w:szCs w:val="24"/>
          <w:color w:val="auto"/>
        </w:rPr>
      </w:pPr>
    </w:p>
    <w:p>
      <w:pPr>
        <w:ind w:left="3940"/>
        <w:spacing w:after="0"/>
        <w:tabs>
          <w:tab w:leader="none" w:pos="64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1"/>
          <w:szCs w:val="11"/>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3651250</wp:posOffset>
            </wp:positionH>
            <wp:positionV relativeFrom="paragraph">
              <wp:posOffset>-5715</wp:posOffset>
            </wp:positionV>
            <wp:extent cx="985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Commission file number: 001-39094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26035</wp:posOffset>
            </wp:positionV>
            <wp:extent cx="5467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6735" cy="8255"/>
                    </a:xfrm>
                    <a:prstGeom prst="rect">
                      <a:avLst/>
                    </a:prstGeom>
                    <a:noFill/>
                  </pic:spPr>
                </pic:pic>
              </a:graphicData>
            </a:graphic>
          </wp:anchor>
        </w:drawing>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PHATHOM PHARMACEUTICALS,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3298190</wp:posOffset>
            </wp:positionH>
            <wp:positionV relativeFrom="paragraph">
              <wp:posOffset>15875</wp:posOffset>
            </wp:positionV>
            <wp:extent cx="5467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6735" cy="8255"/>
                    </a:xfrm>
                    <a:prstGeom prst="rect">
                      <a:avLst/>
                    </a:prstGeom>
                    <a:noFill/>
                  </pic:spPr>
                </pic:pic>
              </a:graphicData>
            </a:graphic>
          </wp:anchor>
        </w:drawing>
      </w:r>
    </w:p>
    <w:p>
      <w:pPr>
        <w:spacing w:after="0" w:line="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jc w:val="center"/>
              <w:ind w:left="1754"/>
              <w:spacing w:after="0"/>
              <w:rPr>
                <w:sz w:val="20"/>
                <w:szCs w:val="20"/>
                <w:color w:val="auto"/>
              </w:rPr>
            </w:pPr>
            <w:r>
              <w:rPr>
                <w:rFonts w:ascii="Arial" w:cs="Arial" w:eastAsia="Arial" w:hAnsi="Arial"/>
                <w:sz w:val="14"/>
                <w:szCs w:val="14"/>
                <w:b w:val="1"/>
                <w:bCs w:val="1"/>
                <w:color w:val="auto"/>
                <w:w w:val="91"/>
              </w:rPr>
              <w:t>Delaware</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60" w:type="dxa"/>
            <w:vAlign w:val="bottom"/>
          </w:tcPr>
          <w:p>
            <w:pPr>
              <w:jc w:val="right"/>
              <w:ind w:right="2354"/>
              <w:spacing w:after="0"/>
              <w:rPr>
                <w:sz w:val="20"/>
                <w:szCs w:val="20"/>
                <w:color w:val="auto"/>
              </w:rPr>
            </w:pPr>
            <w:r>
              <w:rPr>
                <w:rFonts w:ascii="Arial" w:cs="Arial" w:eastAsia="Arial" w:hAnsi="Arial"/>
                <w:sz w:val="14"/>
                <w:szCs w:val="14"/>
                <w:b w:val="1"/>
                <w:bCs w:val="1"/>
                <w:color w:val="auto"/>
              </w:rPr>
              <w:t>82-4151574</w:t>
            </w:r>
          </w:p>
        </w:tc>
        <w:tc>
          <w:tcPr>
            <w:tcW w:w="0" w:type="dxa"/>
            <w:vAlign w:val="bottom"/>
          </w:tcPr>
          <w:p>
            <w:pPr>
              <w:spacing w:after="0"/>
              <w:rPr>
                <w:sz w:val="1"/>
                <w:szCs w:val="1"/>
                <w:color w:val="auto"/>
              </w:rPr>
            </w:pPr>
          </w:p>
        </w:tc>
      </w:tr>
      <w:tr>
        <w:trPr>
          <w:trHeight w:val="141"/>
        </w:trPr>
        <w:tc>
          <w:tcPr>
            <w:tcW w:w="3700" w:type="dxa"/>
            <w:vAlign w:val="bottom"/>
          </w:tcPr>
          <w:p>
            <w:pPr>
              <w:jc w:val="center"/>
              <w:ind w:left="1754"/>
              <w:spacing w:after="0" w:line="141" w:lineRule="exact"/>
              <w:rPr>
                <w:sz w:val="20"/>
                <w:szCs w:val="20"/>
                <w:color w:val="auto"/>
              </w:rPr>
            </w:pPr>
            <w:r>
              <w:rPr>
                <w:rFonts w:ascii="Arial" w:cs="Arial" w:eastAsia="Arial" w:hAnsi="Arial"/>
                <w:sz w:val="13"/>
                <w:szCs w:val="13"/>
                <w:b w:val="1"/>
                <w:bCs w:val="1"/>
                <w:color w:val="auto"/>
                <w:w w:val="91"/>
              </w:rPr>
              <w:t>(State or Other Jurisdiction of</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60" w:type="dxa"/>
            <w:vAlign w:val="bottom"/>
          </w:tcPr>
          <w:p>
            <w:pPr>
              <w:jc w:val="center"/>
              <w:ind w:right="1754"/>
              <w:spacing w:after="0" w:line="141"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6"/>
        </w:trPr>
        <w:tc>
          <w:tcPr>
            <w:tcW w:w="3700" w:type="dxa"/>
            <w:vAlign w:val="bottom"/>
          </w:tcPr>
          <w:p>
            <w:pPr>
              <w:jc w:val="center"/>
              <w:ind w:left="1754"/>
              <w:spacing w:after="0"/>
              <w:rPr>
                <w:sz w:val="20"/>
                <w:szCs w:val="20"/>
                <w:color w:val="auto"/>
              </w:rPr>
            </w:pPr>
            <w:r>
              <w:rPr>
                <w:rFonts w:ascii="Arial" w:cs="Arial" w:eastAsia="Arial" w:hAnsi="Arial"/>
                <w:sz w:val="13"/>
                <w:szCs w:val="13"/>
                <w:b w:val="1"/>
                <w:bCs w:val="1"/>
                <w:color w:val="auto"/>
                <w:w w:val="91"/>
              </w:rPr>
              <w:t>Incorporation or Organization)</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60" w:type="dxa"/>
            <w:vAlign w:val="bottom"/>
          </w:tcPr>
          <w:p>
            <w:pPr>
              <w:jc w:val="center"/>
              <w:ind w:right="1754"/>
              <w:spacing w:after="0"/>
              <w:rPr>
                <w:sz w:val="20"/>
                <w:szCs w:val="20"/>
                <w:color w:val="auto"/>
              </w:rPr>
            </w:pPr>
            <w:r>
              <w:rPr>
                <w:rFonts w:ascii="Arial" w:cs="Arial" w:eastAsia="Arial" w:hAnsi="Arial"/>
                <w:sz w:val="13"/>
                <w:szCs w:val="13"/>
                <w:b w:val="1"/>
                <w:bCs w:val="1"/>
                <w:color w:val="auto"/>
                <w:w w:val="91"/>
              </w:rPr>
              <w:t>Identification No.)</w:t>
            </w:r>
          </w:p>
        </w:tc>
        <w:tc>
          <w:tcPr>
            <w:tcW w:w="0" w:type="dxa"/>
            <w:vAlign w:val="bottom"/>
          </w:tcPr>
          <w:p>
            <w:pPr>
              <w:spacing w:after="0"/>
              <w:rPr>
                <w:sz w:val="1"/>
                <w:szCs w:val="1"/>
                <w:color w:val="auto"/>
              </w:rPr>
            </w:pPr>
          </w:p>
        </w:tc>
      </w:tr>
      <w:tr>
        <w:trPr>
          <w:trHeight w:val="171"/>
        </w:trPr>
        <w:tc>
          <w:tcPr>
            <w:tcW w:w="3700" w:type="dxa"/>
            <w:vAlign w:val="bottom"/>
          </w:tcPr>
          <w:p>
            <w:pPr>
              <w:jc w:val="center"/>
              <w:ind w:left="1754"/>
              <w:spacing w:after="0"/>
              <w:rPr>
                <w:sz w:val="20"/>
                <w:szCs w:val="20"/>
                <w:color w:val="auto"/>
              </w:rPr>
            </w:pPr>
            <w:r>
              <w:rPr>
                <w:rFonts w:ascii="Arial" w:cs="Arial" w:eastAsia="Arial" w:hAnsi="Arial"/>
                <w:sz w:val="14"/>
                <w:szCs w:val="14"/>
                <w:b w:val="1"/>
                <w:bCs w:val="1"/>
                <w:color w:val="auto"/>
                <w:w w:val="88"/>
              </w:rPr>
              <w:t>100 Campus Drive, Suite 102</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700" w:type="dxa"/>
            <w:vAlign w:val="bottom"/>
          </w:tcPr>
          <w:p>
            <w:pPr>
              <w:jc w:val="center"/>
              <w:ind w:left="1754"/>
              <w:spacing w:after="0"/>
              <w:rPr>
                <w:sz w:val="20"/>
                <w:szCs w:val="20"/>
                <w:color w:val="auto"/>
              </w:rPr>
            </w:pPr>
            <w:r>
              <w:rPr>
                <w:rFonts w:ascii="Arial" w:cs="Arial" w:eastAsia="Arial" w:hAnsi="Arial"/>
                <w:sz w:val="14"/>
                <w:szCs w:val="14"/>
                <w:b w:val="1"/>
                <w:bCs w:val="1"/>
                <w:color w:val="auto"/>
                <w:w w:val="89"/>
              </w:rPr>
              <w:t>Florham Park, New Jersey</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60" w:type="dxa"/>
            <w:vAlign w:val="bottom"/>
          </w:tcPr>
          <w:p>
            <w:pPr>
              <w:jc w:val="right"/>
              <w:ind w:right="2514"/>
              <w:spacing w:after="0"/>
              <w:rPr>
                <w:sz w:val="20"/>
                <w:szCs w:val="20"/>
                <w:color w:val="auto"/>
              </w:rPr>
            </w:pPr>
            <w:r>
              <w:rPr>
                <w:rFonts w:ascii="Arial" w:cs="Arial" w:eastAsia="Arial" w:hAnsi="Arial"/>
                <w:sz w:val="14"/>
                <w:szCs w:val="14"/>
                <w:b w:val="1"/>
                <w:bCs w:val="1"/>
                <w:color w:val="auto"/>
              </w:rPr>
              <w:t>07932</w:t>
            </w:r>
          </w:p>
        </w:tc>
        <w:tc>
          <w:tcPr>
            <w:tcW w:w="0" w:type="dxa"/>
            <w:vAlign w:val="bottom"/>
          </w:tcPr>
          <w:p>
            <w:pPr>
              <w:spacing w:after="0"/>
              <w:rPr>
                <w:sz w:val="1"/>
                <w:szCs w:val="1"/>
                <w:color w:val="auto"/>
              </w:rPr>
            </w:pPr>
          </w:p>
        </w:tc>
      </w:tr>
      <w:tr>
        <w:trPr>
          <w:trHeight w:val="166"/>
        </w:trPr>
        <w:tc>
          <w:tcPr>
            <w:tcW w:w="6820" w:type="dxa"/>
            <w:vAlign w:val="bottom"/>
            <w:gridSpan w:val="8"/>
          </w:tcPr>
          <w:p>
            <w:pPr>
              <w:jc w:val="center"/>
              <w:ind w:right="1300"/>
              <w:spacing w:after="0"/>
              <w:rPr>
                <w:sz w:val="20"/>
                <w:szCs w:val="20"/>
                <w:color w:val="auto"/>
              </w:rPr>
            </w:pPr>
            <w:r>
              <w:rPr>
                <w:rFonts w:ascii="Arial" w:cs="Arial" w:eastAsia="Arial" w:hAnsi="Arial"/>
                <w:sz w:val="13"/>
                <w:szCs w:val="13"/>
                <w:b w:val="1"/>
                <w:bCs w:val="1"/>
                <w:color w:val="auto"/>
                <w:w w:val="89"/>
              </w:rPr>
              <w:t>(Address of Principal Executive Offices)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60" w:type="dxa"/>
            <w:vAlign w:val="bottom"/>
          </w:tcPr>
          <w:p>
            <w:pPr>
              <w:jc w:val="center"/>
              <w:ind w:right="1754"/>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r>
        <w:trPr>
          <w:trHeight w:val="195"/>
        </w:trPr>
        <w:tc>
          <w:tcPr>
            <w:tcW w:w="11240" w:type="dxa"/>
            <w:vAlign w:val="bottom"/>
            <w:gridSpan w:val="13"/>
          </w:tcPr>
          <w:p>
            <w:pPr>
              <w:jc w:val="center"/>
              <w:spacing w:after="0"/>
              <w:rPr>
                <w:sz w:val="20"/>
                <w:szCs w:val="20"/>
                <w:color w:val="auto"/>
              </w:rPr>
            </w:pPr>
            <w:r>
              <w:rPr>
                <w:rFonts w:ascii="Arial" w:cs="Arial" w:eastAsia="Arial" w:hAnsi="Arial"/>
                <w:sz w:val="14"/>
                <w:szCs w:val="14"/>
                <w:b w:val="1"/>
                <w:bCs w:val="1"/>
                <w:color w:val="auto"/>
                <w:w w:val="88"/>
              </w:rPr>
              <w:t>Registrant’s Telephone Number, Including Area Code: (877) 742-8466</w:t>
            </w:r>
          </w:p>
        </w:tc>
        <w:tc>
          <w:tcPr>
            <w:tcW w:w="0" w:type="dxa"/>
            <w:vAlign w:val="bottom"/>
          </w:tcPr>
          <w:p>
            <w:pPr>
              <w:spacing w:after="0"/>
              <w:rPr>
                <w:sz w:val="1"/>
                <w:szCs w:val="1"/>
                <w:color w:val="auto"/>
              </w:rPr>
            </w:pPr>
          </w:p>
        </w:tc>
      </w:tr>
      <w:tr>
        <w:trPr>
          <w:trHeight w:val="37"/>
        </w:trPr>
        <w:tc>
          <w:tcPr>
            <w:tcW w:w="3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gridSpan w:val="2"/>
          </w:tcPr>
          <w:p>
            <w:pPr>
              <w:spacing w:after="0"/>
              <w:rPr>
                <w:sz w:val="3"/>
                <w:szCs w:val="3"/>
                <w:color w:val="auto"/>
              </w:rPr>
            </w:pPr>
          </w:p>
        </w:tc>
        <w:tc>
          <w:tcPr>
            <w:tcW w:w="24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3620" w:type="dxa"/>
            <w:vAlign w:val="bottom"/>
            <w:gridSpan w:val="10"/>
          </w:tcPr>
          <w:p>
            <w:pPr>
              <w:jc w:val="center"/>
              <w:ind w:left="152"/>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c>
          <w:tcPr>
            <w:tcW w:w="26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00" w:type="dxa"/>
            <w:vAlign w:val="bottom"/>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Trading Symbol(s)</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60" w:type="dxa"/>
            <w:vAlign w:val="bottom"/>
          </w:tcPr>
          <w:p>
            <w:pPr>
              <w:jc w:val="center"/>
              <w:ind w:right="414"/>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150"/>
        </w:trPr>
        <w:tc>
          <w:tcPr>
            <w:tcW w:w="3700" w:type="dxa"/>
            <w:vAlign w:val="bottom"/>
            <w:tcBorders>
              <w:top w:val="single" w:sz="8" w:color="auto"/>
            </w:tcBorders>
          </w:tcPr>
          <w:p>
            <w:pPr>
              <w:ind w:left="860"/>
              <w:spacing w:after="0"/>
              <w:rPr>
                <w:sz w:val="20"/>
                <w:szCs w:val="20"/>
                <w:color w:val="auto"/>
              </w:rPr>
            </w:pPr>
            <w:r>
              <w:rPr>
                <w:rFonts w:ascii="Arial" w:cs="Arial" w:eastAsia="Arial" w:hAnsi="Arial"/>
                <w:sz w:val="13"/>
                <w:szCs w:val="13"/>
                <w:b w:val="1"/>
                <w:bCs w:val="1"/>
                <w:color w:val="auto"/>
              </w:rPr>
              <w:t>Common Stock, par value $0.0001 per share</w:t>
            </w: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3"/>
          </w:tcPr>
          <w:p>
            <w:pPr>
              <w:jc w:val="center"/>
              <w:ind w:right="640"/>
              <w:spacing w:after="0"/>
              <w:rPr>
                <w:sz w:val="20"/>
                <w:szCs w:val="20"/>
                <w:color w:val="auto"/>
              </w:rPr>
            </w:pPr>
            <w:r>
              <w:rPr>
                <w:rFonts w:ascii="Arial" w:cs="Arial" w:eastAsia="Arial" w:hAnsi="Arial"/>
                <w:sz w:val="13"/>
                <w:szCs w:val="13"/>
                <w:b w:val="1"/>
                <w:bCs w:val="1"/>
                <w:color w:val="auto"/>
              </w:rPr>
              <w:t>PHAT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3660" w:type="dxa"/>
            <w:vAlign w:val="bottom"/>
            <w:tcBorders>
              <w:top w:val="single" w:sz="8" w:color="auto"/>
            </w:tcBorders>
          </w:tcPr>
          <w:p>
            <w:pPr>
              <w:jc w:val="center"/>
              <w:ind w:right="414"/>
              <w:spacing w:after="0"/>
              <w:rPr>
                <w:sz w:val="20"/>
                <w:szCs w:val="20"/>
                <w:color w:val="auto"/>
              </w:rPr>
            </w:pPr>
            <w:r>
              <w:rPr>
                <w:rFonts w:ascii="Arial" w:cs="Arial" w:eastAsia="Arial" w:hAnsi="Arial"/>
                <w:sz w:val="13"/>
                <w:szCs w:val="13"/>
                <w:b w:val="1"/>
                <w:bCs w:val="1"/>
                <w:color w:val="auto"/>
                <w:w w:val="90"/>
              </w:rPr>
              <w:t>The Nasdaq Global Select Market</w:t>
            </w:r>
          </w:p>
        </w:tc>
        <w:tc>
          <w:tcPr>
            <w:tcW w:w="0" w:type="dxa"/>
            <w:vAlign w:val="bottom"/>
          </w:tcPr>
          <w:p>
            <w:pPr>
              <w:spacing w:after="0"/>
              <w:rPr>
                <w:sz w:val="1"/>
                <w:szCs w:val="1"/>
                <w:color w:val="auto"/>
              </w:rPr>
            </w:pPr>
          </w:p>
        </w:tc>
      </w:tr>
      <w:tr>
        <w:trPr>
          <w:trHeight w:val="178"/>
        </w:trPr>
        <w:tc>
          <w:tcPr>
            <w:tcW w:w="3700" w:type="dxa"/>
            <w:vAlign w:val="bottom"/>
          </w:tcPr>
          <w:p>
            <w:pPr>
              <w:spacing w:after="0"/>
              <w:rPr>
                <w:sz w:val="15"/>
                <w:szCs w:val="15"/>
                <w:color w:val="auto"/>
              </w:rPr>
            </w:pPr>
          </w:p>
        </w:tc>
        <w:tc>
          <w:tcPr>
            <w:tcW w:w="3880" w:type="dxa"/>
            <w:vAlign w:val="bottom"/>
            <w:gridSpan w:val="11"/>
          </w:tcPr>
          <w:p>
            <w:pPr>
              <w:jc w:val="center"/>
              <w:spacing w:after="0"/>
              <w:rPr>
                <w:sz w:val="20"/>
                <w:szCs w:val="20"/>
                <w:color w:val="auto"/>
              </w:rPr>
            </w:pPr>
            <w:r>
              <w:rPr>
                <w:rFonts w:ascii="Arial" w:cs="Arial" w:eastAsia="Arial" w:hAnsi="Arial"/>
                <w:sz w:val="14"/>
                <w:szCs w:val="14"/>
                <w:b w:val="1"/>
                <w:bCs w:val="1"/>
                <w:color w:val="auto"/>
                <w:w w:val="86"/>
              </w:rPr>
              <w:t>Securities registered pursuant to Section 12(g) of the Act: None</w:t>
            </w:r>
          </w:p>
        </w:tc>
        <w:tc>
          <w:tcPr>
            <w:tcW w:w="3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200" w:type="dxa"/>
            <w:vAlign w:val="bottom"/>
            <w:gridSpan w:val="4"/>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60" w:type="dxa"/>
            <w:vAlign w:val="bottom"/>
            <w:gridSpan w:val="5"/>
          </w:tcPr>
          <w:p>
            <w:pPr>
              <w:spacing w:after="0"/>
              <w:rPr>
                <w:sz w:val="3"/>
                <w:szCs w:val="3"/>
                <w:color w:val="auto"/>
              </w:rPr>
            </w:pPr>
          </w:p>
        </w:tc>
        <w:tc>
          <w:tcPr>
            <w:tcW w:w="460" w:type="dxa"/>
            <w:vAlign w:val="bottom"/>
            <w:gridSpan w:val="2"/>
            <w:vMerge w:val="restart"/>
          </w:tcPr>
          <w:p>
            <w:pPr>
              <w:ind w:left="120"/>
              <w:spacing w:after="0" w:line="150" w:lineRule="exact"/>
              <w:rPr>
                <w:sz w:val="20"/>
                <w:szCs w:val="20"/>
                <w:color w:val="auto"/>
              </w:rPr>
            </w:pPr>
            <w:r>
              <w:rPr>
                <w:rFonts w:ascii="Arial" w:cs="Arial" w:eastAsia="Arial" w:hAnsi="Arial"/>
                <w:sz w:val="13"/>
                <w:szCs w:val="13"/>
                <w:color w:val="auto"/>
                <w:w w:val="96"/>
              </w:rPr>
              <w:t xml:space="preserve">No </w:t>
            </w:r>
            <w:r>
              <w:rPr>
                <w:rFonts w:ascii="MS PGothic" w:cs="MS PGothic" w:eastAsia="MS PGothic" w:hAnsi="MS PGothic"/>
                <w:sz w:val="13"/>
                <w:szCs w:val="13"/>
                <w:color w:val="auto"/>
                <w:w w:val="96"/>
              </w:rPr>
              <w:t>☒</w:t>
            </w:r>
          </w:p>
        </w:tc>
        <w:tc>
          <w:tcPr>
            <w:tcW w:w="36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120" w:type="dxa"/>
            <w:vAlign w:val="bottom"/>
            <w:gridSpan w:val="10"/>
          </w:tcPr>
          <w:p>
            <w:pPr>
              <w:ind w:left="600"/>
              <w:spacing w:after="0" w:line="150" w:lineRule="exact"/>
              <w:rPr>
                <w:sz w:val="20"/>
                <w:szCs w:val="20"/>
                <w:color w:val="auto"/>
              </w:rPr>
            </w:pPr>
            <w:r>
              <w:rPr>
                <w:rFonts w:ascii="Arial" w:cs="Arial" w:eastAsia="Arial" w:hAnsi="Arial"/>
                <w:sz w:val="13"/>
                <w:szCs w:val="13"/>
                <w:color w:val="auto"/>
                <w:w w:val="90"/>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0"/>
              </w:rPr>
              <w:t>☐</w:t>
            </w:r>
          </w:p>
        </w:tc>
        <w:tc>
          <w:tcPr>
            <w:tcW w:w="460" w:type="dxa"/>
            <w:vAlign w:val="bottom"/>
            <w:gridSpan w:val="2"/>
            <w:vMerge w:val="continue"/>
          </w:tcPr>
          <w:p>
            <w:pPr>
              <w:spacing w:after="0"/>
              <w:rPr>
                <w:sz w:val="14"/>
                <w:szCs w:val="14"/>
                <w:color w:val="auto"/>
              </w:rPr>
            </w:pP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6820" w:type="dxa"/>
            <w:vAlign w:val="bottom"/>
            <w:gridSpan w:val="8"/>
          </w:tcPr>
          <w:p>
            <w:pPr>
              <w:ind w:left="600"/>
              <w:spacing w:after="0"/>
              <w:rPr>
                <w:sz w:val="20"/>
                <w:szCs w:val="20"/>
                <w:color w:val="auto"/>
              </w:rPr>
            </w:pPr>
            <w:r>
              <w:rPr>
                <w:rFonts w:ascii="Arial" w:cs="Arial" w:eastAsia="Arial" w:hAnsi="Arial"/>
                <w:sz w:val="13"/>
                <w:szCs w:val="13"/>
                <w:color w:val="auto"/>
                <w:w w:val="91"/>
              </w:rPr>
              <w:t>Indicate by check mark if the registrant is not required to file reports pursuant to Section 13 or Section 15(d) of the Act.</w:t>
            </w:r>
          </w:p>
        </w:tc>
        <w:tc>
          <w:tcPr>
            <w:tcW w:w="300" w:type="dxa"/>
            <w:vAlign w:val="bottom"/>
            <w:gridSpan w:val="2"/>
          </w:tcPr>
          <w:p>
            <w:pPr>
              <w:ind w:left="40"/>
              <w:spacing w:after="0"/>
              <w:rPr>
                <w:sz w:val="20"/>
                <w:szCs w:val="20"/>
                <w:color w:val="auto"/>
              </w:rPr>
            </w:pPr>
            <w:r>
              <w:rPr>
                <w:rFonts w:ascii="Arial" w:cs="Arial" w:eastAsia="Arial" w:hAnsi="Arial"/>
                <w:sz w:val="13"/>
                <w:szCs w:val="13"/>
                <w:color w:val="auto"/>
              </w:rPr>
              <w:t>Yes</w:t>
            </w:r>
          </w:p>
        </w:tc>
        <w:tc>
          <w:tcPr>
            <w:tcW w:w="20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0" w:type="dxa"/>
            <w:vAlign w:val="bottom"/>
          </w:tcPr>
          <w:p>
            <w:pPr>
              <w:ind w:left="40"/>
              <w:spacing w:after="0"/>
              <w:rPr>
                <w:sz w:val="20"/>
                <w:szCs w:val="20"/>
                <w:color w:val="auto"/>
              </w:rPr>
            </w:pPr>
            <w:r>
              <w:rPr>
                <w:rFonts w:ascii="Arial" w:cs="Arial" w:eastAsia="Arial" w:hAnsi="Arial"/>
                <w:sz w:val="13"/>
                <w:szCs w:val="13"/>
                <w:color w:val="auto"/>
              </w:rPr>
              <w:t>No</w:t>
            </w:r>
          </w:p>
        </w:tc>
        <w:tc>
          <w:tcPr>
            <w:tcW w:w="36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28"/>
        </w:trPr>
        <w:tc>
          <w:tcPr>
            <w:tcW w:w="11240" w:type="dxa"/>
            <w:vAlign w:val="bottom"/>
            <w:gridSpan w:val="13"/>
          </w:tcPr>
          <w:p>
            <w:pPr>
              <w:ind w:left="600"/>
              <w:spacing w:after="0" w:line="128" w:lineRule="exact"/>
              <w:rPr>
                <w:sz w:val="20"/>
                <w:szCs w:val="20"/>
                <w:color w:val="auto"/>
              </w:rPr>
            </w:pPr>
            <w:r>
              <w:rPr>
                <w:rFonts w:ascii="Arial" w:cs="Arial" w:eastAsia="Arial" w:hAnsi="Arial"/>
                <w:sz w:val="13"/>
                <w:szCs w:val="13"/>
                <w:color w:val="auto"/>
                <w:w w:val="91"/>
              </w:rPr>
              <w:t>Indicate by check mark whether the registrant (1) has filed all reports required to be filed by Section 13 or 15(d) of the Securities Exchange Act of 1934 during the preceding 12 months (or for such shorter</w:t>
            </w:r>
          </w:p>
        </w:tc>
        <w:tc>
          <w:tcPr>
            <w:tcW w:w="0" w:type="dxa"/>
            <w:vAlign w:val="bottom"/>
          </w:tcPr>
          <w:p>
            <w:pPr>
              <w:spacing w:after="0"/>
              <w:rPr>
                <w:sz w:val="1"/>
                <w:szCs w:val="1"/>
                <w:color w:val="auto"/>
              </w:rPr>
            </w:pPr>
          </w:p>
        </w:tc>
      </w:tr>
      <w:tr>
        <w:trPr>
          <w:trHeight w:val="194"/>
        </w:trPr>
        <w:tc>
          <w:tcPr>
            <w:tcW w:w="6820" w:type="dxa"/>
            <w:vAlign w:val="bottom"/>
            <w:gridSpan w:val="8"/>
          </w:tcPr>
          <w:p>
            <w:pPr>
              <w:spacing w:after="0"/>
              <w:rPr>
                <w:sz w:val="20"/>
                <w:szCs w:val="20"/>
                <w:color w:val="auto"/>
              </w:rPr>
            </w:pPr>
            <w:r>
              <w:rPr>
                <w:rFonts w:ascii="Arial" w:cs="Arial" w:eastAsia="Arial" w:hAnsi="Arial"/>
                <w:sz w:val="13"/>
                <w:szCs w:val="13"/>
                <w:color w:val="auto"/>
                <w:w w:val="89"/>
              </w:rPr>
              <w:t>period that the registrant was required to file such reports), and (2) has been subject to such filing requirements for the past 90 days.</w:t>
            </w:r>
          </w:p>
        </w:tc>
        <w:tc>
          <w:tcPr>
            <w:tcW w:w="300" w:type="dxa"/>
            <w:vAlign w:val="bottom"/>
            <w:gridSpan w:val="2"/>
          </w:tcPr>
          <w:p>
            <w:pPr>
              <w:ind w:left="80"/>
              <w:spacing w:after="0"/>
              <w:rPr>
                <w:sz w:val="20"/>
                <w:szCs w:val="20"/>
                <w:color w:val="auto"/>
              </w:rPr>
            </w:pPr>
            <w:r>
              <w:rPr>
                <w:rFonts w:ascii="Arial" w:cs="Arial" w:eastAsia="Arial" w:hAnsi="Arial"/>
                <w:sz w:val="13"/>
                <w:szCs w:val="13"/>
                <w:color w:val="auto"/>
                <w:w w:val="89"/>
              </w:rPr>
              <w:t>Yes</w:t>
            </w:r>
          </w:p>
        </w:tc>
        <w:tc>
          <w:tcPr>
            <w:tcW w:w="20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260" w:type="dxa"/>
            <w:vAlign w:val="bottom"/>
          </w:tcPr>
          <w:p>
            <w:pPr>
              <w:ind w:left="80"/>
              <w:spacing w:after="0"/>
              <w:rPr>
                <w:sz w:val="20"/>
                <w:szCs w:val="20"/>
                <w:color w:val="auto"/>
              </w:rPr>
            </w:pPr>
            <w:r>
              <w:rPr>
                <w:rFonts w:ascii="Arial" w:cs="Arial" w:eastAsia="Arial" w:hAnsi="Arial"/>
                <w:sz w:val="13"/>
                <w:szCs w:val="13"/>
                <w:color w:val="auto"/>
                <w:w w:val="96"/>
              </w:rPr>
              <w:t>No</w:t>
            </w:r>
          </w:p>
        </w:tc>
        <w:tc>
          <w:tcPr>
            <w:tcW w:w="3660" w:type="dxa"/>
            <w:vAlign w:val="bottom"/>
          </w:tcPr>
          <w:p>
            <w:pPr>
              <w:ind w:left="40"/>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ind w:right="100" w:firstLine="589"/>
        <w:spacing w:after="0" w:line="15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 w:lineRule="exact"/>
        <w:rPr>
          <w:sz w:val="24"/>
          <w:szCs w:val="24"/>
          <w:color w:val="auto"/>
        </w:rPr>
      </w:pPr>
    </w:p>
    <w:p>
      <w:pPr>
        <w:ind w:right="280" w:firstLine="589"/>
        <w:spacing w:after="0" w:line="24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19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0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4900" w:type="dxa"/>
            <w:vAlign w:val="bottom"/>
          </w:tcPr>
          <w:p>
            <w:pPr>
              <w:ind w:left="2920"/>
              <w:spacing w:after="0"/>
              <w:rPr>
                <w:sz w:val="20"/>
                <w:szCs w:val="20"/>
                <w:color w:val="auto"/>
              </w:rPr>
            </w:pPr>
            <w:r>
              <w:rPr>
                <w:rFonts w:ascii="Arial" w:cs="Arial" w:eastAsia="Arial" w:hAnsi="Arial"/>
                <w:sz w:val="13"/>
                <w:szCs w:val="13"/>
                <w:color w:val="auto"/>
              </w:rPr>
              <w:t>Accelerated filer</w:t>
            </w:r>
          </w:p>
        </w:tc>
        <w:tc>
          <w:tcPr>
            <w:tcW w:w="660" w:type="dxa"/>
            <w:vAlign w:val="bottom"/>
          </w:tcPr>
          <w:p>
            <w:pPr>
              <w:ind w:left="5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93"/>
        </w:trPr>
        <w:tc>
          <w:tcPr>
            <w:tcW w:w="1960" w:type="dxa"/>
            <w:vAlign w:val="bottom"/>
          </w:tcPr>
          <w:p>
            <w:pPr>
              <w:spacing w:after="0"/>
              <w:rPr>
                <w:sz w:val="20"/>
                <w:szCs w:val="20"/>
                <w:color w:val="auto"/>
              </w:rPr>
            </w:pPr>
            <w:r>
              <w:rPr>
                <w:rFonts w:ascii="Arial" w:cs="Arial" w:eastAsia="Arial" w:hAnsi="Arial"/>
                <w:sz w:val="13"/>
                <w:szCs w:val="13"/>
                <w:color w:val="auto"/>
              </w:rPr>
              <w:t>Non-accelerated filer</w:t>
            </w:r>
          </w:p>
        </w:tc>
        <w:tc>
          <w:tcPr>
            <w:tcW w:w="360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4900" w:type="dxa"/>
            <w:vAlign w:val="bottom"/>
          </w:tcPr>
          <w:p>
            <w:pPr>
              <w:ind w:left="2920"/>
              <w:spacing w:after="0"/>
              <w:rPr>
                <w:sz w:val="20"/>
                <w:szCs w:val="20"/>
                <w:color w:val="auto"/>
              </w:rPr>
            </w:pPr>
            <w:r>
              <w:rPr>
                <w:rFonts w:ascii="Arial" w:cs="Arial" w:eastAsia="Arial" w:hAnsi="Arial"/>
                <w:sz w:val="13"/>
                <w:szCs w:val="13"/>
                <w:color w:val="auto"/>
              </w:rPr>
              <w:t>Smaller reporting company</w:t>
            </w:r>
          </w:p>
        </w:tc>
        <w:tc>
          <w:tcPr>
            <w:tcW w:w="660" w:type="dxa"/>
            <w:vAlign w:val="bottom"/>
          </w:tcPr>
          <w:p>
            <w:pPr>
              <w:ind w:left="56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01"/>
        </w:trPr>
        <w:tc>
          <w:tcPr>
            <w:tcW w:w="19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00" w:type="dxa"/>
            <w:vAlign w:val="bottom"/>
          </w:tcPr>
          <w:p>
            <w:pPr>
              <w:ind w:left="560"/>
              <w:spacing w:after="0" w:line="131" w:lineRule="exact"/>
              <w:rPr>
                <w:sz w:val="20"/>
                <w:szCs w:val="20"/>
                <w:color w:val="auto"/>
              </w:rPr>
            </w:pPr>
            <w:r>
              <w:rPr>
                <w:rFonts w:ascii="MS PGothic" w:cs="MS PGothic" w:eastAsia="MS PGothic" w:hAnsi="MS PGothic"/>
                <w:sz w:val="13"/>
                <w:szCs w:val="13"/>
                <w:color w:val="auto"/>
              </w:rPr>
              <w:t>☒</w:t>
            </w:r>
          </w:p>
        </w:tc>
        <w:tc>
          <w:tcPr>
            <w:tcW w:w="4900" w:type="dxa"/>
            <w:vAlign w:val="bottom"/>
          </w:tcPr>
          <w:p>
            <w:pPr>
              <w:spacing w:after="0"/>
              <w:rPr>
                <w:sz w:val="17"/>
                <w:szCs w:val="17"/>
                <w:color w:val="auto"/>
              </w:rPr>
            </w:pPr>
          </w:p>
        </w:tc>
        <w:tc>
          <w:tcPr>
            <w:tcW w:w="660" w:type="dxa"/>
            <w:vAlign w:val="bottom"/>
          </w:tcPr>
          <w:p>
            <w:pPr>
              <w:spacing w:after="0"/>
              <w:rPr>
                <w:sz w:val="17"/>
                <w:szCs w:val="17"/>
                <w:color w:val="auto"/>
              </w:rPr>
            </w:pPr>
          </w:p>
        </w:tc>
      </w:tr>
    </w:tbl>
    <w:p>
      <w:pPr>
        <w:spacing w:after="0" w:line="3" w:lineRule="exact"/>
        <w:rPr>
          <w:sz w:val="24"/>
          <w:szCs w:val="24"/>
          <w:color w:val="auto"/>
        </w:rPr>
      </w:pPr>
    </w:p>
    <w:p>
      <w:pPr>
        <w:jc w:val="both"/>
        <w:ind w:right="120" w:firstLine="589"/>
        <w:spacing w:after="0" w:line="159"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45" w:lineRule="exact"/>
        <w:rPr>
          <w:sz w:val="24"/>
          <w:szCs w:val="24"/>
          <w:color w:val="auto"/>
        </w:rPr>
      </w:pPr>
    </w:p>
    <w:p>
      <w:pPr>
        <w:ind w:right="140" w:firstLine="589"/>
        <w:spacing w:after="0" w:line="159"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 Oxley Act (15 U.S.C. 7262 (b)) by the registered public accounting firm that prepared or issued its audit report. </w:t>
      </w:r>
      <w:r>
        <w:rPr>
          <w:rFonts w:ascii="MS PGothic" w:cs="MS PGothic" w:eastAsia="MS PGothic" w:hAnsi="MS PGothic"/>
          <w:sz w:val="13"/>
          <w:szCs w:val="13"/>
          <w:color w:val="auto"/>
        </w:rPr>
        <w:t>☐</w:t>
      </w:r>
    </w:p>
    <w:p>
      <w:pPr>
        <w:spacing w:after="0" w:line="30" w:lineRule="exact"/>
        <w:rPr>
          <w:sz w:val="24"/>
          <w:szCs w:val="24"/>
          <w:color w:val="auto"/>
        </w:rPr>
      </w:pPr>
    </w:p>
    <w:p>
      <w:pPr>
        <w:ind w:left="600"/>
        <w:spacing w:after="0" w:line="150" w:lineRule="exact"/>
        <w:tabs>
          <w:tab w:leader="none" w:pos="6420" w:val="left"/>
        </w:tabs>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81" w:lineRule="exact"/>
        <w:rPr>
          <w:sz w:val="24"/>
          <w:szCs w:val="24"/>
          <w:color w:val="auto"/>
        </w:rPr>
      </w:pPr>
    </w:p>
    <w:p>
      <w:pPr>
        <w:ind w:right="340" w:firstLine="589"/>
        <w:spacing w:after="0" w:line="247" w:lineRule="auto"/>
        <w:rPr>
          <w:sz w:val="20"/>
          <w:szCs w:val="20"/>
          <w:color w:val="auto"/>
        </w:rPr>
      </w:pPr>
      <w:r>
        <w:rPr>
          <w:rFonts w:ascii="Arial" w:cs="Arial" w:eastAsia="Arial" w:hAnsi="Arial"/>
          <w:sz w:val="13"/>
          <w:szCs w:val="13"/>
          <w:color w:val="auto"/>
        </w:rPr>
        <w:t>As of June 30, 2020, the aggregate market value of the registrant’s common stock held by non-affiliates of the registrant was approximately $552.3 million, based on the closing price of the registrant’s common stock on the Nasdaq Global Select Market of $32.91 per share.</w:t>
      </w:r>
    </w:p>
    <w:p>
      <w:pPr>
        <w:spacing w:after="0" w:line="181" w:lineRule="exact"/>
        <w:rPr>
          <w:sz w:val="24"/>
          <w:szCs w:val="24"/>
          <w:color w:val="auto"/>
        </w:rPr>
      </w:pPr>
    </w:p>
    <w:p>
      <w:pPr>
        <w:ind w:left="600"/>
        <w:spacing w:after="0"/>
        <w:rPr>
          <w:sz w:val="20"/>
          <w:szCs w:val="20"/>
          <w:color w:val="auto"/>
        </w:rPr>
      </w:pPr>
      <w:r>
        <w:rPr>
          <w:rFonts w:ascii="Arial" w:cs="Arial" w:eastAsia="Arial" w:hAnsi="Arial"/>
          <w:sz w:val="13"/>
          <w:szCs w:val="13"/>
          <w:color w:val="auto"/>
        </w:rPr>
        <w:t>As of March 26, 2021, the registrant had 31,321,613 shares of common stock ($0.0001 par value) outstanding.</w:t>
      </w:r>
    </w:p>
    <w:p>
      <w:pPr>
        <w:spacing w:after="0" w:line="26" w:lineRule="exact"/>
        <w:rPr>
          <w:sz w:val="24"/>
          <w:szCs w:val="24"/>
          <w:color w:val="auto"/>
        </w:rPr>
      </w:pPr>
    </w:p>
    <w:p>
      <w:pPr>
        <w:ind w:left="4140"/>
        <w:spacing w:after="0"/>
        <w:rPr>
          <w:sz w:val="20"/>
          <w:szCs w:val="20"/>
          <w:color w:val="auto"/>
        </w:rPr>
      </w:pPr>
      <w:r>
        <w:rPr>
          <w:rFonts w:ascii="Arial" w:cs="Arial" w:eastAsia="Arial" w:hAnsi="Arial"/>
          <w:sz w:val="13"/>
          <w:szCs w:val="13"/>
          <w:b w:val="1"/>
          <w:bCs w:val="1"/>
          <w:color w:val="auto"/>
        </w:rPr>
        <w:t>DOCUMENTS INCORPORATED BY REFERENCE</w:t>
      </w:r>
    </w:p>
    <w:p>
      <w:pPr>
        <w:spacing w:after="0" w:line="22" w:lineRule="exact"/>
        <w:rPr>
          <w:sz w:val="24"/>
          <w:szCs w:val="24"/>
          <w:color w:val="auto"/>
        </w:rPr>
      </w:pPr>
    </w:p>
    <w:p>
      <w:pPr>
        <w:ind w:right="60" w:firstLine="589"/>
        <w:spacing w:after="0" w:line="247" w:lineRule="auto"/>
        <w:rPr>
          <w:sz w:val="20"/>
          <w:szCs w:val="20"/>
          <w:color w:val="auto"/>
        </w:rPr>
      </w:pPr>
      <w:r>
        <w:rPr>
          <w:rFonts w:ascii="Arial" w:cs="Arial" w:eastAsia="Arial" w:hAnsi="Arial"/>
          <w:sz w:val="13"/>
          <w:szCs w:val="13"/>
          <w:color w:val="auto"/>
        </w:rPr>
        <w:t>Certain sections of the registrant’s definitive proxy statement for the 2021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7138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46990</wp:posOffset>
            </wp:positionV>
            <wp:extent cx="71386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156210</wp:posOffset>
            </wp:positionV>
            <wp:extent cx="718058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0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700" w:type="dxa"/>
            <w:vAlign w:val="bottom"/>
            <w:gridSpan w:val="11"/>
          </w:tcPr>
          <w:p>
            <w:pPr>
              <w:jc w:val="center"/>
              <w:ind w:right="2080"/>
              <w:spacing w:after="0"/>
              <w:rPr>
                <w:sz w:val="20"/>
                <w:szCs w:val="20"/>
                <w:color w:val="auto"/>
              </w:rPr>
            </w:pPr>
            <w:r>
              <w:rPr>
                <w:rFonts w:ascii="Arial" w:cs="Arial" w:eastAsia="Arial" w:hAnsi="Arial"/>
                <w:sz w:val="17"/>
                <w:szCs w:val="17"/>
                <w:b w:val="1"/>
                <w:bCs w:val="1"/>
                <w:color w:val="auto"/>
              </w:rPr>
              <w:t>PHATHOM PHARMACEUTICALS, INC.</w:t>
            </w:r>
          </w:p>
        </w:tc>
        <w:tc>
          <w:tcPr>
            <w:tcW w:w="1260" w:type="dxa"/>
            <w:vAlign w:val="bottom"/>
          </w:tcPr>
          <w:p>
            <w:pPr>
              <w:spacing w:after="0"/>
              <w:rPr>
                <w:sz w:val="19"/>
                <w:szCs w:val="19"/>
                <w:color w:val="auto"/>
              </w:rPr>
            </w:pPr>
          </w:p>
        </w:tc>
      </w:tr>
      <w:tr>
        <w:trPr>
          <w:trHeight w:val="373"/>
        </w:trPr>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80" w:type="dxa"/>
            <w:vAlign w:val="bottom"/>
            <w:gridSpan w:val="8"/>
          </w:tcPr>
          <w:p>
            <w:pPr>
              <w:jc w:val="center"/>
              <w:ind w:right="3320"/>
              <w:spacing w:after="0"/>
              <w:rPr>
                <w:sz w:val="20"/>
                <w:szCs w:val="20"/>
                <w:color w:val="auto"/>
              </w:rPr>
            </w:pPr>
            <w:r>
              <w:rPr>
                <w:rFonts w:ascii="Arial" w:cs="Arial" w:eastAsia="Arial" w:hAnsi="Arial"/>
                <w:sz w:val="17"/>
                <w:szCs w:val="17"/>
                <w:b w:val="1"/>
                <w:bCs w:val="1"/>
                <w:color w:val="auto"/>
              </w:rPr>
              <w:t>TABLE OF CONTENTS</w:t>
            </w:r>
          </w:p>
        </w:tc>
        <w:tc>
          <w:tcPr>
            <w:tcW w:w="1260" w:type="dxa"/>
            <w:vAlign w:val="bottom"/>
          </w:tcPr>
          <w:p>
            <w:pPr>
              <w:spacing w:after="0"/>
              <w:rPr>
                <w:sz w:val="24"/>
                <w:szCs w:val="24"/>
                <w:color w:val="auto"/>
              </w:rPr>
            </w:pPr>
          </w:p>
        </w:tc>
      </w:tr>
      <w:tr>
        <w:trPr>
          <w:trHeight w:val="368"/>
        </w:trPr>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80" w:type="dxa"/>
            <w:vAlign w:val="bottom"/>
            <w:gridSpan w:val="8"/>
          </w:tcPr>
          <w:p>
            <w:pPr>
              <w:jc w:val="center"/>
              <w:ind w:right="3320"/>
              <w:spacing w:after="0"/>
              <w:rPr>
                <w:sz w:val="20"/>
                <w:szCs w:val="20"/>
                <w:color w:val="auto"/>
              </w:rPr>
            </w:pPr>
            <w:r>
              <w:rPr>
                <w:rFonts w:ascii="Arial" w:cs="Arial" w:eastAsia="Arial" w:hAnsi="Arial"/>
                <w:sz w:val="17"/>
                <w:szCs w:val="17"/>
                <w:b w:val="1"/>
                <w:bCs w:val="1"/>
                <w:color w:val="auto"/>
              </w:rPr>
              <w:t>FORM 10-K</w:t>
            </w:r>
          </w:p>
        </w:tc>
        <w:tc>
          <w:tcPr>
            <w:tcW w:w="1260" w:type="dxa"/>
            <w:vAlign w:val="bottom"/>
          </w:tcPr>
          <w:p>
            <w:pPr>
              <w:spacing w:after="0"/>
              <w:rPr>
                <w:sz w:val="24"/>
                <w:szCs w:val="24"/>
                <w:color w:val="auto"/>
              </w:rPr>
            </w:pPr>
          </w:p>
        </w:tc>
      </w:tr>
      <w:tr>
        <w:trPr>
          <w:trHeight w:val="223"/>
        </w:trPr>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80" w:type="dxa"/>
            <w:vAlign w:val="bottom"/>
            <w:gridSpan w:val="9"/>
          </w:tcPr>
          <w:p>
            <w:pPr>
              <w:jc w:val="center"/>
              <w:ind w:right="2900"/>
              <w:spacing w:after="0"/>
              <w:rPr>
                <w:sz w:val="20"/>
                <w:szCs w:val="20"/>
                <w:color w:val="auto"/>
              </w:rPr>
            </w:pPr>
            <w:r>
              <w:rPr>
                <w:rFonts w:ascii="Arial" w:cs="Arial" w:eastAsia="Arial" w:hAnsi="Arial"/>
                <w:sz w:val="17"/>
                <w:szCs w:val="17"/>
                <w:b w:val="1"/>
                <w:bCs w:val="1"/>
                <w:color w:val="auto"/>
                <w:w w:val="91"/>
              </w:rPr>
              <w:t>For the Year Ended December 31, 2020</w:t>
            </w:r>
          </w:p>
        </w:tc>
        <w:tc>
          <w:tcPr>
            <w:tcW w:w="1260" w:type="dxa"/>
            <w:vAlign w:val="bottom"/>
          </w:tcPr>
          <w:p>
            <w:pPr>
              <w:spacing w:after="0"/>
              <w:rPr>
                <w:sz w:val="19"/>
                <w:szCs w:val="19"/>
                <w:color w:val="auto"/>
              </w:rPr>
            </w:pPr>
          </w:p>
        </w:tc>
      </w:tr>
      <w:tr>
        <w:trPr>
          <w:trHeight w:val="373"/>
        </w:trPr>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740" w:type="dxa"/>
            <w:vAlign w:val="bottom"/>
            <w:gridSpan w:val="7"/>
          </w:tcPr>
          <w:p>
            <w:pPr>
              <w:jc w:val="center"/>
              <w:ind w:right="4060"/>
              <w:spacing w:after="0"/>
              <w:rPr>
                <w:sz w:val="20"/>
                <w:szCs w:val="20"/>
                <w:color w:val="auto"/>
              </w:rPr>
            </w:pPr>
            <w:r>
              <w:rPr>
                <w:rFonts w:ascii="Arial" w:cs="Arial" w:eastAsia="Arial" w:hAnsi="Arial"/>
                <w:sz w:val="17"/>
                <w:szCs w:val="17"/>
                <w:b w:val="1"/>
                <w:bCs w:val="1"/>
                <w:color w:val="auto"/>
              </w:rPr>
              <w:t>INDEX</w:t>
            </w:r>
          </w:p>
        </w:tc>
        <w:tc>
          <w:tcPr>
            <w:tcW w:w="1260" w:type="dxa"/>
            <w:vAlign w:val="bottom"/>
          </w:tcPr>
          <w:p>
            <w:pPr>
              <w:spacing w:after="0"/>
              <w:rPr>
                <w:sz w:val="24"/>
                <w:szCs w:val="24"/>
                <w:color w:val="auto"/>
              </w:rPr>
            </w:pPr>
          </w:p>
        </w:tc>
      </w:tr>
      <w:tr>
        <w:trPr>
          <w:trHeight w:val="374"/>
        </w:trPr>
        <w:tc>
          <w:tcPr>
            <w:tcW w:w="560" w:type="dxa"/>
            <w:vAlign w:val="bottom"/>
            <w:tcBorders>
              <w:bottom w:val="single" w:sz="8" w:color="0000EE"/>
            </w:tcBorders>
          </w:tcPr>
          <w:p>
            <w:pPr>
              <w:spacing w:after="0"/>
              <w:rPr>
                <w:rFonts w:ascii="Arial" w:cs="Arial" w:eastAsia="Arial" w:hAnsi="Arial"/>
                <w:sz w:val="17"/>
                <w:szCs w:val="17"/>
                <w:b w:val="1"/>
                <w:bCs w:val="1"/>
                <w:color w:val="0000EE"/>
                <w:w w:val="96"/>
              </w:rPr>
            </w:pPr>
            <w:hyperlink w:anchor="page3">
              <w:r>
                <w:rPr>
                  <w:rFonts w:ascii="Arial" w:cs="Arial" w:eastAsia="Arial" w:hAnsi="Arial"/>
                  <w:sz w:val="17"/>
                  <w:szCs w:val="17"/>
                  <w:b w:val="1"/>
                  <w:bCs w:val="1"/>
                  <w:color w:val="0000EE"/>
                  <w:w w:val="96"/>
                </w:rPr>
                <w:t>PART I</w:t>
              </w:r>
            </w:hyperlink>
          </w:p>
        </w:tc>
        <w:tc>
          <w:tcPr>
            <w:tcW w:w="820" w:type="dxa"/>
            <w:vAlign w:val="bottom"/>
            <w:gridSpan w:val="4"/>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1.</w:t>
            </w:r>
          </w:p>
        </w:tc>
        <w:tc>
          <w:tcPr>
            <w:tcW w:w="8640" w:type="dxa"/>
            <w:vAlign w:val="bottom"/>
            <w:gridSpan w:val="21"/>
          </w:tcPr>
          <w:p>
            <w:pPr>
              <w:spacing w:after="0" w:line="185" w:lineRule="exact"/>
              <w:rPr>
                <w:rFonts w:ascii="Arial" w:cs="Arial" w:eastAsia="Arial" w:hAnsi="Arial"/>
                <w:sz w:val="17"/>
                <w:szCs w:val="17"/>
                <w:color w:val="0000EE"/>
              </w:rPr>
            </w:pPr>
            <w:hyperlink w:anchor="page4">
              <w:r>
                <w:rPr>
                  <w:rFonts w:ascii="Arial" w:cs="Arial" w:eastAsia="Arial" w:hAnsi="Arial"/>
                  <w:sz w:val="17"/>
                  <w:szCs w:val="17"/>
                  <w:color w:val="0000EE"/>
                </w:rPr>
                <w:t>Business</w:t>
              </w:r>
            </w:hyperlink>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4</w:t>
            </w: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1A.</w:t>
            </w:r>
          </w:p>
        </w:tc>
        <w:tc>
          <w:tcPr>
            <w:tcW w:w="860" w:type="dxa"/>
            <w:vAlign w:val="bottom"/>
            <w:tcBorders>
              <w:bottom w:val="single" w:sz="8" w:color="0000EE"/>
            </w:tcBorders>
            <w:gridSpan w:val="4"/>
          </w:tcPr>
          <w:p>
            <w:pPr>
              <w:spacing w:after="0" w:line="185" w:lineRule="exact"/>
              <w:rPr>
                <w:rFonts w:ascii="Arial" w:cs="Arial" w:eastAsia="Arial" w:hAnsi="Arial"/>
                <w:sz w:val="17"/>
                <w:szCs w:val="17"/>
                <w:color w:val="0000EE"/>
                <w:w w:val="88"/>
              </w:rPr>
            </w:pPr>
            <w:hyperlink w:anchor="page47">
              <w:r>
                <w:rPr>
                  <w:rFonts w:ascii="Arial" w:cs="Arial" w:eastAsia="Arial" w:hAnsi="Arial"/>
                  <w:sz w:val="17"/>
                  <w:szCs w:val="17"/>
                  <w:color w:val="0000EE"/>
                  <w:w w:val="88"/>
                </w:rPr>
                <w:t>Risk Factors</w:t>
              </w:r>
            </w:hyperlink>
          </w:p>
        </w:tc>
        <w:tc>
          <w:tcPr>
            <w:tcW w:w="7780" w:type="dxa"/>
            <w:vAlign w:val="bottom"/>
            <w:gridSpan w:val="17"/>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47</w:t>
            </w: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1B.</w:t>
            </w:r>
          </w:p>
        </w:tc>
        <w:tc>
          <w:tcPr>
            <w:tcW w:w="8640" w:type="dxa"/>
            <w:vAlign w:val="bottom"/>
            <w:gridSpan w:val="21"/>
          </w:tcPr>
          <w:p>
            <w:pPr>
              <w:spacing w:after="0" w:line="185" w:lineRule="exact"/>
              <w:rPr>
                <w:rFonts w:ascii="Arial" w:cs="Arial" w:eastAsia="Arial" w:hAnsi="Arial"/>
                <w:sz w:val="17"/>
                <w:szCs w:val="17"/>
                <w:color w:val="0000EE"/>
              </w:rPr>
            </w:pPr>
            <w:hyperlink w:anchor="page105">
              <w:r>
                <w:rPr>
                  <w:rFonts w:ascii="Arial" w:cs="Arial" w:eastAsia="Arial" w:hAnsi="Arial"/>
                  <w:sz w:val="17"/>
                  <w:szCs w:val="17"/>
                  <w:color w:val="0000EE"/>
                </w:rPr>
                <w:t>Unresolved Staff Comments</w:t>
              </w:r>
            </w:hyperlink>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105</w:t>
            </w: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2.</w:t>
            </w:r>
          </w:p>
        </w:tc>
        <w:tc>
          <w:tcPr>
            <w:tcW w:w="700" w:type="dxa"/>
            <w:vAlign w:val="bottom"/>
            <w:tcBorders>
              <w:top w:val="single" w:sz="8" w:color="0000EE"/>
              <w:bottom w:val="single" w:sz="8" w:color="0000EE"/>
            </w:tcBorders>
            <w:gridSpan w:val="2"/>
          </w:tcPr>
          <w:p>
            <w:pPr>
              <w:spacing w:after="0" w:line="185" w:lineRule="exact"/>
              <w:rPr>
                <w:rFonts w:ascii="Arial" w:cs="Arial" w:eastAsia="Arial" w:hAnsi="Arial"/>
                <w:sz w:val="17"/>
                <w:szCs w:val="17"/>
                <w:color w:val="0000EE"/>
                <w:w w:val="87"/>
              </w:rPr>
            </w:pPr>
            <w:hyperlink w:anchor="page105">
              <w:r>
                <w:rPr>
                  <w:rFonts w:ascii="Arial" w:cs="Arial" w:eastAsia="Arial" w:hAnsi="Arial"/>
                  <w:sz w:val="17"/>
                  <w:szCs w:val="17"/>
                  <w:color w:val="0000EE"/>
                  <w:w w:val="87"/>
                </w:rPr>
                <w:t>Properties</w:t>
              </w:r>
            </w:hyperlink>
          </w:p>
        </w:tc>
        <w:tc>
          <w:tcPr>
            <w:tcW w:w="1240" w:type="dxa"/>
            <w:vAlign w:val="bottom"/>
            <w:tcBorders>
              <w:top w:val="single" w:sz="8" w:color="0000EE"/>
            </w:tcBorders>
            <w:gridSpan w:val="8"/>
          </w:tcPr>
          <w:p>
            <w:pPr>
              <w:spacing w:after="0"/>
              <w:rPr>
                <w:sz w:val="16"/>
                <w:szCs w:val="16"/>
                <w:color w:val="auto"/>
              </w:rPr>
            </w:pPr>
          </w:p>
        </w:tc>
        <w:tc>
          <w:tcPr>
            <w:tcW w:w="6700" w:type="dxa"/>
            <w:vAlign w:val="bottom"/>
            <w:gridSpan w:val="11"/>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105</w:t>
            </w: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3.</w:t>
            </w:r>
          </w:p>
        </w:tc>
        <w:tc>
          <w:tcPr>
            <w:tcW w:w="8640" w:type="dxa"/>
            <w:vAlign w:val="bottom"/>
            <w:gridSpan w:val="21"/>
          </w:tcPr>
          <w:p>
            <w:pPr>
              <w:spacing w:after="0" w:line="185" w:lineRule="exact"/>
              <w:rPr>
                <w:rFonts w:ascii="Arial" w:cs="Arial" w:eastAsia="Arial" w:hAnsi="Arial"/>
                <w:sz w:val="17"/>
                <w:szCs w:val="17"/>
                <w:color w:val="0000EE"/>
              </w:rPr>
            </w:pPr>
            <w:hyperlink w:anchor="page105">
              <w:r>
                <w:rPr>
                  <w:rFonts w:ascii="Arial" w:cs="Arial" w:eastAsia="Arial" w:hAnsi="Arial"/>
                  <w:sz w:val="17"/>
                  <w:szCs w:val="17"/>
                  <w:color w:val="0000EE"/>
                </w:rPr>
                <w:t>Legal Proceedings</w:t>
              </w:r>
            </w:hyperlink>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105</w:t>
            </w:r>
          </w:p>
        </w:tc>
      </w:tr>
      <w:tr>
        <w:trPr>
          <w:trHeight w:val="20"/>
        </w:trPr>
        <w:tc>
          <w:tcPr>
            <w:tcW w:w="6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4.</w:t>
            </w:r>
          </w:p>
        </w:tc>
        <w:tc>
          <w:tcPr>
            <w:tcW w:w="8640" w:type="dxa"/>
            <w:vAlign w:val="bottom"/>
            <w:gridSpan w:val="21"/>
          </w:tcPr>
          <w:p>
            <w:pPr>
              <w:spacing w:after="0" w:line="185" w:lineRule="exact"/>
              <w:rPr>
                <w:rFonts w:ascii="Arial" w:cs="Arial" w:eastAsia="Arial" w:hAnsi="Arial"/>
                <w:sz w:val="17"/>
                <w:szCs w:val="17"/>
                <w:color w:val="0000EE"/>
              </w:rPr>
            </w:pPr>
            <w:hyperlink w:anchor="page105">
              <w:r>
                <w:rPr>
                  <w:rFonts w:ascii="Arial" w:cs="Arial" w:eastAsia="Arial" w:hAnsi="Arial"/>
                  <w:sz w:val="17"/>
                  <w:szCs w:val="17"/>
                  <w:color w:val="0000EE"/>
                </w:rPr>
                <w:t>Mine Safety Disclosures</w:t>
              </w:r>
            </w:hyperlink>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105</w:t>
            </w:r>
          </w:p>
        </w:tc>
      </w:tr>
      <w:tr>
        <w:trPr>
          <w:trHeight w:val="391"/>
        </w:trPr>
        <w:tc>
          <w:tcPr>
            <w:tcW w:w="1380" w:type="dxa"/>
            <w:vAlign w:val="bottom"/>
            <w:gridSpan w:val="5"/>
          </w:tcPr>
          <w:p>
            <w:pPr>
              <w:spacing w:after="0"/>
              <w:rPr>
                <w:rFonts w:ascii="Arial" w:cs="Arial" w:eastAsia="Arial" w:hAnsi="Arial"/>
                <w:sz w:val="17"/>
                <w:szCs w:val="17"/>
                <w:b w:val="1"/>
                <w:bCs w:val="1"/>
                <w:color w:val="0000EE"/>
              </w:rPr>
            </w:pPr>
            <w:hyperlink w:anchor="page106">
              <w:r>
                <w:rPr>
                  <w:rFonts w:ascii="Arial" w:cs="Arial" w:eastAsia="Arial" w:hAnsi="Arial"/>
                  <w:sz w:val="17"/>
                  <w:szCs w:val="17"/>
                  <w:b w:val="1"/>
                  <w:bCs w:val="1"/>
                  <w:color w:val="0000EE"/>
                </w:rPr>
                <w:t>PART II</w:t>
              </w:r>
            </w:hyperlink>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620" w:type="dxa"/>
            <w:vAlign w:val="bottom"/>
            <w:tcBorders>
              <w:top w:val="single" w:sz="8" w:color="0000EE"/>
            </w:tcBorders>
            <w:gridSpan w:val="2"/>
          </w:tcPr>
          <w:p>
            <w:pPr>
              <w:spacing w:after="0" w:line="185" w:lineRule="exact"/>
              <w:rPr>
                <w:sz w:val="20"/>
                <w:szCs w:val="20"/>
                <w:color w:val="auto"/>
              </w:rPr>
            </w:pPr>
            <w:r>
              <w:rPr>
                <w:rFonts w:ascii="Arial" w:cs="Arial" w:eastAsia="Arial" w:hAnsi="Arial"/>
                <w:sz w:val="17"/>
                <w:szCs w:val="17"/>
                <w:color w:val="auto"/>
              </w:rPr>
              <w:t>Item 5.</w:t>
            </w:r>
          </w:p>
        </w:tc>
        <w:tc>
          <w:tcPr>
            <w:tcW w:w="760" w:type="dxa"/>
            <w:vAlign w:val="bottom"/>
            <w:gridSpan w:val="3"/>
          </w:tcPr>
          <w:p>
            <w:pPr>
              <w:spacing w:after="0"/>
              <w:rPr>
                <w:sz w:val="16"/>
                <w:szCs w:val="16"/>
                <w:color w:val="auto"/>
              </w:rPr>
            </w:pPr>
          </w:p>
        </w:tc>
        <w:tc>
          <w:tcPr>
            <w:tcW w:w="8640" w:type="dxa"/>
            <w:vAlign w:val="bottom"/>
            <w:gridSpan w:val="21"/>
          </w:tcPr>
          <w:p>
            <w:pPr>
              <w:spacing w:after="0" w:line="185" w:lineRule="exact"/>
              <w:rPr>
                <w:rFonts w:ascii="Arial" w:cs="Arial" w:eastAsia="Arial" w:hAnsi="Arial"/>
                <w:sz w:val="17"/>
                <w:szCs w:val="17"/>
                <w:color w:val="0000EE"/>
              </w:rPr>
            </w:pPr>
            <w:hyperlink w:anchor="page106">
              <w:r>
                <w:rPr>
                  <w:rFonts w:ascii="Arial" w:cs="Arial" w:eastAsia="Arial" w:hAnsi="Arial"/>
                  <w:sz w:val="17"/>
                  <w:szCs w:val="17"/>
                  <w:color w:val="0000EE"/>
                </w:rPr>
                <w:t>Market for Registrant’s Common Equity, Related Stockholder Matters and Issuer Purchases of Equity Securities</w:t>
              </w:r>
            </w:hyperlink>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106</w:t>
            </w: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6.</w:t>
            </w:r>
          </w:p>
        </w:tc>
        <w:tc>
          <w:tcPr>
            <w:tcW w:w="7680" w:type="dxa"/>
            <w:vAlign w:val="bottom"/>
            <w:tcBorders>
              <w:top w:val="single" w:sz="8" w:color="0000EE"/>
            </w:tcBorders>
            <w:gridSpan w:val="20"/>
          </w:tcPr>
          <w:p>
            <w:pPr>
              <w:spacing w:after="0" w:line="185" w:lineRule="exact"/>
              <w:rPr>
                <w:rFonts w:ascii="Arial" w:cs="Arial" w:eastAsia="Arial" w:hAnsi="Arial"/>
                <w:sz w:val="17"/>
                <w:szCs w:val="17"/>
                <w:color w:val="0000EE"/>
              </w:rPr>
            </w:pPr>
            <w:hyperlink w:anchor="page108">
              <w:r>
                <w:rPr>
                  <w:rFonts w:ascii="Arial" w:cs="Arial" w:eastAsia="Arial" w:hAnsi="Arial"/>
                  <w:sz w:val="17"/>
                  <w:szCs w:val="17"/>
                  <w:color w:val="0000EE"/>
                </w:rPr>
                <w:t>Selected Financial Data</w:t>
              </w:r>
            </w:hyperlink>
          </w:p>
        </w:tc>
        <w:tc>
          <w:tcPr>
            <w:tcW w:w="960" w:type="dxa"/>
            <w:vAlign w:val="bottom"/>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108</w:t>
            </w: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7.</w:t>
            </w:r>
          </w:p>
        </w:tc>
        <w:tc>
          <w:tcPr>
            <w:tcW w:w="8640" w:type="dxa"/>
            <w:vAlign w:val="bottom"/>
            <w:gridSpan w:val="21"/>
          </w:tcPr>
          <w:p>
            <w:pPr>
              <w:spacing w:after="0" w:line="185" w:lineRule="exact"/>
              <w:rPr>
                <w:rFonts w:ascii="Arial" w:cs="Arial" w:eastAsia="Arial" w:hAnsi="Arial"/>
                <w:sz w:val="17"/>
                <w:szCs w:val="17"/>
                <w:color w:val="0000EE"/>
              </w:rPr>
            </w:pPr>
            <w:hyperlink w:anchor="page109">
              <w:r>
                <w:rPr>
                  <w:rFonts w:ascii="Arial" w:cs="Arial" w:eastAsia="Arial" w:hAnsi="Arial"/>
                  <w:sz w:val="17"/>
                  <w:szCs w:val="17"/>
                  <w:color w:val="0000EE"/>
                </w:rPr>
                <w:t>Management’s Discussion and Analysis of Financial Condition and Results of Operations</w:t>
              </w:r>
            </w:hyperlink>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109</w:t>
            </w: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7A.</w:t>
            </w:r>
          </w:p>
        </w:tc>
        <w:tc>
          <w:tcPr>
            <w:tcW w:w="6140" w:type="dxa"/>
            <w:vAlign w:val="bottom"/>
            <w:tcBorders>
              <w:top w:val="single" w:sz="8" w:color="0000EE"/>
            </w:tcBorders>
            <w:gridSpan w:val="17"/>
          </w:tcPr>
          <w:p>
            <w:pPr>
              <w:spacing w:after="0" w:line="185" w:lineRule="exact"/>
              <w:rPr>
                <w:rFonts w:ascii="Arial" w:cs="Arial" w:eastAsia="Arial" w:hAnsi="Arial"/>
                <w:sz w:val="17"/>
                <w:szCs w:val="17"/>
                <w:color w:val="0000EE"/>
              </w:rPr>
            </w:pPr>
            <w:hyperlink w:anchor="page122">
              <w:r>
                <w:rPr>
                  <w:rFonts w:ascii="Arial" w:cs="Arial" w:eastAsia="Arial" w:hAnsi="Arial"/>
                  <w:sz w:val="17"/>
                  <w:szCs w:val="17"/>
                  <w:color w:val="0000EE"/>
                </w:rPr>
                <w:t>Quantitative and Qualitative Disclosures About Market Risk</w:t>
              </w:r>
            </w:hyperlink>
          </w:p>
        </w:tc>
        <w:tc>
          <w:tcPr>
            <w:tcW w:w="2500" w:type="dxa"/>
            <w:vAlign w:val="bottom"/>
            <w:gridSpan w:val="4"/>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122</w:t>
            </w: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8.</w:t>
            </w:r>
          </w:p>
        </w:tc>
        <w:tc>
          <w:tcPr>
            <w:tcW w:w="4140" w:type="dxa"/>
            <w:vAlign w:val="bottom"/>
            <w:tcBorders>
              <w:top w:val="single" w:sz="8" w:color="0000EE"/>
            </w:tcBorders>
            <w:gridSpan w:val="15"/>
          </w:tcPr>
          <w:p>
            <w:pPr>
              <w:spacing w:after="0" w:line="185" w:lineRule="exact"/>
              <w:rPr>
                <w:rFonts w:ascii="Arial" w:cs="Arial" w:eastAsia="Arial" w:hAnsi="Arial"/>
                <w:sz w:val="17"/>
                <w:szCs w:val="17"/>
                <w:color w:val="0000EE"/>
              </w:rPr>
            </w:pPr>
            <w:hyperlink w:anchor="page122">
              <w:r>
                <w:rPr>
                  <w:rFonts w:ascii="Arial" w:cs="Arial" w:eastAsia="Arial" w:hAnsi="Arial"/>
                  <w:sz w:val="17"/>
                  <w:szCs w:val="17"/>
                  <w:color w:val="0000EE"/>
                </w:rPr>
                <w:t>Financial Statements and Supplementary Data</w:t>
              </w:r>
            </w:hyperlink>
          </w:p>
        </w:tc>
        <w:tc>
          <w:tcPr>
            <w:tcW w:w="4500" w:type="dxa"/>
            <w:vAlign w:val="bottom"/>
            <w:gridSpan w:val="6"/>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122</w:t>
            </w:r>
          </w:p>
        </w:tc>
      </w:tr>
      <w:tr>
        <w:trPr>
          <w:trHeight w:val="20"/>
        </w:trPr>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9.</w:t>
            </w:r>
          </w:p>
        </w:tc>
        <w:tc>
          <w:tcPr>
            <w:tcW w:w="8640" w:type="dxa"/>
            <w:vAlign w:val="bottom"/>
            <w:gridSpan w:val="21"/>
          </w:tcPr>
          <w:p>
            <w:pPr>
              <w:spacing w:after="0" w:line="185" w:lineRule="exact"/>
              <w:rPr>
                <w:rFonts w:ascii="Arial" w:cs="Arial" w:eastAsia="Arial" w:hAnsi="Arial"/>
                <w:sz w:val="17"/>
                <w:szCs w:val="17"/>
                <w:color w:val="0000EE"/>
              </w:rPr>
            </w:pPr>
            <w:hyperlink w:anchor="page122">
              <w:r>
                <w:rPr>
                  <w:rFonts w:ascii="Arial" w:cs="Arial" w:eastAsia="Arial" w:hAnsi="Arial"/>
                  <w:sz w:val="17"/>
                  <w:szCs w:val="17"/>
                  <w:color w:val="0000EE"/>
                </w:rPr>
                <w:t>Changes in and Disagreements with Accountants on Accounting and Financial Disclosure</w:t>
              </w:r>
            </w:hyperlink>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122</w:t>
            </w: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9A.</w:t>
            </w:r>
          </w:p>
        </w:tc>
        <w:tc>
          <w:tcPr>
            <w:tcW w:w="6160" w:type="dxa"/>
            <w:vAlign w:val="bottom"/>
            <w:tcBorders>
              <w:top w:val="single" w:sz="8" w:color="0000EE"/>
            </w:tcBorders>
            <w:gridSpan w:val="18"/>
          </w:tcPr>
          <w:p>
            <w:pPr>
              <w:spacing w:after="0" w:line="185" w:lineRule="exact"/>
              <w:rPr>
                <w:rFonts w:ascii="Arial" w:cs="Arial" w:eastAsia="Arial" w:hAnsi="Arial"/>
                <w:sz w:val="17"/>
                <w:szCs w:val="17"/>
                <w:color w:val="0000EE"/>
              </w:rPr>
            </w:pPr>
            <w:hyperlink w:anchor="page122">
              <w:r>
                <w:rPr>
                  <w:rFonts w:ascii="Arial" w:cs="Arial" w:eastAsia="Arial" w:hAnsi="Arial"/>
                  <w:sz w:val="17"/>
                  <w:szCs w:val="17"/>
                  <w:color w:val="0000EE"/>
                </w:rPr>
                <w:t>Controls and Procedures</w:t>
              </w:r>
            </w:hyperlink>
          </w:p>
        </w:tc>
        <w:tc>
          <w:tcPr>
            <w:tcW w:w="2480" w:type="dxa"/>
            <w:vAlign w:val="bottom"/>
            <w:gridSpan w:val="3"/>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122</w:t>
            </w: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9B.</w:t>
            </w:r>
          </w:p>
        </w:tc>
        <w:tc>
          <w:tcPr>
            <w:tcW w:w="1680" w:type="dxa"/>
            <w:vAlign w:val="bottom"/>
            <w:tcBorders>
              <w:top w:val="single" w:sz="8" w:color="0000EE"/>
            </w:tcBorders>
            <w:gridSpan w:val="8"/>
          </w:tcPr>
          <w:p>
            <w:pPr>
              <w:spacing w:after="0" w:line="185" w:lineRule="exact"/>
              <w:rPr>
                <w:rFonts w:ascii="Arial" w:cs="Arial" w:eastAsia="Arial" w:hAnsi="Arial"/>
                <w:sz w:val="17"/>
                <w:szCs w:val="17"/>
                <w:color w:val="0000EE"/>
              </w:rPr>
            </w:pPr>
            <w:hyperlink w:anchor="page123">
              <w:r>
                <w:rPr>
                  <w:rFonts w:ascii="Arial" w:cs="Arial" w:eastAsia="Arial" w:hAnsi="Arial"/>
                  <w:sz w:val="17"/>
                  <w:szCs w:val="17"/>
                  <w:color w:val="0000EE"/>
                </w:rPr>
                <w:t>Other Information</w:t>
              </w:r>
            </w:hyperlink>
          </w:p>
        </w:tc>
        <w:tc>
          <w:tcPr>
            <w:tcW w:w="6960" w:type="dxa"/>
            <w:vAlign w:val="bottom"/>
            <w:gridSpan w:val="13"/>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123</w:t>
            </w:r>
          </w:p>
        </w:tc>
      </w:tr>
      <w:tr>
        <w:trPr>
          <w:trHeight w:val="391"/>
        </w:trPr>
        <w:tc>
          <w:tcPr>
            <w:tcW w:w="700" w:type="dxa"/>
            <w:vAlign w:val="bottom"/>
            <w:tcBorders>
              <w:bottom w:val="single" w:sz="8" w:color="0000EE"/>
            </w:tcBorders>
            <w:gridSpan w:val="4"/>
          </w:tcPr>
          <w:p>
            <w:pPr>
              <w:spacing w:after="0"/>
              <w:rPr>
                <w:rFonts w:ascii="Arial" w:cs="Arial" w:eastAsia="Arial" w:hAnsi="Arial"/>
                <w:sz w:val="17"/>
                <w:szCs w:val="17"/>
                <w:b w:val="1"/>
                <w:bCs w:val="1"/>
                <w:color w:val="0000EE"/>
              </w:rPr>
            </w:pPr>
            <w:hyperlink w:anchor="page124">
              <w:r>
                <w:rPr>
                  <w:rFonts w:ascii="Arial" w:cs="Arial" w:eastAsia="Arial" w:hAnsi="Arial"/>
                  <w:sz w:val="17"/>
                  <w:szCs w:val="17"/>
                  <w:b w:val="1"/>
                  <w:bCs w:val="1"/>
                  <w:color w:val="0000EE"/>
                </w:rPr>
                <w:t>PART III</w:t>
              </w:r>
            </w:hyperlink>
          </w:p>
        </w:tc>
        <w:tc>
          <w:tcPr>
            <w:tcW w:w="6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10.</w:t>
            </w:r>
          </w:p>
        </w:tc>
        <w:tc>
          <w:tcPr>
            <w:tcW w:w="3900" w:type="dxa"/>
            <w:vAlign w:val="bottom"/>
            <w:tcBorders>
              <w:bottom w:val="single" w:sz="8" w:color="0000EE"/>
            </w:tcBorders>
            <w:gridSpan w:val="14"/>
          </w:tcPr>
          <w:p>
            <w:pPr>
              <w:spacing w:after="0" w:line="185" w:lineRule="exact"/>
              <w:rPr>
                <w:rFonts w:ascii="Arial" w:cs="Arial" w:eastAsia="Arial" w:hAnsi="Arial"/>
                <w:sz w:val="17"/>
                <w:szCs w:val="17"/>
                <w:color w:val="0000EE"/>
                <w:w w:val="91"/>
              </w:rPr>
            </w:pPr>
            <w:hyperlink w:anchor="page124">
              <w:r>
                <w:rPr>
                  <w:rFonts w:ascii="Arial" w:cs="Arial" w:eastAsia="Arial" w:hAnsi="Arial"/>
                  <w:sz w:val="17"/>
                  <w:szCs w:val="17"/>
                  <w:color w:val="0000EE"/>
                  <w:w w:val="91"/>
                </w:rPr>
                <w:t>Directors, Executive Officers and Corporate Governance</w:t>
              </w:r>
            </w:hyperlink>
          </w:p>
        </w:tc>
        <w:tc>
          <w:tcPr>
            <w:tcW w:w="4740" w:type="dxa"/>
            <w:vAlign w:val="bottom"/>
            <w:gridSpan w:val="7"/>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124</w:t>
            </w: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11.</w:t>
            </w:r>
          </w:p>
        </w:tc>
        <w:tc>
          <w:tcPr>
            <w:tcW w:w="1720" w:type="dxa"/>
            <w:vAlign w:val="bottom"/>
            <w:tcBorders>
              <w:bottom w:val="single" w:sz="8" w:color="0000EE"/>
            </w:tcBorders>
            <w:gridSpan w:val="9"/>
          </w:tcPr>
          <w:p>
            <w:pPr>
              <w:spacing w:after="0" w:line="185" w:lineRule="exact"/>
              <w:rPr>
                <w:rFonts w:ascii="Arial" w:cs="Arial" w:eastAsia="Arial" w:hAnsi="Arial"/>
                <w:sz w:val="17"/>
                <w:szCs w:val="17"/>
                <w:color w:val="0000EE"/>
                <w:w w:val="90"/>
              </w:rPr>
            </w:pPr>
            <w:hyperlink w:anchor="page124">
              <w:r>
                <w:rPr>
                  <w:rFonts w:ascii="Arial" w:cs="Arial" w:eastAsia="Arial" w:hAnsi="Arial"/>
                  <w:sz w:val="17"/>
                  <w:szCs w:val="17"/>
                  <w:color w:val="0000EE"/>
                  <w:w w:val="90"/>
                </w:rPr>
                <w:t>Executive Compensation</w:t>
              </w:r>
            </w:hyperlink>
          </w:p>
        </w:tc>
        <w:tc>
          <w:tcPr>
            <w:tcW w:w="6920" w:type="dxa"/>
            <w:vAlign w:val="bottom"/>
            <w:gridSpan w:val="12"/>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124</w:t>
            </w: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12.</w:t>
            </w:r>
          </w:p>
        </w:tc>
        <w:tc>
          <w:tcPr>
            <w:tcW w:w="6940" w:type="dxa"/>
            <w:vAlign w:val="bottom"/>
            <w:tcBorders>
              <w:bottom w:val="single" w:sz="8" w:color="0000EE"/>
            </w:tcBorders>
            <w:gridSpan w:val="19"/>
          </w:tcPr>
          <w:p>
            <w:pPr>
              <w:spacing w:after="0" w:line="185" w:lineRule="exact"/>
              <w:rPr>
                <w:rFonts w:ascii="Arial" w:cs="Arial" w:eastAsia="Arial" w:hAnsi="Arial"/>
                <w:sz w:val="17"/>
                <w:szCs w:val="17"/>
                <w:color w:val="0000EE"/>
                <w:w w:val="91"/>
              </w:rPr>
            </w:pPr>
            <w:hyperlink w:anchor="page124">
              <w:r>
                <w:rPr>
                  <w:rFonts w:ascii="Arial" w:cs="Arial" w:eastAsia="Arial" w:hAnsi="Arial"/>
                  <w:sz w:val="17"/>
                  <w:szCs w:val="17"/>
                  <w:color w:val="0000EE"/>
                  <w:w w:val="91"/>
                </w:rPr>
                <w:t>Security Ownership of Certain Beneficial Owners and Management and Related Stockholder Matters</w:t>
              </w:r>
            </w:hyperlink>
          </w:p>
        </w:tc>
        <w:tc>
          <w:tcPr>
            <w:tcW w:w="1700" w:type="dxa"/>
            <w:vAlign w:val="bottom"/>
            <w:gridSpan w:val="2"/>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124</w:t>
            </w: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13.</w:t>
            </w:r>
          </w:p>
        </w:tc>
        <w:tc>
          <w:tcPr>
            <w:tcW w:w="8640" w:type="dxa"/>
            <w:vAlign w:val="bottom"/>
            <w:gridSpan w:val="21"/>
          </w:tcPr>
          <w:p>
            <w:pPr>
              <w:spacing w:after="0" w:line="185" w:lineRule="exact"/>
              <w:rPr>
                <w:rFonts w:ascii="Arial" w:cs="Arial" w:eastAsia="Arial" w:hAnsi="Arial"/>
                <w:sz w:val="17"/>
                <w:szCs w:val="17"/>
                <w:color w:val="0000EE"/>
              </w:rPr>
            </w:pPr>
            <w:hyperlink w:anchor="page124">
              <w:r>
                <w:rPr>
                  <w:rFonts w:ascii="Arial" w:cs="Arial" w:eastAsia="Arial" w:hAnsi="Arial"/>
                  <w:sz w:val="17"/>
                  <w:szCs w:val="17"/>
                  <w:color w:val="0000EE"/>
                </w:rPr>
                <w:t>Certain Relationships and Related Transactions, and Director Independence</w:t>
              </w:r>
            </w:hyperlink>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124</w:t>
            </w: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14.</w:t>
            </w:r>
          </w:p>
        </w:tc>
        <w:tc>
          <w:tcPr>
            <w:tcW w:w="5180" w:type="dxa"/>
            <w:vAlign w:val="bottom"/>
            <w:tcBorders>
              <w:top w:val="single" w:sz="8" w:color="0000EE"/>
            </w:tcBorders>
            <w:gridSpan w:val="16"/>
          </w:tcPr>
          <w:p>
            <w:pPr>
              <w:spacing w:after="0" w:line="185" w:lineRule="exact"/>
              <w:rPr>
                <w:rFonts w:ascii="Arial" w:cs="Arial" w:eastAsia="Arial" w:hAnsi="Arial"/>
                <w:sz w:val="17"/>
                <w:szCs w:val="17"/>
                <w:color w:val="0000EE"/>
              </w:rPr>
            </w:pPr>
            <w:hyperlink w:anchor="page124">
              <w:r>
                <w:rPr>
                  <w:rFonts w:ascii="Arial" w:cs="Arial" w:eastAsia="Arial" w:hAnsi="Arial"/>
                  <w:sz w:val="17"/>
                  <w:szCs w:val="17"/>
                  <w:color w:val="0000EE"/>
                </w:rPr>
                <w:t>Principal Accounting Fees and Services</w:t>
              </w:r>
            </w:hyperlink>
          </w:p>
        </w:tc>
        <w:tc>
          <w:tcPr>
            <w:tcW w:w="3460" w:type="dxa"/>
            <w:vAlign w:val="bottom"/>
            <w:gridSpan w:val="5"/>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124</w:t>
            </w:r>
          </w:p>
        </w:tc>
      </w:tr>
      <w:tr>
        <w:trPr>
          <w:trHeight w:val="391"/>
        </w:trPr>
        <w:tc>
          <w:tcPr>
            <w:tcW w:w="1380" w:type="dxa"/>
            <w:vAlign w:val="bottom"/>
            <w:gridSpan w:val="5"/>
          </w:tcPr>
          <w:p>
            <w:pPr>
              <w:spacing w:after="0"/>
              <w:rPr>
                <w:rFonts w:ascii="Arial" w:cs="Arial" w:eastAsia="Arial" w:hAnsi="Arial"/>
                <w:sz w:val="17"/>
                <w:szCs w:val="17"/>
                <w:b w:val="1"/>
                <w:bCs w:val="1"/>
                <w:color w:val="0000EE"/>
              </w:rPr>
            </w:pPr>
            <w:hyperlink w:anchor="page125">
              <w:r>
                <w:rPr>
                  <w:rFonts w:ascii="Arial" w:cs="Arial" w:eastAsia="Arial" w:hAnsi="Arial"/>
                  <w:sz w:val="17"/>
                  <w:szCs w:val="17"/>
                  <w:b w:val="1"/>
                  <w:bCs w:val="1"/>
                  <w:color w:val="0000EE"/>
                </w:rPr>
                <w:t>PART IV</w:t>
              </w:r>
            </w:hyperlink>
          </w:p>
        </w:tc>
        <w:tc>
          <w:tcPr>
            <w:tcW w:w="6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86"/>
        </w:trPr>
        <w:tc>
          <w:tcPr>
            <w:tcW w:w="680" w:type="dxa"/>
            <w:vAlign w:val="bottom"/>
            <w:tcBorders>
              <w:top w:val="single" w:sz="8" w:color="0000EE"/>
            </w:tcBorders>
            <w:gridSpan w:val="3"/>
          </w:tcPr>
          <w:p>
            <w:pPr>
              <w:spacing w:after="0" w:line="185" w:lineRule="exact"/>
              <w:rPr>
                <w:sz w:val="20"/>
                <w:szCs w:val="20"/>
                <w:color w:val="auto"/>
              </w:rPr>
            </w:pPr>
            <w:r>
              <w:rPr>
                <w:rFonts w:ascii="Arial" w:cs="Arial" w:eastAsia="Arial" w:hAnsi="Arial"/>
                <w:sz w:val="17"/>
                <w:szCs w:val="17"/>
                <w:color w:val="auto"/>
              </w:rPr>
              <w:t>Item 15.</w:t>
            </w:r>
          </w:p>
        </w:tc>
        <w:tc>
          <w:tcPr>
            <w:tcW w:w="700" w:type="dxa"/>
            <w:vAlign w:val="bottom"/>
            <w:gridSpan w:val="2"/>
          </w:tcPr>
          <w:p>
            <w:pPr>
              <w:spacing w:after="0"/>
              <w:rPr>
                <w:sz w:val="16"/>
                <w:szCs w:val="16"/>
                <w:color w:val="auto"/>
              </w:rPr>
            </w:pPr>
          </w:p>
        </w:tc>
        <w:tc>
          <w:tcPr>
            <w:tcW w:w="2760" w:type="dxa"/>
            <w:vAlign w:val="bottom"/>
            <w:tcBorders>
              <w:bottom w:val="single" w:sz="8" w:color="0000EE"/>
            </w:tcBorders>
            <w:gridSpan w:val="12"/>
          </w:tcPr>
          <w:p>
            <w:pPr>
              <w:spacing w:after="0" w:line="185" w:lineRule="exact"/>
              <w:rPr>
                <w:rFonts w:ascii="Arial" w:cs="Arial" w:eastAsia="Arial" w:hAnsi="Arial"/>
                <w:sz w:val="17"/>
                <w:szCs w:val="17"/>
                <w:color w:val="0000EE"/>
                <w:w w:val="90"/>
              </w:rPr>
            </w:pPr>
            <w:hyperlink w:anchor="page125">
              <w:r>
                <w:rPr>
                  <w:rFonts w:ascii="Arial" w:cs="Arial" w:eastAsia="Arial" w:hAnsi="Arial"/>
                  <w:sz w:val="17"/>
                  <w:szCs w:val="17"/>
                  <w:color w:val="0000EE"/>
                  <w:w w:val="90"/>
                </w:rPr>
                <w:t>Exhibits, Financial Statement Schedules</w:t>
              </w:r>
            </w:hyperlink>
          </w:p>
        </w:tc>
        <w:tc>
          <w:tcPr>
            <w:tcW w:w="5880" w:type="dxa"/>
            <w:vAlign w:val="bottom"/>
            <w:gridSpan w:val="9"/>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125</w:t>
            </w:r>
          </w:p>
        </w:tc>
      </w:tr>
      <w:tr>
        <w:trPr>
          <w:trHeight w:val="186"/>
        </w:trPr>
        <w:tc>
          <w:tcPr>
            <w:tcW w:w="1380" w:type="dxa"/>
            <w:vAlign w:val="bottom"/>
            <w:gridSpan w:val="5"/>
          </w:tcPr>
          <w:p>
            <w:pPr>
              <w:spacing w:after="0" w:line="185" w:lineRule="exact"/>
              <w:rPr>
                <w:sz w:val="20"/>
                <w:szCs w:val="20"/>
                <w:color w:val="auto"/>
              </w:rPr>
            </w:pPr>
            <w:r>
              <w:rPr>
                <w:rFonts w:ascii="Arial" w:cs="Arial" w:eastAsia="Arial" w:hAnsi="Arial"/>
                <w:sz w:val="17"/>
                <w:szCs w:val="17"/>
                <w:color w:val="auto"/>
              </w:rPr>
              <w:t>Item 16.</w:t>
            </w:r>
          </w:p>
        </w:tc>
        <w:tc>
          <w:tcPr>
            <w:tcW w:w="1480" w:type="dxa"/>
            <w:vAlign w:val="bottom"/>
            <w:tcBorders>
              <w:bottom w:val="single" w:sz="8" w:color="0000EE"/>
            </w:tcBorders>
            <w:gridSpan w:val="6"/>
          </w:tcPr>
          <w:p>
            <w:pPr>
              <w:spacing w:after="0" w:line="185" w:lineRule="exact"/>
              <w:rPr>
                <w:rFonts w:ascii="Arial" w:cs="Arial" w:eastAsia="Arial" w:hAnsi="Arial"/>
                <w:sz w:val="17"/>
                <w:szCs w:val="17"/>
                <w:color w:val="0000EE"/>
                <w:w w:val="92"/>
              </w:rPr>
            </w:pPr>
            <w:hyperlink w:anchor="page125">
              <w:r>
                <w:rPr>
                  <w:rFonts w:ascii="Arial" w:cs="Arial" w:eastAsia="Arial" w:hAnsi="Arial"/>
                  <w:sz w:val="17"/>
                  <w:szCs w:val="17"/>
                  <w:color w:val="0000EE"/>
                  <w:w w:val="92"/>
                </w:rPr>
                <w:t>Form 10-K Summary</w:t>
              </w:r>
            </w:hyperlink>
          </w:p>
        </w:tc>
        <w:tc>
          <w:tcPr>
            <w:tcW w:w="7160" w:type="dxa"/>
            <w:vAlign w:val="bottom"/>
            <w:gridSpan w:val="15"/>
          </w:tcPr>
          <w:p>
            <w:pPr>
              <w:spacing w:after="0"/>
              <w:rPr>
                <w:sz w:val="16"/>
                <w:szCs w:val="16"/>
                <w:color w:val="auto"/>
              </w:rPr>
            </w:pPr>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125</w:t>
            </w:r>
          </w:p>
        </w:tc>
      </w:tr>
      <w:tr>
        <w:trPr>
          <w:trHeight w:val="186"/>
        </w:trPr>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640" w:type="dxa"/>
            <w:vAlign w:val="bottom"/>
            <w:gridSpan w:val="21"/>
          </w:tcPr>
          <w:p>
            <w:pPr>
              <w:spacing w:after="0" w:line="185" w:lineRule="exact"/>
              <w:rPr>
                <w:rFonts w:ascii="Arial" w:cs="Arial" w:eastAsia="Arial" w:hAnsi="Arial"/>
                <w:sz w:val="17"/>
                <w:szCs w:val="17"/>
                <w:color w:val="0000EE"/>
              </w:rPr>
            </w:pPr>
            <w:hyperlink w:anchor="page154">
              <w:r>
                <w:rPr>
                  <w:rFonts w:ascii="Arial" w:cs="Arial" w:eastAsia="Arial" w:hAnsi="Arial"/>
                  <w:sz w:val="17"/>
                  <w:szCs w:val="17"/>
                  <w:color w:val="0000EE"/>
                </w:rPr>
                <w:t>Signatures</w:t>
              </w:r>
            </w:hyperlink>
          </w:p>
        </w:tc>
        <w:tc>
          <w:tcPr>
            <w:tcW w:w="1260" w:type="dxa"/>
            <w:vAlign w:val="bottom"/>
          </w:tcPr>
          <w:p>
            <w:pPr>
              <w:jc w:val="right"/>
              <w:spacing w:after="0" w:line="185" w:lineRule="exact"/>
              <w:rPr>
                <w:sz w:val="20"/>
                <w:szCs w:val="20"/>
                <w:color w:val="auto"/>
              </w:rPr>
            </w:pPr>
            <w:r>
              <w:rPr>
                <w:rFonts w:ascii="Arial" w:cs="Arial" w:eastAsia="Arial" w:hAnsi="Arial"/>
                <w:sz w:val="17"/>
                <w:szCs w:val="17"/>
                <w:color w:val="auto"/>
              </w:rPr>
              <w:t>129</w:t>
            </w:r>
          </w:p>
        </w:tc>
      </w:tr>
      <w:tr>
        <w:trPr>
          <w:trHeight w:val="839"/>
        </w:trPr>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Borders>
              <w:top w:val="single" w:sz="8" w:color="0000EE"/>
            </w:tcBorders>
            <w:gridSpan w:val="3"/>
          </w:tcPr>
          <w:p>
            <w:pPr>
              <w:spacing w:after="0"/>
              <w:rPr>
                <w:sz w:val="24"/>
                <w:szCs w:val="24"/>
                <w:color w:val="auto"/>
              </w:rPr>
            </w:pPr>
          </w:p>
        </w:tc>
        <w:tc>
          <w:tcPr>
            <w:tcW w:w="4460" w:type="dxa"/>
            <w:vAlign w:val="bottom"/>
            <w:gridSpan w:val="13"/>
          </w:tcPr>
          <w:p>
            <w:pPr>
              <w:jc w:val="center"/>
              <w:ind w:left="2514"/>
              <w:spacing w:after="0"/>
              <w:rPr>
                <w:sz w:val="20"/>
                <w:szCs w:val="20"/>
                <w:color w:val="auto"/>
              </w:rPr>
            </w:pPr>
            <w:r>
              <w:rPr>
                <w:rFonts w:ascii="Arial" w:cs="Arial" w:eastAsia="Arial" w:hAnsi="Arial"/>
                <w:sz w:val="17"/>
                <w:szCs w:val="17"/>
                <w:color w:val="auto"/>
              </w:rPr>
              <w:t>2</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15"/>
        </w:trPr>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w:t>
      </w:r>
    </w:p>
    <w:p>
      <w:pPr>
        <w:spacing w:after="0" w:line="183" w:lineRule="exact"/>
        <w:rPr>
          <w:sz w:val="20"/>
          <w:szCs w:val="20"/>
          <w:color w:val="auto"/>
        </w:rPr>
      </w:pPr>
    </w:p>
    <w:p>
      <w:pPr>
        <w:ind w:firstLine="589"/>
        <w:spacing w:after="0" w:line="292" w:lineRule="auto"/>
        <w:rPr>
          <w:sz w:val="20"/>
          <w:szCs w:val="20"/>
          <w:color w:val="auto"/>
        </w:rPr>
      </w:pPr>
      <w:r>
        <w:rPr>
          <w:rFonts w:ascii="Arial" w:cs="Arial" w:eastAsia="Arial" w:hAnsi="Arial"/>
          <w:sz w:val="15"/>
          <w:szCs w:val="15"/>
          <w:color w:val="auto"/>
        </w:rPr>
        <w:t>This annual report on Form 10-K contains forward-looking statements within the meaning of Section 21E of the Securities Exchange Act of 1934, as amended, or the Exchange Act. All statements other than statements of historical facts contained in this annual report, including statements regarding our future results of operations and financial position, business strategy, research and development plans and costs, the timing and likelihood of regulatory filings and approvals, commercialization plans, pricing and reimbursement, the potential to develop future product candidates, the timing and likelihood of success of the plans and objectives of management for future operations, and future results of anticipated product development efforts,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annual report on Form 10-K also contains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37" w:lineRule="exact"/>
        <w:rPr>
          <w:sz w:val="20"/>
          <w:szCs w:val="20"/>
          <w:color w:val="auto"/>
        </w:rPr>
      </w:pPr>
    </w:p>
    <w:p>
      <w:pPr>
        <w:ind w:right="60" w:firstLine="589"/>
        <w:spacing w:after="0" w:line="272" w:lineRule="auto"/>
        <w:rPr>
          <w:sz w:val="20"/>
          <w:szCs w:val="20"/>
          <w:color w:val="auto"/>
        </w:rPr>
      </w:pPr>
      <w:r>
        <w:rPr>
          <w:rFonts w:ascii="Arial" w:cs="Arial" w:eastAsia="Arial" w:hAnsi="Arial"/>
          <w:sz w:val="16"/>
          <w:szCs w:val="16"/>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annual report are only predictions. We have based these forward-looking statements largely on our current expectations and projections about future events and financial trends that we believe may affect our financial condition, operating results, business strategy, and short term and long term business operations and objectives. These forward-looking statements speak only as of the date of this annual report and are subject to a number of risks, uncertainties and assumptions, including those described in Part I, Item 1A, “Risk Factors.”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38" w:lineRule="exact"/>
        <w:rPr>
          <w:sz w:val="20"/>
          <w:szCs w:val="20"/>
          <w:color w:val="auto"/>
        </w:rPr>
      </w:pPr>
    </w:p>
    <w:p>
      <w:pPr>
        <w:ind w:right="60" w:firstLine="589"/>
        <w:spacing w:after="0" w:line="316" w:lineRule="auto"/>
        <w:rPr>
          <w:sz w:val="20"/>
          <w:szCs w:val="20"/>
          <w:color w:val="auto"/>
        </w:rPr>
      </w:pPr>
      <w:r>
        <w:rPr>
          <w:rFonts w:ascii="Arial" w:cs="Arial" w:eastAsia="Arial" w:hAnsi="Arial"/>
          <w:sz w:val="15"/>
          <w:szCs w:val="15"/>
          <w:color w:val="auto"/>
        </w:rPr>
        <w:t>This annual report includes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02" w:lineRule="exact"/>
        <w:rPr>
          <w:sz w:val="20"/>
          <w:szCs w:val="20"/>
          <w:color w:val="auto"/>
        </w:rPr>
      </w:pPr>
    </w:p>
    <w:p>
      <w:pPr>
        <w:jc w:val="both"/>
        <w:ind w:right="220" w:firstLine="589"/>
        <w:spacing w:after="0" w:line="316" w:lineRule="auto"/>
        <w:rPr>
          <w:sz w:val="20"/>
          <w:szCs w:val="20"/>
          <w:color w:val="auto"/>
        </w:rPr>
      </w:pPr>
      <w:r>
        <w:rPr>
          <w:rFonts w:ascii="Arial" w:cs="Arial" w:eastAsia="Arial" w:hAnsi="Arial"/>
          <w:sz w:val="15"/>
          <w:szCs w:val="15"/>
          <w:color w:val="auto"/>
        </w:rPr>
        <w:t>We maintain a website at www.phathompharma.com, to which we regularly post copies of our press releases as well as additional information about us. Our filings with the Securities and Exchange Commission, or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tabs>
          <w:tab w:leader="none" w:pos="11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96" w:lineRule="exact"/>
        <w:rPr>
          <w:sz w:val="20"/>
          <w:szCs w:val="20"/>
          <w:color w:val="auto"/>
        </w:rPr>
      </w:pPr>
    </w:p>
    <w:p>
      <w:pPr>
        <w:ind w:right="40" w:firstLine="589"/>
        <w:spacing w:after="0" w:line="275" w:lineRule="auto"/>
        <w:rPr>
          <w:sz w:val="20"/>
          <w:szCs w:val="20"/>
          <w:color w:val="auto"/>
        </w:rPr>
      </w:pPr>
      <w:r>
        <w:rPr>
          <w:rFonts w:ascii="Arial" w:cs="Arial" w:eastAsia="Arial" w:hAnsi="Arial"/>
          <w:sz w:val="16"/>
          <w:szCs w:val="16"/>
          <w:color w:val="auto"/>
        </w:rPr>
        <w:t xml:space="preserve">We are a late clinical-stage biopharmaceutical company focused on developing and commercializing novel treatments for gastrointestinal, or GI, diseases. Our initial product candidate, vonoprazan, is an oral small molecule potassium-competitive acid blocker, or P-CAB. P-CABs are a novel class of medicines that block acid secretion in the stomach. Vonoprazan has shown rapid, potent, and durable anti-secretory effects and has demonstrated clinical benefits over the current standard of care as a single agent in the treatment of gastroesophageal reflux disease, or GERD, and in combination with antibiotics for the treatment of </w:t>
      </w:r>
      <w:r>
        <w:rPr>
          <w:rFonts w:ascii="Arial" w:cs="Arial" w:eastAsia="Arial" w:hAnsi="Arial"/>
          <w:sz w:val="16"/>
          <w:szCs w:val="16"/>
          <w:i w:val="1"/>
          <w:iCs w:val="1"/>
          <w:color w:val="auto"/>
        </w:rPr>
        <w:t>Helicobacter pylori</w:t>
      </w:r>
      <w:r>
        <w:rPr>
          <w:rFonts w:ascii="Arial" w:cs="Arial" w:eastAsia="Arial" w:hAnsi="Arial"/>
          <w:sz w:val="16"/>
          <w:szCs w:val="16"/>
          <w:color w:val="auto"/>
        </w:rPr>
        <w:t>, or</w:t>
      </w:r>
      <w:r>
        <w:rPr>
          <w:rFonts w:ascii="Arial" w:cs="Arial" w:eastAsia="Arial" w:hAnsi="Arial"/>
          <w:sz w:val="16"/>
          <w:szCs w:val="16"/>
          <w:i w:val="1"/>
          <w:iCs w:val="1"/>
          <w:color w:val="auto"/>
        </w:rPr>
        <w:t xml:space="preserve"> H. pylori</w:t>
      </w:r>
      <w:r>
        <w:rPr>
          <w:rFonts w:ascii="Arial" w:cs="Arial" w:eastAsia="Arial" w:hAnsi="Arial"/>
          <w:sz w:val="16"/>
          <w:szCs w:val="16"/>
          <w:color w:val="auto"/>
        </w:rPr>
        <w:t>, infection. Takeda Pharmaceutical Company Limited, or Takeda, developed vonoprazan and has received marketing approval in</w:t>
      </w:r>
      <w:r>
        <w:rPr>
          <w:rFonts w:ascii="Arial" w:cs="Arial" w:eastAsia="Arial" w:hAnsi="Arial"/>
          <w:sz w:val="16"/>
          <w:szCs w:val="16"/>
          <w:i w:val="1"/>
          <w:iCs w:val="1"/>
          <w:color w:val="auto"/>
        </w:rPr>
        <w:t xml:space="preserve"> </w:t>
      </w:r>
      <w:r>
        <w:rPr>
          <w:rFonts w:ascii="Arial" w:cs="Arial" w:eastAsia="Arial" w:hAnsi="Arial"/>
          <w:sz w:val="16"/>
          <w:szCs w:val="16"/>
          <w:color w:val="auto"/>
        </w:rPr>
        <w:t>fourteen countries in Asia and Latin America. Vonoprazan generated approximately $650 million in net sales in its fifth full year on the market since its approval in Japan in late 2014. In May 2019, we in-licensed the U.S., European, and Canadian rights to vonoprazan from Takeda.</w:t>
      </w:r>
    </w:p>
    <w:p>
      <w:pPr>
        <w:spacing w:after="0" w:line="130" w:lineRule="exact"/>
        <w:rPr>
          <w:sz w:val="20"/>
          <w:szCs w:val="20"/>
          <w:color w:val="auto"/>
        </w:rPr>
      </w:pPr>
    </w:p>
    <w:p>
      <w:pPr>
        <w:ind w:firstLine="589"/>
        <w:spacing w:after="0" w:line="290" w:lineRule="auto"/>
        <w:rPr>
          <w:sz w:val="20"/>
          <w:szCs w:val="20"/>
          <w:color w:val="auto"/>
        </w:rPr>
      </w:pPr>
      <w:r>
        <w:rPr>
          <w:rFonts w:ascii="Arial" w:cs="Arial" w:eastAsia="Arial" w:hAnsi="Arial"/>
          <w:sz w:val="15"/>
          <w:szCs w:val="15"/>
          <w:color w:val="auto"/>
        </w:rPr>
        <w:t xml:space="preserve">We believe we can leverage Takeda’s extensive clinical data, including results from 19 Phase 3 clinical trials, to advance vonoprazan through pivotal trials in the United States and Europe. We initiated two pivotal Phase 3 clinical trials in the fourth quarter of 2019 for vonoprazan: one for the treatment of erosive GERD (PHALCON-EE), also known as erosive esophagitis, or EE, and a second for the treatment of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infection (PHALCON-HP). In March 2020, due to global efforts to combat the coronavirus, COVID-19 pandemic, we announced a temporary pause in randomization of new patients in our Phase 3 trials. In June 2020, we announced that we had recommenced randomization of new patients in both of our Phase 3 trials. Despite the pause, we completed patient enrollment in PHALCON-EE in November 2020 and in PHALCON-HP in January 2021, and we expect to report top-line data from PHALCON-EE in the second half 2021 and from PHALCON-HP in the second quarter of 2021. We believe that the successful completion of our Phase 3 clinical trials, together with the existing clinical data, will support regulatory submissions in 2021 and 2022 for marketing approval for the treatment of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infection and erosive esophagitis, respectively. In August 2019, we received qualified infectious disease product, or QIDP, and Fast Track designations from the U.S. Food and Drug Administration, or FDA, for vonoprazan tablets in combination with amoxicillin tablets and clarithromycin tablets and with amoxicillin tablets alone, for the treatment of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infection. In November 2020, we requested additional QIDP and Fast Track designations to include amoxicillin capsules in addition to amoxicillin tablets. The FDA granted these additional Fast Track designations and advised us that the request for additional QIDP designations for these products remains under review. QIDP designation provides potential eligibility for priority review and extension of any regulatory exclusivity awarded, if approved. Vonoprazan has the potential to be the first gastric anti-secretory agent from a novel class approved in the United States, Europe, or Canada in over 30 years.</w:t>
      </w:r>
    </w:p>
    <w:p>
      <w:pPr>
        <w:spacing w:after="0" w:line="127" w:lineRule="exact"/>
        <w:rPr>
          <w:sz w:val="20"/>
          <w:szCs w:val="20"/>
          <w:color w:val="auto"/>
        </w:rPr>
      </w:pPr>
    </w:p>
    <w:p>
      <w:pPr>
        <w:ind w:right="120" w:firstLine="589"/>
        <w:spacing w:after="0" w:line="276" w:lineRule="auto"/>
        <w:rPr>
          <w:sz w:val="20"/>
          <w:szCs w:val="20"/>
          <w:color w:val="auto"/>
        </w:rPr>
      </w:pPr>
      <w:r>
        <w:rPr>
          <w:rFonts w:ascii="Arial" w:cs="Arial" w:eastAsia="Arial" w:hAnsi="Arial"/>
          <w:sz w:val="16"/>
          <w:szCs w:val="16"/>
          <w:color w:val="auto"/>
        </w:rPr>
        <w:t xml:space="preserve">GERD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are two of the most common acid-related GI diseases and impact millions of people. The prevalence of GERD is estimated to be 20% of the U.S. population and 15% of the population in the five major countries in Europe (France, Germany, Italy, Spain and the United Kingdom, or the EU5). GERD is a disease that develops when the reflux of acidic stomach contents causes troublesome symptoms and/or complications. Approximately 30% of GERD patients have erosive esophagitis.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is a bacterial pathogen that infects approximately 35% of the U.S. population and 45% of the EU5 population. As a result of the chronic inflammation induced by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approximately 20% of infected patients will develop a range of pathologies, including dyspepsia, peptic ulcer disease, gastric cancer, and mucosa-associated lymphoid tissue (MALT) lymphoma.</w:t>
      </w:r>
    </w:p>
    <w:p>
      <w:pPr>
        <w:spacing w:after="0" w:line="144" w:lineRule="exact"/>
        <w:rPr>
          <w:sz w:val="20"/>
          <w:szCs w:val="20"/>
          <w:color w:val="auto"/>
        </w:rPr>
      </w:pPr>
    </w:p>
    <w:p>
      <w:pPr>
        <w:ind w:right="160" w:firstLine="589"/>
        <w:spacing w:after="0" w:line="278" w:lineRule="auto"/>
        <w:rPr>
          <w:sz w:val="20"/>
          <w:szCs w:val="20"/>
          <w:color w:val="auto"/>
        </w:rPr>
      </w:pPr>
      <w:r>
        <w:rPr>
          <w:rFonts w:ascii="Arial" w:cs="Arial" w:eastAsia="Arial" w:hAnsi="Arial"/>
          <w:sz w:val="16"/>
          <w:szCs w:val="16"/>
          <w:color w:val="auto"/>
        </w:rPr>
        <w:t xml:space="preserve">Over the last thirty years, the proton pump inhibitor, or PPI, class, has been the standard of care for the treatment of acid-related GI diseases. PPIs are generally used as a single agent for the treatment of GERD and in combination with antibiotics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The PPI class includes drugs such as Prilosec (omeprazole), Nexium (esomeprazole), and Prevacid (lansoprazole). Prior to the introduction of generic and over-the-counter, or OTC, alternatives, annual PPI class sales reached approximately $12.5 billion in the United States, and peak sales for individual brands were approximately $3.7 billion for Prilosec, $3.5 billion for Nexium, and $3.4 billion for Prevacid in the United States.</w:t>
      </w:r>
    </w:p>
    <w:p>
      <w:pPr>
        <w:spacing w:after="0" w:line="129" w:lineRule="exact"/>
        <w:rPr>
          <w:sz w:val="20"/>
          <w:szCs w:val="20"/>
          <w:color w:val="auto"/>
        </w:rPr>
      </w:pPr>
    </w:p>
    <w:p>
      <w:pPr>
        <w:ind w:right="320" w:firstLine="589"/>
        <w:spacing w:after="0" w:line="265" w:lineRule="auto"/>
        <w:rPr>
          <w:sz w:val="20"/>
          <w:szCs w:val="20"/>
          <w:color w:val="auto"/>
        </w:rPr>
      </w:pPr>
      <w:r>
        <w:rPr>
          <w:rFonts w:ascii="Arial" w:cs="Arial" w:eastAsia="Arial" w:hAnsi="Arial"/>
          <w:sz w:val="17"/>
          <w:szCs w:val="17"/>
          <w:color w:val="auto"/>
        </w:rPr>
        <w:t>While PPIs are the current standard of care and have experienced significant commercial success, they have significant limitations that result in a large unmet medical need. In GERD, PPI therapy is suboptimal for many patients due to the slow onset and insufficient duration of acid control which can lead to inadequate symptom relief.</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140"/>
        <w:spacing w:after="0" w:line="289" w:lineRule="auto"/>
        <w:rPr>
          <w:sz w:val="20"/>
          <w:szCs w:val="20"/>
          <w:color w:val="auto"/>
        </w:rPr>
      </w:pPr>
      <w:r>
        <w:rPr>
          <w:rFonts w:ascii="Arial" w:cs="Arial" w:eastAsia="Arial" w:hAnsi="Arial"/>
          <w:sz w:val="16"/>
          <w:szCs w:val="16"/>
          <w:color w:val="auto"/>
        </w:rPr>
        <w:t xml:space="preserve">Approximately 15% to 45% of GERD patients remain inadequately treated with PPIs. In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the standard of care consists of a combination of a PPI and at least two oral antibiotics. However, increasing antibiotic resistance has resulted in declining eradication rates with PPI-based therapy. We believe these unmet medical needs are in part driven by limitations associated with the mechanism of action and pharmacokinetics of PPIs.</w:t>
      </w:r>
    </w:p>
    <w:p>
      <w:pPr>
        <w:spacing w:after="0" w:line="132" w:lineRule="exact"/>
        <w:rPr>
          <w:sz w:val="20"/>
          <w:szCs w:val="20"/>
          <w:color w:val="auto"/>
        </w:rPr>
      </w:pPr>
    </w:p>
    <w:p>
      <w:pPr>
        <w:ind w:right="140" w:firstLine="589"/>
        <w:spacing w:after="0" w:line="258" w:lineRule="auto"/>
        <w:rPr>
          <w:sz w:val="20"/>
          <w:szCs w:val="20"/>
          <w:color w:val="auto"/>
        </w:rPr>
      </w:pPr>
      <w:r>
        <w:rPr>
          <w:rFonts w:ascii="Arial" w:cs="Arial" w:eastAsia="Arial" w:hAnsi="Arial"/>
          <w:sz w:val="17"/>
          <w:szCs w:val="17"/>
          <w:color w:val="auto"/>
        </w:rPr>
        <w:t>PPIs reduce gastric acid secretion by irreversibly binding to and inhibiting active proton pumps expressed on the parietal cells. PPIs require activation by gastric acid, but they are unstable in the presence of acid. This instability, combined with the short circulating half-life of PPIs, limits their efficacy. Additionally, because proton pumps continuously switch between active and inactive states, multiple doses of PPIs are required to inhibit enough proton pumps to achieve a clinical benefit. As a result, PPIs have a relatively slow onset of action and limited potency and duration of effect, which may result in patients experiencing only partial relief, increasing PPI dosage, and/or cycling through multiple PPIs seeking relief.</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Vonoprazan has a differentiated mechanism of action from PPIs. Unlike PPIs, vonoprazan:</w:t>
      </w:r>
    </w:p>
    <w:p>
      <w:pPr>
        <w:spacing w:after="0" w:line="177" w:lineRule="exact"/>
        <w:rPr>
          <w:sz w:val="20"/>
          <w:szCs w:val="20"/>
          <w:color w:val="auto"/>
        </w:rPr>
      </w:pPr>
    </w:p>
    <w:p>
      <w:pPr>
        <w:ind w:left="1000" w:hanging="419"/>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does not require activation by gastric acid;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is stable in the presence of acid;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binds with a slow dissociation rate to both active and inactive proton pumps;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has a long plasma half-life that replenishes the drug at the site of action over the course of the day.</w:t>
      </w:r>
    </w:p>
    <w:p>
      <w:pPr>
        <w:spacing w:after="0" w:line="177" w:lineRule="exact"/>
        <w:rPr>
          <w:sz w:val="20"/>
          <w:szCs w:val="20"/>
          <w:color w:val="auto"/>
        </w:rPr>
      </w:pPr>
    </w:p>
    <w:p>
      <w:pPr>
        <w:ind w:firstLine="589"/>
        <w:spacing w:after="0" w:line="261" w:lineRule="auto"/>
        <w:rPr>
          <w:sz w:val="20"/>
          <w:szCs w:val="20"/>
          <w:color w:val="auto"/>
        </w:rPr>
      </w:pPr>
      <w:r>
        <w:rPr>
          <w:rFonts w:ascii="Arial" w:cs="Arial" w:eastAsia="Arial" w:hAnsi="Arial"/>
          <w:sz w:val="17"/>
          <w:szCs w:val="17"/>
          <w:color w:val="auto"/>
        </w:rPr>
        <w:t>These factors have enabled vonoprazan to demonstrate more rapid and potent acid suppression versus the PPI esomeprazole in human subjects two hours after oral dosing and maintain target acid inhibition over a 24-hour period in a randomized, open-label, crossover clinical trial. In contrast, PPIs require three to five days to reach steady state acid suppression and do not reliably maintain target acid inhibition over a 24-hour period. In addition, vonoprazan demonstrated approximately 10-to-100-fold better acid control compared to esomeprazole.</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believe that vonoprazan’s anti-secretory profile may demonstrate clinically meaningful advantages over PPIs, such as:</w:t>
      </w:r>
    </w:p>
    <w:p>
      <w:pPr>
        <w:spacing w:after="0" w:line="177" w:lineRule="exact"/>
        <w:rPr>
          <w:sz w:val="20"/>
          <w:szCs w:val="20"/>
          <w:color w:val="auto"/>
        </w:rPr>
      </w:pPr>
    </w:p>
    <w:p>
      <w:pPr>
        <w:ind w:left="1000" w:hanging="419"/>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faster, more complete, and more durable healing of erosive esophagitis;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faster, more complete, and more durable control of GERD symptoms;</w:t>
      </w:r>
    </w:p>
    <w:p>
      <w:pPr>
        <w:spacing w:after="0" w:line="177" w:lineRule="exact"/>
        <w:rPr>
          <w:rFonts w:ascii="Arial" w:cs="Arial" w:eastAsia="Arial" w:hAnsi="Arial"/>
          <w:sz w:val="17"/>
          <w:szCs w:val="17"/>
          <w:color w:val="auto"/>
        </w:rPr>
      </w:pPr>
    </w:p>
    <w:p>
      <w:pPr>
        <w:ind w:left="1000" w:right="100" w:hanging="419"/>
        <w:spacing w:after="0" w:line="27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higher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eradication rates in combination with antibiotics compared to standard of care triple therapy and the potential for antibiotic-sparing dual therapy; and</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4"/>
        </w:numPr>
        <w:rPr>
          <w:rFonts w:ascii="Arial" w:cs="Arial" w:eastAsia="Arial" w:hAnsi="Arial"/>
          <w:sz w:val="15"/>
          <w:szCs w:val="15"/>
          <w:color w:val="auto"/>
        </w:rPr>
      </w:pPr>
      <w:r>
        <w:rPr>
          <w:rFonts w:ascii="Arial" w:cs="Arial" w:eastAsia="Arial" w:hAnsi="Arial"/>
          <w:sz w:val="15"/>
          <w:szCs w:val="15"/>
          <w:color w:val="auto"/>
        </w:rPr>
        <w:t>more flexible dosing, including dosing independent of food and time of day, and the potential for rapid symptom relief through on-demand dosing.</w:t>
      </w:r>
    </w:p>
    <w:p>
      <w:pPr>
        <w:spacing w:after="0" w:line="200" w:lineRule="exact"/>
        <w:rPr>
          <w:sz w:val="20"/>
          <w:szCs w:val="20"/>
          <w:color w:val="auto"/>
        </w:rPr>
      </w:pPr>
    </w:p>
    <w:p>
      <w:pPr>
        <w:ind w:right="240" w:firstLine="589"/>
        <w:spacing w:after="0" w:line="278" w:lineRule="auto"/>
        <w:rPr>
          <w:sz w:val="20"/>
          <w:szCs w:val="20"/>
          <w:color w:val="auto"/>
        </w:rPr>
      </w:pPr>
      <w:r>
        <w:rPr>
          <w:rFonts w:ascii="Arial" w:cs="Arial" w:eastAsia="Arial" w:hAnsi="Arial"/>
          <w:sz w:val="17"/>
          <w:szCs w:val="17"/>
          <w:color w:val="auto"/>
        </w:rPr>
        <w:t xml:space="preserve">Vonoprazan has demonstrated clinical advantages over the PPI lansoprazole in the treatment of erosive esophagitis and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in completed Phase 3 clinical trials conducted in Japan and other Asian countries.</w:t>
      </w:r>
    </w:p>
    <w:p>
      <w:pPr>
        <w:spacing w:after="0" w:line="125" w:lineRule="exact"/>
        <w:rPr>
          <w:sz w:val="20"/>
          <w:szCs w:val="20"/>
          <w:color w:val="auto"/>
        </w:rPr>
      </w:pPr>
    </w:p>
    <w:p>
      <w:pPr>
        <w:ind w:right="20" w:firstLine="589"/>
        <w:spacing w:after="0" w:line="298" w:lineRule="auto"/>
        <w:rPr>
          <w:sz w:val="20"/>
          <w:szCs w:val="20"/>
          <w:color w:val="auto"/>
        </w:rPr>
      </w:pPr>
      <w:r>
        <w:rPr>
          <w:rFonts w:ascii="Arial" w:cs="Arial" w:eastAsia="Arial" w:hAnsi="Arial"/>
          <w:sz w:val="15"/>
          <w:szCs w:val="15"/>
          <w:b w:val="1"/>
          <w:bCs w:val="1"/>
          <w:i w:val="1"/>
          <w:iCs w:val="1"/>
          <w:color w:val="auto"/>
        </w:rPr>
        <w:t>Erosive esophagitis</w:t>
      </w:r>
      <w:r>
        <w:rPr>
          <w:rFonts w:ascii="Arial" w:cs="Arial" w:eastAsia="Arial" w:hAnsi="Arial"/>
          <w:sz w:val="15"/>
          <w:szCs w:val="15"/>
          <w:color w:val="auto"/>
        </w:rPr>
        <w:t>. In two Phase 3 clinical trials conducted in Japan assessing vonoprazan versus lansoprazole in the healing and maintenance of healing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 erosive esophagitis, vonoprazan met its primary endpoint in demonstrating non-inferiority to lansoprazole. In a post hoc analysis of the healing trial, vonoprazan demonstrated faster healing and a superior overall healing rate compared to lansoprazole in patients with more severe erosive esophagitis. After two weeks of treatment, 88% of erosive esophagitis patients with more severe disease were healed after treatment with vonoprazan versus 64% with lansoprazole (p=0.0008). In the maintenance of healing trial, vonoprazan demonstrated lower recurrence rates of erosive esophagitis six months after treatment versus lansoprazole across all grades of severity of erosive esophagitis. Vonoprazan achieved a 2% recurrence rate compared to 17% for lansoprazole (p&lt;0.0001).</w:t>
      </w:r>
    </w:p>
    <w:p>
      <w:pPr>
        <w:spacing w:after="0" w:line="128" w:lineRule="exact"/>
        <w:rPr>
          <w:sz w:val="20"/>
          <w:szCs w:val="20"/>
          <w:color w:val="auto"/>
        </w:rPr>
      </w:pPr>
    </w:p>
    <w:p>
      <w:pPr>
        <w:ind w:right="60" w:firstLine="589"/>
        <w:spacing w:after="0" w:line="261" w:lineRule="auto"/>
        <w:rPr>
          <w:sz w:val="20"/>
          <w:szCs w:val="20"/>
          <w:color w:val="auto"/>
        </w:rPr>
      </w:pPr>
      <w:r>
        <w:rPr>
          <w:rFonts w:ascii="Arial" w:cs="Arial" w:eastAsia="Arial" w:hAnsi="Arial"/>
          <w:sz w:val="17"/>
          <w:szCs w:val="17"/>
          <w:b w:val="1"/>
          <w:bCs w:val="1"/>
          <w:i w:val="1"/>
          <w:iCs w:val="1"/>
          <w:color w:val="auto"/>
        </w:rPr>
        <w:t>H. pylori</w:t>
      </w:r>
      <w:r>
        <w:rPr>
          <w:rFonts w:ascii="Arial" w:cs="Arial" w:eastAsia="Arial" w:hAnsi="Arial"/>
          <w:sz w:val="17"/>
          <w:szCs w:val="17"/>
          <w:color w:val="auto"/>
        </w:rPr>
        <w:t>. A Phase 3 clinical trial was conducted in Japan assessing vonoprazan in combination with the antibiotics amoxicillin and clarithromycin versus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lansoprazole in combination with these same antibiotics in first line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In this trial, the vonoprazan-based regimen met its primary endpoint in demonstrating a non-inferior eradication rate of 93% compared to 76% for lansoprazole-based regimen (p&lt;0.0001) and was also superior in a post hoc analysis of this trial (p&lt;0.0001). In patients who failed first line therapy,</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t>vonoprazan in combination with the antibiotics metronidazole and amoxicillin demonstrated a 98% eradication rate as second line therapy.</w:t>
      </w:r>
    </w:p>
    <w:p>
      <w:pPr>
        <w:spacing w:after="0" w:line="190" w:lineRule="exact"/>
        <w:rPr>
          <w:sz w:val="20"/>
          <w:szCs w:val="20"/>
          <w:color w:val="auto"/>
        </w:rPr>
      </w:pPr>
    </w:p>
    <w:p>
      <w:pPr>
        <w:ind w:firstLine="589"/>
        <w:spacing w:after="0" w:line="265" w:lineRule="auto"/>
        <w:rPr>
          <w:sz w:val="20"/>
          <w:szCs w:val="20"/>
          <w:color w:val="auto"/>
        </w:rPr>
      </w:pPr>
      <w:r>
        <w:rPr>
          <w:rFonts w:ascii="Arial" w:cs="Arial" w:eastAsia="Arial" w:hAnsi="Arial"/>
          <w:sz w:val="17"/>
          <w:szCs w:val="17"/>
          <w:color w:val="auto"/>
        </w:rPr>
        <w:t>A p-value is the probability that the reported result was achieved purely by chance, such that a p-value of less than or equal to 0.05 or 0.01 means that there is a 5.0% or 1.0% or less probability, respectively, that the difference between the control group and the treatment group is purely due to chance. A p-value of 0.05 or less typically represents a statistically significant result.</w:t>
      </w:r>
    </w:p>
    <w:p>
      <w:pPr>
        <w:spacing w:after="0" w:line="13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have used this clinical experience to inform our Phase 3 clinical development program in these indications.</w:t>
      </w:r>
    </w:p>
    <w:p>
      <w:pPr>
        <w:spacing w:after="0" w:line="177" w:lineRule="exact"/>
        <w:rPr>
          <w:sz w:val="20"/>
          <w:szCs w:val="20"/>
          <w:color w:val="auto"/>
        </w:rPr>
      </w:pPr>
    </w:p>
    <w:p>
      <w:pPr>
        <w:ind w:right="20" w:firstLine="589"/>
        <w:spacing w:after="0" w:line="275" w:lineRule="auto"/>
        <w:rPr>
          <w:sz w:val="20"/>
          <w:szCs w:val="20"/>
          <w:color w:val="auto"/>
        </w:rPr>
      </w:pPr>
      <w:r>
        <w:rPr>
          <w:rFonts w:ascii="Arial" w:cs="Arial" w:eastAsia="Arial" w:hAnsi="Arial"/>
          <w:sz w:val="16"/>
          <w:szCs w:val="16"/>
          <w:color w:val="auto"/>
        </w:rPr>
        <w:t>Our founders and management team have deep expertise in developing GI therapeutics, including anti-secretory agents, and direct experience developing vonoprazan at Takeda. Our Chairman, Tadataka (Tachi) Yamada, M.D., is the former Chief Medical Officer and Chief Scientific Officer at Takeda. He is the former President of the American Gastroenterological Association and former Chief of Gastroenterology and Internal Medicine at the University of Michigan. Our Chief Executive Officer, Terrie Curran, has more than 20 years of experience in the biopharmaceutical industry. Ms. Curran served as President, Global Inflammation and Immunology (I&amp;I) Franchise and as a member of the Executive Committee at Celgene Corporation from 2017 to 2019. Ms. Curran joined Celgene in 2013 as the U.S. Commercial Head of the I&amp;I Franchise, built the capabilities and recruited the teams that executed the successful launch of OTEZLA, which was sold to Amgen in November 2019 for $13.4 billion.</w:t>
      </w:r>
    </w:p>
    <w:p>
      <w:pPr>
        <w:spacing w:after="0" w:line="143" w:lineRule="exact"/>
        <w:rPr>
          <w:sz w:val="20"/>
          <w:szCs w:val="20"/>
          <w:color w:val="auto"/>
        </w:rPr>
      </w:pPr>
    </w:p>
    <w:p>
      <w:pPr>
        <w:ind w:right="20" w:firstLine="589"/>
        <w:spacing w:after="0" w:line="265" w:lineRule="auto"/>
        <w:rPr>
          <w:sz w:val="20"/>
          <w:szCs w:val="20"/>
          <w:color w:val="auto"/>
        </w:rPr>
      </w:pPr>
      <w:r>
        <w:rPr>
          <w:rFonts w:ascii="Arial" w:cs="Arial" w:eastAsia="Arial" w:hAnsi="Arial"/>
          <w:sz w:val="17"/>
          <w:szCs w:val="17"/>
          <w:color w:val="auto"/>
        </w:rPr>
        <w:t>Azmi Nabulsi, M.D., M.P.H., our Chief Operating Officer, is the former Deputy Chief Medical and Scientific Officer at Takeda. Our Head of Regulatory, Tom Harris, is the former Senior Vice President and Head of Global Regulatory at Takeda. Dr. Yamada, Dr. Nabulsi, and Mr. Harris were extensively involved with the development of vonoprazan at Takeda.</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Pipeline</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chart summarizes our current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259080</wp:posOffset>
            </wp:positionV>
            <wp:extent cx="4984750" cy="23660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8475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Our Strategy</w:t>
      </w:r>
    </w:p>
    <w:p>
      <w:pPr>
        <w:spacing w:after="0" w:line="183" w:lineRule="exact"/>
        <w:rPr>
          <w:sz w:val="20"/>
          <w:szCs w:val="20"/>
          <w:color w:val="auto"/>
        </w:rPr>
      </w:pPr>
    </w:p>
    <w:p>
      <w:pPr>
        <w:jc w:val="both"/>
        <w:ind w:right="60" w:firstLine="589"/>
        <w:spacing w:after="0" w:line="265" w:lineRule="auto"/>
        <w:rPr>
          <w:sz w:val="20"/>
          <w:szCs w:val="20"/>
          <w:color w:val="auto"/>
        </w:rPr>
      </w:pPr>
      <w:r>
        <w:rPr>
          <w:rFonts w:ascii="Arial" w:cs="Arial" w:eastAsia="Arial" w:hAnsi="Arial"/>
          <w:sz w:val="17"/>
          <w:szCs w:val="17"/>
          <w:color w:val="auto"/>
        </w:rPr>
        <w:t>Our mission is to improve the lives of people suffering from gastrointestinal diseases. Our strategy is initially focused on developing and commercializing vonoprazan as a potential first-in-class P-CAB in the United States, Europe, and Canada for the treatment of acid-related GI diseases. Key elements of this strategy include:</w:t>
      </w:r>
    </w:p>
    <w:p>
      <w:pPr>
        <w:spacing w:after="0" w:line="149" w:lineRule="exact"/>
        <w:rPr>
          <w:sz w:val="20"/>
          <w:szCs w:val="20"/>
          <w:color w:val="auto"/>
        </w:rPr>
      </w:pPr>
    </w:p>
    <w:p>
      <w:pPr>
        <w:ind w:left="1000" w:hanging="419"/>
        <w:spacing w:after="0" w:line="273"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Advance the clinical development of vonoprazan in erosive esophagitis and H. pylori infection and seek marketing approval</w:t>
      </w:r>
      <w:r>
        <w:rPr>
          <w:rFonts w:ascii="Arial" w:cs="Arial" w:eastAsia="Arial" w:hAnsi="Arial"/>
          <w:sz w:val="16"/>
          <w:szCs w:val="16"/>
          <w:color w:val="auto"/>
        </w:rPr>
        <w:t>. We believe we 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leverage the existing clinical data and post-marketing experience, as well as our management team’s experience with vonoprazan, to advance vonoprazan through our pivotal Phase 3 clinical trials. We initiated single pivotal Phase 3 clinical trials of vonoprazan in each of erosive esophagitis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in the fourth quarter of 2019. In November 2020, we completed enrollment in our erosive esophagitis trial, and expect to report top-line data from that trial in the second half of 2021. In January 2021, we completed enrollment in our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treatment trial, and expect to report top-line data from that trial in the second quarter of 2021. If the trials are successful, we anticipate submitting regulatory applications for marketing approval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in the second half of 2021 and for erosive esophagitis in the first half of 2022. If approved by the FDA as a new chemical entity, vonoprazan would receive a five-year period of marketing exclusivity within the United States and QIDP designation could extend the U.S. marketing exclusivity for an additional five years.</w:t>
      </w:r>
    </w:p>
    <w:p>
      <w:pPr>
        <w:spacing w:after="0" w:line="133" w:lineRule="exact"/>
        <w:rPr>
          <w:rFonts w:ascii="Arial" w:cs="Arial" w:eastAsia="Arial" w:hAnsi="Arial"/>
          <w:sz w:val="16"/>
          <w:szCs w:val="16"/>
          <w:color w:val="auto"/>
        </w:rPr>
      </w:pPr>
    </w:p>
    <w:p>
      <w:pPr>
        <w:ind w:left="1000" w:hanging="419"/>
        <w:spacing w:after="0" w:line="256"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Commercialize vonoprazan in the United States</w:t>
      </w:r>
      <w:r>
        <w:rPr>
          <w:rFonts w:ascii="Arial" w:cs="Arial" w:eastAsia="Arial" w:hAnsi="Arial"/>
          <w:sz w:val="17"/>
          <w:szCs w:val="17"/>
          <w:color w:val="auto"/>
        </w:rPr>
        <w:t>. We plan to independently commercialize vonoprazan, if approved, in the United States by building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 leading specialty gastroenterology commercial infrastructure to support the adoption of vonoprazan. We believe we can successfully launch vonoprazan in the United States with a focused specialty sales force targeting prescribers of treatments for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and GERD, particularly gastroenterologists. Prescriptions for treatments for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and GERD are both highly concentrated, with approximately 20% of physicians writing approximately 70% of the prescriptions for each of these conditions. We believe we have an opportunity to achieve significant share of voice and exposure to physicians given the scarcity of actively marketed anti-secretory medicines. Given the limitations of PPIs and current unmet need, we believe the commercial opportunity for vonoprazan is substantial.</w:t>
      </w:r>
    </w:p>
    <w:p>
      <w:pPr>
        <w:spacing w:after="0" w:line="146" w:lineRule="exact"/>
        <w:rPr>
          <w:rFonts w:ascii="Arial" w:cs="Arial" w:eastAsia="Arial" w:hAnsi="Arial"/>
          <w:sz w:val="17"/>
          <w:szCs w:val="17"/>
          <w:color w:val="auto"/>
        </w:rPr>
      </w:pPr>
    </w:p>
    <w:p>
      <w:pPr>
        <w:ind w:left="1000" w:right="80" w:hanging="419"/>
        <w:spacing w:after="0" w:line="261"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Seek commercial partnerships to maximize the vonoprazan opportunity outside of the United States</w:t>
      </w:r>
      <w:r>
        <w:rPr>
          <w:rFonts w:ascii="Arial" w:cs="Arial" w:eastAsia="Arial" w:hAnsi="Arial"/>
          <w:sz w:val="17"/>
          <w:szCs w:val="17"/>
          <w:color w:val="auto"/>
        </w:rPr>
        <w:t>. We believe there is a significant commercial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opportunity for vonoprazan in Europe and Canada. To address these markets, we plan to seek one or more partners with existing commercial infrastructure and expertise in these markets. We believe this strategy will allow us to realize the value of the market opportunity in Europe and Canada while focusing our resources on the U.S. market.</w:t>
      </w:r>
    </w:p>
    <w:p>
      <w:pPr>
        <w:spacing w:after="0" w:line="139" w:lineRule="exact"/>
        <w:rPr>
          <w:rFonts w:ascii="Arial" w:cs="Arial" w:eastAsia="Arial" w:hAnsi="Arial"/>
          <w:sz w:val="17"/>
          <w:szCs w:val="17"/>
          <w:color w:val="auto"/>
        </w:rPr>
      </w:pPr>
    </w:p>
    <w:p>
      <w:pPr>
        <w:ind w:left="1000" w:right="60" w:hanging="419"/>
        <w:spacing w:after="0" w:line="272" w:lineRule="auto"/>
        <w:tabs>
          <w:tab w:leader="none" w:pos="10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Expand the development of vonoprazan across indications, dosing regimens, and alternative formulations and packaging</w:t>
      </w:r>
      <w:r>
        <w:rPr>
          <w:rFonts w:ascii="Arial" w:cs="Arial" w:eastAsia="Arial" w:hAnsi="Arial"/>
          <w:sz w:val="16"/>
          <w:szCs w:val="16"/>
          <w:color w:val="auto"/>
        </w:rPr>
        <w:t>. Non-erosive reflux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disease, or NERD, is a major subcategory of GERD and is characterized by reflux-related symptoms in the absence of esophageal mucosal erosions. We plan to pursue development of vonoprazan for NERD as both an on-demand and as a continuously dosed therapy for patients with NERD. We anticipate initiating a Phase 2 clinical trial in mid-2021 evaluating various doses of vonoprazan as an on-demand therapy. Although we have not yet finalized the design of our Phase 3 NERD trials, we plan to initiate a Phase 3 development program evaluating vonoprazan as a continuous therapy for NERD, and, subject to the results from the Phase 2 trial, as an on-demand therapy. In addition to NERD, we plan to pursue vonoprazan lifecycle extension strategies in areas with clear unmet need, clinical rationale, and commercial justification. These strategies may include: (i) additional indications, including treatment of gastric ulcers and duodenal ulcers, Barrett’s esophagus, and eosinophilic esophagitis; and (ii) alternative formulations and packaging, such as orally disintegrating tablets and other oral dosage forms for patients with difficulty swallowing, and an intravenous formulation for in-hospital applications. Additionally, we believe that vonoprazan has the ideal profile for an OTC product because of the potential for on-demand symptom relief and a well-tolerated safety profile.</w:t>
      </w:r>
    </w:p>
    <w:p>
      <w:pPr>
        <w:spacing w:after="0" w:line="134" w:lineRule="exact"/>
        <w:rPr>
          <w:rFonts w:ascii="Arial" w:cs="Arial" w:eastAsia="Arial" w:hAnsi="Arial"/>
          <w:sz w:val="16"/>
          <w:szCs w:val="16"/>
          <w:color w:val="auto"/>
        </w:rPr>
      </w:pPr>
    </w:p>
    <w:p>
      <w:pPr>
        <w:ind w:left="1000" w:right="880" w:hanging="419"/>
        <w:spacing w:after="0" w:line="278"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In-license or acquire additional clinical or commercial stage product candidates for the treatment of GI diseases in a capital efficient manner</w:t>
      </w:r>
      <w:r>
        <w:rPr>
          <w:rFonts w:ascii="Arial" w:cs="Arial" w:eastAsia="Arial" w:hAnsi="Arial"/>
          <w:sz w:val="17"/>
          <w:szCs w:val="17"/>
          <w:color w:val="auto"/>
        </w:rPr>
        <w:t>. We intend to take advantage of our management team’s GI</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1000" w:right="20"/>
        <w:spacing w:after="0" w:line="278" w:lineRule="auto"/>
        <w:rPr>
          <w:sz w:val="20"/>
          <w:szCs w:val="20"/>
          <w:color w:val="auto"/>
        </w:rPr>
      </w:pPr>
      <w:r>
        <w:rPr>
          <w:rFonts w:ascii="Arial" w:cs="Arial" w:eastAsia="Arial" w:hAnsi="Arial"/>
          <w:sz w:val="17"/>
          <w:szCs w:val="17"/>
          <w:color w:val="auto"/>
        </w:rPr>
        <w:t>expertise to opportunistically in-license or acquire additional innovative therapies for diseases treated by gastroenterologists. We plan to leverage our development and planned commercial infrastructure to support multiple assets targeting GI indications.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Acid-Related GI Diseases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Overview</w:t>
      </w:r>
    </w:p>
    <w:p>
      <w:pPr>
        <w:spacing w:after="0" w:line="177" w:lineRule="exact"/>
        <w:rPr>
          <w:sz w:val="20"/>
          <w:szCs w:val="20"/>
          <w:color w:val="auto"/>
        </w:rPr>
      </w:pPr>
    </w:p>
    <w:p>
      <w:pPr>
        <w:ind w:right="60" w:firstLine="589"/>
        <w:spacing w:after="0" w:line="306" w:lineRule="auto"/>
        <w:rPr>
          <w:sz w:val="20"/>
          <w:szCs w:val="20"/>
          <w:color w:val="auto"/>
        </w:rPr>
      </w:pPr>
      <w:r>
        <w:rPr>
          <w:rFonts w:ascii="Arial" w:cs="Arial" w:eastAsia="Arial" w:hAnsi="Arial"/>
          <w:sz w:val="15"/>
          <w:szCs w:val="15"/>
          <w:color w:val="auto"/>
        </w:rPr>
        <w:t>Gastric acid is a digestive fluid formed in the stomach. The highly acidic environment of the stomach causes the unfolding, or denaturing, of food proteins that are subsequently broken down by gastric enzymes. Gastric acid is secreted by the hydrogen potassium ATPase enzyme, which is known as the proton pump. Proton pumps are expressed on the channeled surfaces, or canaliculi, of parietal cells in the stomach, which secrete acid. Proton pumps are continuously synthesized and switch between active and inactive states in response to various stimuli, such as food. When activated, proton pumps increase acid secretion.</w:t>
      </w:r>
    </w:p>
    <w:p>
      <w:pPr>
        <w:spacing w:after="0" w:line="110" w:lineRule="exact"/>
        <w:rPr>
          <w:sz w:val="20"/>
          <w:szCs w:val="20"/>
          <w:color w:val="auto"/>
        </w:rPr>
      </w:pPr>
    </w:p>
    <w:p>
      <w:pPr>
        <w:ind w:right="60" w:firstLine="589"/>
        <w:spacing w:after="0" w:line="275" w:lineRule="auto"/>
        <w:rPr>
          <w:sz w:val="20"/>
          <w:szCs w:val="20"/>
          <w:color w:val="auto"/>
        </w:rPr>
      </w:pPr>
      <w:r>
        <w:rPr>
          <w:rFonts w:ascii="Arial" w:cs="Arial" w:eastAsia="Arial" w:hAnsi="Arial"/>
          <w:sz w:val="16"/>
          <w:szCs w:val="16"/>
          <w:color w:val="auto"/>
        </w:rPr>
        <w:t xml:space="preserve">GI diseases where treatment is related to acid control, such as GERD, peptic ulcer disease, Zollinger Ellison syndrome,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are significant medical problems because of their high prevalence, chronic nature and clinical sequelae. GERD results from the effects of acid on compromised mucosal defenses in the gastrointestinal tract. The reflux of gastric acid into the esophagus produces frequent and/or severe heartburn, indigestion, and reflux symptoms. Chronic GERD may damage esophageal tissue and progress to more severe diseases including erosive esophagitis, Barrett’s esophagus, and esophageal cancer. GERD and related diseases are associated with impaired quality of life and substantial costs to the healthcare system given their chronic nature and sequelae. In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gastric acid limits the effectiveness of antibiotics used to eradicate infection. Chronic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can lead to dyspepsia, peptic ulcer disease, gastric cancer, and mucosa-associated lymphoid tissue (MALT) lymphoma.</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Prevalence</w:t>
      </w:r>
    </w:p>
    <w:p>
      <w:pPr>
        <w:spacing w:after="0" w:line="177" w:lineRule="exact"/>
        <w:rPr>
          <w:sz w:val="20"/>
          <w:szCs w:val="20"/>
          <w:color w:val="auto"/>
        </w:rPr>
      </w:pPr>
    </w:p>
    <w:p>
      <w:pPr>
        <w:ind w:right="20" w:firstLine="589"/>
        <w:spacing w:after="0" w:line="258" w:lineRule="auto"/>
        <w:rPr>
          <w:sz w:val="20"/>
          <w:szCs w:val="20"/>
          <w:color w:val="auto"/>
        </w:rPr>
      </w:pPr>
      <w:r>
        <w:rPr>
          <w:rFonts w:ascii="Arial" w:cs="Arial" w:eastAsia="Arial" w:hAnsi="Arial"/>
          <w:sz w:val="17"/>
          <w:szCs w:val="17"/>
          <w:color w:val="auto"/>
        </w:rPr>
        <w:t xml:space="preserve">The prevalence of GI diseases is high. Approximately 20% to 40% of Western adults report chronic heartburn or regurgitation symptoms potentially related to GERD. We estimate that there are approximately 65 million individuals in the United States and 50 million individuals in the EU5 with GERD. In the United States, GERD is the most common gastroenterology-related outpatient diagnosis. Additionally, approximately 35% of the U.S. population and 45% of the EU5 population are infected with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We estimate that there are approximately 115 million individuals in the United States and 145 million individuals in the EU5 infected with </w:t>
      </w:r>
      <w:r>
        <w:rPr>
          <w:rFonts w:ascii="Arial" w:cs="Arial" w:eastAsia="Arial" w:hAnsi="Arial"/>
          <w:sz w:val="17"/>
          <w:szCs w:val="17"/>
          <w:i w:val="1"/>
          <w:iCs w:val="1"/>
          <w:color w:val="auto"/>
        </w:rPr>
        <w:t>H. pylori</w:t>
      </w:r>
      <w:r>
        <w:rPr>
          <w:rFonts w:ascii="Arial" w:cs="Arial" w:eastAsia="Arial" w:hAnsi="Arial"/>
          <w:sz w:val="17"/>
          <w:szCs w:val="17"/>
          <w:color w:val="auto"/>
        </w:rPr>
        <w: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Prevalence of GERD and </w:t>
      </w:r>
      <w:r>
        <w:rPr>
          <w:rFonts w:ascii="Arial" w:cs="Arial" w:eastAsia="Arial" w:hAnsi="Arial"/>
          <w:sz w:val="17"/>
          <w:szCs w:val="17"/>
          <w:b w:val="1"/>
          <w:bCs w:val="1"/>
          <w:i w:val="1"/>
          <w:iCs w:val="1"/>
          <w:color w:val="auto"/>
        </w:rPr>
        <w:t>H. pylori</w:t>
      </w:r>
      <w:r>
        <w:rPr>
          <w:rFonts w:ascii="Arial" w:cs="Arial" w:eastAsia="Arial" w:hAnsi="Arial"/>
          <w:sz w:val="17"/>
          <w:szCs w:val="17"/>
          <w:b w:val="1"/>
          <w:bCs w:val="1"/>
          <w:color w:val="auto"/>
        </w:rPr>
        <w:t xml:space="preserve">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1405255</wp:posOffset>
            </wp:positionH>
            <wp:positionV relativeFrom="paragraph">
              <wp:posOffset>148590</wp:posOffset>
            </wp:positionV>
            <wp:extent cx="4332605" cy="1150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32605" cy="115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Treatments</w:t>
      </w:r>
    </w:p>
    <w:p>
      <w:pPr>
        <w:spacing w:after="0" w:line="190" w:lineRule="exact"/>
        <w:rPr>
          <w:sz w:val="20"/>
          <w:szCs w:val="20"/>
          <w:color w:val="auto"/>
        </w:rPr>
      </w:pPr>
    </w:p>
    <w:p>
      <w:pPr>
        <w:ind w:firstLine="589"/>
        <w:spacing w:after="0" w:line="301" w:lineRule="auto"/>
        <w:rPr>
          <w:sz w:val="20"/>
          <w:szCs w:val="20"/>
          <w:color w:val="auto"/>
        </w:rPr>
      </w:pPr>
      <w:r>
        <w:rPr>
          <w:rFonts w:ascii="Arial" w:cs="Arial" w:eastAsia="Arial" w:hAnsi="Arial"/>
          <w:sz w:val="15"/>
          <w:szCs w:val="15"/>
          <w:color w:val="auto"/>
        </w:rPr>
        <w:t>Treatments of acid-related GI diseases aim to provide relief of acute symptoms, healing of damaged tissue, and prevention of long-term clinical sequelae associated with chronic acid exposure. Gastric acidity is measured by the pH scale, a logarithmic scale where 7.0 describes a neutral state and lower levels indicate a higher level of acidity. The pH of the stomach typically ranges from 1.5 to 3.5. In patients with acid-related GI diseases, increasing gastric pH has been shown to improve mucosal healing rates and provide more rapid symptom relief for patients. For example, the duration of time that intra-gastric acidity is greater than pH 3.0 correlates with the healing of duodenal and gastric ulcers, and pH greater than 4.0 is correlated with the healing of erosive esophagitis. Similarly,</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color w:val="auto"/>
        </w:rPr>
        <w:t xml:space="preserve">in patients with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 more neutral gastric pH of 5.0 to 7.6 preserves antibiotic function and is optimal for successful eradication.</w:t>
      </w:r>
    </w:p>
    <w:p>
      <w:pPr>
        <w:spacing w:after="0" w:line="190" w:lineRule="exact"/>
        <w:rPr>
          <w:sz w:val="20"/>
          <w:szCs w:val="20"/>
          <w:color w:val="auto"/>
        </w:rPr>
      </w:pPr>
    </w:p>
    <w:p>
      <w:pPr>
        <w:ind w:right="20" w:firstLine="589"/>
        <w:spacing w:after="0" w:line="310" w:lineRule="auto"/>
        <w:rPr>
          <w:sz w:val="20"/>
          <w:szCs w:val="20"/>
          <w:color w:val="auto"/>
        </w:rPr>
      </w:pPr>
      <w:r>
        <w:rPr>
          <w:rFonts w:ascii="Arial" w:cs="Arial" w:eastAsia="Arial" w:hAnsi="Arial"/>
          <w:sz w:val="16"/>
          <w:szCs w:val="16"/>
          <w:color w:val="auto"/>
        </w:rPr>
        <w:t>Drug-induced gastric acid suppression is a key component of the management of acid-related GI diseases. Three classes of drugs with distinct mechanisms of action are principally used for treatment in the United States and Europe: antacids, histamine receptor antagonists, or H2RAs, and PPIs.</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Antacids</w:t>
      </w:r>
    </w:p>
    <w:p>
      <w:pPr>
        <w:spacing w:after="0" w:line="177" w:lineRule="exact"/>
        <w:rPr>
          <w:sz w:val="20"/>
          <w:szCs w:val="20"/>
          <w:color w:val="auto"/>
        </w:rPr>
      </w:pPr>
    </w:p>
    <w:p>
      <w:pPr>
        <w:ind w:right="100" w:firstLine="589"/>
        <w:spacing w:after="0" w:line="261" w:lineRule="auto"/>
        <w:rPr>
          <w:sz w:val="20"/>
          <w:szCs w:val="20"/>
          <w:color w:val="auto"/>
        </w:rPr>
      </w:pPr>
      <w:r>
        <w:rPr>
          <w:rFonts w:ascii="Arial" w:cs="Arial" w:eastAsia="Arial" w:hAnsi="Arial"/>
          <w:sz w:val="17"/>
          <w:szCs w:val="17"/>
          <w:color w:val="auto"/>
        </w:rPr>
        <w:t>Antacids, first commercially available in the 1930s, directly neutralize gastric acid to raise intra-gastric pH and can alleviate intermittent, mild symptoms of acid-related GI diseases, such as heartburn, but they are only effective for a short duration and require frequent administrations per day. In addition, antacids do not significantly help heal or prevent complications of acid-related diseases. Antacids include commonly-known OTC products, such as Alka-Seltzer, Pepto-Bismol, Rolaids, and TUMS.</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Histamine Receptor Antagonists (H2RAs)</w:t>
      </w:r>
    </w:p>
    <w:p>
      <w:pPr>
        <w:spacing w:after="0" w:line="177" w:lineRule="exact"/>
        <w:rPr>
          <w:sz w:val="20"/>
          <w:szCs w:val="20"/>
          <w:color w:val="auto"/>
        </w:rPr>
      </w:pPr>
    </w:p>
    <w:p>
      <w:pPr>
        <w:ind w:right="40" w:firstLine="589"/>
        <w:spacing w:after="0" w:line="276" w:lineRule="auto"/>
        <w:rPr>
          <w:sz w:val="20"/>
          <w:szCs w:val="20"/>
          <w:color w:val="auto"/>
        </w:rPr>
      </w:pPr>
      <w:r>
        <w:rPr>
          <w:rFonts w:ascii="Arial" w:cs="Arial" w:eastAsia="Arial" w:hAnsi="Arial"/>
          <w:sz w:val="16"/>
          <w:szCs w:val="16"/>
          <w:color w:val="auto"/>
        </w:rPr>
        <w:t>H2RAs, first commercially available in the 1970s, decrease gastric acid secretion in order to raise gastric pH. H2RAs represented a dramatic improvement over antacids in the control of gastric acid and consequently in the management of acid-related GI diseases. H2RAs are also generally safe and well-tolerated. Among the H2RA class were the first commercial blockbuster drugs, Pepcid (famotidine), Tagamet (cimetidine), and Zantac (ranitidine). Zantac was the world’s highest-selling prescription drug in the mid-1990s, with peak global sales of $3.7 billion and U.S. sales of $2.2 billion. Prior to the launch of generic H2RAs and increasing competition from PPIs, the H2RA class achieved sales of approximately $3.5 billion in the United States. H2RAs achieved commercial success despite clinical limitations, including unreliable 24-hour acid control, poor control of post-meal symptoms, and loss of efficacy over time.</w:t>
      </w:r>
    </w:p>
    <w:p>
      <w:pPr>
        <w:spacing w:after="0" w:line="131"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Proton Pump Inhibitors (PPIs)</w:t>
      </w:r>
    </w:p>
    <w:p>
      <w:pPr>
        <w:spacing w:after="0" w:line="190"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color w:val="auto"/>
        </w:rPr>
        <w:t>PPIs, first commercially available in 1989, offered improved acid control over H2RAs. Pharmacodynamic data demonstrated that PPIs maintain gastric pH above target levels for a longer duration than H2RAs. A commonly used benchmark of anti-secretory activity is the percentage of time in a 24-hour period that gastric pH exceeds 4.0, which we refer to as time above pH 4.0, which ranges from 40% to 71% for PPIs versus 33% for H2RAs.</w:t>
      </w:r>
    </w:p>
    <w:p>
      <w:pPr>
        <w:spacing w:after="0" w:line="119" w:lineRule="exact"/>
        <w:rPr>
          <w:sz w:val="20"/>
          <w:szCs w:val="20"/>
          <w:color w:val="auto"/>
        </w:rPr>
      </w:pPr>
    </w:p>
    <w:p>
      <w:pPr>
        <w:ind w:right="320" w:firstLine="589"/>
        <w:spacing w:after="0" w:line="316" w:lineRule="auto"/>
        <w:rPr>
          <w:sz w:val="20"/>
          <w:szCs w:val="20"/>
          <w:color w:val="auto"/>
        </w:rPr>
      </w:pPr>
      <w:r>
        <w:rPr>
          <w:rFonts w:ascii="Arial" w:cs="Arial" w:eastAsia="Arial" w:hAnsi="Arial"/>
          <w:sz w:val="15"/>
          <w:szCs w:val="15"/>
          <w:color w:val="auto"/>
        </w:rPr>
        <w:t>Given this improved pharmacodynamic profile, PPIs demonstrated improved clinical symptom relief and healing over H2RAs. In a meta-analysis of results from 33 randomized clinical trials with over 3,000 GERD patients, a reduction in symptoms was achieved in 83% of patients taking PPIs versus 60% of those on H2RAs. In a second meta-analysis, the eight-week healing rate in patients with erosive esophagitis was 82% for PPIs versus 52% for H2RAs.</w:t>
      </w:r>
    </w:p>
    <w:p>
      <w:pPr>
        <w:spacing w:after="0" w:line="102"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The PPI class is currently the first-line treatment of acid-related GI diseases. Prior to the introduction and adoption of generic and OTC alternatives, annual PPI class sales reached approximately $12.5 billion in the United States, and peak sales for individual brands were approximately $3.7 billion for Prilosec, $3.5 billion for Nexium, and $3.4 billion for Prevacid. As recently as 2015, the last branded PPI, Dexilant (dexlansoprazole), reached approximately $530 million in sales in the United States despite limited differentiation from other PPIs. While Dexilant demonstrated a modest improvement in time above pH 4.0 compared to other PPIs, the approved dose did not demonstrate consistent superiority in Phase 3 trials against other PPIs on the healing of erosive esophagitis and has not been tested against PPIs in other indications. We believe that the commercial success of Dexilant highlights the value to physicians and patients of even incremental improvements over other PPIs.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History of Pharmaceutical Agents for Control of Gastric Acid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1038225</wp:posOffset>
            </wp:positionH>
            <wp:positionV relativeFrom="paragraph">
              <wp:posOffset>148590</wp:posOffset>
            </wp:positionV>
            <wp:extent cx="5074920" cy="17621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74920" cy="1762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PPI Limitations</w:t>
      </w:r>
    </w:p>
    <w:p>
      <w:pPr>
        <w:spacing w:after="0" w:line="196" w:lineRule="exact"/>
        <w:rPr>
          <w:sz w:val="20"/>
          <w:szCs w:val="20"/>
          <w:color w:val="auto"/>
        </w:rPr>
      </w:pPr>
    </w:p>
    <w:p>
      <w:pPr>
        <w:ind w:firstLine="589"/>
        <w:spacing w:after="0" w:line="272" w:lineRule="auto"/>
        <w:rPr>
          <w:sz w:val="20"/>
          <w:szCs w:val="20"/>
          <w:color w:val="auto"/>
        </w:rPr>
      </w:pPr>
      <w:r>
        <w:rPr>
          <w:rFonts w:ascii="Arial" w:cs="Arial" w:eastAsia="Arial" w:hAnsi="Arial"/>
          <w:sz w:val="16"/>
          <w:szCs w:val="16"/>
          <w:color w:val="auto"/>
        </w:rPr>
        <w:t>While PPIs provide clinically meaningful symptom relief and healing for millions of patients suffering from acid-related GI diseases, they are inadequate for many patients. The suboptimal anti-secretory profile of PPIs results in slow onset of symptom relief, breakthrough nighttime or postprandial heartburn, and treatment failure. A recent population-based survey with over 70,000 participants in the United States showed that 55% of patients who reported having GERD symptoms were taking PPIs, with 68% taking them daily, and 54% of daily PPI users reported persistent symptoms. This is consistent with earlier studies that have shown that approximately 15% to 45% of GERD patients are inadequately treated with PPIs, experiencing persistent, troublesome symptoms, such as heartburn and regurgitation. In approximately two-thirds of symptomatic GERD patients, reflux symptoms are not adequately controlled after the first dose of a PPI, and nearly 50% of patients still suffer from symptoms three days later. Given these limitations, more than 20% of GERD patients on PPI therapy take their PPI twice daily, which is not FDA approved, or purchase OTC heartburn treatments in addition to their prescription medicine. In a survey of approximately 1,000 GERD patients and 1,000 physicians, approximately one third of GERD patients reported persistent symptoms and were dissatisfied with PPI therapy and 35% of physicians perceived patients as somewhat satisfied to completely dissatisfied with PPI treatment. In addition, in July 2020, we conducted a U.S. market research study of 150 gastroenterologists and 152 primary care physicians who treat GERD. Of the surveyed physicians 38% reported their patients are not compliant on PPI therapy because they are not satisfied with efficacy.</w:t>
      </w:r>
    </w:p>
    <w:p>
      <w:pPr>
        <w:spacing w:after="0" w:line="132" w:lineRule="exact"/>
        <w:rPr>
          <w:sz w:val="20"/>
          <w:szCs w:val="20"/>
          <w:color w:val="auto"/>
        </w:rPr>
      </w:pPr>
    </w:p>
    <w:p>
      <w:pPr>
        <w:jc w:val="both"/>
        <w:ind w:right="60" w:firstLine="589"/>
        <w:spacing w:after="0" w:line="261" w:lineRule="auto"/>
        <w:rPr>
          <w:sz w:val="20"/>
          <w:szCs w:val="20"/>
          <w:color w:val="auto"/>
        </w:rPr>
      </w:pPr>
      <w:r>
        <w:rPr>
          <w:rFonts w:ascii="Arial" w:cs="Arial" w:eastAsia="Arial" w:hAnsi="Arial"/>
          <w:sz w:val="17"/>
          <w:szCs w:val="17"/>
          <w:color w:val="auto"/>
        </w:rPr>
        <w:t>In patients with more severe grades of erosive esophagitis, studies with PPIs have reported failure rates of healing of esophageal erosions exceeding 25%. Additionally, recurrence of erosions is common in healed erosive esophagitis patients receiving maintenance PPI therapy. One study reported recurrence in 15% to 23% of patients with less severe erosive esophagitis and 24% to 41% of patients with more severe erosive esophagitis. We believe that these limitations of PPIs are in part driven by their mechanism of action and pharmacokinetics.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Mechanistic Differences Between PPIs and Vonoprazan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PPIs</w:t>
      </w:r>
    </w:p>
    <w:p>
      <w:pPr>
        <w:spacing w:after="0" w:line="177" w:lineRule="exact"/>
        <w:rPr>
          <w:sz w:val="20"/>
          <w:szCs w:val="20"/>
          <w:color w:val="auto"/>
        </w:rPr>
      </w:pPr>
    </w:p>
    <w:p>
      <w:pPr>
        <w:ind w:firstLine="589"/>
        <w:spacing w:after="0" w:line="272" w:lineRule="auto"/>
        <w:rPr>
          <w:sz w:val="20"/>
          <w:szCs w:val="20"/>
          <w:color w:val="auto"/>
        </w:rPr>
      </w:pPr>
      <w:r>
        <w:rPr>
          <w:rFonts w:ascii="Arial" w:cs="Arial" w:eastAsia="Arial" w:hAnsi="Arial"/>
          <w:sz w:val="16"/>
          <w:szCs w:val="16"/>
          <w:color w:val="auto"/>
        </w:rPr>
        <w:t>After oral dosing, PPIs reach the gastric parietal cells through the bloodstream. PPIs are prodrugs that are converted to their active form in the acidic environment of the secretory canaliculus of the parietal cell but degrade quickly because their active form is unstable in acid. For example, the half-life of omeprazole (Prilosec) is less than 10 minutes at pH 2.0. The active form of a PPI blocks acid production by covalently binding to active proton pumps that have moved to the surface of the secretory canaliculi after activation of the parietal cell with stimuli, such as a meal. Because PPIs bind only to actively secreting pumps, it is generally recommended that they be administered 30 to 60 minutes before a meal to achieve maximal efficacy. Once covalently bound to the proton pumps, the active PPI molecule is no longer available to bind to newly synthesized or activated proton pumps. Furthermore, given the relatively short plasma half-life of most PPIs of one to two hours, resupply of additional PPI molecules from the bloodstream is limited, and newly activated pumps are not inhibited. Due to this profile, PPI dosing over several days is required to inhibit enough proton pumps to increase gastric pH to a clinically meaningful threshold, and PPIs have a limited window of efficacy leading to incomplete acid suppression over the 24-hour dosing interval. In addition, PPIs are primarily metabolized by CYP2C19, an enzyme which has significant interpatient metabolic variability based on genotype. As a result, PPI exposure levels in some patients may not achieve target levels, potentially reducing clinical efficacy.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Vonoprazan</w:t>
      </w:r>
    </w:p>
    <w:p>
      <w:pPr>
        <w:spacing w:after="0" w:line="190" w:lineRule="exact"/>
        <w:rPr>
          <w:sz w:val="20"/>
          <w:szCs w:val="20"/>
          <w:color w:val="auto"/>
        </w:rPr>
      </w:pPr>
    </w:p>
    <w:p>
      <w:pPr>
        <w:ind w:firstLine="589"/>
        <w:spacing w:after="0" w:line="296" w:lineRule="auto"/>
        <w:rPr>
          <w:sz w:val="20"/>
          <w:szCs w:val="20"/>
          <w:color w:val="auto"/>
        </w:rPr>
      </w:pPr>
      <w:r>
        <w:rPr>
          <w:rFonts w:ascii="Arial" w:cs="Arial" w:eastAsia="Arial" w:hAnsi="Arial"/>
          <w:sz w:val="15"/>
          <w:szCs w:val="15"/>
          <w:color w:val="auto"/>
        </w:rPr>
        <w:t>Vonoprazan has a differentiated mechanism of action from PPIs. When vonoprazan reaches gastric parietal cells from the bloodstream, it accumulates in the secretory canaliculus where the proton pumps are present in their active state. In contrast to most PPIs, vonoprazan does not require gastric acid for activation, is stable in the presence of gastric acid, reversibly binds to proton pumps in both their inactive and active states, and remains in the secretory canaliculus where it continues to inhibit acid secretion over an extended period. Vonoprazan’s prolonged effect is also maintained through a slow dissociation rate from the proton pumps and resupply from the bloodstream due to its seven-hour half-life. These characteristics allow vonoprazan to rapidly achieve target 24-hour acid suppression within two hours of a single dose, unlike PPIs that require three to five days to achieve stable acid suppression. In addition, vonoprazan is primarily metabolized by CYP3A4/5, an enzyme which has less genetic variability than CYP2C19, and may exhibit more consistent activity than PPIs across U.S. and European populations.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mechanistic and pharmacologic differences of PPIs and vonoprazan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1910715</wp:posOffset>
            </wp:positionH>
            <wp:positionV relativeFrom="paragraph">
              <wp:posOffset>144780</wp:posOffset>
            </wp:positionV>
            <wp:extent cx="3320415" cy="2333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20415" cy="2333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Vonoprazan Pharmacodynamics vs. PPIs</w:t>
      </w:r>
    </w:p>
    <w:p>
      <w:pPr>
        <w:spacing w:after="0" w:line="183" w:lineRule="exact"/>
        <w:rPr>
          <w:sz w:val="20"/>
          <w:szCs w:val="20"/>
          <w:color w:val="auto"/>
        </w:rPr>
      </w:pPr>
    </w:p>
    <w:p>
      <w:pPr>
        <w:ind w:right="360" w:firstLine="589"/>
        <w:spacing w:after="0" w:line="261" w:lineRule="auto"/>
        <w:rPr>
          <w:sz w:val="20"/>
          <w:szCs w:val="20"/>
          <w:color w:val="auto"/>
        </w:rPr>
      </w:pPr>
      <w:r>
        <w:rPr>
          <w:rFonts w:ascii="Arial" w:cs="Arial" w:eastAsia="Arial" w:hAnsi="Arial"/>
          <w:sz w:val="17"/>
          <w:szCs w:val="17"/>
          <w:color w:val="auto"/>
        </w:rPr>
        <w:t>Vonoprazan’s more rapid, potent, and durable anti-secretory effects versus the PPI esomeprazole (Nexium) were demonstrated in a randomized, open-label, crossover clinical trial comparing 20 mg of once daily, or QD, vonoprazan to 20 mg QD of esomeprazole in 20 healthy volunteers. As shown below, vonoprazan achieved rapid and potent pH control on Day 1 relative to esomeprazole (left). Vonoprazan maintained pH approximately 1 to 2 units higher than esomeprazole at Day 7 (right), which represents a 10-to-100-fold reduction in acidity.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Improved Onset and Potency of pH Control of Vonoprazan vs. Esomeprazole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1250315</wp:posOffset>
            </wp:positionH>
            <wp:positionV relativeFrom="paragraph">
              <wp:posOffset>148590</wp:posOffset>
            </wp:positionV>
            <wp:extent cx="4642485" cy="1615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642485" cy="1615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80" w:firstLine="589"/>
        <w:spacing w:after="0" w:line="278" w:lineRule="auto"/>
        <w:rPr>
          <w:sz w:val="20"/>
          <w:szCs w:val="20"/>
          <w:color w:val="auto"/>
        </w:rPr>
      </w:pPr>
      <w:r>
        <w:rPr>
          <w:rFonts w:ascii="Arial" w:cs="Arial" w:eastAsia="Arial" w:hAnsi="Arial"/>
          <w:sz w:val="17"/>
          <w:szCs w:val="17"/>
          <w:color w:val="auto"/>
        </w:rPr>
        <w:t>This improved potency and duration of pH control with vonoprazan, as measured by time above pH 4.0, was evident not only at Day 1, but also at Day 7 when esomeprazole had reached its steady state (see table below).</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Improved Time Above pH 4.0 of Vonoprazan vs. Esomeprazole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1821180</wp:posOffset>
            </wp:positionH>
            <wp:positionV relativeFrom="paragraph">
              <wp:posOffset>148590</wp:posOffset>
            </wp:positionV>
            <wp:extent cx="3508375" cy="1183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08375"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Vonoprazan for the Potential Treatment of Acid-Related GI Diseases</w:t>
      </w:r>
    </w:p>
    <w:p>
      <w:pPr>
        <w:spacing w:after="0" w:line="183" w:lineRule="exact"/>
        <w:rPr>
          <w:sz w:val="20"/>
          <w:szCs w:val="20"/>
          <w:color w:val="auto"/>
        </w:rPr>
      </w:pPr>
    </w:p>
    <w:p>
      <w:pPr>
        <w:ind w:firstLine="589"/>
        <w:spacing w:after="0" w:line="292" w:lineRule="auto"/>
        <w:rPr>
          <w:sz w:val="20"/>
          <w:szCs w:val="20"/>
          <w:color w:val="auto"/>
        </w:rPr>
      </w:pPr>
      <w:r>
        <w:rPr>
          <w:rFonts w:ascii="Arial" w:cs="Arial" w:eastAsia="Arial" w:hAnsi="Arial"/>
          <w:sz w:val="15"/>
          <w:szCs w:val="15"/>
          <w:color w:val="auto"/>
        </w:rPr>
        <w:t xml:space="preserve">Given the shortcomings of PPI therapy, we believe that there is a significant unmet medical need for a safe and effective anti-secretory agent with rapid, potent, and durable activity. Vonoprazan was developed in markets outside of the United States by Takeda through an extensive clinical program, including 19 Phase 3 clinical trials. As of December 2020, over 7,000 subjects were exposed to vonoprazan in completed and ongoing clinical trials. In head-to-head Phase 3 trials versus a PPI, vonoprazan demonstrated faster onset of healing in more severe erosive esophagitis patients, lower recurrence rates of erosions in erosive esophagitis patients across all levels of severity, and a superior eradication rate in combination with antibiotics in patients with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infection than PPI-based triple therapy. Vonoprazan received marketing approval in Japan in late 2014 and generated approximately $650 million in net sales in its fifth full year on the market in Japan. In the fourth quarter of 2019, we initiated a single pivotal Phase 3 clinical trial of vonoprazan in each of erosive esophagitis and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infection. In March 2020, due to global efforts to combat the COVID-19 pandemic, we paused randomization of new patients in our Phase 3 trial. Despite this pause, we completed enrollment of our erosive esophagitis trial in November 2020 and of our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trial in January 2021. We expect to report top-line data from our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trial in the second quarter of 2021, and our erosive esophagitis trial in the second half of 2021, and if successful, submit regulatory applications for</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 xml:space="preserve">marketing approval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in the second half of 2021 and for erosive esophagitis in the first half of 2022.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Vonoprazan in GERD</w:t>
      </w:r>
    </w:p>
    <w:p>
      <w:pPr>
        <w:spacing w:after="0" w:line="183" w:lineRule="exact"/>
        <w:rPr>
          <w:sz w:val="20"/>
          <w:szCs w:val="20"/>
          <w:color w:val="auto"/>
        </w:rPr>
      </w:pPr>
    </w:p>
    <w:p>
      <w:pPr>
        <w:ind w:right="80" w:firstLine="589"/>
        <w:spacing w:after="0" w:line="278" w:lineRule="auto"/>
        <w:rPr>
          <w:sz w:val="20"/>
          <w:szCs w:val="20"/>
          <w:color w:val="auto"/>
        </w:rPr>
      </w:pPr>
      <w:r>
        <w:rPr>
          <w:rFonts w:ascii="Arial" w:cs="Arial" w:eastAsia="Arial" w:hAnsi="Arial"/>
          <w:sz w:val="17"/>
          <w:szCs w:val="17"/>
          <w:color w:val="auto"/>
        </w:rPr>
        <w:t>Based on the significant unmet medical need, previous Phase 3 trial results, and commercial potential, we have prioritized the development of vonoprazan in GERD in:</w:t>
      </w:r>
    </w:p>
    <w:p>
      <w:pPr>
        <w:spacing w:after="0" w:line="125" w:lineRule="exact"/>
        <w:rPr>
          <w:sz w:val="20"/>
          <w:szCs w:val="20"/>
          <w:color w:val="auto"/>
        </w:rPr>
      </w:pPr>
    </w:p>
    <w:p>
      <w:pPr>
        <w:ind w:left="1000" w:hanging="419"/>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healing of erosive esophagitis and relief of heartburn;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maintenance of healing of erosive esophagitis and relief of heartburn.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We also plan to initiate our first Phase 2 trial in symptomatic non-erosive GERD, or NERD, in the second quarter of 2021.</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GERD Disease Overview</w:t>
      </w:r>
    </w:p>
    <w:p>
      <w:pPr>
        <w:spacing w:after="0" w:line="177" w:lineRule="exact"/>
        <w:rPr>
          <w:sz w:val="20"/>
          <w:szCs w:val="20"/>
          <w:color w:val="auto"/>
        </w:rPr>
      </w:pPr>
    </w:p>
    <w:p>
      <w:pPr>
        <w:ind w:right="100" w:firstLine="589"/>
        <w:spacing w:after="0" w:line="258" w:lineRule="auto"/>
        <w:rPr>
          <w:sz w:val="20"/>
          <w:szCs w:val="20"/>
          <w:color w:val="auto"/>
        </w:rPr>
      </w:pPr>
      <w:r>
        <w:rPr>
          <w:rFonts w:ascii="Arial" w:cs="Arial" w:eastAsia="Arial" w:hAnsi="Arial"/>
          <w:sz w:val="17"/>
          <w:szCs w:val="17"/>
          <w:color w:val="auto"/>
        </w:rPr>
        <w:t>GERD is one of the most prevalent diseases of any kind and is the most prevalent GI disease, affecting approximately 20% of the U.S. population and approximately 15% of the European population. We estimate there are approximately 65 million individuals with GERD in the United States and 50 million individuals with GERD in the EU5. GERD is a disease that develops when the reflux of acidic stomach contents into the esophagus causes troublesome symptoms and/or complications, and the term covers a spectrum of diseases, the main categories of which are erosive esophagitis and non-erosive reflux disease. These diseases are detailed below:</w:t>
      </w:r>
    </w:p>
    <w:p>
      <w:pPr>
        <w:spacing w:after="0" w:line="144" w:lineRule="exact"/>
        <w:rPr>
          <w:sz w:val="20"/>
          <w:szCs w:val="20"/>
          <w:color w:val="auto"/>
        </w:rPr>
      </w:pPr>
    </w:p>
    <w:p>
      <w:pPr>
        <w:jc w:val="both"/>
        <w:ind w:left="1000" w:right="180" w:hanging="419"/>
        <w:spacing w:after="0" w:line="291" w:lineRule="auto"/>
        <w:tabs>
          <w:tab w:leader="none" w:pos="1000" w:val="left"/>
        </w:tabs>
        <w:numPr>
          <w:ilvl w:val="0"/>
          <w:numId w:val="7"/>
        </w:numPr>
        <w:rPr>
          <w:rFonts w:ascii="Arial" w:cs="Arial" w:eastAsia="Arial" w:hAnsi="Arial"/>
          <w:sz w:val="15"/>
          <w:szCs w:val="15"/>
          <w:color w:val="auto"/>
        </w:rPr>
      </w:pPr>
      <w:r>
        <w:rPr>
          <w:rFonts w:ascii="Arial" w:cs="Arial" w:eastAsia="Arial" w:hAnsi="Arial"/>
          <w:sz w:val="15"/>
          <w:szCs w:val="15"/>
          <w:b w:val="1"/>
          <w:bCs w:val="1"/>
          <w:i w:val="1"/>
          <w:iCs w:val="1"/>
          <w:color w:val="auto"/>
        </w:rPr>
        <w:t>Erosive esophagitis</w:t>
      </w:r>
      <w:r>
        <w:rPr>
          <w:rFonts w:ascii="Arial" w:cs="Arial" w:eastAsia="Arial" w:hAnsi="Arial"/>
          <w:sz w:val="15"/>
          <w:szCs w:val="15"/>
          <w:color w:val="auto"/>
        </w:rPr>
        <w:t>: Approximately 30% of GERD patients have erosive esophagitis, which is classified by erosions in the gastric mucosa caused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by acidic reflux of stomach contents into the esophagus. Erosive esophagitis is commonly graded by the Los Angeles classification system, which characterizes the extent of erosions in the esophagus and is graded on a scale of increasing severity from A to D, with D being the most severe.</w:t>
      </w:r>
    </w:p>
    <w:p>
      <w:pPr>
        <w:ind w:left="1000" w:right="280"/>
        <w:spacing w:after="0" w:line="296" w:lineRule="auto"/>
        <w:rPr>
          <w:rFonts w:ascii="Arial" w:cs="Arial" w:eastAsia="Arial" w:hAnsi="Arial"/>
          <w:sz w:val="15"/>
          <w:szCs w:val="15"/>
          <w:color w:val="auto"/>
        </w:rPr>
      </w:pPr>
      <w:r>
        <w:rPr>
          <w:rFonts w:ascii="Arial" w:cs="Arial" w:eastAsia="Arial" w:hAnsi="Arial"/>
          <w:sz w:val="16"/>
          <w:szCs w:val="16"/>
          <w:color w:val="auto"/>
        </w:rPr>
        <w:t>Approximately 20% to 30% of erosive esophagitis patients have the more severe Los Angeles Class C or D disease. Erosive esophagitis can have serious consequences. If left untreated, esophagitis may develop into peptic stricture, Barrett’s esophagus or esophageal cancer.</w:t>
      </w:r>
    </w:p>
    <w:p>
      <w:pPr>
        <w:spacing w:after="0" w:line="113" w:lineRule="exact"/>
        <w:rPr>
          <w:rFonts w:ascii="Arial" w:cs="Arial" w:eastAsia="Arial" w:hAnsi="Arial"/>
          <w:sz w:val="15"/>
          <w:szCs w:val="15"/>
          <w:color w:val="auto"/>
        </w:rPr>
      </w:pPr>
    </w:p>
    <w:p>
      <w:pPr>
        <w:ind w:left="1000" w:right="700" w:hanging="419"/>
        <w:spacing w:after="0" w:line="278"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Non-erosive reflux disease (NERD)</w:t>
      </w:r>
      <w:r>
        <w:rPr>
          <w:rFonts w:ascii="Arial" w:cs="Arial" w:eastAsia="Arial" w:hAnsi="Arial"/>
          <w:sz w:val="17"/>
          <w:szCs w:val="17"/>
          <w:color w:val="auto"/>
        </w:rPr>
        <w:t>: Approximately 70% of GERD patients have NERD, which is classified by an endoscopically normal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esophagus, but abnormal gastric acid exposure in the esophagus and persistent symptoms.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111760</wp:posOffset>
            </wp:positionV>
            <wp:extent cx="4013835" cy="17703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13835" cy="177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firstLine="589"/>
        <w:spacing w:after="0" w:line="258" w:lineRule="auto"/>
        <w:rPr>
          <w:sz w:val="20"/>
          <w:szCs w:val="20"/>
          <w:color w:val="auto"/>
        </w:rPr>
      </w:pPr>
      <w:r>
        <w:rPr>
          <w:rFonts w:ascii="Arial" w:cs="Arial" w:eastAsia="Arial" w:hAnsi="Arial"/>
          <w:sz w:val="17"/>
          <w:szCs w:val="17"/>
          <w:color w:val="auto"/>
        </w:rPr>
        <w:t>GERD patients typically present with heartburn and reflux symptoms. Based on these symptoms, patients are typically treated first-line with PPIs prior to a diagnostic endoscopy for specific disease classification of erosive esophagitis or NERD. Clinical guidelines suggest that endoscopy be performed in patients who continue to have symptoms despite a four- to-eight-week course of daily PPIs or have alarm symptoms, including GI bleeding, anemia, weight loss, chest pain, or difficult or painful swallowing. Our market research suggests that most patients are treated empirically based on symptoms rather than based on endoscopic characterization of disease.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i w:val="1"/>
          <w:iCs w:val="1"/>
          <w:color w:val="auto"/>
        </w:rPr>
        <w:t>GERD Treatment Paradigm</w:t>
      </w:r>
    </w:p>
    <w:p>
      <w:pPr>
        <w:spacing w:after="0" w:line="190" w:lineRule="exact"/>
        <w:rPr>
          <w:sz w:val="20"/>
          <w:szCs w:val="20"/>
          <w:color w:val="auto"/>
        </w:rPr>
      </w:pPr>
    </w:p>
    <w:p>
      <w:pPr>
        <w:ind w:firstLine="589"/>
        <w:spacing w:after="0" w:line="258" w:lineRule="auto"/>
        <w:rPr>
          <w:sz w:val="20"/>
          <w:szCs w:val="20"/>
          <w:color w:val="auto"/>
        </w:rPr>
      </w:pPr>
      <w:r>
        <w:rPr>
          <w:rFonts w:ascii="Arial" w:cs="Arial" w:eastAsia="Arial" w:hAnsi="Arial"/>
          <w:sz w:val="17"/>
          <w:szCs w:val="17"/>
          <w:color w:val="auto"/>
        </w:rPr>
        <w:t>Approximately 80% of GERD patients are pharmacologically treated with prescription or OTC medications. PPIs are currently the most effective anti-secretory agents available in the United States and Europe for relieving GERD symptoms and healing erosions in gastric mucosa. Our market research suggests that approximately 80% of patients who are pharmacologically treated receive PPIs, and more than 80% of PPI use is prescription rather than OTC. The majority of PPI use is chronic, with more than 70% of patients prescribed PPIs for daily use. According to IQVIA NDTI, there were approximately 6.8 billion PPI doses prescribed for the 12 months ended October 31, 2020.</w:t>
      </w:r>
    </w:p>
    <w:p>
      <w:pPr>
        <w:spacing w:after="0" w:line="144" w:lineRule="exact"/>
        <w:rPr>
          <w:sz w:val="20"/>
          <w:szCs w:val="20"/>
          <w:color w:val="auto"/>
        </w:rPr>
      </w:pPr>
    </w:p>
    <w:p>
      <w:pPr>
        <w:ind w:firstLine="589"/>
        <w:spacing w:after="0" w:line="298" w:lineRule="auto"/>
        <w:rPr>
          <w:sz w:val="20"/>
          <w:szCs w:val="20"/>
          <w:color w:val="auto"/>
        </w:rPr>
      </w:pPr>
      <w:r>
        <w:rPr>
          <w:rFonts w:ascii="Arial" w:cs="Arial" w:eastAsia="Arial" w:hAnsi="Arial"/>
          <w:sz w:val="15"/>
          <w:szCs w:val="15"/>
          <w:color w:val="auto"/>
        </w:rPr>
        <w:t>There are few treatment options for GERD patients who are inadequately managed on PPI therapy. Our U.S. market research survey reported that 26% of patients who are unsatisfied with therapy on a given PPI will switch to a different PPI to improve symptom control or heal esophageal erosions; however, physicians surveyed did not believe there are meaningful differences in outcomes between PPIs. Even though safety and efficacy of twice daily dosing of PPIs has not been evaluated in large controlled clinical studies and is not included on the label for any PPIs, surveyed physicians reported that 23% of patients resort to this dosing regimen given dissatisfaction of once daily PPIs. A limited number of patients proceed to a surgical procedure, such as Nissen fundoplication. However, this procedure results in postoperative morbidity of 5% to 20%, as well as a two- to six-week recovery period and a median hospital stay of two days.</w:t>
      </w:r>
    </w:p>
    <w:p>
      <w:pPr>
        <w:spacing w:after="0" w:line="115" w:lineRule="exact"/>
        <w:rPr>
          <w:sz w:val="20"/>
          <w:szCs w:val="20"/>
          <w:color w:val="auto"/>
        </w:rPr>
      </w:pPr>
    </w:p>
    <w:p>
      <w:pPr>
        <w:jc w:val="both"/>
        <w:ind w:right="300" w:firstLine="589"/>
        <w:spacing w:after="0" w:line="282" w:lineRule="auto"/>
        <w:rPr>
          <w:sz w:val="20"/>
          <w:szCs w:val="20"/>
          <w:color w:val="auto"/>
        </w:rPr>
      </w:pPr>
      <w:r>
        <w:rPr>
          <w:rFonts w:ascii="Arial" w:cs="Arial" w:eastAsia="Arial" w:hAnsi="Arial"/>
          <w:sz w:val="16"/>
          <w:szCs w:val="16"/>
          <w:color w:val="auto"/>
        </w:rPr>
        <w:t>Vonoprazan has the potential to be the first gastric anti-secretory agent from a novel class approved in the United States, Europe, or Canada in over 30 years. Our U.S. market research survey reported that 55% to 60% of physicians believed that vonoprazan has demonstrated superior efficacy in the healing and maintenance of healed esophageal erosions compared to existing EE treatments, provides faster onset of action compared to existing GERD treatments, and has superior duration and magnitude of gastric pH control compared to existing GERD treatments.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Data for Vonoprazan in GERD</w:t>
      </w:r>
    </w:p>
    <w:p>
      <w:pPr>
        <w:spacing w:after="0" w:line="177" w:lineRule="exact"/>
        <w:rPr>
          <w:sz w:val="20"/>
          <w:szCs w:val="20"/>
          <w:color w:val="auto"/>
        </w:rPr>
      </w:pPr>
    </w:p>
    <w:p>
      <w:pPr>
        <w:jc w:val="both"/>
        <w:ind w:right="220" w:firstLine="589"/>
        <w:spacing w:after="0" w:line="316" w:lineRule="auto"/>
        <w:rPr>
          <w:sz w:val="20"/>
          <w:szCs w:val="20"/>
          <w:color w:val="auto"/>
        </w:rPr>
      </w:pPr>
      <w:r>
        <w:rPr>
          <w:rFonts w:ascii="Arial" w:cs="Arial" w:eastAsia="Arial" w:hAnsi="Arial"/>
          <w:sz w:val="15"/>
          <w:szCs w:val="15"/>
          <w:color w:val="auto"/>
        </w:rPr>
        <w:t>Four Phase 3 clinical trials have been completed comparing vonoprazan to PPIs in erosive esophagitis: a healing trial in Japan; a maintenance of healing trial in Japan; a healing trial in Asia (China, Taiwan, and Korea); and a maintenance of healing trial in Asia. In addition to these Phase 3 trials, several published investigator-sponsored studies have compared vonoprazan to PPIs across dosing regimens and endpoints. Results of these clinical trials are summarized below.</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Healing of Erosive Esophagitis Clinical Trials in Japan and Asia</w:t>
      </w:r>
    </w:p>
    <w:p>
      <w:pPr>
        <w:spacing w:after="0" w:line="190" w:lineRule="exact"/>
        <w:rPr>
          <w:sz w:val="20"/>
          <w:szCs w:val="20"/>
          <w:color w:val="auto"/>
        </w:rPr>
      </w:pPr>
    </w:p>
    <w:p>
      <w:pPr>
        <w:ind w:right="20" w:firstLine="589"/>
        <w:spacing w:after="0" w:line="306" w:lineRule="auto"/>
        <w:rPr>
          <w:sz w:val="20"/>
          <w:szCs w:val="20"/>
          <w:color w:val="auto"/>
        </w:rPr>
      </w:pPr>
      <w:r>
        <w:rPr>
          <w:rFonts w:ascii="Arial" w:cs="Arial" w:eastAsia="Arial" w:hAnsi="Arial"/>
          <w:sz w:val="15"/>
          <w:szCs w:val="15"/>
          <w:color w:val="auto"/>
        </w:rPr>
        <w:t>In a Phase 3 multicenter, randomized, double-blind, parallel group trial, 409 patients in Japan with endoscopically confirmed erosive esophagitis were randomized to receive vonoprazan 20 mg QD or lansoprazole 30 mg QD for up to eight weeks. The primary endpoint was the non-inferiority of the percent of patients with healed erosive esophagitis up to Week 8, as assessed by endoscopy. Non-inferiority is intended to show that the effect of a new treatment is not worse than the active control by more than a specified margin, while superiority is intended to show that one treatment is more effective than a comparator by any margin.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Design of Japan Phase 3 Clinical Trial for the Healing of Erosive Esophagitis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148590</wp:posOffset>
            </wp:positionV>
            <wp:extent cx="4927600" cy="13627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7600" cy="1362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60" w:firstLine="589"/>
        <w:spacing w:after="0" w:line="278" w:lineRule="auto"/>
        <w:rPr>
          <w:sz w:val="20"/>
          <w:szCs w:val="20"/>
          <w:color w:val="auto"/>
        </w:rPr>
      </w:pPr>
      <w:r>
        <w:rPr>
          <w:rFonts w:ascii="Arial" w:cs="Arial" w:eastAsia="Arial" w:hAnsi="Arial"/>
          <w:sz w:val="17"/>
          <w:szCs w:val="17"/>
          <w:color w:val="auto"/>
        </w:rPr>
        <w:t>Vonoprazan achieved the primary endpoint of non-inferiority versus lansoprazole on the percent of patients with healed erosive esophagitis up to Week 8 (99% vs. 96%, p&lt;0.0001). Further, a post hoc analysis demonstrated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4" w:name="page15"/>
    <w:bookmarkEnd w:id="14"/>
    <w:p>
      <w:pPr>
        <w:jc w:val="both"/>
        <w:ind w:right="60"/>
        <w:spacing w:after="0" w:line="289" w:lineRule="auto"/>
        <w:rPr>
          <w:sz w:val="20"/>
          <w:szCs w:val="20"/>
          <w:color w:val="auto"/>
        </w:rPr>
      </w:pPr>
      <w:r>
        <w:rPr>
          <w:rFonts w:ascii="Arial" w:cs="Arial" w:eastAsia="Arial" w:hAnsi="Arial"/>
          <w:sz w:val="16"/>
          <w:szCs w:val="16"/>
          <w:color w:val="auto"/>
        </w:rPr>
        <w:t>that vonoprazan was superior to lansoprazole on the percent of patients with healed erosive esophagitis up to Week 8 (p=0.0337). In the subset of 147 patients with more severe erosive esophagitis of Los Angeles Class C or D, vonoprazan healing was also shown to be superior (99% vs. 88%, p=0.0082). We believe this result is due to the improved acid control of vonoprazan over lansoprazole, and we believe lansoprazole is representative of the PPI class.</w:t>
      </w:r>
    </w:p>
    <w:p>
      <w:pPr>
        <w:spacing w:after="0" w:line="119" w:lineRule="exact"/>
        <w:rPr>
          <w:sz w:val="20"/>
          <w:szCs w:val="20"/>
          <w:color w:val="auto"/>
        </w:rPr>
      </w:pPr>
    </w:p>
    <w:p>
      <w:pPr>
        <w:ind w:right="100" w:firstLine="589"/>
        <w:spacing w:after="0" w:line="261" w:lineRule="auto"/>
        <w:rPr>
          <w:sz w:val="20"/>
          <w:szCs w:val="20"/>
          <w:color w:val="auto"/>
        </w:rPr>
      </w:pPr>
      <w:r>
        <w:rPr>
          <w:rFonts w:ascii="Arial" w:cs="Arial" w:eastAsia="Arial" w:hAnsi="Arial"/>
          <w:sz w:val="17"/>
          <w:szCs w:val="17"/>
          <w:color w:val="auto"/>
        </w:rPr>
        <w:t>Vonoprazan further demonstrated a more rapid clinical effect versus lansoprazole with a superior healing rate at Week 2 (91% vs. 82%, p&lt;0.0001 for non-inferiority and p=0.0132 in a post hoc superiority analysis). The treatment effect was more pronounced in the more severe patients with Los Angeles Class C or D disease (88% vs. 64%, p=0.0008 for superiority). Of the seven patients who failed lansoprazole treatment and continued into the additional treatment period, six healed with four weeks of treatment of 40 mg vonoprazan QD.</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Results of Japan Phase 3 Clinical Trial in the Healing of Erosive Esophagitis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1201420</wp:posOffset>
            </wp:positionH>
            <wp:positionV relativeFrom="paragraph">
              <wp:posOffset>148590</wp:posOffset>
            </wp:positionV>
            <wp:extent cx="4748530" cy="1795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48530" cy="179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589"/>
        <w:spacing w:after="0" w:line="265" w:lineRule="auto"/>
        <w:rPr>
          <w:sz w:val="20"/>
          <w:szCs w:val="20"/>
          <w:color w:val="auto"/>
        </w:rPr>
      </w:pPr>
      <w:r>
        <w:rPr>
          <w:rFonts w:ascii="Arial" w:cs="Arial" w:eastAsia="Arial" w:hAnsi="Arial"/>
          <w:sz w:val="17"/>
          <w:szCs w:val="17"/>
          <w:color w:val="auto"/>
        </w:rPr>
        <w:t>In addition, in the lead-in period of the Japan Phase 3 maintenance of healing clinical trial discussed below, patients were treated with vonoprazan 20 mg for up to eight weeks before proceeding into treatment for the maintenance of healing of erosive esophagitis. The healing rate at Week 2 and through Week 8 during this lead-in healing period was 91% and 99%, respectively.</w:t>
      </w:r>
    </w:p>
    <w:p>
      <w:pPr>
        <w:spacing w:after="0" w:line="175" w:lineRule="exact"/>
        <w:rPr>
          <w:sz w:val="20"/>
          <w:szCs w:val="20"/>
          <w:color w:val="auto"/>
        </w:rPr>
      </w:pPr>
    </w:p>
    <w:p>
      <w:pPr>
        <w:ind w:firstLine="589"/>
        <w:spacing w:after="0" w:line="273" w:lineRule="auto"/>
        <w:rPr>
          <w:sz w:val="20"/>
          <w:szCs w:val="20"/>
          <w:color w:val="auto"/>
        </w:rPr>
      </w:pPr>
      <w:r>
        <w:rPr>
          <w:rFonts w:ascii="Arial" w:cs="Arial" w:eastAsia="Arial" w:hAnsi="Arial"/>
          <w:sz w:val="16"/>
          <w:szCs w:val="16"/>
          <w:color w:val="auto"/>
        </w:rPr>
        <w:t>In a second multicenter, randomized, double-blind, parallel-group Phase 3 clinical trial in China, Malaysia, Taiwan, and Korea, 703 patients with healed erosive esophagitis, 20.6% of whom had Los Angeles Grade C or D disease prior to EE healing, were randomized to receive vonoprazan 10 mg QD, vonoprazan 20 mg QD, or lansoprazole 15 mg QD for 24 weeks. The primary endpoint was the percent of patients with recurrence of erosive esophagitis at Week 24 as assessed by endoscopy. Recurrence rates were 25.5% for lansoprazole 15 mg QD, 13.3% for vonoprazan 10 mg QD, and 12.3% for vonoprazan 20 mg QD. Both doses of vonoprazan were superior to lansoprazole in preventing endoscopic recurrence (95% confidence interval of treatment difference of -20.3% to -4.3% for vonoprazan 10mg QD as compared to lansoprazole 15mg QD and -21.3% to -5.3% for vonoprazan 20 mg QD as compared to lansoprazole 15mg QD. Among Los Angeles Grade C or D patients, recurrence rates were 41.7% for lansoprazole 15 mg QD, 28.2% for vonoprazan 10 mg QD, and 12.5% for vonoprazan 20 mg QD. The 20 mg dose of vonoprazan was superior to lansoprazole in preventing endoscopic recurrence in Grade C or D patients (95% confidence interval of treatment difference of -48.9% to -9.4% for vonoprazan 20 mg QD as compared to lansoprazole 15mg QD).</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Maintenance of Healing of Erosive Esophagitis Clinical Trials in Japan and Asia</w:t>
      </w:r>
    </w:p>
    <w:p>
      <w:pPr>
        <w:spacing w:after="0" w:line="177" w:lineRule="exact"/>
        <w:rPr>
          <w:sz w:val="20"/>
          <w:szCs w:val="20"/>
          <w:color w:val="auto"/>
        </w:rPr>
      </w:pPr>
    </w:p>
    <w:p>
      <w:pPr>
        <w:ind w:firstLine="589"/>
        <w:spacing w:after="0" w:line="261" w:lineRule="auto"/>
        <w:rPr>
          <w:sz w:val="20"/>
          <w:szCs w:val="20"/>
          <w:color w:val="auto"/>
        </w:rPr>
      </w:pPr>
      <w:r>
        <w:rPr>
          <w:rFonts w:ascii="Arial" w:cs="Arial" w:eastAsia="Arial" w:hAnsi="Arial"/>
          <w:sz w:val="17"/>
          <w:szCs w:val="17"/>
          <w:color w:val="auto"/>
        </w:rPr>
        <w:t>In a multicenter, randomized, double-blind, parallel-group Phase 3 clinical trial in Japan, 627 patients with erosive esophagitis were treated with vonoprazan 20 mg QD for two, four, or eight weeks. After this lead-in period, a total of 607 patients with healed erosive esophagitis, of whom 124 had Los Angeles Class C or D disease, were randomized to receive vonoprazan 10 mg QD, vonoprazan 20 mg QD, or lansoprazole 15 mg QD for 24 weeks. The primary endpoint was the percent of patients with recurrence of erosive esophagitis at Week 24 as assessed by endoscopy.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7"/>
          <w:szCs w:val="17"/>
          <w:b w:val="1"/>
          <w:bCs w:val="1"/>
          <w:color w:val="auto"/>
        </w:rPr>
        <w:t>Design of Japan Phase 3 Clinical Trial in Maintenance of Healing of Erosive Esophagitis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148590</wp:posOffset>
            </wp:positionV>
            <wp:extent cx="4911725" cy="1574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11725" cy="157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Vonoprazan achieved the primary endpoint of non-inferiority versus lansoprazole on the percent of patients with recurrence of erosive esophagitis during the 24-week maintenance period. Patients on lansoprazole had a 17% recurrence rate of erosive esophagitis after 24 weeks of daily treatment, versus 5% for patients on vonoprazan 10 mg and 2% for patients on vonoprazan 20 mg (p&lt;0.0001 for non-inferiority of both vonoprazan doses vs. lansoprazole). Both vonoprazan doses were superior to lansoprazole in a post hoc analysis (p=0.0002 for vonoprazan 10 mg and p&lt;0.0001 for vonoprazan 20 mg). As shown below, the superiority of each dose of vonoprazan to lansoprazole was demonstrated in both Los Angeles Class A and B patients, as well as the more severe Los Angeles Class C and D patients. We believe this result demonstrates the improved potency and durability of vonoprazan versus lansoprazole in all patients with erosive esophagitis.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Results of Japan Phase 3 Clinical Trial in Maintenance of Healing of Erosive Esophagitis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148590</wp:posOffset>
            </wp:positionV>
            <wp:extent cx="4577080" cy="19989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77080" cy="199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firstLine="589"/>
        <w:spacing w:after="0" w:line="298" w:lineRule="auto"/>
        <w:rPr>
          <w:sz w:val="20"/>
          <w:szCs w:val="20"/>
          <w:color w:val="auto"/>
        </w:rPr>
      </w:pPr>
      <w:r>
        <w:rPr>
          <w:rFonts w:ascii="Arial" w:cs="Arial" w:eastAsia="Arial" w:hAnsi="Arial"/>
          <w:sz w:val="15"/>
          <w:szCs w:val="15"/>
          <w:color w:val="auto"/>
        </w:rPr>
        <w:t>In a second multicenter, randomized, double-blind, parallel-group Phase 3 clinical trial in China, Malaysia, Taiwan, and Korea, patients with healed erosive esophagitis, 20.6% of whom had Los Angeles Class C or D disease prior to EE healing, were randomized to receive vonoprazan 10 mg QD, vonoprazan 20 mg QD, or lansoprazole 15 mg QD for 24 weeks. The primary endpoint was the percent of patients with recurrence of erosive esophagitis at Week 24 as assessed by endoscopy. Recurrence rates were 25.5% for lansoprazole 15 mg QD, 13.3% for vonoprazan 10 mg QD, and 12.3% for vonoprazan 20 mg QD. Both doses of vonoprazan were superior to lansoprazole in preventing endoscopic recurrence (95% confidence interval of treatment difference of -20.3% to -4.3% for vonoprazan 10mg QD as compared to lansoprazole 15mg QD and -21.3% to -5.3% for vonoprazan 20 mg QD as compared to lansoprazole 15mg QD).</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Symptom Relief</w:t>
      </w:r>
    </w:p>
    <w:p>
      <w:pPr>
        <w:spacing w:after="0" w:line="177" w:lineRule="exact"/>
        <w:rPr>
          <w:sz w:val="20"/>
          <w:szCs w:val="20"/>
          <w:color w:val="auto"/>
        </w:rPr>
      </w:pPr>
    </w:p>
    <w:p>
      <w:pPr>
        <w:ind w:right="340" w:firstLine="589"/>
        <w:spacing w:after="0" w:line="278" w:lineRule="auto"/>
        <w:rPr>
          <w:sz w:val="20"/>
          <w:szCs w:val="20"/>
          <w:color w:val="auto"/>
        </w:rPr>
      </w:pPr>
      <w:r>
        <w:rPr>
          <w:rFonts w:ascii="Arial" w:cs="Arial" w:eastAsia="Arial" w:hAnsi="Arial"/>
          <w:sz w:val="17"/>
          <w:szCs w:val="17"/>
          <w:color w:val="auto"/>
        </w:rPr>
        <w:t>We believe the rapid pharmacodynamic effects of vonoprazan may provide complete and sustained heartburn relief more quickly compared to PPIs. A double-blind, randomized, investigator-sponsored clinical trial in 32</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16" w:name="page17"/>
    <w:bookmarkEnd w:id="16"/>
    <w:p>
      <w:pPr>
        <w:ind w:right="120"/>
        <w:spacing w:after="0" w:line="316" w:lineRule="auto"/>
        <w:rPr>
          <w:sz w:val="20"/>
          <w:szCs w:val="20"/>
          <w:color w:val="auto"/>
        </w:rPr>
      </w:pPr>
      <w:r>
        <w:rPr>
          <w:rFonts w:ascii="Arial" w:cs="Arial" w:eastAsia="Arial" w:hAnsi="Arial"/>
          <w:sz w:val="15"/>
          <w:szCs w:val="15"/>
          <w:color w:val="auto"/>
        </w:rPr>
        <w:t>patients with erosive esophagitis compared the effects of vonoprazan 20 mg and lansoprazole 30 mg on the time to achieve complete heartburn relief, defined as seven days without heartburn symptoms. Vonoprazan demonstrated a faster time to complete heartburn relief than lansoprazole, and this complete relief was most pronounced for nighttime heartburn. The results of the trial are summarized below. We plan to evaluate a similar endpoint in our ongoing Phase 3 clinical trial.</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Faster Onset and Higher Rate of Complete Heartburn Relief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148590</wp:posOffset>
            </wp:positionV>
            <wp:extent cx="4780915" cy="2039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780915" cy="2039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Erosive Esophagitis Phase 3 Program</w:t>
      </w:r>
    </w:p>
    <w:p>
      <w:pPr>
        <w:spacing w:after="0" w:line="177" w:lineRule="exact"/>
        <w:rPr>
          <w:sz w:val="20"/>
          <w:szCs w:val="20"/>
          <w:color w:val="auto"/>
        </w:rPr>
      </w:pPr>
    </w:p>
    <w:p>
      <w:pPr>
        <w:ind w:right="460" w:firstLine="589"/>
        <w:spacing w:after="0" w:line="265" w:lineRule="auto"/>
        <w:rPr>
          <w:sz w:val="20"/>
          <w:szCs w:val="20"/>
          <w:color w:val="auto"/>
        </w:rPr>
      </w:pPr>
      <w:r>
        <w:rPr>
          <w:rFonts w:ascii="Arial" w:cs="Arial" w:eastAsia="Arial" w:hAnsi="Arial"/>
          <w:sz w:val="17"/>
          <w:szCs w:val="17"/>
          <w:color w:val="auto"/>
        </w:rPr>
        <w:t>We initiated PHALCON-EE, a single Phase 3 clinical trial of vonoprazan to assess the healing of erosive esophagitis and relief of heartburn, and the maintenance of healing of erosive esophagitis and relief of heartburn in the fourth quarter of 2019. Our investigational new drug, or IND, application for vonoprazan in erosive esophagitis was accepted by the FDA in September 2019.</w:t>
      </w:r>
    </w:p>
    <w:p>
      <w:pPr>
        <w:spacing w:after="0" w:line="149" w:lineRule="exact"/>
        <w:rPr>
          <w:sz w:val="20"/>
          <w:szCs w:val="20"/>
          <w:color w:val="auto"/>
        </w:rPr>
      </w:pPr>
    </w:p>
    <w:p>
      <w:pPr>
        <w:ind w:right="160" w:firstLine="589"/>
        <w:spacing w:after="0" w:line="261" w:lineRule="auto"/>
        <w:rPr>
          <w:sz w:val="20"/>
          <w:szCs w:val="20"/>
          <w:color w:val="auto"/>
        </w:rPr>
      </w:pPr>
      <w:r>
        <w:rPr>
          <w:rFonts w:ascii="Arial" w:cs="Arial" w:eastAsia="Arial" w:hAnsi="Arial"/>
          <w:sz w:val="17"/>
          <w:szCs w:val="17"/>
          <w:color w:val="auto"/>
        </w:rPr>
        <w:t>We have enrolled over 1,000 patients with endoscopically confirmed erosive esophagitis in this clinical trial, of which the more severe patients, Los Angeles Class C or D patients were targeted to comprise 30% of the subjects. The clinical trial has both a healing phase and a maintenance phase. As patients are re-randomized between the healing phase and the maintenance phase, each phase will be analyzed independently and have independent primary and secondary endpoints.</w:t>
      </w:r>
    </w:p>
    <w:p>
      <w:pPr>
        <w:spacing w:after="0" w:line="139" w:lineRule="exact"/>
        <w:rPr>
          <w:sz w:val="20"/>
          <w:szCs w:val="20"/>
          <w:color w:val="auto"/>
        </w:rPr>
      </w:pPr>
    </w:p>
    <w:p>
      <w:pPr>
        <w:ind w:left="1000" w:hanging="419"/>
        <w:spacing w:after="0" w:line="298" w:lineRule="auto"/>
        <w:tabs>
          <w:tab w:leader="none" w:pos="100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Healing phase</w:t>
      </w:r>
      <w:r>
        <w:rPr>
          <w:rFonts w:ascii="Arial" w:cs="Arial" w:eastAsia="Arial" w:hAnsi="Arial"/>
          <w:sz w:val="15"/>
          <w:szCs w:val="15"/>
          <w:color w:val="auto"/>
        </w:rPr>
        <w:t>: During the healing phase, patients were randomized 1:1 to receive either vonoprazan 20 mg QD or lansoprazole 30 mg QD for up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eight weeks. The lansoprazole 30 mg QD dose is recommended in the FDA prescribing information for lansoprazole. The primary endpoint for this phase is the percentage of patients with complete healing of erosive esophagitis by Week 8 as assessed by endoscopy with a primary analysis of non-inferiority. Key secondary endpoints include: the percentage of patients with complete healing of erosive esophagitis at Week 2; percentage of patients with Los Angeles Class C or D erosive esophagitis disease with complete healing at Week 2 and Week 8; percentage of patients with onset of sustained heartburn relief by Day 3 of treatment; and the percentage of 24-hour heartburn free days over the healing phase.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17" w:name="page18"/>
    <w:bookmarkEnd w:id="17"/>
    <w:p>
      <w:pPr>
        <w:ind w:left="1000" w:right="40" w:hanging="419"/>
        <w:spacing w:after="0" w:line="275"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Maintenance phase</w:t>
      </w:r>
      <w:r>
        <w:rPr>
          <w:rFonts w:ascii="Arial" w:cs="Arial" w:eastAsia="Arial" w:hAnsi="Arial"/>
          <w:sz w:val="16"/>
          <w:szCs w:val="16"/>
          <w:color w:val="auto"/>
        </w:rPr>
        <w:t>: Patients with complete healing of erosive esophagitis at Week 2 or Week 8 in the healing phase are re-randomized 1:1:1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maintenance phase. During this phase, patients receive either vonoprazan 10 mg QD, vonoprazan 20 mg QD, or lansoprazole 15 mg QD for 24 weeks. The lansoprazole 15 mg QD dose is recommended in the FDA prescribing information for the maintenance of healing indication. The primary endpoint for this phase is the percentage of patients who maintain complete healing after 24 weeks as assessed by endoscopy with a primary analysis of non-inferiority. If non-inferiority is demonstrated, then an analysis for superiority will also be performed. Key secondary endpoints include the percentage of patients with Los Angeles Class C or D erosive esophagitis disease who maintain complete healing after 24 weeks and the percentage of 24-hour heartburn free days over the maintenance phase.</w:t>
      </w:r>
    </w:p>
    <w:p>
      <w:pPr>
        <w:spacing w:after="0" w:line="130" w:lineRule="exact"/>
        <w:rPr>
          <w:sz w:val="20"/>
          <w:szCs w:val="20"/>
          <w:color w:val="auto"/>
        </w:rPr>
      </w:pPr>
    </w:p>
    <w:p>
      <w:pPr>
        <w:jc w:val="both"/>
        <w:ind w:right="100" w:firstLine="589"/>
        <w:spacing w:after="0" w:line="289" w:lineRule="auto"/>
        <w:rPr>
          <w:sz w:val="20"/>
          <w:szCs w:val="20"/>
          <w:color w:val="auto"/>
        </w:rPr>
      </w:pPr>
      <w:r>
        <w:rPr>
          <w:rFonts w:ascii="Arial" w:cs="Arial" w:eastAsia="Arial" w:hAnsi="Arial"/>
          <w:sz w:val="16"/>
          <w:szCs w:val="16"/>
          <w:color w:val="auto"/>
        </w:rPr>
        <w:t>Our Phase 3 trial design is modeled after the successful Phase 3 clinical trials conducted in Japan and Asia with limited differences other than combining both the healing and maintenance of erosive esophagitis into a single study. In Japan and Asia, separate clinical trials were conducted for each of these indications. We believe we can simplify patient recruitment by conducting a single clinical trial and re-randomizing patients between phases.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Design for PHALCON-EE Phase 3 Erosive Esophagitis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1201420</wp:posOffset>
            </wp:positionH>
            <wp:positionV relativeFrom="paragraph">
              <wp:posOffset>148590</wp:posOffset>
            </wp:positionV>
            <wp:extent cx="4748530" cy="18440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48530"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firstLine="589"/>
        <w:spacing w:after="0" w:line="278" w:lineRule="auto"/>
        <w:rPr>
          <w:sz w:val="20"/>
          <w:szCs w:val="20"/>
          <w:color w:val="auto"/>
        </w:rPr>
      </w:pPr>
      <w:r>
        <w:rPr>
          <w:rFonts w:ascii="Arial" w:cs="Arial" w:eastAsia="Arial" w:hAnsi="Arial"/>
          <w:sz w:val="17"/>
          <w:szCs w:val="17"/>
          <w:color w:val="auto"/>
        </w:rPr>
        <w:t>We expect to report top-line data from this trial in the second half of 2021 and, if successful, file a regulatory submission for marketing approval in the first half of 2022.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Development Program in Symptomatic Non-Erosive Reflux Disease (NERD)</w:t>
      </w:r>
    </w:p>
    <w:p>
      <w:pPr>
        <w:spacing w:after="0" w:line="183" w:lineRule="exact"/>
        <w:rPr>
          <w:sz w:val="20"/>
          <w:szCs w:val="20"/>
          <w:color w:val="auto"/>
        </w:rPr>
      </w:pPr>
    </w:p>
    <w:p>
      <w:pPr>
        <w:ind w:right="140" w:firstLine="589"/>
        <w:spacing w:after="0" w:line="282" w:lineRule="auto"/>
        <w:rPr>
          <w:sz w:val="20"/>
          <w:szCs w:val="20"/>
          <w:color w:val="auto"/>
        </w:rPr>
      </w:pPr>
      <w:r>
        <w:rPr>
          <w:rFonts w:ascii="Arial" w:cs="Arial" w:eastAsia="Arial" w:hAnsi="Arial"/>
          <w:sz w:val="16"/>
          <w:szCs w:val="16"/>
          <w:color w:val="auto"/>
        </w:rPr>
        <w:t>We believe that there is opportunity to broadly position vonoprazan’s use in GERD with an indication in symptomatic NERD, in addition to an indication in erosive esophagitis. We plan to develop vonoprazan in NERD with both daily and on-demand, or as-needed, dosing regimens. NERD patients do not have esophageal erosions which require chronic treatment to prevent recurrence of erosions and its potential sequelae. We believe the rapid onset of action of vonoprazan may enable on-demand use for the management of heartburn in NERD patients as an alternative to chronic daily treatment with PPIs.</w:t>
      </w:r>
    </w:p>
    <w:p>
      <w:pPr>
        <w:spacing w:after="0" w:line="125" w:lineRule="exact"/>
        <w:rPr>
          <w:sz w:val="20"/>
          <w:szCs w:val="20"/>
          <w:color w:val="auto"/>
        </w:rPr>
      </w:pPr>
    </w:p>
    <w:p>
      <w:pPr>
        <w:ind w:right="120" w:firstLine="589"/>
        <w:spacing w:after="0" w:line="272" w:lineRule="auto"/>
        <w:rPr>
          <w:sz w:val="20"/>
          <w:szCs w:val="20"/>
          <w:color w:val="auto"/>
        </w:rPr>
      </w:pPr>
      <w:r>
        <w:rPr>
          <w:rFonts w:ascii="Arial" w:cs="Arial" w:eastAsia="Arial" w:hAnsi="Arial"/>
          <w:sz w:val="16"/>
          <w:szCs w:val="16"/>
          <w:color w:val="auto"/>
        </w:rPr>
        <w:t>Takeda conducted two Phase 3 multicenter, randomized, double-blind, parallel group trials with vonoprazan in Japanese patients with endoscopically confirmed NERD. In the first clinical trial, vonoprazan demonstrated a significant reduction in symptom severity versus placebo (p=0.0139), and in the second trial, vonoprazan demonstrated a faster onset of symptom relief versus placebo (p=0.0003). However, the studies did not show a statistically significant difference in the primary endpoint of proportion of days over a 4-week period without heartburn between vonoprazan and placebo (p=0.0504 and p=0.0643). We believe that the design of these trials may have contributed to their results. For example, the first trial, which studied vonoprazan 10 mg and 20 mg, included a 1-week single blind antacid run-in period where patients were instructed to take antacids after each meal, 3 times per day. Only those patients who did not respond to the antacid treatment were randomized into the double-blind portion of the trial. We believe this design unintentionally enriched the study with patients with non-acid related, or functional disease. In contrast, none of the PPI placebo-controlled continuous dosing studies that were used for U.S. registration employed an antacid run-in period. A high number of subjects suffering from functional heartburn might explain the unusually low response rates seen in this trial both for placebo (7%) and the vonoprazan test regimens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ind w:right="180"/>
        <w:spacing w:after="0" w:line="278" w:lineRule="auto"/>
        <w:rPr>
          <w:sz w:val="20"/>
          <w:szCs w:val="20"/>
          <w:color w:val="auto"/>
        </w:rPr>
      </w:pPr>
      <w:r>
        <w:rPr>
          <w:rFonts w:ascii="Arial" w:cs="Arial" w:eastAsia="Arial" w:hAnsi="Arial"/>
          <w:sz w:val="17"/>
          <w:szCs w:val="17"/>
          <w:color w:val="auto"/>
        </w:rPr>
        <w:t>(10-12%). In addition, nearly 40% of all patients in this study did not experience a single heartburn free day during the 4 weeks of the study, which in our view is suggestive of a highly prevalent functional heartburn patient population.</w:t>
      </w:r>
    </w:p>
    <w:p>
      <w:pPr>
        <w:spacing w:after="0" w:line="138" w:lineRule="exact"/>
        <w:rPr>
          <w:sz w:val="20"/>
          <w:szCs w:val="20"/>
          <w:color w:val="auto"/>
        </w:rPr>
      </w:pPr>
    </w:p>
    <w:p>
      <w:pPr>
        <w:ind w:right="300" w:firstLine="589"/>
        <w:spacing w:after="0" w:line="289" w:lineRule="auto"/>
        <w:rPr>
          <w:sz w:val="20"/>
          <w:szCs w:val="20"/>
          <w:color w:val="auto"/>
        </w:rPr>
      </w:pPr>
      <w:r>
        <w:rPr>
          <w:rFonts w:ascii="Arial" w:cs="Arial" w:eastAsia="Arial" w:hAnsi="Arial"/>
          <w:sz w:val="15"/>
          <w:szCs w:val="15"/>
          <w:color w:val="auto"/>
        </w:rPr>
        <w:t>In the second study, the single-blind run-in period was changed to be a placebo run-in, where responders would not be eligible for double-blind period; added a specific exclusion criterion for functional heartburn; reduced the diary collection period from twice daily to once daily; and dropped the 20 mg dose choosing to study the 10 mg dose. In contrast to the first study, this study produced historically high placebo response rate (62%). Nevertheless, the data in this study show a clearer benefit of vonoprazan (73%) over placebo than the first study. While the primary endpoint of heartburn free days missed significance (p=</w:t>
      </w:r>
    </w:p>
    <w:p>
      <w:pPr>
        <w:spacing w:after="0" w:line="3" w:lineRule="exact"/>
        <w:rPr>
          <w:sz w:val="20"/>
          <w:szCs w:val="20"/>
          <w:color w:val="auto"/>
        </w:rPr>
      </w:pPr>
    </w:p>
    <w:p>
      <w:pPr>
        <w:jc w:val="both"/>
        <w:ind w:right="80"/>
        <w:spacing w:after="0" w:line="258" w:lineRule="auto"/>
        <w:rPr>
          <w:sz w:val="20"/>
          <w:szCs w:val="20"/>
          <w:color w:val="auto"/>
        </w:rPr>
      </w:pPr>
      <w:r>
        <w:rPr>
          <w:rFonts w:ascii="Arial" w:cs="Arial" w:eastAsia="Arial" w:hAnsi="Arial"/>
          <w:sz w:val="17"/>
          <w:szCs w:val="17"/>
          <w:color w:val="auto"/>
        </w:rPr>
        <w:t>0.0643) due to the high placebo response, we believe this study shows that vonoprazan demonstrates improvement in NERD compared to placebo. We believe that reducing the diary to once daily may have contributed to a higher placebo response, and that not including the 20 mg dose prevented this trial from having its best chance at succeeding.</w:t>
      </w:r>
    </w:p>
    <w:p>
      <w:pPr>
        <w:spacing w:after="0" w:line="142" w:lineRule="exact"/>
        <w:rPr>
          <w:sz w:val="20"/>
          <w:szCs w:val="20"/>
          <w:color w:val="auto"/>
        </w:rPr>
      </w:pPr>
    </w:p>
    <w:p>
      <w:pPr>
        <w:jc w:val="both"/>
        <w:ind w:right="20" w:firstLine="589"/>
        <w:spacing w:after="0" w:line="265" w:lineRule="auto"/>
        <w:rPr>
          <w:sz w:val="20"/>
          <w:szCs w:val="20"/>
          <w:color w:val="auto"/>
        </w:rPr>
      </w:pPr>
      <w:r>
        <w:rPr>
          <w:rFonts w:ascii="Arial" w:cs="Arial" w:eastAsia="Arial" w:hAnsi="Arial"/>
          <w:sz w:val="17"/>
          <w:szCs w:val="17"/>
          <w:color w:val="auto"/>
        </w:rPr>
        <w:t>The Japanese PPI NERD trials have generally seen higher placebo response rates and reduced effect sizes than the U.S. PPI NERD counterpart studies. We think this is related to regional variations in identifying true heartburn over other GI related symptoms</w:t>
      </w:r>
      <w:r>
        <w:rPr>
          <w:rFonts w:ascii="Arial" w:cs="Arial" w:eastAsia="Arial" w:hAnsi="Arial"/>
          <w:sz w:val="15"/>
          <w:szCs w:val="15"/>
          <w:color w:val="auto"/>
        </w:rPr>
        <w:t>.</w:t>
      </w:r>
      <w:r>
        <w:rPr>
          <w:rFonts w:ascii="Arial" w:cs="Arial" w:eastAsia="Arial" w:hAnsi="Arial"/>
          <w:sz w:val="17"/>
          <w:szCs w:val="17"/>
          <w:color w:val="auto"/>
        </w:rPr>
        <w:t xml:space="preserve"> Accordingly, we have decided to conduct our initial NERD study only at sites located in the United States.</w:t>
      </w:r>
    </w:p>
    <w:p>
      <w:pPr>
        <w:spacing w:after="0" w:line="136" w:lineRule="exact"/>
        <w:rPr>
          <w:sz w:val="20"/>
          <w:szCs w:val="20"/>
          <w:color w:val="auto"/>
        </w:rPr>
      </w:pPr>
    </w:p>
    <w:p>
      <w:pPr>
        <w:ind w:right="200" w:firstLine="589"/>
        <w:spacing w:after="0" w:line="316" w:lineRule="auto"/>
        <w:rPr>
          <w:sz w:val="20"/>
          <w:szCs w:val="20"/>
          <w:color w:val="auto"/>
        </w:rPr>
      </w:pPr>
      <w:r>
        <w:rPr>
          <w:rFonts w:ascii="Arial" w:cs="Arial" w:eastAsia="Arial" w:hAnsi="Arial"/>
          <w:sz w:val="15"/>
          <w:szCs w:val="15"/>
          <w:color w:val="auto"/>
        </w:rPr>
        <w:t>In a Phase 2 clinical trial in European patients with NERD who were partial responders to high dose PPIs, vonoprazan did not demonstrate superiority versus esomeprazole in the primary endpoint of the percentage of heartburn free days over the four-week treatment period. As was the case with the NERD trials conducted by Takeda in Japanese patients, we believe this result may have been due to inclusion of patients with GI disorders unrelated to acid.</w:t>
      </w:r>
    </w:p>
    <w:p>
      <w:pPr>
        <w:spacing w:after="0" w:line="3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On-Demand Dosing</w:t>
      </w:r>
    </w:p>
    <w:p>
      <w:pPr>
        <w:spacing w:after="0" w:line="190"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We believe the rapid onset of action of vonoprazan may enable on-demand, or as needed, use for the relief of symptoms as an alternative to chronic daily treatment in NERD. In an open-label, investigator-sponsored clinical trial in Japan in NERD, the effectiveness of vonoprazan as an on-demand therapy was compared to that of daily PPI therapy with a number of different PPIs. In this clinical trial, patients utilized approximately 80% fewer doses of vonoprazan compared to PPIs but demonstrated similar levels of patient satisfaction. We plan to initiate a Phase 2 trial evaluating vonoprazan in on-demand treatment of NERD in the second quarter of 2021. The clinical objective of this dosing approach is rapid relief of an active heartburn episode that also lasts a minimum of a full day. In our NERD studies, we plan to emphasize the exclusion of confirmed or suspected functional heartburn patients. For this Phase 2 study, this will be further enhanced by using a 4-week vonoprazan run-in period and randomizing responders to the double-blind period. In addition, our Phase 2 on-demand study will evaluate a range of doses in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color w:val="auto"/>
        </w:rPr>
        <w:t>order to determine the lowest effective dose that achieves the most rapid and durable relief. We also plan to employ modern digital diary collection tools.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Design for Phase 2 NERD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1331595</wp:posOffset>
            </wp:positionH>
            <wp:positionV relativeFrom="paragraph">
              <wp:posOffset>148590</wp:posOffset>
            </wp:positionV>
            <wp:extent cx="4479290" cy="2096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479290" cy="2096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We expect to report topline date from this clinical trial in the first half of 2022.</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Continuous Dosing</w:t>
      </w:r>
    </w:p>
    <w:p>
      <w:pPr>
        <w:spacing w:after="0" w:line="177" w:lineRule="exact"/>
        <w:rPr>
          <w:sz w:val="20"/>
          <w:szCs w:val="20"/>
          <w:color w:val="auto"/>
        </w:rPr>
      </w:pPr>
    </w:p>
    <w:p>
      <w:pPr>
        <w:ind w:right="140" w:firstLine="864"/>
        <w:spacing w:after="0" w:line="282" w:lineRule="auto"/>
        <w:rPr>
          <w:sz w:val="20"/>
          <w:szCs w:val="20"/>
          <w:color w:val="auto"/>
        </w:rPr>
      </w:pPr>
      <w:r>
        <w:rPr>
          <w:rFonts w:ascii="Arial" w:cs="Arial" w:eastAsia="Arial" w:hAnsi="Arial"/>
          <w:sz w:val="16"/>
          <w:szCs w:val="16"/>
          <w:color w:val="auto"/>
        </w:rPr>
        <w:t>We also plan on conducting a Phase 3 study evaluating vonoprazan continuous, or daily, dosing for the treatment of NERD. Our plans are to explore both vonoprazan10 mg and 20 mg doses in the Phase 3 continuous dosing study, like our ongoing Phase 3 study in erosive esophagitis. Although we have not yet finalized the design of our Phase 3 NERD trials, we anticipate the primary endpoint of this trial will be the percentage of twenty-four-hour heartburn-free days, which is the same endpoint used in Phase 3 trials for PPIs that are approved for the treatment of NERD.</w:t>
      </w:r>
    </w:p>
    <w:p>
      <w:pPr>
        <w:spacing w:after="0" w:line="337" w:lineRule="exact"/>
        <w:rPr>
          <w:sz w:val="20"/>
          <w:szCs w:val="20"/>
          <w:color w:val="auto"/>
        </w:rPr>
      </w:pPr>
    </w:p>
    <w:p>
      <w:pPr>
        <w:ind w:right="5020"/>
        <w:spacing w:after="0" w:line="461" w:lineRule="auto"/>
        <w:rPr>
          <w:sz w:val="20"/>
          <w:szCs w:val="20"/>
          <w:color w:val="auto"/>
        </w:rPr>
      </w:pPr>
      <w:r>
        <w:rPr>
          <w:rFonts w:ascii="Arial" w:cs="Arial" w:eastAsia="Arial" w:hAnsi="Arial"/>
          <w:sz w:val="17"/>
          <w:szCs w:val="17"/>
          <w:b w:val="1"/>
          <w:bCs w:val="1"/>
          <w:color w:val="auto"/>
        </w:rPr>
        <w:t xml:space="preserve">Vonoprazan in Combination with Antibiotics for the Treatment of </w:t>
      </w:r>
      <w:r>
        <w:rPr>
          <w:rFonts w:ascii="Arial" w:cs="Arial" w:eastAsia="Arial" w:hAnsi="Arial"/>
          <w:sz w:val="17"/>
          <w:szCs w:val="17"/>
          <w:b w:val="1"/>
          <w:bCs w:val="1"/>
          <w:i w:val="1"/>
          <w:iCs w:val="1"/>
          <w:color w:val="auto"/>
        </w:rPr>
        <w:t>H. pylori</w:t>
      </w:r>
      <w:r>
        <w:rPr>
          <w:rFonts w:ascii="Arial" w:cs="Arial" w:eastAsia="Arial" w:hAnsi="Arial"/>
          <w:sz w:val="17"/>
          <w:szCs w:val="17"/>
          <w:b w:val="1"/>
          <w:bCs w:val="1"/>
          <w:color w:val="auto"/>
        </w:rPr>
        <w:t xml:space="preserve"> Infection </w:t>
      </w:r>
      <w:r>
        <w:rPr>
          <w:rFonts w:ascii="Arial" w:cs="Arial" w:eastAsia="Arial" w:hAnsi="Arial"/>
          <w:sz w:val="17"/>
          <w:szCs w:val="17"/>
          <w:b w:val="1"/>
          <w:bCs w:val="1"/>
          <w:i w:val="1"/>
          <w:iCs w:val="1"/>
          <w:color w:val="auto"/>
        </w:rPr>
        <w:t>Disease Burden and Outcomes</w:t>
      </w:r>
    </w:p>
    <w:p>
      <w:pPr>
        <w:ind w:firstLine="589"/>
        <w:spacing w:after="0" w:line="256" w:lineRule="auto"/>
        <w:rPr>
          <w:sz w:val="20"/>
          <w:szCs w:val="20"/>
          <w:color w:val="auto"/>
        </w:rPr>
      </w:pPr>
      <w:r>
        <w:rPr>
          <w:rFonts w:ascii="Arial" w:cs="Arial" w:eastAsia="Arial" w:hAnsi="Arial"/>
          <w:sz w:val="17"/>
          <w:szCs w:val="17"/>
          <w:i w:val="1"/>
          <w:iCs w:val="1"/>
          <w:color w:val="auto"/>
        </w:rPr>
        <w:t xml:space="preserve">H. pylori </w:t>
      </w:r>
      <w:r>
        <w:rPr>
          <w:rFonts w:ascii="Arial" w:cs="Arial" w:eastAsia="Arial" w:hAnsi="Arial"/>
          <w:sz w:val="17"/>
          <w:szCs w:val="17"/>
          <w:color w:val="auto"/>
        </w:rPr>
        <w:t>is a bacterial pathogen that infects approximately 35% of the U.S. population and 45% of the EU5 population. We estimate that there are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approximately 115 million individuals in the United States and 145 million individuals in the EU5 infected with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and we believe there are approximately 2.5 million patients treated for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in the United States each year. As a result of the chronic inflammation induced by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approximately 20% of infected patients develop a range of pathologies including dyspepsia, peptic ulcer disease, gastric cancer, and mucosa-associated lymphoid tissue (MALT) lymphoma. Gastric cancer is the third most common cause of cancer-related death worldwide, and over 80% of gastric cancers are attributed to </w:t>
      </w:r>
      <w:r>
        <w:rPr>
          <w:rFonts w:ascii="Arial" w:cs="Arial" w:eastAsia="Arial" w:hAnsi="Arial"/>
          <w:sz w:val="17"/>
          <w:szCs w:val="17"/>
          <w:i w:val="1"/>
          <w:iCs w:val="1"/>
          <w:color w:val="auto"/>
        </w:rPr>
        <w: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pylori </w:t>
      </w:r>
      <w:r>
        <w:rPr>
          <w:rFonts w:ascii="Arial" w:cs="Arial" w:eastAsia="Arial" w:hAnsi="Arial"/>
          <w:sz w:val="17"/>
          <w:szCs w:val="17"/>
          <w:color w:val="auto"/>
        </w:rPr>
        <w:t>infection. Globally there are more than one million new cases of gastric cancer and approximately 782,000 deaths each year. Eradication of</w:t>
      </w:r>
      <w:r>
        <w:rPr>
          <w:rFonts w:ascii="Arial" w:cs="Arial" w:eastAsia="Arial" w:hAnsi="Arial"/>
          <w:sz w:val="17"/>
          <w:szCs w:val="17"/>
          <w:i w:val="1"/>
          <w:iCs w:val="1"/>
          <w:color w:val="auto"/>
        </w:rPr>
        <w:t xml:space="preserve"> H. pylori </w:t>
      </w:r>
      <w:r>
        <w:rPr>
          <w:rFonts w:ascii="Arial" w:cs="Arial" w:eastAsia="Arial" w:hAnsi="Arial"/>
          <w:sz w:val="17"/>
          <w:szCs w:val="17"/>
          <w:color w:val="auto"/>
        </w:rPr>
        <w:t xml:space="preserve">infection has been proven to reduce the incidence of gastric cancer, and the American College of Gastroenterologists, or ACG, guidelines recommend treatment for all patients diagnosed with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w:t>
      </w:r>
    </w:p>
    <w:p>
      <w:pPr>
        <w:spacing w:after="0" w:line="156" w:lineRule="exact"/>
        <w:rPr>
          <w:sz w:val="20"/>
          <w:szCs w:val="20"/>
          <w:color w:val="auto"/>
        </w:rPr>
      </w:pPr>
    </w:p>
    <w:p>
      <w:pPr>
        <w:ind w:right="160" w:firstLine="589"/>
        <w:spacing w:after="0" w:line="278" w:lineRule="auto"/>
        <w:rPr>
          <w:sz w:val="20"/>
          <w:szCs w:val="20"/>
          <w:color w:val="auto"/>
        </w:rPr>
      </w:pPr>
      <w:r>
        <w:rPr>
          <w:rFonts w:ascii="Arial" w:cs="Arial" w:eastAsia="Arial" w:hAnsi="Arial"/>
          <w:sz w:val="16"/>
          <w:szCs w:val="16"/>
          <w:i w:val="1"/>
          <w:iCs w:val="1"/>
          <w:color w:val="auto"/>
        </w:rPr>
        <w:t xml:space="preserve">H. pylori </w:t>
      </w:r>
      <w:r>
        <w:rPr>
          <w:rFonts w:ascii="Arial" w:cs="Arial" w:eastAsia="Arial" w:hAnsi="Arial"/>
          <w:sz w:val="16"/>
          <w:szCs w:val="16"/>
          <w:color w:val="auto"/>
        </w:rPr>
        <w:t>eradication rates from the 1990s have fallen to current rates of &lt;80% due to increasing antibiotic resistance. In 2017, the World Health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Organization (WHO) listed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among the 16 antibiotic-resistant bacteria that pose the greatest threat to human health and designated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as a Class 1 carcinogen, meaning that it is a definite known cause of cancer. In 2014, the FDA added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to the agency’s list of qualifying pathogens that have the potential to pose a serious threat to public health under the GAIN Act. We believe that vonoprazan-based treatment regimens have the potential to restore eradication rates to their original rates in the United States and Europe given the clinical and post-marketing experience in the Japanese market.</w:t>
      </w: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294" w:right="379" w:bottom="1440" w:gutter="0" w:footer="0" w:header="0"/>
        </w:sectPr>
      </w:pPr>
    </w:p>
    <w:bookmarkStart w:id="20" w:name="page21"/>
    <w:bookmarkEnd w:id="20"/>
    <w:p>
      <w:pPr>
        <w:ind w:right="120" w:firstLine="589"/>
        <w:spacing w:after="0" w:line="282" w:lineRule="auto"/>
        <w:rPr>
          <w:sz w:val="20"/>
          <w:szCs w:val="20"/>
          <w:color w:val="auto"/>
        </w:rPr>
      </w:pPr>
      <w:r>
        <w:rPr>
          <w:rFonts w:ascii="Arial" w:cs="Arial" w:eastAsia="Arial" w:hAnsi="Arial"/>
          <w:sz w:val="16"/>
          <w:szCs w:val="16"/>
          <w:color w:val="auto"/>
        </w:rPr>
        <w:t xml:space="preserve">A recent study compiled real-world health insurance claims data in Japan from 2008 to 2016 for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eradication. Prior to vonoprazan’s approval in late 2014, the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eradication rate across Japan fell to below 80% as shown in the figure below. Approximately one year after vonoprazan’s launch, the eradication rate increased to greater than 85%. From January 2015 to March 2016, the eradication rate with PPI-containing regimens in Japan was between 78% and 82% while the eradication rate with vonoprazan-containing regimens was 91% across all claims in this analysis.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 xml:space="preserve">Eradication Rate of </w:t>
      </w:r>
      <w:r>
        <w:rPr>
          <w:rFonts w:ascii="Arial" w:cs="Arial" w:eastAsia="Arial" w:hAnsi="Arial"/>
          <w:sz w:val="17"/>
          <w:szCs w:val="17"/>
          <w:b w:val="1"/>
          <w:bCs w:val="1"/>
          <w:i w:val="1"/>
          <w:iCs w:val="1"/>
          <w:color w:val="auto"/>
        </w:rPr>
        <w:t>H. pylori</w:t>
      </w:r>
      <w:r>
        <w:rPr>
          <w:rFonts w:ascii="Arial" w:cs="Arial" w:eastAsia="Arial" w:hAnsi="Arial"/>
          <w:sz w:val="17"/>
          <w:szCs w:val="17"/>
          <w:b w:val="1"/>
          <w:bCs w:val="1"/>
          <w:color w:val="auto"/>
        </w:rPr>
        <w:t xml:space="preserve"> Infection in Japan Before and After Launch of Vonoprazan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1666240</wp:posOffset>
            </wp:positionH>
            <wp:positionV relativeFrom="paragraph">
              <wp:posOffset>148590</wp:posOffset>
            </wp:positionV>
            <wp:extent cx="3818255" cy="2088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18255" cy="2088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 xml:space="preserve">In Japan, vonoprazan-containing regimens have become the most common first line treatment. One-year post launch, approximately 80% of all treated </w:t>
      </w:r>
      <w:r>
        <w:rPr>
          <w:rFonts w:ascii="Arial" w:cs="Arial" w:eastAsia="Arial" w:hAnsi="Arial"/>
          <w:sz w:val="15"/>
          <w:szCs w:val="15"/>
          <w:i w:val="1"/>
          <w:iCs w:val="1"/>
          <w:color w:val="auto"/>
        </w:rPr>
        <w:t>H.</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pylori</w:t>
      </w:r>
      <w:r>
        <w:rPr>
          <w:rFonts w:ascii="Arial" w:cs="Arial" w:eastAsia="Arial" w:hAnsi="Arial"/>
          <w:sz w:val="17"/>
          <w:szCs w:val="17"/>
          <w:color w:val="auto"/>
        </w:rPr>
        <w:t>-infected patients received vonoprazan-based regimens.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Treatment Paradigm in the United States and Europe</w:t>
      </w:r>
    </w:p>
    <w:p>
      <w:pPr>
        <w:spacing w:after="0" w:line="183" w:lineRule="exact"/>
        <w:rPr>
          <w:sz w:val="20"/>
          <w:szCs w:val="20"/>
          <w:color w:val="auto"/>
        </w:rPr>
      </w:pPr>
    </w:p>
    <w:p>
      <w:pPr>
        <w:ind w:firstLine="589"/>
        <w:spacing w:after="0" w:line="278" w:lineRule="auto"/>
        <w:rPr>
          <w:sz w:val="20"/>
          <w:szCs w:val="20"/>
          <w:color w:val="auto"/>
        </w:rPr>
      </w:pPr>
      <w:r>
        <w:rPr>
          <w:rFonts w:ascii="Arial" w:cs="Arial" w:eastAsia="Arial" w:hAnsi="Arial"/>
          <w:sz w:val="16"/>
          <w:szCs w:val="16"/>
          <w:color w:val="auto"/>
        </w:rPr>
        <w:t xml:space="preserve">The ACG treatment guidelines for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recommend using PPIs in conjunction with antibiotics to improve antibiotic efficacy against </w:t>
      </w:r>
      <w:r>
        <w:rPr>
          <w:rFonts w:ascii="Arial" w:cs="Arial" w:eastAsia="Arial" w:hAnsi="Arial"/>
          <w:sz w:val="16"/>
          <w:szCs w:val="16"/>
          <w:i w:val="1"/>
          <w:iCs w:val="1"/>
          <w:color w:val="auto"/>
        </w:rPr>
        <w: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pylori </w:t>
      </w:r>
      <w:r>
        <w:rPr>
          <w:rFonts w:ascii="Arial" w:cs="Arial" w:eastAsia="Arial" w:hAnsi="Arial"/>
          <w:sz w:val="16"/>
          <w:szCs w:val="16"/>
          <w:color w:val="auto"/>
        </w:rPr>
        <w:t>infection. The use of anti-secretory agents enhances the effect of antibiotics in two ways. First, anti-secretory agents increase gastric pH, which in turn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increases the stability of the antibiotics. For example, amoxicillin and clarithromycin are chemically unstable at the low pH typically found in the human stomach. Second, several antibiotics, including amoxicillin and clarithromycin, are most potent against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at the time of maximum bacterial replication, which occurs at pH 6.0 to 7.0.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is in a dormant state at lower pH values, which reduces the effectiveness of the antibiotics.</w:t>
      </w:r>
    </w:p>
    <w:p>
      <w:pPr>
        <w:spacing w:after="0" w:line="142" w:lineRule="exact"/>
        <w:rPr>
          <w:sz w:val="20"/>
          <w:szCs w:val="20"/>
          <w:color w:val="auto"/>
        </w:rPr>
      </w:pPr>
    </w:p>
    <w:p>
      <w:pPr>
        <w:ind w:firstLine="589"/>
        <w:spacing w:after="0" w:line="278" w:lineRule="auto"/>
        <w:rPr>
          <w:sz w:val="20"/>
          <w:szCs w:val="20"/>
          <w:color w:val="auto"/>
        </w:rPr>
      </w:pPr>
      <w:r>
        <w:rPr>
          <w:rFonts w:ascii="Arial" w:cs="Arial" w:eastAsia="Arial" w:hAnsi="Arial"/>
          <w:sz w:val="17"/>
          <w:szCs w:val="17"/>
          <w:color w:val="auto"/>
        </w:rPr>
        <w:t xml:space="preserve">The table below shows the minimum inhibitory concentration of antibiotic required to eradicate 90%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 vitro, or MIC90. As pH increases, the amount of antibiotic required for 90% eradication decreases substantially.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i w:val="1"/>
          <w:iCs w:val="1"/>
          <w:color w:val="auto"/>
        </w:rPr>
        <w:t xml:space="preserve">H. pylori </w:t>
      </w:r>
      <w:r>
        <w:rPr>
          <w:rFonts w:ascii="Arial" w:cs="Arial" w:eastAsia="Arial" w:hAnsi="Arial"/>
          <w:sz w:val="17"/>
          <w:szCs w:val="17"/>
          <w:b w:val="1"/>
          <w:bCs w:val="1"/>
          <w:color w:val="auto"/>
        </w:rPr>
        <w:t>MIC</w:t>
      </w:r>
      <w:r>
        <w:rPr>
          <w:rFonts w:ascii="Arial" w:cs="Arial" w:eastAsia="Arial" w:hAnsi="Arial"/>
          <w:sz w:val="14"/>
          <w:szCs w:val="14"/>
          <w:b w:val="1"/>
          <w:bCs w:val="1"/>
          <w:color w:val="auto"/>
        </w:rPr>
        <w:t>90</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Values as a Function of pH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40"/>
          </w:cols>
          <w:pgMar w:left="320" w:top="294" w:right="439" w:bottom="1440" w:gutter="0" w:footer="0" w:header="0"/>
        </w:sectPr>
      </w:pPr>
    </w:p>
    <w:bookmarkStart w:id="21" w:name="page22"/>
    <w:bookmarkEnd w:id="21"/>
    <w:p>
      <w:pPr>
        <w:ind w:right="100" w:firstLine="589"/>
        <w:spacing w:after="0" w:line="256" w:lineRule="auto"/>
        <w:rPr>
          <w:sz w:val="20"/>
          <w:szCs w:val="20"/>
          <w:color w:val="auto"/>
        </w:rPr>
      </w:pPr>
      <w:r>
        <w:rPr>
          <w:rFonts w:ascii="Arial" w:cs="Arial" w:eastAsia="Arial" w:hAnsi="Arial"/>
          <w:sz w:val="17"/>
          <w:szCs w:val="17"/>
          <w:color w:val="auto"/>
        </w:rPr>
        <w:t xml:space="preserve">A triple therapy regimen (PPI, clarithromycin, and either amoxicillin or metronidazole) is the regimen most commonly used in clinical practice for the first-line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However,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eradication rates with PPI triple therapy in the 1990s have fallen to current levels of &lt;80%, primarily due to increased resistance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to clarithromycin and metronidazole. A recent meta-analysis indicates that U.S. resistance rates measured from 2012 to 2016 were 20% for clarithromycin, 29% for metronidazole, and 19% for levofloxacin. These figures represent a marked increase from 2009 to 2011 for both clarithromycin and metronidazole, for which resistance was 9% for clarithromycin, 21% for metronidazole, and 11% for levofloxacin.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resistance to amoxicillin remains low despite its use in most triple therapy regimens; resistance is generally &lt;2% among isolates in the United States and Europe. There is a similar trend of increasing resistance to key antibiotics in Europe.</w:t>
      </w:r>
    </w:p>
    <w:p>
      <w:pPr>
        <w:spacing w:after="0" w:line="147" w:lineRule="exact"/>
        <w:rPr>
          <w:sz w:val="20"/>
          <w:szCs w:val="20"/>
          <w:color w:val="auto"/>
        </w:rPr>
      </w:pPr>
    </w:p>
    <w:p>
      <w:pPr>
        <w:ind w:right="100" w:firstLine="589"/>
        <w:spacing w:after="0" w:line="256" w:lineRule="auto"/>
        <w:rPr>
          <w:sz w:val="20"/>
          <w:szCs w:val="20"/>
          <w:color w:val="auto"/>
        </w:rPr>
      </w:pPr>
      <w:r>
        <w:rPr>
          <w:rFonts w:ascii="Arial" w:cs="Arial" w:eastAsia="Arial" w:hAnsi="Arial"/>
          <w:sz w:val="17"/>
          <w:szCs w:val="17"/>
          <w:color w:val="auto"/>
        </w:rPr>
        <w:t xml:space="preserve">Given the declining eradication rates for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quadruple therapy is recommended as first-line treatment in areas with known high rates of clarithromycin or metronidazole resistance; however, our U.S. market research study reported that physicians prescribe quadruple therapy to only 17% of first-line patients. Due predominantly to considerations of convenience and patient compliance, approximately 80% physicians surveyed in our market research expressed a preference for convenience, or combination packs compared to individual bottles for both dual and triple therapy. Further, geographic patterns of resistance in the United States are poorly understood and treatment is largely empiric, with susceptibility testing rarely conducted prior to first-line treatment. Our U.S. market research study reported that only 8% and 16% of physicians conduct resistance testing prior to prescribing treatment for first-line and second-line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respectively.</w:t>
      </w:r>
    </w:p>
    <w:p>
      <w:pPr>
        <w:spacing w:after="0" w:line="159" w:lineRule="exact"/>
        <w:rPr>
          <w:sz w:val="20"/>
          <w:szCs w:val="20"/>
          <w:color w:val="auto"/>
        </w:rPr>
      </w:pPr>
    </w:p>
    <w:p>
      <w:pPr>
        <w:ind w:firstLine="589"/>
        <w:spacing w:after="0" w:line="306" w:lineRule="auto"/>
        <w:rPr>
          <w:sz w:val="20"/>
          <w:szCs w:val="20"/>
          <w:color w:val="auto"/>
        </w:rPr>
      </w:pPr>
      <w:r>
        <w:rPr>
          <w:rFonts w:ascii="Arial" w:cs="Arial" w:eastAsia="Arial" w:hAnsi="Arial"/>
          <w:sz w:val="15"/>
          <w:szCs w:val="15"/>
          <w:color w:val="auto"/>
        </w:rPr>
        <w:t xml:space="preserve">In our U.S. market research study, physicians highlighted the need for more effective and simpler first-line treatment options. For the treatment of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infection, surveyed physicians highlighted the need for improved eradication rates and more convenient dosing as key unmet needs. Over 50% of surveyed physicians agreed that vonoprazan dual or triple therapy provided a superior eradication rate in patients with clarithromycin-resistant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and, on average, 48% and 47% reported a preference to use vonoprazan first line in patients with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infection, and patients with refractory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infection,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Phase 3 Clinical Trial in Japan of Vonoprazan in Combination with Antibiotics to Treat H. pylori Infection</w:t>
      </w:r>
    </w:p>
    <w:p>
      <w:pPr>
        <w:spacing w:after="0" w:line="177" w:lineRule="exact"/>
        <w:rPr>
          <w:sz w:val="20"/>
          <w:szCs w:val="20"/>
          <w:color w:val="auto"/>
        </w:rPr>
      </w:pPr>
    </w:p>
    <w:p>
      <w:pPr>
        <w:jc w:val="both"/>
        <w:ind w:right="20" w:firstLine="589"/>
        <w:spacing w:after="0" w:line="265" w:lineRule="auto"/>
        <w:rPr>
          <w:sz w:val="20"/>
          <w:szCs w:val="20"/>
          <w:color w:val="auto"/>
        </w:rPr>
      </w:pPr>
      <w:r>
        <w:rPr>
          <w:rFonts w:ascii="Arial" w:cs="Arial" w:eastAsia="Arial" w:hAnsi="Arial"/>
          <w:sz w:val="17"/>
          <w:szCs w:val="17"/>
          <w:color w:val="auto"/>
        </w:rPr>
        <w:t xml:space="preserve">A randomized, double-blind, multicenter Phase 3 clinical trial in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-positive patients was completed in Japan. Patients with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and a history of gastric or duodenal ulcer who had not previously received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treatment were eligible for inclusion in the clinical trial. A total of 650 patients were randomized to receive seven days of:</w:t>
      </w:r>
    </w:p>
    <w:p>
      <w:pPr>
        <w:spacing w:after="0" w:line="149" w:lineRule="exact"/>
        <w:rPr>
          <w:sz w:val="20"/>
          <w:szCs w:val="20"/>
          <w:color w:val="auto"/>
        </w:rPr>
      </w:pPr>
    </w:p>
    <w:p>
      <w:pPr>
        <w:ind w:left="1000" w:hanging="419"/>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vonoprazan triple therapy</w:t>
      </w:r>
      <w:r>
        <w:rPr>
          <w:rFonts w:ascii="Arial" w:cs="Arial" w:eastAsia="Arial" w:hAnsi="Arial"/>
          <w:sz w:val="16"/>
          <w:szCs w:val="16"/>
          <w:color w:val="auto"/>
        </w:rPr>
        <w:t>: vonoprazan 20 mg twice daily, or BID, amoxicillin 750 mg BID, and clarithromycin (200 mg or 400 mg) BID; or</w:t>
      </w:r>
    </w:p>
    <w:p>
      <w:pPr>
        <w:spacing w:after="0" w:line="188" w:lineRule="exact"/>
        <w:rPr>
          <w:rFonts w:ascii="Arial" w:cs="Arial" w:eastAsia="Arial" w:hAnsi="Arial"/>
          <w:sz w:val="16"/>
          <w:szCs w:val="16"/>
          <w:color w:val="auto"/>
        </w:rPr>
      </w:pPr>
    </w:p>
    <w:p>
      <w:pPr>
        <w:ind w:left="1000" w:hanging="419"/>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lansoprazole triple therapy</w:t>
      </w:r>
      <w:r>
        <w:rPr>
          <w:rFonts w:ascii="Arial" w:cs="Arial" w:eastAsia="Arial" w:hAnsi="Arial"/>
          <w:sz w:val="17"/>
          <w:szCs w:val="17"/>
          <w:color w:val="auto"/>
        </w:rPr>
        <w:t>: lansoprazole 30 mg BID, amoxicillin 750 mg BID, and clarithromycin (200 mg or 400 mg) BID.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ind w:right="60" w:firstLine="589"/>
        <w:spacing w:after="0" w:line="278" w:lineRule="auto"/>
        <w:rPr>
          <w:sz w:val="20"/>
          <w:szCs w:val="20"/>
          <w:color w:val="auto"/>
        </w:rPr>
      </w:pPr>
      <w:r>
        <w:rPr>
          <w:rFonts w:ascii="Arial" w:cs="Arial" w:eastAsia="Arial" w:hAnsi="Arial"/>
          <w:sz w:val="17"/>
          <w:szCs w:val="17"/>
          <w:color w:val="auto"/>
        </w:rPr>
        <w:t xml:space="preserve">Patients who did not achieve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eradication after first-line treatment received a second-line regimen of vonoprazan 20 mg BID, amoxicillin 750 mg BID, and metronidazole 250 mg BID for seven days.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xml:space="preserve">Design of Japan Phase 3 </w:t>
      </w:r>
      <w:r>
        <w:rPr>
          <w:rFonts w:ascii="Arial" w:cs="Arial" w:eastAsia="Arial" w:hAnsi="Arial"/>
          <w:sz w:val="17"/>
          <w:szCs w:val="17"/>
          <w:b w:val="1"/>
          <w:bCs w:val="1"/>
          <w:i w:val="1"/>
          <w:iCs w:val="1"/>
          <w:color w:val="auto"/>
        </w:rPr>
        <w:t>H. pylori</w:t>
      </w:r>
      <w:r>
        <w:rPr>
          <w:rFonts w:ascii="Arial" w:cs="Arial" w:eastAsia="Arial" w:hAnsi="Arial"/>
          <w:sz w:val="17"/>
          <w:szCs w:val="17"/>
          <w:b w:val="1"/>
          <w:bCs w:val="1"/>
          <w:color w:val="auto"/>
        </w:rPr>
        <w:t xml:space="preserve"> Treatment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148590</wp:posOffset>
            </wp:positionV>
            <wp:extent cx="4789170" cy="1737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89170" cy="1737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200" w:firstLine="589"/>
        <w:spacing w:after="0" w:line="265" w:lineRule="auto"/>
        <w:rPr>
          <w:sz w:val="20"/>
          <w:szCs w:val="20"/>
          <w:color w:val="auto"/>
        </w:rPr>
      </w:pPr>
      <w:r>
        <w:rPr>
          <w:rFonts w:ascii="Arial" w:cs="Arial" w:eastAsia="Arial" w:hAnsi="Arial"/>
          <w:sz w:val="17"/>
          <w:szCs w:val="17"/>
          <w:color w:val="auto"/>
        </w:rPr>
        <w:t xml:space="preserve">The primary endpoint of the clinical trial was confirmed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eradication determined by </w:t>
      </w:r>
      <w:r>
        <w:rPr>
          <w:rFonts w:ascii="Arial" w:cs="Arial" w:eastAsia="Arial" w:hAnsi="Arial"/>
          <w:sz w:val="14"/>
          <w:szCs w:val="14"/>
          <w:color w:val="auto"/>
        </w:rPr>
        <w:t>13</w:t>
      </w:r>
      <w:r>
        <w:rPr>
          <w:rFonts w:ascii="Arial" w:cs="Arial" w:eastAsia="Arial" w:hAnsi="Arial"/>
          <w:sz w:val="17"/>
          <w:szCs w:val="17"/>
          <w:color w:val="auto"/>
        </w:rPr>
        <w:t xml:space="preserve">C-urea breath test, a standard test for the diagnosis of </w:t>
      </w:r>
      <w:r>
        <w:rPr>
          <w:rFonts w:ascii="Arial" w:cs="Arial" w:eastAsia="Arial" w:hAnsi="Arial"/>
          <w:sz w:val="17"/>
          <w:szCs w:val="17"/>
          <w:i w:val="1"/>
          <w:iCs w:val="1"/>
          <w:color w:val="auto"/>
        </w:rPr>
        <w:t>H.</w:t>
      </w:r>
      <w:r>
        <w:rPr>
          <w:rFonts w:ascii="Arial" w:cs="Arial" w:eastAsia="Arial" w:hAnsi="Arial"/>
          <w:sz w:val="17"/>
          <w:szCs w:val="17"/>
          <w:color w:val="auto"/>
        </w:rPr>
        <w:t xml:space="preserve"> </w:t>
      </w:r>
      <w:r>
        <w:rPr>
          <w:rFonts w:ascii="Arial" w:cs="Arial" w:eastAsia="Arial" w:hAnsi="Arial"/>
          <w:sz w:val="17"/>
          <w:szCs w:val="17"/>
          <w:i w:val="1"/>
          <w:iCs w:val="1"/>
          <w:color w:val="auto"/>
        </w:rPr>
        <w:t>pylori</w:t>
      </w:r>
      <w:r>
        <w:rPr>
          <w:rFonts w:ascii="Arial" w:cs="Arial" w:eastAsia="Arial" w:hAnsi="Arial"/>
          <w:sz w:val="17"/>
          <w:szCs w:val="17"/>
          <w:color w:val="auto"/>
        </w:rPr>
        <w:t>, four weeks after the completion of treatment. The primary analysis was non-inferiority, and key secondary endpoints included the second line eradication</w:t>
      </w:r>
      <w:r>
        <w:rPr>
          <w:rFonts w:ascii="Arial" w:cs="Arial" w:eastAsia="Arial" w:hAnsi="Arial"/>
          <w:sz w:val="17"/>
          <w:szCs w:val="17"/>
          <w:i w:val="1"/>
          <w:iCs w:val="1"/>
          <w:color w:val="auto"/>
        </w:rPr>
        <w:t xml:space="preserve"> </w:t>
      </w:r>
      <w:r>
        <w:rPr>
          <w:rFonts w:ascii="Arial" w:cs="Arial" w:eastAsia="Arial" w:hAnsi="Arial"/>
          <w:sz w:val="17"/>
          <w:szCs w:val="17"/>
          <w:color w:val="auto"/>
        </w:rPr>
        <w:t>rate and eradication rate in antibiotic-resistant subgroups.</w:t>
      </w:r>
    </w:p>
    <w:p>
      <w:pPr>
        <w:spacing w:after="0" w:line="137" w:lineRule="exact"/>
        <w:rPr>
          <w:sz w:val="20"/>
          <w:szCs w:val="20"/>
          <w:color w:val="auto"/>
        </w:rPr>
      </w:pPr>
    </w:p>
    <w:p>
      <w:pPr>
        <w:ind w:firstLine="589"/>
        <w:spacing w:after="0" w:line="298" w:lineRule="auto"/>
        <w:rPr>
          <w:sz w:val="20"/>
          <w:szCs w:val="20"/>
          <w:color w:val="auto"/>
        </w:rPr>
      </w:pPr>
      <w:r>
        <w:rPr>
          <w:rFonts w:ascii="Arial" w:cs="Arial" w:eastAsia="Arial" w:hAnsi="Arial"/>
          <w:sz w:val="15"/>
          <w:szCs w:val="15"/>
          <w:color w:val="auto"/>
        </w:rPr>
        <w:t xml:space="preserve">Vonoprazan-based triple therapy demonstrated a non-inferior eradication rate of 93% compared to 76% for lansoprazole-based triple therapy (p&lt;0.0001). Post hoc analyses indicated that vonoprazan-based triple therapy was superior to lansoprazole-based triple therapy (p&lt;0.0001). Patients who were not eradicated on vonoprazan-based triple therapy or lansoprazole-based triple therapy were treated with a triple therapy regimen of vonoprazan, amoxicillin, and metronidazole. In this second-line setting, the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eradication rate with vonoprazan triple therapy was 98%. Across first- and second-line patients, the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eradication rate in clarithromycin resistant strains was higher with vonoprazan-based triple therapy (82%) than with lansoprazole-based triple therapy (40%) as shown below. We believe that this result is significant, as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antibiotic resistance testing is rare in the United States, and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treatment is generally empiric.</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xml:space="preserve">Results of Japan Phase 3 Clinical Trial in the Treatment of </w:t>
      </w:r>
      <w:r>
        <w:rPr>
          <w:rFonts w:ascii="Arial" w:cs="Arial" w:eastAsia="Arial" w:hAnsi="Arial"/>
          <w:sz w:val="17"/>
          <w:szCs w:val="17"/>
          <w:b w:val="1"/>
          <w:bCs w:val="1"/>
          <w:i w:val="1"/>
          <w:iCs w:val="1"/>
          <w:color w:val="auto"/>
        </w:rPr>
        <w:t>H. pylori</w:t>
      </w:r>
      <w:r>
        <w:rPr>
          <w:rFonts w:ascii="Arial" w:cs="Arial" w:eastAsia="Arial" w:hAnsi="Arial"/>
          <w:sz w:val="17"/>
          <w:szCs w:val="17"/>
          <w:b w:val="1"/>
          <w:bCs w:val="1"/>
          <w:color w:val="auto"/>
        </w:rPr>
        <w:t xml:space="preserve">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148590</wp:posOffset>
            </wp:positionV>
            <wp:extent cx="4699635" cy="2064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99635" cy="206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294" w:right="37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Other Studies of Vonoprazan in H. pylori Treatment</w:t>
      </w:r>
    </w:p>
    <w:p>
      <w:pPr>
        <w:spacing w:after="0" w:line="177" w:lineRule="exact"/>
        <w:rPr>
          <w:sz w:val="20"/>
          <w:szCs w:val="20"/>
          <w:color w:val="auto"/>
        </w:rPr>
      </w:pPr>
    </w:p>
    <w:p>
      <w:pPr>
        <w:ind w:firstLine="589"/>
        <w:spacing w:after="0" w:line="306" w:lineRule="auto"/>
        <w:rPr>
          <w:sz w:val="20"/>
          <w:szCs w:val="20"/>
          <w:color w:val="auto"/>
        </w:rPr>
      </w:pPr>
      <w:r>
        <w:rPr>
          <w:rFonts w:ascii="Arial" w:cs="Arial" w:eastAsia="Arial" w:hAnsi="Arial"/>
          <w:sz w:val="15"/>
          <w:szCs w:val="15"/>
          <w:color w:val="auto"/>
        </w:rPr>
        <w:t xml:space="preserve">A meta-analysis of 14 studies in Japan with over 14,636 patients found that the pooled eradication rates of vonoprazan-containing regimens were superior to those of PPI-containing regimens in a first-line setting (85% vs. 68%, p&lt;0.00001). Subgroup analysis further indicated the superiority of vonoprazan in patients with either clarithromycin-resistant strains (82% vs. 41%, p&lt;0.00001) or clarithromycin-susceptible strains (95% vs 90%, p=0.006). A second study retrospectively confirmed that empiric vonoprazan-based triple therapy was non-inferior to PPI-based triple therapy based on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antibiotic susceptibility testing.</w:t>
      </w:r>
    </w:p>
    <w:p>
      <w:pPr>
        <w:spacing w:after="0" w:line="123" w:lineRule="exact"/>
        <w:rPr>
          <w:sz w:val="20"/>
          <w:szCs w:val="20"/>
          <w:color w:val="auto"/>
        </w:rPr>
      </w:pPr>
    </w:p>
    <w:p>
      <w:pPr>
        <w:ind w:right="300" w:firstLine="589"/>
        <w:spacing w:after="0" w:line="278" w:lineRule="auto"/>
        <w:rPr>
          <w:sz w:val="20"/>
          <w:szCs w:val="20"/>
          <w:color w:val="auto"/>
        </w:rPr>
      </w:pPr>
      <w:r>
        <w:rPr>
          <w:rFonts w:ascii="Arial" w:cs="Arial" w:eastAsia="Arial" w:hAnsi="Arial"/>
          <w:sz w:val="17"/>
          <w:szCs w:val="17"/>
          <w:color w:val="auto"/>
        </w:rPr>
        <w:t>In addition to demonstrating superiority to PPIs in triple therapy regimens, vonoprazan was studied in a dual therapy regimen with amoxicillin in three investigator-initiated clinical trials in Japan.</w:t>
      </w:r>
    </w:p>
    <w:p>
      <w:pPr>
        <w:spacing w:after="0" w:line="125" w:lineRule="exact"/>
        <w:rPr>
          <w:sz w:val="20"/>
          <w:szCs w:val="20"/>
          <w:color w:val="auto"/>
        </w:rPr>
      </w:pPr>
    </w:p>
    <w:p>
      <w:pPr>
        <w:ind w:right="80" w:firstLine="589"/>
        <w:spacing w:after="0" w:line="261" w:lineRule="auto"/>
        <w:rPr>
          <w:sz w:val="20"/>
          <w:szCs w:val="20"/>
          <w:color w:val="auto"/>
        </w:rPr>
      </w:pPr>
      <w:r>
        <w:rPr>
          <w:rFonts w:ascii="Arial" w:cs="Arial" w:eastAsia="Arial" w:hAnsi="Arial"/>
          <w:sz w:val="17"/>
          <w:szCs w:val="17"/>
          <w:color w:val="auto"/>
        </w:rPr>
        <w:t>The first trial involving 67 Japanese patients assessed vonoprazan dual therapy (vonoprazan 20 mg BID in combination with amoxicillin 500 mg three times daily, or TID, for seven days) compared to vonoprazan triple therapy (vonoprazan 20 mg BID in combination with amoxicillin 750 mg BID and clarithromycin 200 mg BID for seven days). As shown below, vonoprazan dual therapy was similarly efficacious to vonoprazan triple therapy (eradication rates of 94% in both treatment arms).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 xml:space="preserve">Results of Vonoprazan Dual and Triple Therapy in the Treatment of </w:t>
      </w:r>
      <w:r>
        <w:rPr>
          <w:rFonts w:ascii="Arial" w:cs="Arial" w:eastAsia="Arial" w:hAnsi="Arial"/>
          <w:sz w:val="17"/>
          <w:szCs w:val="17"/>
          <w:b w:val="1"/>
          <w:bCs w:val="1"/>
          <w:i w:val="1"/>
          <w:iCs w:val="1"/>
          <w:color w:val="auto"/>
        </w:rPr>
        <w:t>H. pylori</w:t>
      </w:r>
      <w:r>
        <w:rPr>
          <w:rFonts w:ascii="Arial" w:cs="Arial" w:eastAsia="Arial" w:hAnsi="Arial"/>
          <w:sz w:val="17"/>
          <w:szCs w:val="17"/>
          <w:b w:val="1"/>
          <w:bCs w:val="1"/>
          <w:color w:val="auto"/>
        </w:rPr>
        <w:t xml:space="preserve">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1715135</wp:posOffset>
            </wp:positionH>
            <wp:positionV relativeFrom="paragraph">
              <wp:posOffset>148590</wp:posOffset>
            </wp:positionV>
            <wp:extent cx="3720465" cy="1925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720465" cy="1925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firstLine="589"/>
        <w:spacing w:after="0" w:line="275" w:lineRule="auto"/>
        <w:rPr>
          <w:sz w:val="20"/>
          <w:szCs w:val="20"/>
          <w:color w:val="auto"/>
        </w:rPr>
      </w:pPr>
      <w:r>
        <w:rPr>
          <w:rFonts w:ascii="Arial" w:cs="Arial" w:eastAsia="Arial" w:hAnsi="Arial"/>
          <w:sz w:val="16"/>
          <w:szCs w:val="16"/>
          <w:color w:val="auto"/>
        </w:rPr>
        <w:t>A second clinical trial compared vonoprazan-based dual therapy to esomeprazole or rabeprazole PPI-based triple therapy. This clinical trial enrolled 81 Japanese patients including 40 first-line treatment patients and 41 second-line treatment patients who had failed standard therapy and compared vonoprazan dual therapy and PPI triple therapy in both first- and second-line therapy. Patients assigned to vonoprazan dual therapy were treated with vonoprazan 20 mg BID in combination with amoxicillin 500 mg TID for seven days. Patients assigned to PPI triple therapy were treated first-line with esomeprazole 20 mg or rabeprazole 10 mg BID, amoxicillin 750 mg BID, and clarithromycin 200 mg BID or second-line with esomeprazole 20 mg or rabeprazole 10 mg BID, amoxicillin 750 mg BID, and metronidazole 250 mg BID for seven days. As shown below, dual therapy with vonoprazan was efficacious in both first- and second-line therapy with eradication rates of 95% and 90%, respectively, versus 81% and 85% for PPI-based triple therapies.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7"/>
          <w:szCs w:val="17"/>
          <w:b w:val="1"/>
          <w:bCs w:val="1"/>
          <w:color w:val="auto"/>
        </w:rPr>
        <w:t xml:space="preserve">Results of Vonoprazan Dual and PPI Triple Therapy in the Treatment of </w:t>
      </w:r>
      <w:r>
        <w:rPr>
          <w:rFonts w:ascii="Arial" w:cs="Arial" w:eastAsia="Arial" w:hAnsi="Arial"/>
          <w:sz w:val="17"/>
          <w:szCs w:val="17"/>
          <w:b w:val="1"/>
          <w:bCs w:val="1"/>
          <w:i w:val="1"/>
          <w:iCs w:val="1"/>
          <w:color w:val="auto"/>
        </w:rPr>
        <w:t>H. pylori</w:t>
      </w:r>
      <w:r>
        <w:rPr>
          <w:rFonts w:ascii="Arial" w:cs="Arial" w:eastAsia="Arial" w:hAnsi="Arial"/>
          <w:sz w:val="17"/>
          <w:szCs w:val="17"/>
          <w:b w:val="1"/>
          <w:bCs w:val="1"/>
          <w:color w:val="auto"/>
        </w:rPr>
        <w:t xml:space="preserve"> Infection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1690370</wp:posOffset>
            </wp:positionH>
            <wp:positionV relativeFrom="paragraph">
              <wp:posOffset>148590</wp:posOffset>
            </wp:positionV>
            <wp:extent cx="3769360" cy="19989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769360" cy="199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firstLine="589"/>
        <w:spacing w:after="0" w:line="258" w:lineRule="auto"/>
        <w:rPr>
          <w:sz w:val="20"/>
          <w:szCs w:val="20"/>
          <w:color w:val="auto"/>
        </w:rPr>
      </w:pPr>
      <w:r>
        <w:rPr>
          <w:rFonts w:ascii="Arial" w:cs="Arial" w:eastAsia="Arial" w:hAnsi="Arial"/>
          <w:sz w:val="17"/>
          <w:szCs w:val="17"/>
          <w:color w:val="auto"/>
        </w:rPr>
        <w:t>Most recently, a third clinical trial assessed vonoprazan dual therapy (vonoprazan 20 mg BID in combination with amoxicillin 750 mg BID) compared to vonoprazan triple therapy (vonoprazan 20 mg BID in combination with amoxicillin 750 mg BID and clarithromycin 200 mg BID) for seven days. This randomized and multi-center clinical trial included 335 patients. Vonoprazan dual therapy demonstrated a similar eradication rate to vonoprazan triple therapy (85% and 89%, respectively). Efficacy of vonoprazan dual therapy was maintained in subjects with clarithromycin-resistant infection (92% eradication rate in the dual therapy arm).</w:t>
      </w:r>
    </w:p>
    <w:p>
      <w:pPr>
        <w:spacing w:after="0" w:line="183" w:lineRule="exact"/>
        <w:rPr>
          <w:sz w:val="20"/>
          <w:szCs w:val="20"/>
          <w:color w:val="auto"/>
        </w:rPr>
      </w:pPr>
    </w:p>
    <w:p>
      <w:pPr>
        <w:ind w:right="60" w:firstLine="589"/>
        <w:spacing w:after="0" w:line="257" w:lineRule="auto"/>
        <w:rPr>
          <w:sz w:val="20"/>
          <w:szCs w:val="20"/>
          <w:color w:val="auto"/>
        </w:rPr>
      </w:pPr>
      <w:r>
        <w:rPr>
          <w:rFonts w:ascii="Arial" w:cs="Arial" w:eastAsia="Arial" w:hAnsi="Arial"/>
          <w:sz w:val="17"/>
          <w:szCs w:val="17"/>
          <w:color w:val="auto"/>
        </w:rPr>
        <w:t xml:space="preserve">Antibiotic resistance is a significant clinical issue, and we believe that vonoprazan has the potential to address the growing resistance to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by eradicating infection after first-line of treatment. Vonoprazan dual therapy has further potential for improved convenience and compliance over triple or quadruple therapy regimens, and importantly, spares the use of clarithromycin, metronidazole, and levofloxacin, representing an opportunity both for effective treatment and sound antibiotic stewardship through the avoidance of additional antibiotics to which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is known to acquire resistance. Less frequent use of these antibiotics, which have important roles aside from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may help to limit the spread of resistance among other pathogenic bacteria within populations.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H. pylori Phase 3 Program</w:t>
      </w:r>
    </w:p>
    <w:p>
      <w:pPr>
        <w:spacing w:after="0" w:line="177" w:lineRule="exact"/>
        <w:rPr>
          <w:sz w:val="20"/>
          <w:szCs w:val="20"/>
          <w:color w:val="auto"/>
        </w:rPr>
      </w:pPr>
    </w:p>
    <w:p>
      <w:pPr>
        <w:ind w:right="160" w:firstLine="589"/>
        <w:spacing w:after="0" w:line="261" w:lineRule="auto"/>
        <w:rPr>
          <w:sz w:val="20"/>
          <w:szCs w:val="20"/>
          <w:color w:val="auto"/>
        </w:rPr>
      </w:pPr>
      <w:r>
        <w:rPr>
          <w:rFonts w:ascii="Arial" w:cs="Arial" w:eastAsia="Arial" w:hAnsi="Arial"/>
          <w:sz w:val="17"/>
          <w:szCs w:val="17"/>
          <w:color w:val="auto"/>
        </w:rPr>
        <w:t xml:space="preserve">We initiated PHALCON-HP, a Phase 3 clinical trial of vonoprazan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in the fourth quarter of 2019, and completed enrollment in January 2021. We have enrolled over 975 patients with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as assessed by </w:t>
      </w:r>
      <w:r>
        <w:rPr>
          <w:rFonts w:ascii="Arial" w:cs="Arial" w:eastAsia="Arial" w:hAnsi="Arial"/>
          <w:sz w:val="14"/>
          <w:szCs w:val="14"/>
          <w:color w:val="auto"/>
        </w:rPr>
        <w:t>13</w:t>
      </w:r>
      <w:r>
        <w:rPr>
          <w:rFonts w:ascii="Arial" w:cs="Arial" w:eastAsia="Arial" w:hAnsi="Arial"/>
          <w:sz w:val="17"/>
          <w:szCs w:val="17"/>
          <w:color w:val="auto"/>
        </w:rPr>
        <w:t>C-urea breath test in this clinical trial. The clinical trial will compare vonoprazan dual therapy and vonoprazan triple therapy regimens each head-to-head with a standard of care lansoprazole triple therapy regimen. Patients will be randomized in a 1:1:1 manner into the three treatment arms as follows:</w:t>
      </w:r>
    </w:p>
    <w:p>
      <w:pPr>
        <w:spacing w:after="0" w:line="139" w:lineRule="exact"/>
        <w:rPr>
          <w:sz w:val="20"/>
          <w:szCs w:val="20"/>
          <w:color w:val="auto"/>
        </w:rPr>
      </w:pPr>
    </w:p>
    <w:p>
      <w:pPr>
        <w:ind w:left="1000" w:hanging="419"/>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vonoprazan dual therapy</w:t>
      </w:r>
      <w:r>
        <w:rPr>
          <w:rFonts w:ascii="Arial" w:cs="Arial" w:eastAsia="Arial" w:hAnsi="Arial"/>
          <w:sz w:val="17"/>
          <w:szCs w:val="17"/>
          <w:color w:val="auto"/>
        </w:rPr>
        <w:t>: vonoprazan 20 mg BID and amoxicillin 1 g TID for 14 days;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vonoprazan triple therapy</w:t>
      </w:r>
      <w:r>
        <w:rPr>
          <w:rFonts w:ascii="Arial" w:cs="Arial" w:eastAsia="Arial" w:hAnsi="Arial"/>
          <w:sz w:val="17"/>
          <w:szCs w:val="17"/>
          <w:color w:val="auto"/>
        </w:rPr>
        <w:t>: vonoprazan 20 mg BID, amoxicillin 1 g BID and clarithromycin 500 mg BID for 14 days;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PPI triple therapy</w:t>
      </w:r>
      <w:r>
        <w:rPr>
          <w:rFonts w:ascii="Arial" w:cs="Arial" w:eastAsia="Arial" w:hAnsi="Arial"/>
          <w:sz w:val="17"/>
          <w:szCs w:val="17"/>
          <w:color w:val="auto"/>
        </w:rPr>
        <w:t>: lansoprazole 30 mg BID, amoxicillin 1 g BID and clarithromycin 500 mg BID for 14 days.</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80"/>
          </w:cols>
          <w:pgMar w:left="320" w:top="288" w:right="399" w:bottom="1440" w:gutter="0" w:footer="0" w:header="0"/>
        </w:sectPr>
      </w:pPr>
    </w:p>
    <w:bookmarkStart w:id="25" w:name="page26"/>
    <w:bookmarkEnd w:id="25"/>
    <w:p>
      <w:pPr>
        <w:ind w:firstLine="589"/>
        <w:spacing w:after="0" w:line="306" w:lineRule="auto"/>
        <w:rPr>
          <w:sz w:val="20"/>
          <w:szCs w:val="20"/>
          <w:color w:val="auto"/>
        </w:rPr>
      </w:pPr>
      <w:r>
        <w:rPr>
          <w:rFonts w:ascii="Arial" w:cs="Arial" w:eastAsia="Arial" w:hAnsi="Arial"/>
          <w:sz w:val="15"/>
          <w:szCs w:val="15"/>
          <w:color w:val="auto"/>
        </w:rPr>
        <w:t xml:space="preserve">The primary endpoint for this trial is the percentage of patients with successful eradication of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infection as assessed by </w:t>
      </w:r>
      <w:r>
        <w:rPr>
          <w:rFonts w:ascii="Arial" w:cs="Arial" w:eastAsia="Arial" w:hAnsi="Arial"/>
          <w:sz w:val="12"/>
          <w:szCs w:val="12"/>
          <w:color w:val="auto"/>
        </w:rPr>
        <w:t>13</w:t>
      </w:r>
      <w:r>
        <w:rPr>
          <w:rFonts w:ascii="Arial" w:cs="Arial" w:eastAsia="Arial" w:hAnsi="Arial"/>
          <w:sz w:val="15"/>
          <w:szCs w:val="15"/>
          <w:color w:val="auto"/>
        </w:rPr>
        <w:t xml:space="preserve">C-urea breath test four weeks after completion of treatment. The primary analysis will assess the non-inferiority of vonoprazan dual therapy to lansoprazole triple therapy and vonoprazan triple therapy to lansoprazole triple therapy excluding patients who have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infection that is resistant to clarithromycin or amoxicillin. We will also conduct secondary analyses for superiority in all patients regardless of antibiotic resistance and in patients with clarithromycin-resistant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infection.</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Phase 3 trial design is modeled after the successful Phase 3 clinical trial conducted in Japan. Key differences include:</w:t>
      </w:r>
    </w:p>
    <w:p>
      <w:pPr>
        <w:spacing w:after="0" w:line="177" w:lineRule="exact"/>
        <w:rPr>
          <w:sz w:val="20"/>
          <w:szCs w:val="20"/>
          <w:color w:val="auto"/>
        </w:rPr>
      </w:pPr>
    </w:p>
    <w:p>
      <w:pPr>
        <w:ind w:left="1000" w:right="300" w:hanging="419"/>
        <w:spacing w:after="0" w:line="310"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Inclusion of patients with H. pylori infection and dyspeptic symptoms</w:t>
      </w:r>
      <w:r>
        <w:rPr>
          <w:rFonts w:ascii="Arial" w:cs="Arial" w:eastAsia="Arial" w:hAnsi="Arial"/>
          <w:sz w:val="16"/>
          <w:szCs w:val="16"/>
          <w:color w:val="auto"/>
        </w:rPr>
        <w:t>. Our clinical trial will enroll patients with active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H. pylori</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infection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dyspeptic symptoms. The Japan Phase 3 trial enrolled patients with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and a history of gastric or duodenal ulcers;</w:t>
      </w:r>
    </w:p>
    <w:p>
      <w:pPr>
        <w:spacing w:after="0" w:line="102" w:lineRule="exact"/>
        <w:rPr>
          <w:rFonts w:ascii="Arial" w:cs="Arial" w:eastAsia="Arial" w:hAnsi="Arial"/>
          <w:sz w:val="16"/>
          <w:szCs w:val="16"/>
          <w:color w:val="auto"/>
        </w:rPr>
      </w:pPr>
    </w:p>
    <w:p>
      <w:pPr>
        <w:ind w:left="1000" w:right="100" w:hanging="419"/>
        <w:spacing w:after="0" w:line="278"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Treatment duration and antibiotic doses</w:t>
      </w:r>
      <w:r>
        <w:rPr>
          <w:rFonts w:ascii="Arial" w:cs="Arial" w:eastAsia="Arial" w:hAnsi="Arial"/>
          <w:sz w:val="17"/>
          <w:szCs w:val="17"/>
          <w:color w:val="auto"/>
        </w:rPr>
        <w:t>. Standard of care regimens in Western countries include higher doses of antibiotics and a longer duration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treatment (typically 14 days) than in Japan (typically seven days); and</w:t>
      </w:r>
    </w:p>
    <w:p>
      <w:pPr>
        <w:spacing w:after="0" w:line="125" w:lineRule="exact"/>
        <w:rPr>
          <w:rFonts w:ascii="Arial" w:cs="Arial" w:eastAsia="Arial" w:hAnsi="Arial"/>
          <w:sz w:val="17"/>
          <w:szCs w:val="17"/>
          <w:color w:val="auto"/>
        </w:rPr>
      </w:pPr>
    </w:p>
    <w:p>
      <w:pPr>
        <w:ind w:left="600" w:right="180" w:hanging="19"/>
        <w:spacing w:after="0" w:line="514" w:lineRule="auto"/>
        <w:tabs>
          <w:tab w:leader="none" w:pos="1013" w:val="left"/>
        </w:tabs>
        <w:numPr>
          <w:ilvl w:val="0"/>
          <w:numId w:val="12"/>
        </w:numPr>
        <w:rPr>
          <w:rFonts w:ascii="Arial" w:cs="Arial" w:eastAsia="Arial" w:hAnsi="Arial"/>
          <w:sz w:val="15"/>
          <w:szCs w:val="15"/>
          <w:color w:val="auto"/>
        </w:rPr>
      </w:pPr>
      <w:r>
        <w:rPr>
          <w:rFonts w:ascii="Arial" w:cs="Arial" w:eastAsia="Arial" w:hAnsi="Arial"/>
          <w:sz w:val="15"/>
          <w:szCs w:val="15"/>
          <w:b w:val="1"/>
          <w:bCs w:val="1"/>
          <w:i w:val="1"/>
          <w:iCs w:val="1"/>
          <w:color w:val="auto"/>
        </w:rPr>
        <w:t>Inclusion of dual therapy arm</w:t>
      </w:r>
      <w:r>
        <w:rPr>
          <w:rFonts w:ascii="Arial" w:cs="Arial" w:eastAsia="Arial" w:hAnsi="Arial"/>
          <w:sz w:val="15"/>
          <w:szCs w:val="15"/>
          <w:color w:val="auto"/>
        </w:rPr>
        <w:t>. Vonoprazan dual therapy has only been studied in investigator-initiated clinical trials and not yet in a pivotal trial.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clinical trial design conforms to standard of care treatment regimens in the United States and Europe and follows the ACG treatment guidelines.</w:t>
      </w:r>
    </w:p>
    <w:p>
      <w:pPr>
        <w:jc w:val="center"/>
        <w:ind w:right="-59"/>
        <w:spacing w:after="0"/>
        <w:rPr>
          <w:sz w:val="20"/>
          <w:szCs w:val="20"/>
          <w:color w:val="auto"/>
        </w:rPr>
      </w:pPr>
      <w:r>
        <w:rPr>
          <w:rFonts w:ascii="Arial" w:cs="Arial" w:eastAsia="Arial" w:hAnsi="Arial"/>
          <w:sz w:val="17"/>
          <w:szCs w:val="17"/>
          <w:b w:val="1"/>
          <w:bCs w:val="1"/>
          <w:color w:val="auto"/>
        </w:rPr>
        <w:t xml:space="preserve">Design for PHALCON-HP Phase 3 </w:t>
      </w:r>
      <w:r>
        <w:rPr>
          <w:rFonts w:ascii="Arial" w:cs="Arial" w:eastAsia="Arial" w:hAnsi="Arial"/>
          <w:sz w:val="17"/>
          <w:szCs w:val="17"/>
          <w:b w:val="1"/>
          <w:bCs w:val="1"/>
          <w:i w:val="1"/>
          <w:iCs w:val="1"/>
          <w:color w:val="auto"/>
        </w:rPr>
        <w:t>H. pylori</w:t>
      </w:r>
      <w:r>
        <w:rPr>
          <w:rFonts w:ascii="Arial" w:cs="Arial" w:eastAsia="Arial" w:hAnsi="Arial"/>
          <w:sz w:val="17"/>
          <w:szCs w:val="17"/>
          <w:b w:val="1"/>
          <w:bCs w:val="1"/>
          <w:color w:val="auto"/>
        </w:rPr>
        <w:t xml:space="preserve">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1233805</wp:posOffset>
            </wp:positionH>
            <wp:positionV relativeFrom="paragraph">
              <wp:posOffset>279400</wp:posOffset>
            </wp:positionV>
            <wp:extent cx="4674870" cy="17786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74870" cy="177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firstLine="589"/>
        <w:spacing w:after="0" w:line="278" w:lineRule="auto"/>
        <w:rPr>
          <w:sz w:val="20"/>
          <w:szCs w:val="20"/>
          <w:color w:val="auto"/>
        </w:rPr>
      </w:pPr>
      <w:r>
        <w:rPr>
          <w:rFonts w:ascii="Arial" w:cs="Arial" w:eastAsia="Arial" w:hAnsi="Arial"/>
          <w:sz w:val="17"/>
          <w:szCs w:val="17"/>
          <w:color w:val="auto"/>
        </w:rPr>
        <w:t>We expect to report top-line data from this trial in the second quarter of 2021 and, if successful, file a regulatory submission for marketing approval in the second half of 2021.</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Convenience Pack for H. pylori</w:t>
      </w:r>
      <w:r>
        <w:rPr>
          <w:rFonts w:ascii="Arial" w:cs="Arial" w:eastAsia="Arial" w:hAnsi="Arial"/>
          <w:sz w:val="17"/>
          <w:szCs w:val="17"/>
          <w:color w:val="auto"/>
        </w:rPr>
        <w:t>.</w:t>
      </w:r>
    </w:p>
    <w:p>
      <w:pPr>
        <w:spacing w:after="0" w:line="177" w:lineRule="exact"/>
        <w:rPr>
          <w:sz w:val="20"/>
          <w:szCs w:val="20"/>
          <w:color w:val="auto"/>
        </w:rPr>
      </w:pPr>
    </w:p>
    <w:p>
      <w:pPr>
        <w:ind w:firstLine="864"/>
        <w:spacing w:after="0" w:line="301" w:lineRule="auto"/>
        <w:rPr>
          <w:sz w:val="20"/>
          <w:szCs w:val="20"/>
          <w:color w:val="auto"/>
        </w:rPr>
      </w:pPr>
      <w:r>
        <w:rPr>
          <w:rFonts w:ascii="Arial" w:cs="Arial" w:eastAsia="Arial" w:hAnsi="Arial"/>
          <w:sz w:val="15"/>
          <w:szCs w:val="15"/>
          <w:color w:val="auto"/>
        </w:rPr>
        <w:t xml:space="preserve">We plan initially to seek regulatory approval for vonoprazan for the treatment of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infection as a pre-packaged convenience or combination pack with either clarithromycin and amoxicillin or amoxicillin alone. Convenience packs have the potential to improve patient adherence and treatment outcomes, and we believe there is a meaningful market opportunity for such a product. In the United States, PrevPac was formerly marketed as a pre-packaged convenience pack of lansoprazole, clarithromycin, and amoxicillin and achieved peak sales of $150 million. In Japan, vonoprazan is marketed both as a stand-alone medicine as well as in pre-packaged convenience packs with either clarithromycin and amoxicillin (Vonosap) or metronidazole and amoxicillin (Vonopion).</w:t>
      </w: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80"/>
          </w:cols>
          <w:pgMar w:left="320" w:top="293" w:right="39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Vonoprazan Pharmacokinetics and Pharmacodynamics in Japanese vs. non-Japanese Subjects</w:t>
      </w:r>
    </w:p>
    <w:p>
      <w:pPr>
        <w:spacing w:after="0" w:line="196"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The vonoprazan pharmacokinetic and pharmacodynamic profile is similar between Japanese and non-Japanese subjects as assessed in two randomized, double-blind, placebo-controlled Phase 1 clinical trials in healthy volunteers. Sixty Japanese subjects in the first study and 48 non-Japanese subjects in the second study, of whom 85% were Caucasian, received doses from 10 mg up to 40 mg QD for seven consecutive days. At all doses, pharmacokinetics between the two populations were similar. In addition, the pharmacodynamics were similar between Japanese and non-Japanese subjects as shown in the figure below. On Day 7, mean time above pH 4.0 for vonoprazan 20 mg QD was 83% for Japanese subjects and 85% for non-Japanese subjects. Night-time 12-hour time above pH 4.0 was 73% for Japanese subjects and 75% for non-Japanese subjects. We believe that these results show that vonoprazan has a similar profile in Japanese and non-Japanese subjects.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Comparative Pharmacodynamics of Vonoprazan in Japanese and non-Japanese Subjects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1625600</wp:posOffset>
            </wp:positionH>
            <wp:positionV relativeFrom="paragraph">
              <wp:posOffset>148590</wp:posOffset>
            </wp:positionV>
            <wp:extent cx="3900170" cy="132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900170" cy="132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Vonoprazan Safety Data</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Safety in Clinical Studies</w:t>
      </w:r>
    </w:p>
    <w:p>
      <w:pPr>
        <w:spacing w:after="0" w:line="190"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 xml:space="preserve">As of December 2020, over 7,000 subjects have been exposed to vonoprazan in completed and ongoing Phase 1 to 3 clinical trials. The doses studied have ranged from 1 to 120 mg with durations up to one year. The most commonly reported adverse events, or AEs, in the clinical development program for vonoprazan, as reflected in the Japanese prescribing information published by Japan’s Pharmaceuticals and Medical Devices Agency, or PMDA, were diarrhea, constipation, nausea, elevated liver enzymes, rash, and eosinophilia. All such events had an incidence rate of less than 5.0% other than diarrhea in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which had an incidence rate of 10.6% in combination with antibiotics. No dose-related increase in treatment-emergent AEs, or TEAEs, or serious AEs was observed. The safety profile of vonoprazan and incidence of TEAEs, drug-related TEAEs, and TEAEs leading to drug discontinuation were similar between vonoprazan and lansoprazole across studies.</w:t>
      </w:r>
    </w:p>
    <w:p>
      <w:pPr>
        <w:spacing w:after="0" w:line="147" w:lineRule="exact"/>
        <w:rPr>
          <w:sz w:val="20"/>
          <w:szCs w:val="20"/>
          <w:color w:val="auto"/>
        </w:rPr>
      </w:pPr>
    </w:p>
    <w:p>
      <w:pPr>
        <w:ind w:right="20" w:firstLine="589"/>
        <w:spacing w:after="0" w:line="257" w:lineRule="auto"/>
        <w:rPr>
          <w:sz w:val="20"/>
          <w:szCs w:val="20"/>
          <w:color w:val="auto"/>
        </w:rPr>
      </w:pPr>
      <w:r>
        <w:rPr>
          <w:rFonts w:ascii="Arial" w:cs="Arial" w:eastAsia="Arial" w:hAnsi="Arial"/>
          <w:sz w:val="17"/>
          <w:szCs w:val="17"/>
          <w:color w:val="auto"/>
        </w:rPr>
        <w:t>Certain earlier generation P-CABs previously under development by other companies may have been discontinued in-part due to their hepatic safety profile. These hepatic safety concerns may be compound-specific and not generalizable to the P-CAB class. It is notable that vonoprazan is based on a pyrrole chemical structure and is chemically distinct from previously discontinued P-CABs that were based on an imidazole structure. Vonoprazan has had a similar hepatic safety profile to lansoprazole across all clinical studies conducted by Takeda, in which 1.0% of subjects treated with vonoprazan 10 mg or 20 mg and 0.8% of subjects treated with lansoprazole 15 mg or 30 mg had ALT or AST elevations greater than three times the upper limit of normal or bilirubin elevations greater than two times the upper limit of normal.</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Vonoprazan Post-Marketing Safety in Japan and Asia</w:t>
      </w:r>
    </w:p>
    <w:p>
      <w:pPr>
        <w:spacing w:after="0" w:line="190" w:lineRule="exact"/>
        <w:rPr>
          <w:sz w:val="20"/>
          <w:szCs w:val="20"/>
          <w:color w:val="auto"/>
        </w:rPr>
      </w:pPr>
    </w:p>
    <w:p>
      <w:pPr>
        <w:ind w:right="60" w:firstLine="864"/>
        <w:spacing w:after="0" w:line="258" w:lineRule="auto"/>
        <w:rPr>
          <w:sz w:val="20"/>
          <w:szCs w:val="20"/>
          <w:color w:val="auto"/>
        </w:rPr>
      </w:pPr>
      <w:r>
        <w:rPr>
          <w:rFonts w:ascii="Arial" w:cs="Arial" w:eastAsia="Arial" w:hAnsi="Arial"/>
          <w:sz w:val="17"/>
          <w:szCs w:val="17"/>
          <w:color w:val="auto"/>
        </w:rPr>
        <w:t>The most recent post-marketing safety report from December 2020 includes an estimate of over 50 million patients who have received vonoprazan in Japan and other countries in Asia since its launch. Based on the post-marketing experience, the clinically significant adverse reactions section of the Japanese prescribing information for vonoprazan was updated to include shock, anaphylaxis, hepatic impairment, skin reactions such as toxic epidermal necrolysis, Steven-Johnson syndrome, and erythema multiforme; and events of pancytopenia, agranulocytosis, leukocytopenia, and thrombocytopenia. The incidence of these reactions was considered extremely rare (less than 1</w:t>
      </w: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80"/>
          </w:cols>
          <w:pgMar w:left="320" w:top="288" w:right="399" w:bottom="1440" w:gutter="0" w:footer="0" w:header="0"/>
        </w:sectPr>
      </w:pPr>
    </w:p>
    <w:bookmarkStart w:id="27" w:name="page28"/>
    <w:bookmarkEnd w:id="27"/>
    <w:p>
      <w:pPr>
        <w:ind w:right="260"/>
        <w:spacing w:after="0" w:line="316" w:lineRule="auto"/>
        <w:rPr>
          <w:sz w:val="20"/>
          <w:szCs w:val="20"/>
          <w:color w:val="auto"/>
        </w:rPr>
      </w:pPr>
      <w:r>
        <w:rPr>
          <w:rFonts w:ascii="Arial" w:cs="Arial" w:eastAsia="Arial" w:hAnsi="Arial"/>
          <w:sz w:val="15"/>
          <w:szCs w:val="15"/>
          <w:color w:val="auto"/>
        </w:rPr>
        <w:t>in 100,000 patients) and a causal relationship to vonoprazan could not be ruled out. Although serious hepatic adverse events have been observed among patients exposed to vonoprazan in Japan in the post-marketing setting, these cases were typically confounded by comorbidities or other concomitant medications and believed to be idiosyncratic reactions. Post-marketing safety data, including the December 2020 post-marketing safety report, has been submitted to the PMDA.</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Vonoprazan Launch in Japan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Vonoprazan Regulatory Status</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Vonoprazan first received approval in Japan on December 26, 2014 as TAKECAB® for the following indications:</w:t>
      </w:r>
    </w:p>
    <w:p>
      <w:pPr>
        <w:spacing w:after="0" w:line="190" w:lineRule="exact"/>
        <w:rPr>
          <w:sz w:val="20"/>
          <w:szCs w:val="20"/>
          <w:color w:val="auto"/>
        </w:rPr>
      </w:pPr>
    </w:p>
    <w:p>
      <w:pPr>
        <w:ind w:left="1000" w:hanging="419"/>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Healing and maintenance of healing of erosive esophagitis;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 xml:space="preserve">Adjunct to antibiotics in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treatment;</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Gastric ulcer;</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Duodenal ulcer;</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Prevention of recurrence of gastric ulcer or duodenal ulcer during low-dose aspirin administration;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Prevention of recurrence of gastric ulcer or duodenal ulcer during nonsteroidal anti-inflammatory drug (NSAID) administration.</w:t>
      </w:r>
    </w:p>
    <w:p>
      <w:pPr>
        <w:spacing w:after="0" w:line="177" w:lineRule="exact"/>
        <w:rPr>
          <w:sz w:val="20"/>
          <w:szCs w:val="20"/>
          <w:color w:val="auto"/>
        </w:rPr>
      </w:pPr>
    </w:p>
    <w:p>
      <w:pPr>
        <w:ind w:firstLine="589"/>
        <w:spacing w:after="0" w:line="258" w:lineRule="auto"/>
        <w:rPr>
          <w:sz w:val="20"/>
          <w:szCs w:val="20"/>
          <w:color w:val="auto"/>
        </w:rPr>
      </w:pPr>
      <w:r>
        <w:rPr>
          <w:rFonts w:ascii="Arial" w:cs="Arial" w:eastAsia="Arial" w:hAnsi="Arial"/>
          <w:sz w:val="17"/>
          <w:szCs w:val="17"/>
          <w:color w:val="auto"/>
        </w:rPr>
        <w:t xml:space="preserve">Vonoprazan was subsequently approved in Japan in February 2016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 combination packs with antibiotics (Vonosap Pack 400, Vonosap Pack 800, and Vonopion Pack), as VOCINTI in the Philippines (October 2017), Singapore (March 2018), Thailand (July 2018), Argentina (September 2018), Peru (September 2018), South Korea (March 2019), Taiwan (March 2019), Malaysia (May 2019), Ecuador (December 2019), China (December 2019), Indonesia (February 2020), as INZELM in Brazil (March 2020), and DENZIZA in Mexico (December 2020). Vonoprazan is currently under review for approval by regulatory authorities in additional countries in Latin America and Asia.</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Vonoprazan Commercialization in Japan</w:t>
      </w:r>
    </w:p>
    <w:p>
      <w:pPr>
        <w:spacing w:after="0" w:line="177" w:lineRule="exact"/>
        <w:rPr>
          <w:sz w:val="20"/>
          <w:szCs w:val="20"/>
          <w:color w:val="auto"/>
        </w:rPr>
      </w:pPr>
    </w:p>
    <w:p>
      <w:pPr>
        <w:ind w:right="20" w:firstLine="589"/>
        <w:spacing w:after="0" w:line="265" w:lineRule="auto"/>
        <w:rPr>
          <w:sz w:val="20"/>
          <w:szCs w:val="20"/>
          <w:color w:val="auto"/>
        </w:rPr>
      </w:pPr>
      <w:r>
        <w:rPr>
          <w:rFonts w:ascii="Arial" w:cs="Arial" w:eastAsia="Arial" w:hAnsi="Arial"/>
          <w:sz w:val="17"/>
          <w:szCs w:val="17"/>
          <w:color w:val="auto"/>
        </w:rPr>
        <w:t>Vonoprazan was approved in Japan in December 2014. In its fifth full year on the market, vonoprazan generated approximately $650 million in net sales in Japan, a 24% increase over the prior year. In addition, in the quarter ended December 31, 2020, vonoprazan generated over $214 million in net sales, a 16% increase over the corresponding quarter from the prior fiscal year.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7"/>
          <w:szCs w:val="17"/>
          <w:b w:val="1"/>
          <w:bCs w:val="1"/>
          <w:color w:val="auto"/>
        </w:rPr>
        <w:t>Vonoprazan Net Sales Since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148590</wp:posOffset>
            </wp:positionV>
            <wp:extent cx="4063365" cy="2194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06336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firstLine="589"/>
        <w:spacing w:after="0" w:line="278" w:lineRule="auto"/>
        <w:rPr>
          <w:sz w:val="20"/>
          <w:szCs w:val="20"/>
          <w:color w:val="auto"/>
        </w:rPr>
      </w:pPr>
      <w:r>
        <w:rPr>
          <w:rFonts w:ascii="Arial" w:cs="Arial" w:eastAsia="Arial" w:hAnsi="Arial"/>
          <w:sz w:val="16"/>
          <w:szCs w:val="16"/>
          <w:color w:val="auto"/>
        </w:rPr>
        <w:t>We believe that the market dynamic for anti-secretory agents in Japan is similar to that in the United States. In both countries, the anti-secretory market is largely genericized. Ahead of the vonoprazan launch in Japan, all PPIs, other than Nexium, were available as generics. As of 2017, generic drugs in Japan represent approximately 70% of the market by volume, compared to the United States where generics are approximately 90% of the market by volume. Additionally, the Japanese government set a goal to increase generic use to 80% by 2020. Although vonoprazan and Dexilant are priced at a premium to generic PPIs in Japan and the United States, respectively, both have experienced commercial success.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Vonoprazan Commercial Opportunity and Strategy</w:t>
      </w:r>
    </w:p>
    <w:p>
      <w:pPr>
        <w:spacing w:after="0" w:line="183" w:lineRule="exact"/>
        <w:rPr>
          <w:sz w:val="20"/>
          <w:szCs w:val="20"/>
          <w:color w:val="auto"/>
        </w:rPr>
      </w:pPr>
    </w:p>
    <w:p>
      <w:pPr>
        <w:ind w:right="80" w:firstLine="589"/>
        <w:spacing w:after="0" w:line="258" w:lineRule="auto"/>
        <w:rPr>
          <w:sz w:val="20"/>
          <w:szCs w:val="20"/>
          <w:color w:val="auto"/>
        </w:rPr>
      </w:pPr>
      <w:r>
        <w:rPr>
          <w:rFonts w:ascii="Arial" w:cs="Arial" w:eastAsia="Arial" w:hAnsi="Arial"/>
          <w:sz w:val="17"/>
          <w:szCs w:val="17"/>
          <w:color w:val="auto"/>
        </w:rPr>
        <w:t xml:space="preserve">The market for prevention and treatment of acid-related GI diseases in the United States and Europe is large. There were approximately 6.8 billion PPI doses prescribed for the 12 months ended October 31, 2020. We estimate that there are approximately 65 million individuals with GERD in the United States and 50 million individuals with GERD in the EU5, of whom 15% to 45% are inadequately treated with PPIs. In addition, we estimate that there are approximately 115 million individuals in the United States infected with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of which 2.5 million are treated each year, and 145 million individuals in the EU5 infected with </w:t>
      </w:r>
      <w:r>
        <w:rPr>
          <w:rFonts w:ascii="Arial" w:cs="Arial" w:eastAsia="Arial" w:hAnsi="Arial"/>
          <w:sz w:val="17"/>
          <w:szCs w:val="17"/>
          <w:i w:val="1"/>
          <w:iCs w:val="1"/>
          <w:color w:val="auto"/>
        </w:rPr>
        <w:t>H.</w:t>
      </w:r>
      <w:r>
        <w:rPr>
          <w:rFonts w:ascii="Arial" w:cs="Arial" w:eastAsia="Arial" w:hAnsi="Arial"/>
          <w:sz w:val="17"/>
          <w:szCs w:val="17"/>
          <w:color w:val="auto"/>
        </w:rPr>
        <w:t xml:space="preserve"> </w:t>
      </w:r>
      <w:r>
        <w:rPr>
          <w:rFonts w:ascii="Arial" w:cs="Arial" w:eastAsia="Arial" w:hAnsi="Arial"/>
          <w:sz w:val="17"/>
          <w:szCs w:val="17"/>
          <w:i w:val="1"/>
          <w:iCs w:val="1"/>
          <w:color w:val="auto"/>
        </w:rPr>
        <w:t>pylori</w:t>
      </w:r>
      <w:r>
        <w:rPr>
          <w:rFonts w:ascii="Arial" w:cs="Arial" w:eastAsia="Arial" w:hAnsi="Arial"/>
          <w:sz w:val="17"/>
          <w:szCs w:val="17"/>
          <w:color w:val="auto"/>
        </w:rPr>
        <w:t>.</w:t>
      </w:r>
    </w:p>
    <w:p>
      <w:pPr>
        <w:spacing w:after="0" w:line="144" w:lineRule="exact"/>
        <w:rPr>
          <w:sz w:val="20"/>
          <w:szCs w:val="20"/>
          <w:color w:val="auto"/>
        </w:rPr>
      </w:pPr>
    </w:p>
    <w:p>
      <w:pPr>
        <w:ind w:right="20" w:firstLine="589"/>
        <w:spacing w:after="0" w:line="258" w:lineRule="auto"/>
        <w:rPr>
          <w:sz w:val="20"/>
          <w:szCs w:val="20"/>
          <w:color w:val="auto"/>
        </w:rPr>
      </w:pPr>
      <w:r>
        <w:rPr>
          <w:rFonts w:ascii="Arial" w:cs="Arial" w:eastAsia="Arial" w:hAnsi="Arial"/>
          <w:sz w:val="17"/>
          <w:szCs w:val="17"/>
          <w:color w:val="auto"/>
        </w:rPr>
        <w:t>Over many decades of use, multiple drug classes and individual drugs have demonstrated the substantial commercial opportunity for therapies treating acid-related GI diseases. H2RAs including Axid, Pepcid, Tagamet, and Zantac provided the first significant improvement in disease management over antacids and as a class reached $3.5 billion in annual sales. After H2RAs, PPIs emerged as the new standard of care. Prior to the introduction of generic and OTC alternatives, annual PPI class sales reached approximately $12.5 billion in the United States, and peak sales for individual brands were approximately $3.7 billion for Prilosec, approximately $3.5 billion for Nexium, and $3.4 billion for Prevacid.</w:t>
      </w:r>
    </w:p>
    <w:p>
      <w:pPr>
        <w:spacing w:after="0" w:line="157"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As recently as 2015, the last branded PPI, Dexilant, reached approximately $530 million in sales in the United States despite limited differentiation from other PPIs. As of June 30, 2019, Dexilant was priced at a significant premium to generic PPIs on the market. Even with premium pricing, Dexilant obtained broad insurance coverage and favorable access. As of June 30, 2019, approximately 90% of commercially covered lives and 80% of Medicare covered lives had access to Dexilant. Furthermore, of those commercially covered lives, 65% had unrestricted access to the drug without prior authorization or step edits and 35% of patients had access at the lowest branded cost tier. We believe that, if approved in our markets, vonoprazan will be the first of the next generation of anti-secretory therapies to improve the standard of care for acid-related GI diseases by providing a safe and effective treatment option for the millions of patients in need of more potent, rapid, or durable acid suppression. Additionally, we believe the potential differentiation of vonoprazan compared to PPIs could result in attractive market access and formulary positioning.</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29" w:name="page30"/>
    <w:bookmarkEnd w:id="29"/>
    <w:p>
      <w:pPr>
        <w:ind w:right="20" w:firstLine="589"/>
        <w:spacing w:after="0" w:line="275" w:lineRule="auto"/>
        <w:rPr>
          <w:sz w:val="20"/>
          <w:szCs w:val="20"/>
          <w:color w:val="auto"/>
        </w:rPr>
      </w:pPr>
      <w:r>
        <w:rPr>
          <w:rFonts w:ascii="Arial" w:cs="Arial" w:eastAsia="Arial" w:hAnsi="Arial"/>
          <w:sz w:val="16"/>
          <w:szCs w:val="16"/>
          <w:color w:val="auto"/>
        </w:rPr>
        <w:t xml:space="preserve">In July 2020, we conducted a U.S. market research study which surveyed 150 gastroenterologists and 152 primary care physicians who treat GERD and </w:t>
      </w:r>
      <w:r>
        <w:rPr>
          <w:rFonts w:ascii="Arial" w:cs="Arial" w:eastAsia="Arial" w:hAnsi="Arial"/>
          <w:sz w:val="16"/>
          <w:szCs w:val="16"/>
          <w:i w:val="1"/>
          <w:iCs w:val="1"/>
          <w:color w:val="auto"/>
        </w:rPr>
        <w:t>H.</w:t>
      </w:r>
      <w:r>
        <w:rPr>
          <w:rFonts w:ascii="Arial" w:cs="Arial" w:eastAsia="Arial" w:hAnsi="Arial"/>
          <w:sz w:val="16"/>
          <w:szCs w:val="16"/>
          <w:color w:val="auto"/>
        </w:rPr>
        <w:t xml:space="preserve"> </w:t>
      </w:r>
      <w:r>
        <w:rPr>
          <w:rFonts w:ascii="Arial" w:cs="Arial" w:eastAsia="Arial" w:hAnsi="Arial"/>
          <w:sz w:val="16"/>
          <w:szCs w:val="16"/>
          <w:i w:val="1"/>
          <w:iCs w:val="1"/>
          <w:color w:val="auto"/>
        </w:rPr>
        <w:t>Pylori</w:t>
      </w:r>
      <w:r>
        <w:rPr>
          <w:rFonts w:ascii="Arial" w:cs="Arial" w:eastAsia="Arial" w:hAnsi="Arial"/>
          <w:sz w:val="16"/>
          <w:szCs w:val="16"/>
          <w:color w:val="auto"/>
        </w:rPr>
        <w:t>. For the treatment of GERD, 55% to 60% of physicians believed that vonoprazan has demonstrated superior efficacy in the healing and maintenance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healed esophageal erosions compared to existing EE treatments, provides faster onset of action compared to existing GERD treatments, and has superior duration and magnitude of gastric pH control compared to existing GERD treatments.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surveyed physicians highlighted the need for improved eradication rates and more convenient dosing as key unmet needs. Over 50% of surveyed physicians agreed that vonoprazan dual or triple therapy provided a superior eradication rate in patients with clarithromycin-resistant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and, on average, 48% and 47% reported a preference to use vonoprazan first line in patients with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and patients with refractory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83" w:lineRule="exact"/>
        <w:rPr>
          <w:sz w:val="20"/>
          <w:szCs w:val="20"/>
          <w:color w:val="auto"/>
        </w:rPr>
      </w:pPr>
    </w:p>
    <w:p>
      <w:pPr>
        <w:ind w:right="120" w:firstLine="589"/>
        <w:spacing w:after="0" w:line="276" w:lineRule="auto"/>
        <w:rPr>
          <w:sz w:val="20"/>
          <w:szCs w:val="20"/>
          <w:color w:val="auto"/>
        </w:rPr>
      </w:pPr>
      <w:r>
        <w:rPr>
          <w:rFonts w:ascii="Arial" w:cs="Arial" w:eastAsia="Arial" w:hAnsi="Arial"/>
          <w:sz w:val="16"/>
          <w:szCs w:val="16"/>
          <w:color w:val="auto"/>
        </w:rPr>
        <w:t xml:space="preserve">We are in the process of building marketing, sales, and distribution capabilities. We plan to independently commercialize vonoprazan in the United States by building a leading specialty gastroenterology-focused commercial infrastructure to support the adoption of vonoprazan. We believe we can successfully launch vonoprazan in the United States with a focused sales force targeting high prescribers of PPIs, particularly gastroenterologists and primary care physicians. PPI prescribing is highly concentrated with approximately 70% of prescriptions in both </w:t>
      </w:r>
      <w:r>
        <w:rPr>
          <w:rFonts w:ascii="Arial" w:cs="Arial" w:eastAsia="Arial" w:hAnsi="Arial"/>
          <w:sz w:val="16"/>
          <w:szCs w:val="16"/>
          <w:i w:val="1"/>
          <w:iCs w:val="1"/>
          <w:color w:val="auto"/>
        </w:rPr>
        <w:t>H.</w:t>
      </w:r>
      <w:r>
        <w:rPr>
          <w:rFonts w:ascii="Arial" w:cs="Arial" w:eastAsia="Arial" w:hAnsi="Arial"/>
          <w:sz w:val="16"/>
          <w:szCs w:val="16"/>
          <w:color w:val="auto"/>
        </w:rPr>
        <w:t xml:space="preserve"> pylori and erosive esophagitis being written by 20% of the PPI prescribers (approximately 40,000 prescribers), according to IQVIA data. We believe we have an opportunity to achieve significant share of voice and exposure to physicians given the scarcity of actively marketed anti-secretory medicines.</w:t>
      </w:r>
    </w:p>
    <w:p>
      <w:pPr>
        <w:spacing w:after="0" w:line="131" w:lineRule="exact"/>
        <w:rPr>
          <w:sz w:val="20"/>
          <w:szCs w:val="20"/>
          <w:color w:val="auto"/>
        </w:rPr>
      </w:pPr>
    </w:p>
    <w:p>
      <w:pPr>
        <w:ind w:right="940" w:firstLine="589"/>
        <w:spacing w:after="0" w:line="278" w:lineRule="auto"/>
        <w:rPr>
          <w:sz w:val="20"/>
          <w:szCs w:val="20"/>
          <w:color w:val="auto"/>
        </w:rPr>
      </w:pPr>
      <w:r>
        <w:rPr>
          <w:rFonts w:ascii="Arial" w:cs="Arial" w:eastAsia="Arial" w:hAnsi="Arial"/>
          <w:sz w:val="17"/>
          <w:szCs w:val="17"/>
          <w:color w:val="auto"/>
        </w:rPr>
        <w:t>To address the commercial opportunity for vonoprazan in Europe and Canada, we plan to seek one or more partners with existing commercial infrastructure and expertise in these markets.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Vonoprazan Development Opportunities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Indications</w:t>
      </w:r>
    </w:p>
    <w:p>
      <w:pPr>
        <w:spacing w:after="0" w:line="177" w:lineRule="exact"/>
        <w:rPr>
          <w:sz w:val="20"/>
          <w:szCs w:val="20"/>
          <w:color w:val="auto"/>
        </w:rPr>
      </w:pPr>
    </w:p>
    <w:p>
      <w:pPr>
        <w:ind w:firstLine="589"/>
        <w:spacing w:after="0" w:line="258" w:lineRule="auto"/>
        <w:rPr>
          <w:sz w:val="20"/>
          <w:szCs w:val="20"/>
          <w:color w:val="auto"/>
        </w:rPr>
      </w:pPr>
      <w:r>
        <w:rPr>
          <w:rFonts w:ascii="Arial" w:cs="Arial" w:eastAsia="Arial" w:hAnsi="Arial"/>
          <w:sz w:val="17"/>
          <w:szCs w:val="17"/>
          <w:color w:val="auto"/>
        </w:rPr>
        <w:t xml:space="preserve">While we are initially focused on the development of vonoprazan for the treatment of erosive esophagitis and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and plan on initiating our NERD development program in the second quarter of 2021, we believe there are opportunities to expand the use of vonoprazan to other indications in our licensed territories. For example, in Japan, vonoprazan is also approved for the treatment of gastric ulcers, treatment of duodenal ulcers, prevention of recurrence of gastric ulcer or duodenal ulcer during low-dose aspirin administration, and prevention of recurrence of gastric ulcer or duodenal ulcer during NSAID administration.</w:t>
      </w:r>
    </w:p>
    <w:p>
      <w:pPr>
        <w:spacing w:after="0" w:line="157" w:lineRule="exact"/>
        <w:rPr>
          <w:sz w:val="20"/>
          <w:szCs w:val="20"/>
          <w:color w:val="auto"/>
        </w:rPr>
      </w:pPr>
    </w:p>
    <w:p>
      <w:pPr>
        <w:ind w:right="160" w:firstLine="589"/>
        <w:spacing w:after="0" w:line="278" w:lineRule="auto"/>
        <w:rPr>
          <w:sz w:val="20"/>
          <w:szCs w:val="20"/>
          <w:color w:val="auto"/>
        </w:rPr>
      </w:pPr>
      <w:r>
        <w:rPr>
          <w:rFonts w:ascii="Arial" w:cs="Arial" w:eastAsia="Arial" w:hAnsi="Arial"/>
          <w:sz w:val="17"/>
          <w:szCs w:val="17"/>
          <w:color w:val="auto"/>
        </w:rPr>
        <w:t>In addition to NERD and indications for which vonoprazan is approved in Japan, we believe there are additional opportunities to develop vonoprazan for the treatment of GI diseases.</w:t>
      </w:r>
    </w:p>
    <w:p>
      <w:pPr>
        <w:spacing w:after="0" w:line="125" w:lineRule="exact"/>
        <w:rPr>
          <w:sz w:val="20"/>
          <w:szCs w:val="20"/>
          <w:color w:val="auto"/>
        </w:rPr>
      </w:pPr>
    </w:p>
    <w:p>
      <w:pPr>
        <w:ind w:right="40" w:firstLine="589"/>
        <w:spacing w:after="0" w:line="278" w:lineRule="auto"/>
        <w:rPr>
          <w:sz w:val="20"/>
          <w:szCs w:val="20"/>
          <w:color w:val="auto"/>
        </w:rPr>
      </w:pPr>
      <w:r>
        <w:rPr>
          <w:rFonts w:ascii="Arial" w:cs="Arial" w:eastAsia="Arial" w:hAnsi="Arial"/>
          <w:sz w:val="17"/>
          <w:szCs w:val="17"/>
          <w:color w:val="auto"/>
        </w:rPr>
        <w:t>Barrett’s esophagus and Zollinger Ellison syndrome are severe diseases related to acid secretion where PPIs are the current standard of care. The improved acid control of vonoprazan relative to PPIs may lead to improved results over PPIs.</w:t>
      </w:r>
    </w:p>
    <w:p>
      <w:pPr>
        <w:spacing w:after="0" w:line="125" w:lineRule="exact"/>
        <w:rPr>
          <w:sz w:val="20"/>
          <w:szCs w:val="20"/>
          <w:color w:val="auto"/>
        </w:rPr>
      </w:pPr>
    </w:p>
    <w:p>
      <w:pPr>
        <w:ind w:right="20" w:firstLine="589"/>
        <w:spacing w:after="0" w:line="278" w:lineRule="auto"/>
        <w:rPr>
          <w:sz w:val="20"/>
          <w:szCs w:val="20"/>
          <w:color w:val="auto"/>
        </w:rPr>
      </w:pPr>
      <w:r>
        <w:rPr>
          <w:rFonts w:ascii="Arial" w:cs="Arial" w:eastAsia="Arial" w:hAnsi="Arial"/>
          <w:sz w:val="16"/>
          <w:szCs w:val="16"/>
          <w:color w:val="auto"/>
        </w:rPr>
        <w:t>Eosinophilic esophagitis is an autoimmune disease with significant unmet need. Although not approved for this indication, PPIs are prescribed for the treatment of eosinophilic esophagitis. Vonoprazan demonstrated similar efficacy to PPIs in an investigator-sponsored clinical trial in Japan. In this clinical trial, 112 patients with eosinophilic esophagitis were treated with vonoprazan, or the PPI rabeprazole or esomeprazole. Of patients treated with vonoprazan, 82% had complete relief of symptoms compared to 70% for esomeprazole and 76-78% for rabeprazole. Similarly, 35% of patients treated with vonoprazan demonstrated complete remission of eosinophilic esophagitis by histology, compared to 37% for esomeprazole and 31-38% for rabeprazole.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Formulations and Packaging</w:t>
      </w:r>
    </w:p>
    <w:p>
      <w:pPr>
        <w:spacing w:after="0" w:line="177" w:lineRule="exact"/>
        <w:rPr>
          <w:sz w:val="20"/>
          <w:szCs w:val="20"/>
          <w:color w:val="auto"/>
        </w:rPr>
      </w:pPr>
    </w:p>
    <w:p>
      <w:pPr>
        <w:ind w:firstLine="589"/>
        <w:spacing w:after="0" w:line="289" w:lineRule="auto"/>
        <w:rPr>
          <w:sz w:val="20"/>
          <w:szCs w:val="20"/>
          <w:color w:val="auto"/>
        </w:rPr>
      </w:pPr>
      <w:r>
        <w:rPr>
          <w:rFonts w:ascii="Arial" w:cs="Arial" w:eastAsia="Arial" w:hAnsi="Arial"/>
          <w:sz w:val="16"/>
          <w:szCs w:val="16"/>
          <w:b w:val="1"/>
          <w:bCs w:val="1"/>
          <w:i w:val="1"/>
          <w:iCs w:val="1"/>
          <w:color w:val="auto"/>
        </w:rPr>
        <w:t>Orally Disintegrating Tablet</w:t>
      </w:r>
      <w:r>
        <w:rPr>
          <w:rFonts w:ascii="Arial" w:cs="Arial" w:eastAsia="Arial" w:hAnsi="Arial"/>
          <w:sz w:val="16"/>
          <w:szCs w:val="16"/>
          <w:color w:val="auto"/>
        </w:rPr>
        <w:t>. An orally disintegrating tablet, or ODT, formulation for vonoprazan is currently in development by Takeda.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conduct one or more Phase 1 trials to support potential approval of the ODT formulation. We believe that the ODT represents a meaningful commercial opportunity for patients with difficulty swallowing, as estimated peak U.S. sales of the lansoprazole ODT formulation were over $450 million.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0" w:name="page31"/>
    <w:bookmarkEnd w:id="30"/>
    <w:p>
      <w:pPr>
        <w:ind w:right="280" w:firstLine="589"/>
        <w:spacing w:after="0" w:line="278" w:lineRule="auto"/>
        <w:rPr>
          <w:sz w:val="20"/>
          <w:szCs w:val="20"/>
          <w:color w:val="auto"/>
        </w:rPr>
      </w:pPr>
      <w:r>
        <w:rPr>
          <w:rFonts w:ascii="Arial" w:cs="Arial" w:eastAsia="Arial" w:hAnsi="Arial"/>
          <w:sz w:val="17"/>
          <w:szCs w:val="17"/>
          <w:b w:val="1"/>
          <w:bCs w:val="1"/>
          <w:i w:val="1"/>
          <w:iCs w:val="1"/>
          <w:color w:val="auto"/>
        </w:rPr>
        <w:t>Intravenous Formulation</w:t>
      </w:r>
      <w:r>
        <w:rPr>
          <w:rFonts w:ascii="Arial" w:cs="Arial" w:eastAsia="Arial" w:hAnsi="Arial"/>
          <w:sz w:val="17"/>
          <w:szCs w:val="17"/>
          <w:color w:val="auto"/>
        </w:rPr>
        <w:t>. We are exploring the potential to develop an intravenous formulation of vonoprazan for use in acute bleeding, critically 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patients, or other in-hospital applications. Several PPIs have approved intravenous formulations.</w:t>
      </w:r>
    </w:p>
    <w:p>
      <w:pPr>
        <w:spacing w:after="0" w:line="138" w:lineRule="exact"/>
        <w:rPr>
          <w:sz w:val="20"/>
          <w:szCs w:val="20"/>
          <w:color w:val="auto"/>
        </w:rPr>
      </w:pPr>
    </w:p>
    <w:p>
      <w:pPr>
        <w:ind w:right="960" w:firstLine="589"/>
        <w:spacing w:after="0" w:line="457" w:lineRule="auto"/>
        <w:rPr>
          <w:sz w:val="20"/>
          <w:szCs w:val="20"/>
          <w:color w:val="auto"/>
        </w:rPr>
      </w:pPr>
      <w:r>
        <w:rPr>
          <w:rFonts w:ascii="Arial" w:cs="Arial" w:eastAsia="Arial" w:hAnsi="Arial"/>
          <w:sz w:val="17"/>
          <w:szCs w:val="17"/>
          <w:b w:val="1"/>
          <w:bCs w:val="1"/>
          <w:i w:val="1"/>
          <w:iCs w:val="1"/>
          <w:color w:val="auto"/>
        </w:rPr>
        <w:t>Pediatric Formulation</w:t>
      </w:r>
      <w:r>
        <w:rPr>
          <w:rFonts w:ascii="Arial" w:cs="Arial" w:eastAsia="Arial" w:hAnsi="Arial"/>
          <w:sz w:val="17"/>
          <w:szCs w:val="17"/>
          <w:color w:val="auto"/>
        </w:rPr>
        <w:t>. We are exploring the potential to develop an oral formulation, in addition to an ODT formulation, for pediatric use.</w:t>
      </w:r>
      <w:r>
        <w:rPr>
          <w:rFonts w:ascii="Arial" w:cs="Arial" w:eastAsia="Arial" w:hAnsi="Arial"/>
          <w:sz w:val="17"/>
          <w:szCs w:val="17"/>
          <w:b w:val="1"/>
          <w:bCs w:val="1"/>
          <w:i w:val="1"/>
          <w:iCs w:val="1"/>
          <w:color w:val="auto"/>
        </w:rPr>
        <w:t xml:space="preserve"> Over the Counter Use</w:t>
      </w:r>
    </w:p>
    <w:p>
      <w:pPr>
        <w:spacing w:after="0" w:line="1" w:lineRule="exact"/>
        <w:rPr>
          <w:sz w:val="20"/>
          <w:szCs w:val="20"/>
          <w:color w:val="auto"/>
        </w:rPr>
      </w:pPr>
    </w:p>
    <w:p>
      <w:pPr>
        <w:ind w:right="320" w:firstLine="589"/>
        <w:spacing w:after="0" w:line="278" w:lineRule="auto"/>
        <w:rPr>
          <w:sz w:val="20"/>
          <w:szCs w:val="20"/>
          <w:color w:val="auto"/>
        </w:rPr>
      </w:pPr>
      <w:r>
        <w:rPr>
          <w:rFonts w:ascii="Arial" w:cs="Arial" w:eastAsia="Arial" w:hAnsi="Arial"/>
          <w:sz w:val="17"/>
          <w:szCs w:val="17"/>
          <w:color w:val="auto"/>
        </w:rPr>
        <w:t>We believe that vonoprazan has the ideal profile for an OTC product, including the potential for on-demand symptom relief and a well-tolerated safety profile. Sales of OTC heartburn relief products in the United States are substantial, constituting a multi-billion-dollar market.</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83" w:lineRule="exact"/>
        <w:rPr>
          <w:sz w:val="20"/>
          <w:szCs w:val="20"/>
          <w:color w:val="auto"/>
        </w:rPr>
      </w:pPr>
    </w:p>
    <w:p>
      <w:pPr>
        <w:ind w:right="120" w:firstLine="589"/>
        <w:spacing w:after="0" w:line="261" w:lineRule="auto"/>
        <w:rPr>
          <w:sz w:val="20"/>
          <w:szCs w:val="20"/>
          <w:color w:val="auto"/>
        </w:rPr>
      </w:pPr>
      <w:r>
        <w:rPr>
          <w:rFonts w:ascii="Arial" w:cs="Arial" w:eastAsia="Arial" w:hAnsi="Arial"/>
          <w:sz w:val="17"/>
          <w:szCs w:val="17"/>
          <w:color w:val="auto"/>
        </w:rPr>
        <w:t>The biopharmaceutical industry is characterized by rapidly advancing technologies, intense competition and strong emphasis on proprietary products. We face potential competition from many sources, including major pharmaceutical, specialty pharmaceutical and biotechnology companies, academic institutions and government agencies and public and private research institutions. If vonoprazan receives marketing approval in the United States, Europe or Canada, it will compete with existing therapies and new therapies that may become available in the future.</w:t>
      </w:r>
    </w:p>
    <w:p>
      <w:pPr>
        <w:spacing w:after="0" w:line="139"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Some of our competitors, either alone or with their strategic partners, have substantially greater financial, technical and human resources and significantly greater experience in the discovery and development of product candidates, obtaining FDA and other regulatory approvals of treatments and commercializing those treatments. These same competitors may invent technology that competes with vonoprazan. 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trial sites and subject recruitment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159" w:lineRule="exact"/>
        <w:rPr>
          <w:sz w:val="20"/>
          <w:szCs w:val="20"/>
          <w:color w:val="auto"/>
        </w:rPr>
      </w:pPr>
    </w:p>
    <w:p>
      <w:pPr>
        <w:ind w:firstLine="589"/>
        <w:spacing w:after="0" w:line="301"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vonoprazan, which could result in our competitors establishing a strong market position before we are able to enter the market. In addition, we expect that vonoprazan, if approved, will be priced at a premium over competitive generic products and our ability to compete may be affected in many cases by insurers or other third-party payors seeking to encourage the use of generic products.</w:t>
      </w:r>
    </w:p>
    <w:p>
      <w:pPr>
        <w:spacing w:after="0" w:line="11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We expect that vonoprazan, if approved for the treatment of erosive esophagitis and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will primarily compete with generic</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PPIs marketed by multiple pharmaceutical companies in both the prescription and OTC markets. Additionally, in March 2020, RedHill Biopharma Ltd. launched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Talicia, a co-formulated capsule comprising generic omeprazole, amoxicillin, and rifabutin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w:t>
      </w:r>
    </w:p>
    <w:p>
      <w:pPr>
        <w:spacing w:after="0" w:line="166" w:lineRule="exact"/>
        <w:rPr>
          <w:sz w:val="20"/>
          <w:szCs w:val="20"/>
          <w:color w:val="auto"/>
        </w:rPr>
      </w:pPr>
    </w:p>
    <w:p>
      <w:pPr>
        <w:ind w:right="20" w:firstLine="589"/>
        <w:spacing w:after="0" w:line="276" w:lineRule="auto"/>
        <w:rPr>
          <w:sz w:val="20"/>
          <w:szCs w:val="20"/>
          <w:color w:val="auto"/>
        </w:rPr>
      </w:pPr>
      <w:r>
        <w:rPr>
          <w:rFonts w:ascii="Arial" w:cs="Arial" w:eastAsia="Arial" w:hAnsi="Arial"/>
          <w:sz w:val="16"/>
          <w:szCs w:val="16"/>
          <w:color w:val="auto"/>
        </w:rPr>
        <w:t>We are also aware of other P-CABs in territories outside of the United States that, if developed and approved in our territories, may compete with vonoprazan. Revaprazan is marketed by Yuhan Corporation in South Korea. Tegoprazan is marketed by CJ Healthcare Corp. in South Korea and is currently in development in Japan by RaQualia Pharma, Inc. Daewoong Pharmaceutical Co., Ltd., has filed an application for regulatory approval of fexuprazan in South Korea and plans to commence a Phase 1 clinical trial in China in the first half of 2021, Jeil Pharm has opened a Phase 2 trial in South Korea of its P-CAB candidate, JP-1366, in erosive esophagitis, and Cinclus Pharma AG’s X842 has completed a Phase 1 clinical trial in Europe and is currently in Phase 2 clinical trials. To our knowledge, none of these compounds have demonstrated superiority to PPIs on clinical endpoints.</w:t>
      </w:r>
    </w:p>
    <w:p>
      <w:pPr>
        <w:spacing w:after="0" w:line="144" w:lineRule="exact"/>
        <w:rPr>
          <w:sz w:val="20"/>
          <w:szCs w:val="20"/>
          <w:color w:val="auto"/>
        </w:rPr>
      </w:pPr>
    </w:p>
    <w:p>
      <w:pPr>
        <w:ind w:right="40" w:firstLine="589"/>
        <w:spacing w:after="0" w:line="278" w:lineRule="auto"/>
        <w:rPr>
          <w:sz w:val="20"/>
          <w:szCs w:val="20"/>
          <w:color w:val="auto"/>
        </w:rPr>
      </w:pPr>
      <w:r>
        <w:rPr>
          <w:rFonts w:ascii="Arial" w:cs="Arial" w:eastAsia="Arial" w:hAnsi="Arial"/>
          <w:sz w:val="17"/>
          <w:szCs w:val="17"/>
          <w:color w:val="auto"/>
        </w:rPr>
        <w:t>Additionally, we are aware of several clinical-stage PPIs in territories outside of the United States that if developed and approved in our licensed territories may compete with vonoprazan. These include Dexa Medica’s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1" w:name="page32"/>
    <w:bookmarkEnd w:id="31"/>
    <w:p>
      <w:pPr>
        <w:ind w:right="60"/>
        <w:spacing w:after="0" w:line="310" w:lineRule="auto"/>
        <w:rPr>
          <w:sz w:val="20"/>
          <w:szCs w:val="20"/>
          <w:color w:val="auto"/>
        </w:rPr>
      </w:pPr>
      <w:r>
        <w:rPr>
          <w:rFonts w:ascii="Arial" w:cs="Arial" w:eastAsia="Arial" w:hAnsi="Arial"/>
          <w:sz w:val="16"/>
          <w:szCs w:val="16"/>
          <w:color w:val="auto"/>
        </w:rPr>
        <w:t>DLBS-2411, currently in Phase 3 clinical trials in Indonesia, Sihuan Pharmaceutical’s anaprazole, currently in Phase 3 clinical trials in China, Eisai’s azeloprazole, currently in a Phase 2 clinical trial in Japan, and Sidem Pharma’s tenatoprazole, currently in Phase 2 clinical trials in Europe and Canada.</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83" w:lineRule="exact"/>
        <w:rPr>
          <w:sz w:val="20"/>
          <w:szCs w:val="20"/>
          <w:color w:val="auto"/>
        </w:rPr>
      </w:pPr>
    </w:p>
    <w:p>
      <w:pPr>
        <w:ind w:right="60" w:firstLine="589"/>
        <w:spacing w:after="0" w:line="257" w:lineRule="auto"/>
        <w:rPr>
          <w:sz w:val="20"/>
          <w:szCs w:val="20"/>
          <w:color w:val="auto"/>
        </w:rPr>
      </w:pPr>
      <w:r>
        <w:rPr>
          <w:rFonts w:ascii="Arial" w:cs="Arial" w:eastAsia="Arial" w:hAnsi="Arial"/>
          <w:sz w:val="17"/>
          <w:szCs w:val="17"/>
          <w:color w:val="auto"/>
        </w:rPr>
        <w:t>Intellectual property, including patents, trade secrets, trademarks and copyrights, is important to our business. Our commercial success depends in part on our ability to obtain and maintain proprietary intellectual property protection for vonoprazan, as well as for future product candidates and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protection of our proprietary position by, among other methods, licensing or filing U.S. and foreign patents and applications relating to our technology, inventions, and improvements that are important to the development and implementation of our business.</w:t>
      </w:r>
    </w:p>
    <w:p>
      <w:pPr>
        <w:spacing w:after="0" w:line="145" w:lineRule="exact"/>
        <w:rPr>
          <w:sz w:val="20"/>
          <w:szCs w:val="20"/>
          <w:color w:val="auto"/>
        </w:rPr>
      </w:pPr>
    </w:p>
    <w:p>
      <w:pPr>
        <w:ind w:firstLine="589"/>
        <w:spacing w:after="0" w:line="271" w:lineRule="auto"/>
        <w:rPr>
          <w:sz w:val="20"/>
          <w:szCs w:val="20"/>
          <w:color w:val="auto"/>
        </w:rPr>
      </w:pPr>
      <w:r>
        <w:rPr>
          <w:rFonts w:ascii="Arial" w:cs="Arial" w:eastAsia="Arial" w:hAnsi="Arial"/>
          <w:sz w:val="16"/>
          <w:szCs w:val="16"/>
          <w:color w:val="auto"/>
        </w:rPr>
        <w:t>Our patent portfolio, comprising patents and patent applications exclusively licensed to us, is built with a goal of establishing broad protection that generally includes, for the product candidate compound, claims directed to composition of matter, pharmaceutical compositions or formulations, methods of synthesis, and methods of treatment using such pharmaceutical compositions or formulations. As of December 31, 2020, our patent portfolio covering vonoprazan consists solely of exclusively licensed patents and patent applications from Takeda. Subject to the terms of the license agreement we entered into with Takeda on May 7, 2019, or the Takeda License, we have licensed from Takeda exclusive rights in the United States, Europe, and Canada to patents and patent applications covering the composition of matter, formulation, use and/or manufacture of vonoprazan. Our patent portfolio comprises 11 distinct patent families protecting the technology relating to the compound vonoprazan and its synthetic intermediates, methods of synthesizing vonoprazan and related compounds, various formulations of vonoprazan products, as well as methods of treating diseases with vonoprazan and related compounds. As of December 31, 2020, our portfolio consists of approximately 21 issued U.S. patents, 5 pending U.S. applications, 11 issued European patents subsequently validated in individual European countries, 5 pending European applications, 4 issued Canadian patents, and 5 pending Canadian applications. The issued patents and pending applications have nominal expiration dates ranging from 2024 to 2038, without accounting for any available patent term adjustments or extensions. The issued U.S. patent covering the composition of matter of vonoprazan is expected to expire in August 2028, not including patent term extension. The issued U.S. patent covering the formulation of vonoprazan is expected to expire in August 2030, not including patent term extension.</w:t>
      </w:r>
    </w:p>
    <w:p>
      <w:pPr>
        <w:spacing w:after="0" w:line="152" w:lineRule="exact"/>
        <w:rPr>
          <w:sz w:val="20"/>
          <w:szCs w:val="20"/>
          <w:color w:val="auto"/>
        </w:rPr>
      </w:pPr>
    </w:p>
    <w:p>
      <w:pPr>
        <w:ind w:right="60" w:firstLine="589"/>
        <w:spacing w:after="0" w:line="292" w:lineRule="auto"/>
        <w:rPr>
          <w:sz w:val="20"/>
          <w:szCs w:val="20"/>
          <w:color w:val="auto"/>
        </w:rPr>
      </w:pPr>
      <w:r>
        <w:rPr>
          <w:rFonts w:ascii="Arial" w:cs="Arial" w:eastAsia="Arial" w:hAnsi="Arial"/>
          <w:sz w:val="15"/>
          <w:szCs w:val="15"/>
          <w:color w:val="auto"/>
        </w:rPr>
        <w:t>The term of individual patents in our portfolio depends upon the legal term of patents in the countries in which they are obtained. In most countries in which we file, including the United States, the patent term is 20 years from the earliest date of filing a non-provisional patent application. In the United States, the term of a patent may be eligible for patent term adjustment, which permits patent term restoration as compensation for delays incurred at the USPTO during the patent prosecution process. In addition, for patents that cover an FDA-approved drug, the Drug Price Competition and Patent Term Restoration Act of 1984, or the Hatch-Waxman Act, permits a patent term extension of up to five years beyond the expiration of the patent. While the length of the patent term extension is related to the length of time the drug is under regulatory review, patent term extension cannot extend the remaining term of a patent beyond a total of 14 years from the date of product approval, and only one patent per approved drug may be extended under the Hatch-Waxman Act.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any available patent term extension to any issued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p>
    <w:p>
      <w:pPr>
        <w:spacing w:after="0" w:line="120" w:lineRule="exact"/>
        <w:rPr>
          <w:sz w:val="20"/>
          <w:szCs w:val="20"/>
          <w:color w:val="auto"/>
        </w:rPr>
      </w:pPr>
    </w:p>
    <w:p>
      <w:pPr>
        <w:ind w:right="100" w:firstLine="589"/>
        <w:spacing w:after="0" w:line="258" w:lineRule="auto"/>
        <w:rPr>
          <w:sz w:val="20"/>
          <w:szCs w:val="20"/>
          <w:color w:val="auto"/>
        </w:rPr>
      </w:pPr>
      <w:r>
        <w:rPr>
          <w:rFonts w:ascii="Arial" w:cs="Arial" w:eastAsia="Arial" w:hAnsi="Arial"/>
          <w:sz w:val="17"/>
          <w:szCs w:val="17"/>
          <w:color w:val="auto"/>
        </w:rPr>
        <w:t>The patent positions of companies like ours are generally uncertain and involve complex legal and factual questions. The relevant patent laws and their interpretation outside of the United States is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32" w:name="page33"/>
    <w:bookmarkEnd w:id="32"/>
    <w:p>
      <w:pPr>
        <w:spacing w:after="0" w:line="258" w:lineRule="auto"/>
        <w:rPr>
          <w:sz w:val="20"/>
          <w:szCs w:val="20"/>
          <w:color w:val="auto"/>
        </w:rPr>
      </w:pPr>
      <w:r>
        <w:rPr>
          <w:rFonts w:ascii="Arial" w:cs="Arial" w:eastAsia="Arial" w:hAnsi="Arial"/>
          <w:sz w:val="17"/>
          <w:szCs w:val="17"/>
          <w:color w:val="auto"/>
        </w:rPr>
        <w:t>technology, inventions and improvements. We cannot guarantee that patents will be granted with respect to any of our licensed pending patent applications or with respect to any patent applications we may file in the future, nor can we be sure that any patents that may be granted to us or Takeda in the future will be commercially useful in protecting our products, the methods of use or manufacture of those products. Moreover, issued patents do not guarantee the right to practice our technology in relation to the commercialization of our products. Issued patents only allow us to block potential competitors from practicing the claimed inventions of the issued patents.</w:t>
      </w:r>
    </w:p>
    <w:p>
      <w:pPr>
        <w:spacing w:after="0" w:line="157" w:lineRule="exact"/>
        <w:rPr>
          <w:sz w:val="20"/>
          <w:szCs w:val="20"/>
          <w:color w:val="auto"/>
        </w:rPr>
      </w:pPr>
    </w:p>
    <w:p>
      <w:pPr>
        <w:ind w:firstLine="589"/>
        <w:spacing w:after="0" w:line="255" w:lineRule="auto"/>
        <w:rPr>
          <w:sz w:val="20"/>
          <w:szCs w:val="20"/>
          <w:color w:val="auto"/>
        </w:rPr>
      </w:pPr>
      <w:r>
        <w:rPr>
          <w:rFonts w:ascii="Arial" w:cs="Arial" w:eastAsia="Arial" w:hAnsi="Arial"/>
          <w:sz w:val="17"/>
          <w:szCs w:val="17"/>
          <w:color w:val="auto"/>
        </w:rPr>
        <w:t>Further, patents and other intellectual property rights in the pharmaceutical and biotechnology space are evolving and involve many risks and uncertainties. For example, third parties may have blocking patents that could be used to prevent us from commercializing vonoprazan and any future product candidates and practicing our proprietary technology, and any issued patents may be challenged, invalidated or circumvented, which could limit our ability to stop competitors from marketing related products or could limit the term of patent protection that otherwise may exist for vonoprazan and any future product candidates. 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vonoprazan and any future product candidates. Moreover, because of the extensive time required for development, testing and regulatory review of a potential product, it is possible that, before any particular product candidate can be commercialized, any patent protection for such product may expire or remain in force for only a short period following commercialization, thereby reducing the commercial advantage the patent provides.</w:t>
      </w:r>
    </w:p>
    <w:p>
      <w:pPr>
        <w:spacing w:after="0" w:line="146" w:lineRule="exact"/>
        <w:rPr>
          <w:sz w:val="20"/>
          <w:szCs w:val="20"/>
          <w:color w:val="auto"/>
        </w:rPr>
      </w:pPr>
    </w:p>
    <w:p>
      <w:pPr>
        <w:ind w:right="60" w:firstLine="589"/>
        <w:spacing w:after="0" w:line="256" w:lineRule="auto"/>
        <w:rPr>
          <w:sz w:val="20"/>
          <w:szCs w:val="20"/>
          <w:color w:val="auto"/>
        </w:rPr>
      </w:pPr>
      <w:r>
        <w:rPr>
          <w:rFonts w:ascii="Arial" w:cs="Arial" w:eastAsia="Arial" w:hAnsi="Arial"/>
          <w:sz w:val="17"/>
          <w:szCs w:val="17"/>
          <w:color w:val="auto"/>
        </w:rPr>
        <w:t>It is our policy to require our employees, consultants, outside scientific collaborators, sponsored researchers and other advisors to execute confidentiality agreements upon the commencement of employment or consulting relationships with us, and for employees and consultants to enter into invention assignment agreements with us. These agreements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Phathom, and as such, will become our property. There can be no assurance, however, that these agreements will provide meaningful protection or adequate remedies for our trade secrets in the event of unauthorized use or disclosure of such information.</w:t>
      </w:r>
    </w:p>
    <w:p>
      <w:pPr>
        <w:spacing w:after="0" w:line="147" w:lineRule="exact"/>
        <w:rPr>
          <w:sz w:val="20"/>
          <w:szCs w:val="20"/>
          <w:color w:val="auto"/>
        </w:rPr>
      </w:pPr>
    </w:p>
    <w:p>
      <w:pPr>
        <w:ind w:right="300" w:firstLine="589"/>
        <w:spacing w:after="0" w:line="278" w:lineRule="auto"/>
        <w:rPr>
          <w:sz w:val="20"/>
          <w:szCs w:val="20"/>
          <w:color w:val="auto"/>
        </w:rPr>
      </w:pPr>
      <w:r>
        <w:rPr>
          <w:rFonts w:ascii="Arial" w:cs="Arial" w:eastAsia="Arial" w:hAnsi="Arial"/>
          <w:sz w:val="17"/>
          <w:szCs w:val="17"/>
          <w:color w:val="auto"/>
        </w:rPr>
        <w:t>Further, we have filed for and have received trademark registrations for our company name “Phathom Pharmaceuticals” in the United States, European Union, and other foreign jurisdictions, and are pursuing trademark protection in certain other foreign jurisdictions.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Takeda Pharmaceutical Company Limited</w:t>
      </w:r>
    </w:p>
    <w:p>
      <w:pPr>
        <w:spacing w:after="0" w:line="177" w:lineRule="exact"/>
        <w:rPr>
          <w:sz w:val="20"/>
          <w:szCs w:val="20"/>
          <w:color w:val="auto"/>
        </w:rPr>
      </w:pPr>
    </w:p>
    <w:p>
      <w:pPr>
        <w:ind w:right="60" w:firstLine="589"/>
        <w:spacing w:after="0" w:line="293" w:lineRule="auto"/>
        <w:rPr>
          <w:sz w:val="20"/>
          <w:szCs w:val="20"/>
          <w:color w:val="auto"/>
        </w:rPr>
      </w:pPr>
      <w:r>
        <w:rPr>
          <w:rFonts w:ascii="Arial" w:cs="Arial" w:eastAsia="Arial" w:hAnsi="Arial"/>
          <w:sz w:val="15"/>
          <w:szCs w:val="15"/>
          <w:color w:val="auto"/>
        </w:rPr>
        <w:t>On May 7, 2019, we and Takeda entered into the Takeda License, pursuant to which, Takeda granted us an exclusive, sublicensable (with Takeda’s reasonable consent) license under certain patents and know how relating to vonoprazan and owned or controlled by Takeda during the term of the Takeda License to commercialize vonoprazan products using specified formulations for all human therapeutic uses in the United States, Europe and Canada, and a non-exclusive license under such patents and know how to develop and manufacture such vonoprazan products anywhere in the world (subject to Takeda’s consent as to each country) for the purposes of commercializing the vonoprazan products in the United States, Europe and Canada. We granted Takeda a non-exclusive, royalty-free, sublicensable license under our rights in any patents and know-how that are necessary or useful to enable Takeda to develop and manufacture vonoprazan products anywhere in the world for the purposes of commercialization outside United States, Europe and Canada. We also granted Takeda an exclusive, royalty-free license under our rights in certain patents and know-how owned or controlled by us and necessary for the exploitation of vonoprazan products, in each case for Takeda to commercialize any vonoprazan product outside of the United States, Canada, and Europe and for purposes other than human therapeutic use.</w:t>
      </w:r>
    </w:p>
    <w:p>
      <w:pPr>
        <w:spacing w:after="0" w:line="122" w:lineRule="exact"/>
        <w:rPr>
          <w:sz w:val="20"/>
          <w:szCs w:val="20"/>
          <w:color w:val="auto"/>
        </w:rPr>
      </w:pPr>
    </w:p>
    <w:p>
      <w:pPr>
        <w:ind w:right="180" w:firstLine="589"/>
        <w:spacing w:after="0" w:line="261" w:lineRule="auto"/>
        <w:rPr>
          <w:sz w:val="20"/>
          <w:szCs w:val="20"/>
          <w:color w:val="auto"/>
        </w:rPr>
      </w:pPr>
      <w:r>
        <w:rPr>
          <w:rFonts w:ascii="Arial" w:cs="Arial" w:eastAsia="Arial" w:hAnsi="Arial"/>
          <w:sz w:val="17"/>
          <w:szCs w:val="17"/>
          <w:color w:val="auto"/>
        </w:rPr>
        <w:t>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the vonoprazan products. We are required to use commercially reasonable efforts to develop and commercialize the vonoprazan products in our licensed territory.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3" w:name="page34"/>
    <w:bookmarkEnd w:id="33"/>
    <w:p>
      <w:pPr>
        <w:ind w:right="20" w:firstLine="589"/>
        <w:spacing w:after="0" w:line="261" w:lineRule="auto"/>
        <w:rPr>
          <w:sz w:val="20"/>
          <w:szCs w:val="20"/>
          <w:color w:val="auto"/>
        </w:rPr>
      </w:pPr>
      <w:r>
        <w:rPr>
          <w:rFonts w:ascii="Arial" w:cs="Arial" w:eastAsia="Arial" w:hAnsi="Arial"/>
          <w:sz w:val="17"/>
          <w:szCs w:val="17"/>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 We have the first right to enforce the licensed patent rights with respect to certain infringing products in the United States, Europe and Canada.</w:t>
      </w:r>
    </w:p>
    <w:p>
      <w:pPr>
        <w:spacing w:after="0" w:line="152" w:lineRule="exact"/>
        <w:rPr>
          <w:sz w:val="20"/>
          <w:szCs w:val="20"/>
          <w:color w:val="auto"/>
        </w:rPr>
      </w:pPr>
    </w:p>
    <w:p>
      <w:pPr>
        <w:ind w:firstLine="589"/>
        <w:spacing w:after="0" w:line="298" w:lineRule="auto"/>
        <w:rPr>
          <w:sz w:val="20"/>
          <w:szCs w:val="20"/>
          <w:color w:val="auto"/>
        </w:rPr>
      </w:pPr>
      <w:r>
        <w:rPr>
          <w:rFonts w:ascii="Arial" w:cs="Arial" w:eastAsia="Arial" w:hAnsi="Arial"/>
          <w:sz w:val="15"/>
          <w:szCs w:val="15"/>
          <w:color w:val="auto"/>
        </w:rPr>
        <w:t>We paid Takeda upfront consideration consisting of a cash payment of $25.0 million, 1,084,000 shares of common stock and a warrant to purchase 7,588,000 shares of common stock, or the Takeda Warrant. We agreed to make milestone payments to Takeda upon achieving certain tiered aggregate annual net sales of licensed products in the United States, Europe and Canada up a total maximum milestone amount of $250.0 million. We also agreed to make tiered royalty payments in the low double digits to the mid-teens on net sales of licensed products, subject to specified offsets and reductions. Royalties will be payable, on a product-by-product and country-by-country basis from the first commercial sale of such product in such country, until the latest of expiration of the licensed patents covering the applicable product, expiration of regulatory exclusivity in such country, or 15 years following first commercial sale in such country.</w:t>
      </w:r>
    </w:p>
    <w:p>
      <w:pPr>
        <w:spacing w:after="0" w:line="115" w:lineRule="exact"/>
        <w:rPr>
          <w:sz w:val="20"/>
          <w:szCs w:val="20"/>
          <w:color w:val="auto"/>
        </w:rPr>
      </w:pPr>
    </w:p>
    <w:p>
      <w:pPr>
        <w:ind w:firstLine="589"/>
        <w:spacing w:after="0" w:line="261" w:lineRule="auto"/>
        <w:rPr>
          <w:sz w:val="20"/>
          <w:szCs w:val="20"/>
          <w:color w:val="auto"/>
        </w:rPr>
      </w:pPr>
      <w:r>
        <w:rPr>
          <w:rFonts w:ascii="Arial" w:cs="Arial" w:eastAsia="Arial" w:hAnsi="Arial"/>
          <w:sz w:val="17"/>
          <w:szCs w:val="17"/>
          <w:color w:val="auto"/>
        </w:rPr>
        <w:t>The Takeda License will continue until the expiration of the obligation to pay royalties in all countries and on all products. We may terminate the Takeda License in its entirety without cause upon six months’ prior written notice. We and Takeda may terminate the Takeda License in the case of the other party’s insolvency, or upon prior written notice within a specified time period for the other party’s material uncured breach. Takeda may terminate the Takeda License in its entirety if we challenge the licensed patents, or if we assist any third party in challenging such patents.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196" w:lineRule="exact"/>
        <w:rPr>
          <w:sz w:val="20"/>
          <w:szCs w:val="20"/>
          <w:color w:val="auto"/>
        </w:rPr>
      </w:pPr>
    </w:p>
    <w:p>
      <w:pPr>
        <w:ind w:right="80" w:firstLine="589"/>
        <w:spacing w:after="0" w:line="265" w:lineRule="auto"/>
        <w:rPr>
          <w:sz w:val="20"/>
          <w:szCs w:val="20"/>
          <w:color w:val="auto"/>
        </w:rPr>
      </w:pPr>
      <w:r>
        <w:rPr>
          <w:rFonts w:ascii="Arial" w:cs="Arial" w:eastAsia="Arial" w:hAnsi="Arial"/>
          <w:sz w:val="17"/>
          <w:szCs w:val="17"/>
          <w:color w:val="auto"/>
        </w:rPr>
        <w:t>We do not currently own or operate manufacturing facilities for the production of clinical or commercial quantities of vonoprazan. Vonoprazan is a small molecule that can be manufactured using commercially available technologies. We currently rely on Takeda to supply us with vonoprazan drug product for clinical use.</w:t>
      </w:r>
    </w:p>
    <w:p>
      <w:pPr>
        <w:spacing w:after="0" w:line="136" w:lineRule="exact"/>
        <w:rPr>
          <w:sz w:val="20"/>
          <w:szCs w:val="20"/>
          <w:color w:val="auto"/>
        </w:rPr>
      </w:pPr>
    </w:p>
    <w:p>
      <w:pPr>
        <w:jc w:val="both"/>
        <w:ind w:right="340" w:firstLine="589"/>
        <w:spacing w:after="0" w:line="265" w:lineRule="auto"/>
        <w:rPr>
          <w:sz w:val="20"/>
          <w:szCs w:val="20"/>
          <w:color w:val="auto"/>
        </w:rPr>
      </w:pPr>
      <w:r>
        <w:rPr>
          <w:rFonts w:ascii="Arial" w:cs="Arial" w:eastAsia="Arial" w:hAnsi="Arial"/>
          <w:sz w:val="17"/>
          <w:szCs w:val="17"/>
          <w:color w:val="auto"/>
        </w:rPr>
        <w:t>With respect to any future product candidates, we expect to continue to rely on third-party contract manufacturers to manufacture clinical supplies and commercial quantities of any approved product. Although we rely on contract manufacturers, we have personnel with manufacturing experience to oversee our relationships with Takeda and Sandoz.</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Takeda Commercial Supply Agreement</w:t>
      </w:r>
    </w:p>
    <w:p>
      <w:pPr>
        <w:spacing w:after="0" w:line="190" w:lineRule="exact"/>
        <w:rPr>
          <w:sz w:val="20"/>
          <w:szCs w:val="20"/>
          <w:color w:val="auto"/>
        </w:rPr>
      </w:pPr>
    </w:p>
    <w:p>
      <w:pPr>
        <w:ind w:right="80" w:firstLine="589"/>
        <w:spacing w:after="0" w:line="275" w:lineRule="auto"/>
        <w:rPr>
          <w:sz w:val="20"/>
          <w:szCs w:val="20"/>
          <w:color w:val="auto"/>
        </w:rPr>
      </w:pPr>
      <w:r>
        <w:rPr>
          <w:rFonts w:ascii="Arial" w:cs="Arial" w:eastAsia="Arial" w:hAnsi="Arial"/>
          <w:sz w:val="16"/>
          <w:szCs w:val="16"/>
          <w:color w:val="auto"/>
        </w:rPr>
        <w:t>In April 2020, we entered into a Commercial Supply Agreement with Takeda , or the Takeda Supply Agreement, pursuant to which Takeda will supply us with commercial quantities of vonoprazan bulk drug. Pursuant to the Commercial Supply Agreement, Takeda has agreed to supply us certain quantities of vonoprazan bulk drug product according to approved specifications at a fixed price per batch of bulk drug product in order to commercialize vonoprazan in accordance with the Takeda License. The Takeda Supply Agreement sets forth a minimum and maximum number of batches of vonoprazan bulk drug product that we are required to order each year, and if we do not purchase the minimum number of batches in a year, other than as a result of Takeda’s inability to supply such batches for any reason, or as a result of force majeure, we are required to pay Takeda the amount corresponding to the shortfall. Takeda has no obligation to supply bulk drug product above the maximum number of batches specified in the Takeda Supply Agreement.</w:t>
      </w:r>
    </w:p>
    <w:p>
      <w:pPr>
        <w:spacing w:after="0" w:line="130" w:lineRule="exact"/>
        <w:rPr>
          <w:sz w:val="20"/>
          <w:szCs w:val="20"/>
          <w:color w:val="auto"/>
        </w:rPr>
      </w:pPr>
    </w:p>
    <w:p>
      <w:pPr>
        <w:ind w:right="120" w:firstLine="589"/>
        <w:spacing w:after="0" w:line="261" w:lineRule="auto"/>
        <w:rPr>
          <w:sz w:val="20"/>
          <w:szCs w:val="20"/>
          <w:color w:val="auto"/>
        </w:rPr>
      </w:pPr>
      <w:r>
        <w:rPr>
          <w:rFonts w:ascii="Arial" w:cs="Arial" w:eastAsia="Arial" w:hAnsi="Arial"/>
          <w:sz w:val="17"/>
          <w:szCs w:val="17"/>
          <w:color w:val="auto"/>
        </w:rPr>
        <w:t>In addition, under the Takeda Supply Agreement, Takeda will provide certain services and materials, including vonoprazan drug substance, to support the transfer of technology and Takeda manufacturing know-how to our contract manufacturing organizations, or CMOs, that we designate. Takeda has agreed to negotiate in good faith to provide reasonable additional support, including technical advice and supply of materials, to assist us with technology transfers to the CMOs.</w:t>
      </w:r>
    </w:p>
    <w:p>
      <w:pPr>
        <w:spacing w:after="0" w:line="139" w:lineRule="exact"/>
        <w:rPr>
          <w:sz w:val="20"/>
          <w:szCs w:val="20"/>
          <w:color w:val="auto"/>
        </w:rPr>
      </w:pPr>
    </w:p>
    <w:p>
      <w:pPr>
        <w:ind w:right="180" w:firstLine="589"/>
        <w:spacing w:after="0" w:line="261" w:lineRule="auto"/>
        <w:rPr>
          <w:sz w:val="20"/>
          <w:szCs w:val="20"/>
          <w:color w:val="auto"/>
        </w:rPr>
      </w:pPr>
      <w:r>
        <w:rPr>
          <w:rFonts w:ascii="Arial" w:cs="Arial" w:eastAsia="Arial" w:hAnsi="Arial"/>
          <w:sz w:val="17"/>
          <w:szCs w:val="17"/>
          <w:color w:val="auto"/>
        </w:rPr>
        <w:t>The Takeda Supply Agreement will continue until the earlier of (a) two years from the date we place an order for bulk drug product for the first commercial launch of vonoprazan in any jurisdiction in the United States, Europe or Canada, and (b) December 31, 2023. The Takeda Supply Agreement may be terminated upon written notice by either party if the other party has failed to remedy a material breach within a specified cure period following written notice of such breach. The Takeda Supply Agreement will terminate immediately upon the termination of the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4" w:name="page35"/>
    <w:bookmarkEnd w:id="34"/>
    <w:p>
      <w:pPr>
        <w:ind w:right="40"/>
        <w:spacing w:after="0" w:line="278" w:lineRule="auto"/>
        <w:rPr>
          <w:sz w:val="20"/>
          <w:szCs w:val="20"/>
          <w:color w:val="auto"/>
        </w:rPr>
      </w:pPr>
      <w:r>
        <w:rPr>
          <w:rFonts w:ascii="Arial" w:cs="Arial" w:eastAsia="Arial" w:hAnsi="Arial"/>
          <w:sz w:val="17"/>
          <w:szCs w:val="17"/>
          <w:color w:val="auto"/>
        </w:rPr>
        <w:t>Takeda License in accordance with its terms. We are exploring additional options for commercial supply of vonoprazan bulk tablets and API from other third-party contract manufacturers.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Sandoz Supply and Packaging Agreement</w:t>
      </w:r>
    </w:p>
    <w:p>
      <w:pPr>
        <w:spacing w:after="0" w:line="177" w:lineRule="exact"/>
        <w:rPr>
          <w:sz w:val="20"/>
          <w:szCs w:val="20"/>
          <w:color w:val="auto"/>
        </w:rPr>
      </w:pPr>
    </w:p>
    <w:p>
      <w:pPr>
        <w:ind w:right="260" w:firstLine="589"/>
        <w:spacing w:after="0" w:line="265" w:lineRule="auto"/>
        <w:rPr>
          <w:sz w:val="20"/>
          <w:szCs w:val="20"/>
          <w:color w:val="auto"/>
        </w:rPr>
      </w:pPr>
      <w:r>
        <w:rPr>
          <w:rFonts w:ascii="Arial" w:cs="Arial" w:eastAsia="Arial" w:hAnsi="Arial"/>
          <w:sz w:val="17"/>
          <w:szCs w:val="17"/>
          <w:color w:val="auto"/>
        </w:rPr>
        <w:t>In December 2020, we entered into a Supply and Packaging Services Agreement (with Sandoz GmbH, or the Sandoz Supply Agreement, pursuant to which Sandoz has agreed to supply commercial quantities of amoxicillin capsules and clarithromycin tablets, to package these antibiotics with vonoprazan drug product in finished convenience packs, and to supply us with these convenience packs.</w:t>
      </w:r>
    </w:p>
    <w:p>
      <w:pPr>
        <w:spacing w:after="0" w:line="136" w:lineRule="exact"/>
        <w:rPr>
          <w:sz w:val="20"/>
          <w:szCs w:val="20"/>
          <w:color w:val="auto"/>
        </w:rPr>
      </w:pPr>
    </w:p>
    <w:p>
      <w:pPr>
        <w:ind w:firstLine="589"/>
        <w:spacing w:after="0" w:line="275" w:lineRule="auto"/>
        <w:rPr>
          <w:sz w:val="20"/>
          <w:szCs w:val="20"/>
          <w:color w:val="auto"/>
        </w:rPr>
      </w:pPr>
      <w:r>
        <w:rPr>
          <w:rFonts w:ascii="Arial" w:cs="Arial" w:eastAsia="Arial" w:hAnsi="Arial"/>
          <w:sz w:val="16"/>
          <w:szCs w:val="16"/>
          <w:color w:val="auto"/>
        </w:rPr>
        <w:t>Pursuant to the Sandoz Supply Agreement, we agreed to purchase certain quantities of convenience packs from Sandoz at an agreed upon price per pack. The price per pack is fixed for the first two (2) years following launch of the convenience pack in the United State and may be adjusted thereafter based on Sandoz’s cost increases, subject to an annual cap. The Sandoz Supply Agreement sets forth an annual minimum number of convenience packs that we must purchase each year following launch of the convenience pack product, and if we do not meet the minimum order in a given year, we are required to pay Sandoz the amount corresponding to the shortfall. Sandoz has no obligation to supply convenience packs above a maximum number of packs above a certain percentage of our forecasts. We have agreed to purchase convenience packs, amoxicillin capsules and clarithromycin tablets, in each case intended for sale in the United States, exclusively from Sandoz during the five-year period following launch.</w:t>
      </w:r>
    </w:p>
    <w:p>
      <w:pPr>
        <w:spacing w:after="0" w:line="143"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The Sandoz Supply Agreement will continue for five years from launch of the convenience pack in the U.S. and may be terminated effective at the end of the initial five-year term upon written notice by either party prior to the end of the third year following launch. In the absence of such notice, the Sandoz Supply Agreement will extend automatically for an additional three-year period, and thereafter as mutually agreed upon by the parties. The Sandoz Supply Agreement may also be terminated at any time upon written notice by either party for uncured material breach following written notice of such breach.</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183" w:lineRule="exact"/>
        <w:rPr>
          <w:sz w:val="20"/>
          <w:szCs w:val="20"/>
          <w:color w:val="auto"/>
        </w:rPr>
      </w:pPr>
    </w:p>
    <w:p>
      <w:pPr>
        <w:ind w:right="20" w:firstLine="589"/>
        <w:spacing w:after="0" w:line="261" w:lineRule="auto"/>
        <w:rPr>
          <w:sz w:val="20"/>
          <w:szCs w:val="20"/>
          <w:color w:val="auto"/>
        </w:rPr>
      </w:pPr>
      <w:r>
        <w:rPr>
          <w:rFonts w:ascii="Arial" w:cs="Arial" w:eastAsia="Arial" w:hAnsi="Arial"/>
          <w:sz w:val="17"/>
          <w:szCs w:val="17"/>
          <w:color w:val="auto"/>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NDA process before it may be legally marketed in the United States.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Drug Development Process</w:t>
      </w:r>
    </w:p>
    <w:p>
      <w:pPr>
        <w:spacing w:after="0" w:line="177" w:lineRule="exact"/>
        <w:rPr>
          <w:sz w:val="20"/>
          <w:szCs w:val="20"/>
          <w:color w:val="auto"/>
        </w:rPr>
      </w:pPr>
    </w:p>
    <w:p>
      <w:pPr>
        <w:ind w:right="20" w:firstLine="589"/>
        <w:spacing w:after="0" w:line="256" w:lineRule="auto"/>
        <w:rPr>
          <w:sz w:val="20"/>
          <w:szCs w:val="20"/>
          <w:color w:val="auto"/>
        </w:rPr>
      </w:pPr>
      <w:r>
        <w:rPr>
          <w:rFonts w:ascii="Arial" w:cs="Arial" w:eastAsia="Arial" w:hAnsi="Arial"/>
          <w:sz w:val="17"/>
          <w:szCs w:val="17"/>
          <w:color w:val="auto"/>
        </w:rPr>
        <w:t>In the United States, the FDA regulates drugs under the federal Food, Drug, and Cosmetic Act, or the FDCA, and its implementing regulations. The process of obtaining regulatory approvals and the subsequent compliance with appropriate federal, state, local and foreign statutes and regulations require the expenditure of substantial time and financial resources. Failure to comply with the applicable U.S.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process required by the FDA before a drug may be marketed in the United States generally involves the following:</w:t>
      </w:r>
    </w:p>
    <w:p>
      <w:pPr>
        <w:spacing w:after="0" w:line="190" w:lineRule="exact"/>
        <w:rPr>
          <w:sz w:val="20"/>
          <w:szCs w:val="20"/>
          <w:color w:val="auto"/>
        </w:rPr>
      </w:pPr>
    </w:p>
    <w:p>
      <w:pPr>
        <w:ind w:left="1000" w:right="100" w:hanging="419"/>
        <w:spacing w:after="0" w:line="278" w:lineRule="auto"/>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in accordance with Good Laboratory Practice, or GLP, regulations and other applicable regulations;</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at each clinical site before each trial may be initiated;</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35" w:name="page36"/>
    <w:bookmarkEnd w:id="35"/>
    <w:p>
      <w:pPr>
        <w:ind w:left="1000" w:right="280" w:hanging="419"/>
        <w:spacing w:after="0" w:line="278"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Good Clinical Practice, or GCP, regulations to establish the safety and efficacy of the proposed drug for its intended use;</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submission to the FDA of an NDA;</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satisfactory completion of an FDA advisory committee review, if applicable;</w:t>
      </w:r>
    </w:p>
    <w:p>
      <w:pPr>
        <w:spacing w:after="0" w:line="177" w:lineRule="exact"/>
        <w:rPr>
          <w:rFonts w:ascii="Arial" w:cs="Arial" w:eastAsia="Arial" w:hAnsi="Arial"/>
          <w:sz w:val="17"/>
          <w:szCs w:val="17"/>
          <w:color w:val="auto"/>
        </w:rPr>
      </w:pPr>
    </w:p>
    <w:p>
      <w:pPr>
        <w:ind w:left="1000" w:right="120" w:hanging="419"/>
        <w:spacing w:after="0" w:line="265" w:lineRule="auto"/>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drug is produced to assess compliance with current GMP, or cGMP, requirements to assure that the facilities, methods and controls are adequate to preserve the drug’s identity, strength, quality and purity; and</w:t>
      </w:r>
    </w:p>
    <w:p>
      <w:pPr>
        <w:spacing w:after="0" w:line="136" w:lineRule="exact"/>
        <w:rPr>
          <w:rFonts w:ascii="Arial" w:cs="Arial" w:eastAsia="Arial" w:hAnsi="Arial"/>
          <w:sz w:val="17"/>
          <w:szCs w:val="17"/>
          <w:color w:val="auto"/>
        </w:rPr>
      </w:pPr>
    </w:p>
    <w:p>
      <w:pPr>
        <w:ind w:left="1000" w:hanging="419"/>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FDA review and approval of the NDA to permit commercial marketing of the product for particular indications for use in the United States.</w:t>
      </w:r>
    </w:p>
    <w:p>
      <w:pPr>
        <w:spacing w:after="0" w:line="189" w:lineRule="exact"/>
        <w:rPr>
          <w:sz w:val="20"/>
          <w:szCs w:val="20"/>
          <w:color w:val="auto"/>
        </w:rPr>
      </w:pPr>
    </w:p>
    <w:p>
      <w:pPr>
        <w:ind w:right="40" w:firstLine="589"/>
        <w:spacing w:after="0" w:line="272" w:lineRule="auto"/>
        <w:rPr>
          <w:sz w:val="20"/>
          <w:szCs w:val="20"/>
          <w:color w:val="auto"/>
        </w:rPr>
      </w:pPr>
      <w:r>
        <w:rPr>
          <w:rFonts w:ascii="Arial" w:cs="Arial" w:eastAsia="Arial" w:hAnsi="Arial"/>
          <w:sz w:val="16"/>
          <w:szCs w:val="16"/>
          <w:color w:val="auto"/>
        </w:rPr>
        <w:t>Once a pharmaceutical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the IND. An IND is a request for authorization from the FDA to administer an investigational new drug product to humans. The sponsor will also include a protocol detailing, among other things, the objectives of the first phase of the clinical trial, the parameters to be used in monitoring safety, and the effectiveness criteria to be evaluated, if the first phase lends itself to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 Submission of an IND therefore may or may not result in FDA authorization to begin a clinical trial.</w:t>
      </w:r>
    </w:p>
    <w:p>
      <w:pPr>
        <w:spacing w:after="0" w:line="150" w:lineRule="exact"/>
        <w:rPr>
          <w:sz w:val="20"/>
          <w:szCs w:val="20"/>
          <w:color w:val="auto"/>
        </w:rPr>
      </w:pPr>
    </w:p>
    <w:p>
      <w:pPr>
        <w:ind w:right="80" w:firstLine="589"/>
        <w:spacing w:after="0" w:line="296" w:lineRule="auto"/>
        <w:rPr>
          <w:sz w:val="20"/>
          <w:szCs w:val="20"/>
          <w:color w:val="auto"/>
        </w:rPr>
      </w:pPr>
      <w:r>
        <w:rPr>
          <w:rFonts w:ascii="Arial" w:cs="Arial" w:eastAsia="Arial" w:hAnsi="Arial"/>
          <w:sz w:val="15"/>
          <w:szCs w:val="15"/>
          <w:color w:val="auto"/>
        </w:rPr>
        <w:t>All clinical trials must be conducted under the supervision of one or more qualified investigators in accordance with GCP regulations, which include the requirement that all research subjects provide their informed consent in writing for their participation in any clinical trial. They must be conducted under protocols detailing, among other things, the objectives of the trial, dosing procedures, subject selection and exclusion criteria and the safety and effectiveness criteria to be evaluated. Each protocol must be submitted to the FDA as part of the IND as well as any subsequent protocol amendments, and timely safety reports must be submitted to the FDA and the investigators for serious and unexpected adverse events. An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study until completed and otherwise comply with IRB regulations.</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Human clinical trials are typically conducted in three sequential phases that may overlap or be combined:</w:t>
      </w:r>
    </w:p>
    <w:p>
      <w:pPr>
        <w:spacing w:after="0" w:line="177" w:lineRule="exact"/>
        <w:rPr>
          <w:sz w:val="20"/>
          <w:szCs w:val="20"/>
          <w:color w:val="auto"/>
        </w:rPr>
      </w:pPr>
    </w:p>
    <w:p>
      <w:pPr>
        <w:ind w:left="1000" w:hanging="419"/>
        <w:spacing w:after="0" w:line="276"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Phase 1</w:t>
      </w:r>
      <w:r>
        <w:rPr>
          <w:rFonts w:ascii="Arial" w:cs="Arial" w:eastAsia="Arial" w:hAnsi="Arial"/>
          <w:sz w:val="16"/>
          <w:szCs w:val="16"/>
          <w:color w:val="auto"/>
        </w:rPr>
        <w:t>: The product candidate is initially introduced into healthy human volunteers and tested for safety, dosage tolerance, absorption, metabolism,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and excretion and, if possible, to gain an early indication of its effectiveness. In the case of some products for severe or life-threatening diseases, such as cancer, especially when the product may be too inherently toxic to ethically administer to healthy volunteers, the initial human testing is often conducted in patients. Sponsors sometimes designate their Phase 1 clinical trials as Phase 1a or Phase 1b. Phase 1b clinical trials are typically aimed at confirming dosing, pharmacokinetics and safety in larger number of patients. Some Phase 1b studies evaluate biomarkers or surrogate markers that may be associated with efficacy in patients with specific types of diseases.</w:t>
      </w:r>
    </w:p>
    <w:p>
      <w:pPr>
        <w:spacing w:after="0" w:line="130" w:lineRule="exact"/>
        <w:rPr>
          <w:rFonts w:ascii="Arial" w:cs="Arial" w:eastAsia="Arial" w:hAnsi="Arial"/>
          <w:sz w:val="16"/>
          <w:szCs w:val="16"/>
          <w:color w:val="auto"/>
        </w:rPr>
      </w:pPr>
    </w:p>
    <w:p>
      <w:pPr>
        <w:ind w:left="1000" w:right="460" w:hanging="419"/>
        <w:spacing w:after="0" w:line="347" w:lineRule="auto"/>
        <w:tabs>
          <w:tab w:leader="none" w:pos="1000" w:val="left"/>
        </w:tabs>
        <w:numPr>
          <w:ilvl w:val="0"/>
          <w:numId w:val="16"/>
        </w:numPr>
        <w:rPr>
          <w:rFonts w:ascii="Arial" w:cs="Arial" w:eastAsia="Arial" w:hAnsi="Arial"/>
          <w:sz w:val="15"/>
          <w:szCs w:val="15"/>
          <w:color w:val="auto"/>
        </w:rPr>
      </w:pPr>
      <w:r>
        <w:rPr>
          <w:rFonts w:ascii="Arial" w:cs="Arial" w:eastAsia="Arial" w:hAnsi="Arial"/>
          <w:sz w:val="15"/>
          <w:szCs w:val="15"/>
          <w:b w:val="1"/>
          <w:bCs w:val="1"/>
          <w:i w:val="1"/>
          <w:iCs w:val="1"/>
          <w:color w:val="auto"/>
        </w:rPr>
        <w:t>Phase 2</w:t>
      </w:r>
      <w:r>
        <w:rPr>
          <w:rFonts w:ascii="Arial" w:cs="Arial" w:eastAsia="Arial" w:hAnsi="Arial"/>
          <w:sz w:val="15"/>
          <w:szCs w:val="15"/>
          <w:color w:val="auto"/>
        </w:rPr>
        <w:t>: This phase involves clinical trials in a limited patient population to identify possible adverse effects and safety risks, to preliminarily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evaluate the efficacy of the product for specific targeted diseases and to determine dosage tolerance and appropriate dosage.</w:t>
      </w:r>
    </w:p>
    <w:p>
      <w:pPr>
        <w:spacing w:after="0" w:line="79" w:lineRule="exact"/>
        <w:rPr>
          <w:rFonts w:ascii="Arial" w:cs="Arial" w:eastAsia="Arial" w:hAnsi="Arial"/>
          <w:sz w:val="15"/>
          <w:szCs w:val="15"/>
          <w:color w:val="auto"/>
        </w:rPr>
      </w:pPr>
    </w:p>
    <w:p>
      <w:pPr>
        <w:ind w:left="1000" w:right="580" w:hanging="419"/>
        <w:spacing w:after="0" w:line="278" w:lineRule="auto"/>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Phase 3</w:t>
      </w:r>
      <w:r>
        <w:rPr>
          <w:rFonts w:ascii="Arial" w:cs="Arial" w:eastAsia="Arial" w:hAnsi="Arial"/>
          <w:sz w:val="17"/>
          <w:szCs w:val="17"/>
          <w:color w:val="auto"/>
        </w:rPr>
        <w:t>: Clinical trials are undertaken to further evaluate dosage, clinical efficacy and safety in an expanded patient population, generally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geographically dispersed clinical study sites. These clinical</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ind w:left="1000" w:right="560"/>
        <w:spacing w:after="0" w:line="278" w:lineRule="auto"/>
        <w:rPr>
          <w:sz w:val="20"/>
          <w:szCs w:val="20"/>
          <w:color w:val="auto"/>
        </w:rPr>
      </w:pPr>
      <w:r>
        <w:rPr>
          <w:rFonts w:ascii="Arial" w:cs="Arial" w:eastAsia="Arial" w:hAnsi="Arial"/>
          <w:sz w:val="17"/>
          <w:szCs w:val="17"/>
          <w:color w:val="auto"/>
        </w:rPr>
        <w:t>trials are intended to establish the overall risk-benefit ratio of the product candidate and provide, if appropriate, an adequate basis for product labeling.</w:t>
      </w:r>
    </w:p>
    <w:p>
      <w:pPr>
        <w:spacing w:after="0" w:line="125" w:lineRule="exact"/>
        <w:rPr>
          <w:sz w:val="20"/>
          <w:szCs w:val="20"/>
          <w:color w:val="auto"/>
        </w:rPr>
      </w:pPr>
    </w:p>
    <w:p>
      <w:pPr>
        <w:ind w:right="220" w:firstLine="589"/>
        <w:spacing w:after="0" w:line="265" w:lineRule="auto"/>
        <w:rPr>
          <w:sz w:val="20"/>
          <w:szCs w:val="20"/>
          <w:color w:val="auto"/>
        </w:rPr>
      </w:pPr>
      <w:r>
        <w:rPr>
          <w:rFonts w:ascii="Arial" w:cs="Arial" w:eastAsia="Arial" w:hAnsi="Arial"/>
          <w:sz w:val="17"/>
          <w:szCs w:val="17"/>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49" w:lineRule="exact"/>
        <w:rPr>
          <w:sz w:val="20"/>
          <w:szCs w:val="20"/>
          <w:color w:val="auto"/>
        </w:rPr>
      </w:pPr>
    </w:p>
    <w:p>
      <w:pPr>
        <w:ind w:right="180" w:firstLine="589"/>
        <w:spacing w:after="0" w:line="301" w:lineRule="auto"/>
        <w:rPr>
          <w:sz w:val="20"/>
          <w:szCs w:val="20"/>
          <w:color w:val="auto"/>
        </w:rPr>
      </w:pPr>
      <w:r>
        <w:rPr>
          <w:rFonts w:ascii="Arial" w:cs="Arial" w:eastAsia="Arial" w:hAnsi="Arial"/>
          <w:sz w:val="15"/>
          <w:szCs w:val="15"/>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13" w:lineRule="exact"/>
        <w:rPr>
          <w:sz w:val="20"/>
          <w:szCs w:val="20"/>
          <w:color w:val="auto"/>
        </w:rPr>
      </w:pPr>
    </w:p>
    <w:p>
      <w:pPr>
        <w:ind w:right="60" w:firstLine="589"/>
        <w:spacing w:after="0" w:line="258" w:lineRule="auto"/>
        <w:rPr>
          <w:sz w:val="20"/>
          <w:szCs w:val="20"/>
          <w:color w:val="auto"/>
        </w:rPr>
      </w:pPr>
      <w:r>
        <w:rPr>
          <w:rFonts w:ascii="Arial" w:cs="Arial" w:eastAsia="Arial" w:hAnsi="Arial"/>
          <w:sz w:val="17"/>
          <w:szCs w:val="17"/>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44" w:lineRule="exact"/>
        <w:rPr>
          <w:sz w:val="20"/>
          <w:szCs w:val="20"/>
          <w:color w:val="auto"/>
        </w:rPr>
      </w:pPr>
    </w:p>
    <w:p>
      <w:pPr>
        <w:ind w:right="60" w:firstLine="589"/>
        <w:spacing w:after="0" w:line="278"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42" w:lineRule="exact"/>
        <w:rPr>
          <w:sz w:val="20"/>
          <w:szCs w:val="20"/>
          <w:color w:val="auto"/>
        </w:rPr>
      </w:pPr>
    </w:p>
    <w:p>
      <w:pPr>
        <w:ind w:right="20" w:firstLine="589"/>
        <w:spacing w:after="0" w:line="258" w:lineRule="auto"/>
        <w:rPr>
          <w:sz w:val="20"/>
          <w:szCs w:val="20"/>
          <w:color w:val="auto"/>
        </w:rPr>
      </w:pPr>
      <w:r>
        <w:rPr>
          <w:rFonts w:ascii="Arial" w:cs="Arial" w:eastAsia="Arial" w:hAnsi="Arial"/>
          <w:sz w:val="17"/>
          <w:szCs w:val="17"/>
          <w:color w:val="auto"/>
        </w:rPr>
        <w:t>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144" w:lineRule="exact"/>
        <w:rPr>
          <w:sz w:val="20"/>
          <w:szCs w:val="20"/>
          <w:color w:val="auto"/>
        </w:rPr>
      </w:pPr>
    </w:p>
    <w:p>
      <w:pPr>
        <w:ind w:firstLine="589"/>
        <w:spacing w:after="0" w:line="258" w:lineRule="auto"/>
        <w:rPr>
          <w:sz w:val="20"/>
          <w:szCs w:val="20"/>
          <w:color w:val="auto"/>
        </w:rPr>
      </w:pPr>
      <w:r>
        <w:rPr>
          <w:rFonts w:ascii="Arial" w:cs="Arial" w:eastAsia="Arial" w:hAnsi="Arial"/>
          <w:sz w:val="17"/>
          <w:szCs w:val="17"/>
          <w:color w:val="auto"/>
        </w:rPr>
        <w:t>There are also requirements governing the reporting of ongoing clinical trials and completed trial results to public registries. Sponsors of certain clinical trials of FDA-regulated products are required to register and disclose specified clinical trial information, which is publicly available at www.clinicaltrials.gov.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trials can be delayed until the new product or new indication being studied has been approved.</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NDA Review and Approval Process</w:t>
      </w:r>
    </w:p>
    <w:p>
      <w:pPr>
        <w:spacing w:after="0" w:line="196"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The FDA reviews an NDA to determine, among other things, whether a product is safe and effective for its intended use and whether its manufacturing is cGMP-compliant to assure and preserve the product’s identity, strength, quality and purity. Under the Prescription Drug User Fee Act, or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ind w:right="140"/>
        <w:spacing w:after="0" w:line="261" w:lineRule="auto"/>
        <w:rPr>
          <w:sz w:val="20"/>
          <w:szCs w:val="20"/>
          <w:color w:val="auto"/>
        </w:rPr>
      </w:pPr>
      <w:r>
        <w:rPr>
          <w:rFonts w:ascii="Arial" w:cs="Arial" w:eastAsia="Arial" w:hAnsi="Arial"/>
          <w:sz w:val="17"/>
          <w:szCs w:val="17"/>
          <w:color w:val="auto"/>
        </w:rPr>
        <w:t>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52" w:lineRule="exact"/>
        <w:rPr>
          <w:sz w:val="20"/>
          <w:szCs w:val="20"/>
          <w:color w:val="auto"/>
        </w:rPr>
      </w:pPr>
    </w:p>
    <w:p>
      <w:pPr>
        <w:ind w:right="140" w:firstLine="589"/>
        <w:spacing w:after="0" w:line="256" w:lineRule="auto"/>
        <w:rPr>
          <w:sz w:val="20"/>
          <w:szCs w:val="20"/>
          <w:color w:val="auto"/>
        </w:rPr>
      </w:pPr>
      <w:r>
        <w:rPr>
          <w:rFonts w:ascii="Arial" w:cs="Arial" w:eastAsia="Arial" w:hAnsi="Arial"/>
          <w:sz w:val="17"/>
          <w:szCs w:val="17"/>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Before approving an NDA, the FDA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147" w:lineRule="exact"/>
        <w:rPr>
          <w:sz w:val="20"/>
          <w:szCs w:val="20"/>
          <w:color w:val="auto"/>
        </w:rPr>
      </w:pPr>
    </w:p>
    <w:p>
      <w:pPr>
        <w:ind w:firstLine="589"/>
        <w:spacing w:after="0" w:line="298" w:lineRule="auto"/>
        <w:rPr>
          <w:sz w:val="20"/>
          <w:szCs w:val="20"/>
          <w:color w:val="auto"/>
        </w:rPr>
      </w:pPr>
      <w:r>
        <w:rPr>
          <w:rFonts w:ascii="Arial" w:cs="Arial" w:eastAsia="Arial" w:hAnsi="Arial"/>
          <w:sz w:val="15"/>
          <w:szCs w:val="15"/>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115" w:lineRule="exact"/>
        <w:rPr>
          <w:sz w:val="20"/>
          <w:szCs w:val="20"/>
          <w:color w:val="auto"/>
        </w:rPr>
      </w:pPr>
    </w:p>
    <w:p>
      <w:pPr>
        <w:ind w:right="60" w:firstLine="589"/>
        <w:spacing w:after="0" w:line="273" w:lineRule="auto"/>
        <w:rPr>
          <w:sz w:val="20"/>
          <w:szCs w:val="20"/>
          <w:color w:val="auto"/>
        </w:rPr>
      </w:pPr>
      <w:r>
        <w:rPr>
          <w:rFonts w:ascii="Arial" w:cs="Arial" w:eastAsia="Arial" w:hAnsi="Arial"/>
          <w:sz w:val="16"/>
          <w:szCs w:val="16"/>
          <w:color w:val="auto"/>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which have been commercialized. The FDA may also place other conditions on approval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Marketing approval may be withdrawn for non-compliance with regulatory requirements or if problems occur following initial marketing.</w:t>
      </w:r>
    </w:p>
    <w:p>
      <w:pPr>
        <w:spacing w:after="0" w:line="147" w:lineRule="exact"/>
        <w:rPr>
          <w:sz w:val="20"/>
          <w:szCs w:val="20"/>
          <w:color w:val="auto"/>
        </w:rPr>
      </w:pPr>
    </w:p>
    <w:p>
      <w:pPr>
        <w:ind w:right="60" w:firstLine="589"/>
        <w:spacing w:after="0" w:line="274" w:lineRule="auto"/>
        <w:rPr>
          <w:sz w:val="20"/>
          <w:szCs w:val="20"/>
          <w:color w:val="auto"/>
        </w:rPr>
      </w:pPr>
      <w:r>
        <w:rPr>
          <w:rFonts w:ascii="Arial" w:cs="Arial" w:eastAsia="Arial" w:hAnsi="Arial"/>
          <w:sz w:val="16"/>
          <w:szCs w:val="16"/>
          <w:color w:val="auto"/>
        </w:rPr>
        <w:t>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177" w:lineRule="exact"/>
        <w:rPr>
          <w:sz w:val="20"/>
          <w:szCs w:val="20"/>
          <w:color w:val="auto"/>
        </w:rPr>
      </w:pPr>
    </w:p>
    <w:p>
      <w:pPr>
        <w:ind w:right="60" w:firstLine="589"/>
        <w:spacing w:after="0" w:line="258" w:lineRule="auto"/>
        <w:rPr>
          <w:sz w:val="20"/>
          <w:szCs w:val="20"/>
          <w:color w:val="auto"/>
        </w:rPr>
      </w:pPr>
      <w:r>
        <w:rPr>
          <w:rFonts w:ascii="Arial" w:cs="Arial" w:eastAsia="Arial" w:hAnsi="Arial"/>
          <w:sz w:val="17"/>
          <w:szCs w:val="17"/>
          <w:color w:val="auto"/>
        </w:rPr>
        <w:t>A sponsor may seek approval of its product candidate under programs designed to accelerate FDA’s review and approval of new drugs and biological products that meet certain criteria. The FDA has a Fast Track designation program that is intended to expedite or facilitate the process for reviewing new drug products that meet certain criteria. Specifically, new drugs are eligible for Fast Track designation if they are intended to treat a serious or life-threatening disease or condition and demonstrate the potential to address unmet medical needs for the disease or condition. Unique to a Fast Track product, the FDA may consider for review sections of the NDA on a rolling basis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8" w:name="page39"/>
    <w:bookmarkEnd w:id="38"/>
    <w:p>
      <w:pPr>
        <w:spacing w:after="0" w:line="347" w:lineRule="auto"/>
        <w:rPr>
          <w:sz w:val="20"/>
          <w:szCs w:val="20"/>
          <w:color w:val="auto"/>
        </w:rPr>
      </w:pPr>
      <w:r>
        <w:rPr>
          <w:rFonts w:ascii="Arial" w:cs="Arial" w:eastAsia="Arial" w:hAnsi="Arial"/>
          <w:sz w:val="15"/>
          <w:szCs w:val="15"/>
          <w:color w:val="auto"/>
        </w:rPr>
        <w:t>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92" w:lineRule="exact"/>
        <w:rPr>
          <w:sz w:val="20"/>
          <w:szCs w:val="20"/>
          <w:color w:val="auto"/>
        </w:rPr>
      </w:pPr>
    </w:p>
    <w:p>
      <w:pPr>
        <w:ind w:right="40" w:firstLine="589"/>
        <w:spacing w:after="0" w:line="275" w:lineRule="auto"/>
        <w:rPr>
          <w:sz w:val="20"/>
          <w:szCs w:val="20"/>
          <w:color w:val="auto"/>
        </w:rPr>
      </w:pPr>
      <w:r>
        <w:rPr>
          <w:rFonts w:ascii="Arial" w:cs="Arial" w:eastAsia="Arial" w:hAnsi="Arial"/>
          <w:sz w:val="16"/>
          <w:szCs w:val="16"/>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 safety or effectiveness of the treatment, diagnosis or prevention of a serious disease or condition.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 Priority review designation does not change the scientific/medical standard for approval or the quality of evidence necessary to support approval.</w:t>
      </w:r>
    </w:p>
    <w:p>
      <w:pPr>
        <w:spacing w:after="0" w:line="130" w:lineRule="exact"/>
        <w:rPr>
          <w:sz w:val="20"/>
          <w:szCs w:val="20"/>
          <w:color w:val="auto"/>
        </w:rPr>
      </w:pPr>
    </w:p>
    <w:p>
      <w:pPr>
        <w:ind w:right="80" w:firstLine="589"/>
        <w:spacing w:after="0" w:line="274" w:lineRule="auto"/>
        <w:rPr>
          <w:sz w:val="20"/>
          <w:szCs w:val="20"/>
          <w:color w:val="auto"/>
        </w:rPr>
      </w:pPr>
      <w:r>
        <w:rPr>
          <w:rFonts w:ascii="Arial" w:cs="Arial" w:eastAsia="Arial" w:hAnsi="Arial"/>
          <w:sz w:val="16"/>
          <w:szCs w:val="16"/>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as a condition for accelerated approval pre-approval of promotional materials, which could adversely impact the timing of the commercial launch of the product. FDA may withdraw approval of a drug or indication approved under accelerated approval if, for example, the confirmatory trial fails to verify the predicted clinical benefit of the product.</w:t>
      </w:r>
    </w:p>
    <w:p>
      <w:pPr>
        <w:spacing w:after="0" w:line="131" w:lineRule="exact"/>
        <w:rPr>
          <w:sz w:val="20"/>
          <w:szCs w:val="20"/>
          <w:color w:val="auto"/>
        </w:rPr>
      </w:pPr>
    </w:p>
    <w:p>
      <w:pPr>
        <w:ind w:right="20" w:firstLine="589"/>
        <w:spacing w:after="0" w:line="271" w:lineRule="auto"/>
        <w:rPr>
          <w:sz w:val="20"/>
          <w:szCs w:val="20"/>
          <w:color w:val="auto"/>
        </w:rPr>
      </w:pPr>
      <w:r>
        <w:rPr>
          <w:rFonts w:ascii="Arial" w:cs="Arial" w:eastAsia="Arial" w:hAnsi="Arial"/>
          <w:sz w:val="16"/>
          <w:szCs w:val="16"/>
          <w:color w:val="auto"/>
        </w:rPr>
        <w:t>The FDA can also designate a drug as a “breakthrough therapy.”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The designation includes all of the Fast Track program features, which means that the sponsor may file sections of the NDA for review on a rolling basis if certain conditions are satisfied, including an agreement with FDA on the proposed schedule for submission of portions of the application and the payment of applicable user fees before the FDA may initiate a review.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47" w:lineRule="exact"/>
        <w:rPr>
          <w:sz w:val="20"/>
          <w:szCs w:val="20"/>
          <w:color w:val="auto"/>
        </w:rPr>
      </w:pPr>
    </w:p>
    <w:p>
      <w:pPr>
        <w:ind w:firstLine="589"/>
        <w:spacing w:after="0" w:line="301" w:lineRule="auto"/>
        <w:rPr>
          <w:sz w:val="20"/>
          <w:szCs w:val="20"/>
          <w:color w:val="auto"/>
        </w:rPr>
      </w:pPr>
      <w:r>
        <w:rPr>
          <w:rFonts w:ascii="Arial" w:cs="Arial" w:eastAsia="Arial" w:hAnsi="Arial"/>
          <w:sz w:val="15"/>
          <w:szCs w:val="15"/>
          <w:color w:val="auto"/>
        </w:rPr>
        <w:t xml:space="preserve">Fast Track designation, priority review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Vonoprazan has received Fast Track designation for the treatment of </w:t>
      </w:r>
      <w:r>
        <w:rPr>
          <w:rFonts w:ascii="Arial" w:cs="Arial" w:eastAsia="Arial" w:hAnsi="Arial"/>
          <w:sz w:val="15"/>
          <w:szCs w:val="15"/>
          <w:i w:val="1"/>
          <w:iCs w:val="1"/>
          <w:color w:val="auto"/>
        </w:rPr>
        <w:t xml:space="preserve">H. pylori </w:t>
      </w:r>
      <w:r>
        <w:rPr>
          <w:rFonts w:ascii="Arial" w:cs="Arial" w:eastAsia="Arial" w:hAnsi="Arial"/>
          <w:sz w:val="15"/>
          <w:szCs w:val="15"/>
          <w:color w:val="auto"/>
        </w:rPr>
        <w:t>infection in combination with both amoxicillin and clarithromycin and with amoxicillin alone and is potentially eligible for priority review, which we plan</w:t>
      </w:r>
      <w:r>
        <w:rPr>
          <w:rFonts w:ascii="Arial" w:cs="Arial" w:eastAsia="Arial" w:hAnsi="Arial"/>
          <w:sz w:val="15"/>
          <w:szCs w:val="15"/>
          <w:i w:val="1"/>
          <w:iCs w:val="1"/>
          <w:color w:val="auto"/>
        </w:rPr>
        <w:t xml:space="preserve"> </w:t>
      </w:r>
      <w:r>
        <w:rPr>
          <w:rFonts w:ascii="Arial" w:cs="Arial" w:eastAsia="Arial" w:hAnsi="Arial"/>
          <w:sz w:val="15"/>
          <w:szCs w:val="15"/>
          <w:color w:val="auto"/>
        </w:rPr>
        <w:t>to explore. We may also explore some of these expedited development and review programs for future product candidates, as appropriate.</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190" w:lineRule="exact"/>
        <w:rPr>
          <w:sz w:val="20"/>
          <w:szCs w:val="20"/>
          <w:color w:val="auto"/>
        </w:rPr>
      </w:pPr>
    </w:p>
    <w:p>
      <w:pPr>
        <w:ind w:right="20" w:firstLine="589"/>
        <w:spacing w:after="0" w:line="274" w:lineRule="auto"/>
        <w:rPr>
          <w:sz w:val="20"/>
          <w:szCs w:val="20"/>
          <w:color w:val="auto"/>
        </w:rPr>
      </w:pPr>
      <w:r>
        <w:rPr>
          <w:rFonts w:ascii="Arial" w:cs="Arial" w:eastAsia="Arial" w:hAnsi="Arial"/>
          <w:sz w:val="16"/>
          <w:szCs w:val="16"/>
          <w:color w:val="auto"/>
        </w:rPr>
        <w:t>Once an approval is granted, the FDA may withdraw the approval if compliance with regulatory standards is not maintained or if problems occur after the product reaches the market. Later discovery of previously unknown problems with a product may result in restrictions on the product or even complete withdrawal of the product from the market. After approval, some types of changes to the approved product, such as adding new indications, certain manufacturing changes and additional labeling claims, are subject to further FDA review and approval.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regulations and other laws and regulations. In addition, 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31" w:lineRule="exact"/>
        <w:rPr>
          <w:sz w:val="20"/>
          <w:szCs w:val="20"/>
          <w:color w:val="auto"/>
        </w:rPr>
      </w:pPr>
    </w:p>
    <w:p>
      <w:pPr>
        <w:ind w:right="40" w:firstLine="589"/>
        <w:spacing w:after="0" w:line="275" w:lineRule="auto"/>
        <w:rPr>
          <w:sz w:val="20"/>
          <w:szCs w:val="20"/>
          <w:color w:val="auto"/>
        </w:rPr>
      </w:pPr>
      <w:r>
        <w:rPr>
          <w:rFonts w:ascii="Arial" w:cs="Arial" w:eastAsia="Arial" w:hAnsi="Arial"/>
          <w:sz w:val="16"/>
          <w:szCs w:val="16"/>
          <w:color w:val="auto"/>
        </w:rPr>
        <w:t>Any drug products manufactured or distributed by us or our partners pursuant to FDA approvals will be subject to pervasive and continuing regulation by the FDA, including, among other things, record-keeping requirements, reporting of adverse experiences with the drug, providing the FDA with updated safety and efficacy information, drug sampling and distribution requirements, complying with certain electronic records and signature requirements, and complying with FDA promotion and advertising requirements. The FDA strictly regulates labeling, advertising, promotion and other types of information on products that are placed on the market and imposes requirements and restrictions on drug manufacturers,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w:t>
      </w:r>
    </w:p>
    <w:p>
      <w:pPr>
        <w:spacing w:after="0" w:line="130"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on post-approval clinical trials,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Exclusivity</w:t>
      </w:r>
    </w:p>
    <w:p>
      <w:pPr>
        <w:spacing w:after="0" w:line="177" w:lineRule="exact"/>
        <w:rPr>
          <w:sz w:val="20"/>
          <w:szCs w:val="20"/>
          <w:color w:val="auto"/>
        </w:rPr>
      </w:pPr>
    </w:p>
    <w:p>
      <w:pPr>
        <w:ind w:right="20" w:firstLine="589"/>
        <w:spacing w:after="0" w:line="274" w:lineRule="auto"/>
        <w:rPr>
          <w:sz w:val="20"/>
          <w:szCs w:val="20"/>
          <w:color w:val="auto"/>
        </w:rPr>
      </w:pPr>
      <w:r>
        <w:rPr>
          <w:rFonts w:ascii="Arial" w:cs="Arial" w:eastAsia="Arial" w:hAnsi="Arial"/>
          <w:sz w:val="16"/>
          <w:szCs w:val="16"/>
          <w:color w:val="auto"/>
        </w:rPr>
        <w:t>Market exclusivity provisions under the FDCA can delay the submission or the approval of certain marketing applications.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31"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0" w:name="page41"/>
    <w:bookmarkEnd w:id="40"/>
    <w:p>
      <w:pPr>
        <w:jc w:val="both"/>
        <w:ind w:right="140" w:firstLine="589"/>
        <w:spacing w:after="0" w:line="265" w:lineRule="auto"/>
        <w:rPr>
          <w:sz w:val="20"/>
          <w:szCs w:val="20"/>
          <w:color w:val="auto"/>
        </w:rPr>
      </w:pPr>
      <w:r>
        <w:rPr>
          <w:rFonts w:ascii="Arial" w:cs="Arial" w:eastAsia="Arial" w:hAnsi="Arial"/>
          <w:sz w:val="17"/>
          <w:szCs w:val="17"/>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149" w:lineRule="exact"/>
        <w:rPr>
          <w:sz w:val="20"/>
          <w:szCs w:val="20"/>
          <w:color w:val="auto"/>
        </w:rPr>
      </w:pPr>
    </w:p>
    <w:p>
      <w:pPr>
        <w:ind w:firstLine="589"/>
        <w:spacing w:after="0" w:line="275" w:lineRule="auto"/>
        <w:rPr>
          <w:sz w:val="20"/>
          <w:szCs w:val="20"/>
          <w:color w:val="auto"/>
        </w:rPr>
      </w:pPr>
      <w:r>
        <w:rPr>
          <w:rFonts w:ascii="Arial" w:cs="Arial" w:eastAsia="Arial" w:hAnsi="Arial"/>
          <w:sz w:val="16"/>
          <w:szCs w:val="16"/>
          <w:color w:val="auto"/>
        </w:rPr>
        <w:t>Additionally, under the GAIN Act, the FDA may designate a product as a “qualified infectious disease product,” or QIDP. In order to receive this designation, a drug must qualify as an antibacterial or antifungal drug for human use intended to treat serious or life-threatening infections, including those caused by either (1) an antibacterial or antifungal resistant pathogen, including novel or emerging infectious pathogens, or (2) a so-called “qualifying pathogen” found on a list of potentially dangerous, drug-resistant organisms established and maintained by the FDA under the law. The FDA interprets QIDP designation to apply to a specific drug product, including a specific dosage form of the product. A sponsor must request such designation before submitting a marketing application, and the FDA will respond to a request for QIDP designation within 60 days of the date the FDA receives the request. The GAIN Act permits the FDA to revoke a QIDP designation only if the request for such designation contained an untrue statement of material fact.</w:t>
      </w:r>
    </w:p>
    <w:p>
      <w:pPr>
        <w:spacing w:after="0" w:line="130" w:lineRule="exact"/>
        <w:rPr>
          <w:sz w:val="20"/>
          <w:szCs w:val="20"/>
          <w:color w:val="auto"/>
        </w:rPr>
      </w:pPr>
    </w:p>
    <w:p>
      <w:pPr>
        <w:ind w:firstLine="589"/>
        <w:spacing w:after="0" w:line="257" w:lineRule="auto"/>
        <w:rPr>
          <w:sz w:val="20"/>
          <w:szCs w:val="20"/>
          <w:color w:val="auto"/>
        </w:rPr>
      </w:pPr>
      <w:r>
        <w:rPr>
          <w:rFonts w:ascii="Arial" w:cs="Arial" w:eastAsia="Arial" w:hAnsi="Arial"/>
          <w:sz w:val="17"/>
          <w:szCs w:val="17"/>
          <w:color w:val="auto"/>
        </w:rPr>
        <w:t>The benefits of QIDP designation include potential eligibility for priority review and Fast Track designation, and an extension by an additional five years of any non-patent marketing exclusivity period awarded, such as a five-year exclusivity period awarded for a new molecular entity. This extension is in addition to any pediatric exclusivity extension that may be awarded, and the extension will be awarded only to a drug first approved on or after the date of enactment. The GAIN Act provisions prohibit the grant of an exclusivity extension where the application is a supplement to an application for which an extension is in effect or has expired, is a subsequent application for a specified change to an approved product, or is an application for a product that does not meet the definition of QIDP based on the uses for which it is ultimately approved.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Healthcare Fraud and Abuse Laws and Compliance Requirements</w:t>
      </w:r>
    </w:p>
    <w:p>
      <w:pPr>
        <w:spacing w:after="0" w:line="190" w:lineRule="exact"/>
        <w:rPr>
          <w:sz w:val="20"/>
          <w:szCs w:val="20"/>
          <w:color w:val="auto"/>
        </w:rPr>
      </w:pPr>
    </w:p>
    <w:p>
      <w:pPr>
        <w:ind w:right="20" w:firstLine="589"/>
        <w:spacing w:after="0" w:line="258" w:lineRule="auto"/>
        <w:rPr>
          <w:sz w:val="20"/>
          <w:szCs w:val="20"/>
          <w:color w:val="auto"/>
        </w:rPr>
      </w:pPr>
      <w:r>
        <w:rPr>
          <w:rFonts w:ascii="Arial" w:cs="Arial" w:eastAsia="Arial" w:hAnsi="Arial"/>
          <w:sz w:val="17"/>
          <w:szCs w:val="17"/>
          <w:color w:val="auto"/>
        </w:rPr>
        <w:t>In addition to FDA regulation of pharmaceutical products, U.S. federal and state healthcare laws and regulations restrict business practices in the pharmaceutical industry. These laws may impact, among other things, our current and future business operations, including our clinical research activities, and constrain the business or financial arrangements and relationships with healthcare providers and other parties. These laws include anti-kickback and false claims laws, civil monetary penalties laws, and transparency laws regarding drug pricing and payments or other items of value provided to physicians and other healthcare providers.</w:t>
      </w:r>
    </w:p>
    <w:p>
      <w:pPr>
        <w:spacing w:after="0" w:line="144" w:lineRule="exact"/>
        <w:rPr>
          <w:sz w:val="20"/>
          <w:szCs w:val="20"/>
          <w:color w:val="auto"/>
        </w:rPr>
      </w:pPr>
    </w:p>
    <w:p>
      <w:pPr>
        <w:ind w:right="80" w:firstLine="589"/>
        <w:spacing w:after="0" w:line="282" w:lineRule="auto"/>
        <w:rPr>
          <w:sz w:val="20"/>
          <w:szCs w:val="20"/>
          <w:color w:val="auto"/>
        </w:rPr>
      </w:pPr>
      <w:r>
        <w:rPr>
          <w:rFonts w:ascii="Arial" w:cs="Arial" w:eastAsia="Arial" w:hAnsi="Arial"/>
          <w:sz w:val="16"/>
          <w:szCs w:val="16"/>
          <w:color w:val="auto"/>
        </w:rPr>
        <w:t>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w:t>
      </w:r>
    </w:p>
    <w:p>
      <w:pPr>
        <w:spacing w:after="0" w:line="125" w:lineRule="exact"/>
        <w:rPr>
          <w:sz w:val="20"/>
          <w:szCs w:val="20"/>
          <w:color w:val="auto"/>
        </w:rPr>
      </w:pPr>
    </w:p>
    <w:p>
      <w:pPr>
        <w:ind w:right="100" w:firstLine="589"/>
        <w:spacing w:after="0" w:line="301" w:lineRule="auto"/>
        <w:rPr>
          <w:sz w:val="20"/>
          <w:szCs w:val="20"/>
          <w:color w:val="auto"/>
        </w:rPr>
      </w:pPr>
      <w:r>
        <w:rPr>
          <w:rFonts w:ascii="Arial" w:cs="Arial" w:eastAsia="Arial" w:hAnsi="Arial"/>
          <w:sz w:val="15"/>
          <w:szCs w:val="15"/>
          <w:color w:val="auto"/>
        </w:rPr>
        <w:t>The federal civil and criminal false claims laws, including the civil False Claims Act, and civil monetary penalties laws prohibit, among other things, any individual or entity from knowingly presenting, or causing to be presented, a false claim for payment to the federal government, knowingly making, using or causing to be made or used a false record or statement material to a false or fraudulent claim to the federal government, or from knowingly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126" w:lineRule="exact"/>
        <w:rPr>
          <w:sz w:val="20"/>
          <w:szCs w:val="20"/>
          <w:color w:val="auto"/>
        </w:rPr>
      </w:pPr>
    </w:p>
    <w:p>
      <w:pPr>
        <w:ind w:right="40" w:firstLine="589"/>
        <w:spacing w:after="0" w:line="278" w:lineRule="auto"/>
        <w:rPr>
          <w:sz w:val="20"/>
          <w:szCs w:val="20"/>
          <w:color w:val="auto"/>
        </w:rPr>
      </w:pPr>
      <w:r>
        <w:rPr>
          <w:rFonts w:ascii="Arial" w:cs="Arial" w:eastAsia="Arial" w:hAnsi="Arial"/>
          <w:sz w:val="16"/>
          <w:szCs w:val="16"/>
          <w:color w:val="auto"/>
        </w:rPr>
        <w:t>The federal Health Insurance Portability and Accountability Act of 1996, or HIPAA, created additional federal criminal statutes that prohibit, among other things, knowingly and willfully executing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41" w:name="page42"/>
    <w:bookmarkEnd w:id="41"/>
    <w:p>
      <w:pPr>
        <w:ind w:right="220" w:firstLine="589"/>
        <w:spacing w:after="0" w:line="258" w:lineRule="auto"/>
        <w:rPr>
          <w:sz w:val="20"/>
          <w:szCs w:val="20"/>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payments or other transfers of value made to physicians, certain other health care professionals beginning in 2022, and teaching hospitals, and applicable manufacturers and applicable group purchasing organizations to report annually to CMS ownership and investment interests held by physicians and their immediate family members.</w:t>
      </w:r>
    </w:p>
    <w:p>
      <w:pPr>
        <w:spacing w:after="0" w:line="157" w:lineRule="exact"/>
        <w:rPr>
          <w:sz w:val="20"/>
          <w:szCs w:val="20"/>
          <w:color w:val="auto"/>
        </w:rPr>
      </w:pPr>
    </w:p>
    <w:p>
      <w:pPr>
        <w:ind w:right="20" w:firstLine="589"/>
        <w:spacing w:after="0" w:line="296" w:lineRule="auto"/>
        <w:rPr>
          <w:sz w:val="20"/>
          <w:szCs w:val="20"/>
          <w:color w:val="auto"/>
        </w:rPr>
      </w:pPr>
      <w:r>
        <w:rPr>
          <w:rFonts w:ascii="Arial" w:cs="Arial" w:eastAsia="Arial" w:hAnsi="Arial"/>
          <w:sz w:val="15"/>
          <w:szCs w:val="15"/>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and state and local laws that require the registration of pharmaceutical sales representatives.</w:t>
      </w:r>
    </w:p>
    <w:p>
      <w:pPr>
        <w:spacing w:after="0" w:line="117" w:lineRule="exact"/>
        <w:rPr>
          <w:sz w:val="20"/>
          <w:szCs w:val="20"/>
          <w:color w:val="auto"/>
        </w:rPr>
      </w:pPr>
    </w:p>
    <w:p>
      <w:pPr>
        <w:ind w:right="40" w:firstLine="589"/>
        <w:spacing w:after="0" w:line="282" w:lineRule="auto"/>
        <w:rPr>
          <w:sz w:val="20"/>
          <w:szCs w:val="20"/>
          <w:color w:val="auto"/>
        </w:rPr>
      </w:pPr>
      <w:r>
        <w:rPr>
          <w:rFonts w:ascii="Arial" w:cs="Arial" w:eastAsia="Arial" w:hAnsi="Arial"/>
          <w:sz w:val="16"/>
          <w:szCs w:val="16"/>
          <w:color w:val="auto"/>
        </w:rPr>
        <w:t>Violation of any of such laws or any other governmental regulations that apply may result in significant criminal, civil and administrative penalties including damages, fines, imprisonment, disgorgement, additional reporting requirements and oversight if we become subject to a corporate integrity agreement or similar agreement to resolve allegations of non-compliance with these laws, contractual damages, reputational harm, diminished profits and future earnings, disgorgement, exclusion from participation in government healthcare programs and the curtailment or restructuring of our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Coverage and Reimbursement</w:t>
      </w:r>
    </w:p>
    <w:p>
      <w:pPr>
        <w:spacing w:after="0" w:line="190" w:lineRule="exact"/>
        <w:rPr>
          <w:sz w:val="20"/>
          <w:szCs w:val="20"/>
          <w:color w:val="auto"/>
        </w:rPr>
      </w:pPr>
    </w:p>
    <w:p>
      <w:pPr>
        <w:ind w:firstLine="589"/>
        <w:spacing w:after="0" w:line="258"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 for which we may seek regulatory approval. Sales in the United States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vonoprazan and any future product candidates can be subject to challenge, reduction or denial by third-party payors.</w:t>
      </w:r>
    </w:p>
    <w:p>
      <w:pPr>
        <w:spacing w:after="0" w:line="144" w:lineRule="exact"/>
        <w:rPr>
          <w:sz w:val="20"/>
          <w:szCs w:val="20"/>
          <w:color w:val="auto"/>
        </w:rPr>
      </w:pPr>
    </w:p>
    <w:p>
      <w:pPr>
        <w:ind w:firstLine="589"/>
        <w:spacing w:after="0" w:line="296" w:lineRule="auto"/>
        <w:rPr>
          <w:sz w:val="20"/>
          <w:szCs w:val="20"/>
          <w:color w:val="auto"/>
        </w:rPr>
      </w:pPr>
      <w:r>
        <w:rPr>
          <w:rFonts w:ascii="Arial" w:cs="Arial" w:eastAsia="Arial" w:hAnsi="Arial"/>
          <w:sz w:val="15"/>
          <w:szCs w:val="15"/>
          <w:color w:val="auto"/>
        </w:rPr>
        <w:t>The process for determining whether a third-party payor will provide coverage for a product is typically separate from the process for setting the reimbursement rate that the payor will pay for the product. In the United States, there is no uniform policy among payors for coverage or reimbursement. Decisions regarding whether to cover a product, the extent of coverage and amount of reimbursement to be provided are made on a plan-by-plan basis.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As a result, the coverage determination process is often a time-consuming and costly process that can require manufacturers to provide scientific and clinical support for the use of a product to each payor separately, with no assurance that coverage and adequate reimbursement will be applied consistently or obtained in the first instance.</w:t>
      </w:r>
    </w:p>
    <w:p>
      <w:pPr>
        <w:spacing w:after="0" w:line="117" w:lineRule="exact"/>
        <w:rPr>
          <w:sz w:val="20"/>
          <w:szCs w:val="20"/>
          <w:color w:val="auto"/>
        </w:rPr>
      </w:pPr>
    </w:p>
    <w:p>
      <w:pPr>
        <w:ind w:right="80" w:firstLine="589"/>
        <w:spacing w:after="0" w:line="256"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Adoption of price controls and cost-containment measures, and adoption of more restrictive policies in jurisdictions with existing controls and measures, could further limit sales of any product that receives approval. Third-party payors may not consider vonoprazan and any future product candidates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 Additionally, decreases in third-party reimbursement for any product or a decision by a third-party payor not to cover a product could reduce physician usage and patient demand for the product.</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294" w:right="37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U.S. Healthcare Reform</w:t>
      </w:r>
    </w:p>
    <w:p>
      <w:pPr>
        <w:spacing w:after="0" w:line="190" w:lineRule="exact"/>
        <w:rPr>
          <w:sz w:val="20"/>
          <w:szCs w:val="20"/>
          <w:color w:val="auto"/>
        </w:rPr>
      </w:pPr>
    </w:p>
    <w:p>
      <w:pPr>
        <w:ind w:right="80" w:firstLine="589"/>
        <w:spacing w:after="0" w:line="265" w:lineRule="auto"/>
        <w:rPr>
          <w:sz w:val="20"/>
          <w:szCs w:val="20"/>
          <w:color w:val="auto"/>
        </w:rPr>
      </w:pPr>
      <w:r>
        <w:rPr>
          <w:rFonts w:ascii="Arial" w:cs="Arial" w:eastAsia="Arial" w:hAnsi="Arial"/>
          <w:sz w:val="17"/>
          <w:szCs w:val="17"/>
          <w:color w:val="auto"/>
        </w:rPr>
        <w:t>In the United States,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spacing w:after="0" w:line="136" w:lineRule="exact"/>
        <w:rPr>
          <w:sz w:val="20"/>
          <w:szCs w:val="20"/>
          <w:color w:val="auto"/>
        </w:rPr>
      </w:pPr>
    </w:p>
    <w:p>
      <w:pPr>
        <w:ind w:firstLine="589"/>
        <w:spacing w:after="0" w:line="291" w:lineRule="auto"/>
        <w:rPr>
          <w:sz w:val="20"/>
          <w:szCs w:val="20"/>
          <w:color w:val="auto"/>
        </w:rPr>
      </w:pPr>
      <w:r>
        <w:rPr>
          <w:rFonts w:ascii="Arial" w:cs="Arial" w:eastAsia="Arial" w:hAnsi="Arial"/>
          <w:sz w:val="15"/>
          <w:szCs w:val="15"/>
          <w:color w:val="auto"/>
        </w:rPr>
        <w:t>Among policy makers and payors in the United States,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Patient Protection and Affordable Care Act, or the Affordable Care Act, was passed, which substantially changed the way healthcare is financed by both governmental and private insurers, and significantly affected the pharmaceutical industry. The Affordable Care Act, increased the minimum level of Medicaid rebates payable by manufacturers of brand name drugs from 15.1% to 23.1%; required collection of rebates for drugs paid by Medicaid managed care organizations; required manufacturers to participate in a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CMS to test innovative payment and service delivery models to lower Medicare and Medicaid spending, potentially including prescription drug spending.</w:t>
      </w:r>
    </w:p>
    <w:p>
      <w:pPr>
        <w:spacing w:after="0" w:line="121" w:lineRule="exact"/>
        <w:rPr>
          <w:sz w:val="20"/>
          <w:szCs w:val="20"/>
          <w:color w:val="auto"/>
        </w:rPr>
      </w:pPr>
    </w:p>
    <w:p>
      <w:pPr>
        <w:ind w:firstLine="589"/>
        <w:spacing w:after="0" w:line="273" w:lineRule="auto"/>
        <w:rPr>
          <w:sz w:val="20"/>
          <w:szCs w:val="20"/>
          <w:color w:val="auto"/>
        </w:rPr>
      </w:pPr>
      <w:r>
        <w:rPr>
          <w:rFonts w:ascii="Arial" w:cs="Arial" w:eastAsia="Arial" w:hAnsi="Arial"/>
          <w:sz w:val="16"/>
          <w:szCs w:val="16"/>
          <w:color w:val="auto"/>
        </w:rPr>
        <w:t>Since its enactment, there have been judicial and political challenges to certain aspects of the Affordable Care Act. For example, the Tax Cuts and Jobs Act of 2017, or Tax Act,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Affordable Care Act, and therefore, because it was repealed as part of the Tax Act, the remaining provisions of the Affordable Care Act, are invalid as well. On December 18, 2019, the U.S. Court of Appeals for the 5th Circuit ruled that the individual mandate was unconstitutional and remanded the case back to the District Court to determine whether the remaining provisions of the Affordable Care Act are invalid as well. The U.S. Supreme Court is currently reviewing the case, although it is unclear how the Supreme Court will rule. It is also unclear how other efforts, if any, to challenge, repeal or replace the Affordable Care Act, will impact the Affordable Care Act.</w:t>
      </w:r>
    </w:p>
    <w:p>
      <w:pPr>
        <w:spacing w:after="0" w:line="147" w:lineRule="exact"/>
        <w:rPr>
          <w:sz w:val="20"/>
          <w:szCs w:val="20"/>
          <w:color w:val="auto"/>
        </w:rPr>
      </w:pPr>
    </w:p>
    <w:p>
      <w:pPr>
        <w:ind w:right="140" w:firstLine="589"/>
        <w:spacing w:after="0" w:line="257" w:lineRule="auto"/>
        <w:rPr>
          <w:sz w:val="20"/>
          <w:szCs w:val="20"/>
          <w:color w:val="auto"/>
        </w:rPr>
      </w:pPr>
      <w:r>
        <w:rPr>
          <w:rFonts w:ascii="Arial" w:cs="Arial" w:eastAsia="Arial" w:hAnsi="Arial"/>
          <w:sz w:val="17"/>
          <w:szCs w:val="17"/>
          <w:color w:val="auto"/>
        </w:rPr>
        <w:t>In addition, other legislative changes have been proposed and adopted since the Affordable Care Act was enacted. These changes included aggregate reductions to Medicare payments to providers of 2% per fiscal year, which went into effect on April 1, 2013 and, due to subsequent legislative amendments to the statute will remain in effect through 2030, with the exception of a temporary suspension from May 1, 2020 through March 31, 2021,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w:t>
      </w:r>
    </w:p>
    <w:p>
      <w:pPr>
        <w:spacing w:after="0" w:line="145" w:lineRule="exact"/>
        <w:rPr>
          <w:sz w:val="20"/>
          <w:szCs w:val="20"/>
          <w:color w:val="auto"/>
        </w:rPr>
      </w:pPr>
    </w:p>
    <w:p>
      <w:pPr>
        <w:ind w:right="20" w:firstLine="589"/>
        <w:spacing w:after="0" w:line="261"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w:t>
      </w:r>
    </w:p>
    <w:p>
      <w:pPr>
        <w:spacing w:after="0" w:line="139" w:lineRule="exact"/>
        <w:rPr>
          <w:sz w:val="20"/>
          <w:szCs w:val="20"/>
          <w:color w:val="auto"/>
        </w:rPr>
      </w:pPr>
    </w:p>
    <w:p>
      <w:pPr>
        <w:ind w:right="220" w:firstLine="589"/>
        <w:spacing w:after="0" w:line="261" w:lineRule="auto"/>
        <w:rPr>
          <w:sz w:val="20"/>
          <w:szCs w:val="20"/>
          <w:color w:val="auto"/>
        </w:rPr>
      </w:pPr>
      <w:r>
        <w:rPr>
          <w:rFonts w:ascii="Arial" w:cs="Arial" w:eastAsia="Arial" w:hAnsi="Arial"/>
          <w:sz w:val="17"/>
          <w:szCs w:val="17"/>
          <w:color w:val="auto"/>
        </w:rPr>
        <w:t>The likelihood of implementation of these and other reform initiatives proposed by the former Trump administration is uncertain, particularly in light of the new Biden administration. Moreover, in the coming years, additional legislative and regulatory changes could be made to governmental health programs that could significantly impact pharmaceutical companies and the success of our product candidates. Individual states in the United States have also become increasingly active in implementing regulations designed to control pharmaceutical</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43" w:name="page44"/>
    <w:bookmarkEnd w:id="43"/>
    <w:p>
      <w:pPr>
        <w:spacing w:after="0" w:line="278" w:lineRule="auto"/>
        <w:rPr>
          <w:sz w:val="20"/>
          <w:szCs w:val="20"/>
          <w:color w:val="auto"/>
        </w:rPr>
      </w:pPr>
      <w:r>
        <w:rPr>
          <w:rFonts w:ascii="Arial" w:cs="Arial" w:eastAsia="Arial" w:hAnsi="Arial"/>
          <w:sz w:val="16"/>
          <w:szCs w:val="16"/>
          <w:color w:val="auto"/>
        </w:rPr>
        <w:t>product pricing, including price or patient reimbursement constraints, discounts, restrictions on certain product access and marketing cost disclosure and transparency measures, and, in some cases, designed to encourage importation from other countries and bulk purchasing. It is possible that additional governmental action is taken in response to the COVID-19 pandemic.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Regulation</w:t>
      </w:r>
    </w:p>
    <w:p>
      <w:pPr>
        <w:spacing w:after="0" w:line="177" w:lineRule="exact"/>
        <w:rPr>
          <w:sz w:val="20"/>
          <w:szCs w:val="20"/>
          <w:color w:val="auto"/>
        </w:rPr>
      </w:pPr>
    </w:p>
    <w:p>
      <w:pPr>
        <w:ind w:firstLine="589"/>
        <w:spacing w:after="0" w:line="255" w:lineRule="auto"/>
        <w:rPr>
          <w:sz w:val="20"/>
          <w:szCs w:val="20"/>
          <w:color w:val="auto"/>
        </w:rPr>
      </w:pPr>
      <w:r>
        <w:rPr>
          <w:rFonts w:ascii="Arial" w:cs="Arial" w:eastAsia="Arial" w:hAnsi="Arial"/>
          <w:sz w:val="17"/>
          <w:szCs w:val="17"/>
          <w:color w:val="auto"/>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or EU,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To market a medicinal product in the European Economic Area, or EEA (which is comprised of the 28 Member States of the EU plus Norway, Iceland and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Liechtenstein), we must obtain a Marketing Authorization, or MA. There are two types of marketing authorizations:</w:t>
      </w:r>
    </w:p>
    <w:p>
      <w:pPr>
        <w:spacing w:after="0" w:line="179" w:lineRule="exact"/>
        <w:rPr>
          <w:sz w:val="20"/>
          <w:szCs w:val="20"/>
          <w:color w:val="auto"/>
        </w:rPr>
      </w:pPr>
    </w:p>
    <w:p>
      <w:pPr>
        <w:ind w:left="1000" w:right="20" w:hanging="419"/>
        <w:spacing w:after="0" w:line="256"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of the EMA and which is valid throughout the entire territory of the EEA. The Centralized Procedure is mandatory for certain types of products, such as biotechnology medicinal products, orphan medicinal products, advanced therapy products, and medicinal products containing a new active substance indicated for the treatment certain diseases, such as AIDS, cancer, neurodegenerative disorders, diabetes, auto-immune and viral diseases. The Centralized Procedure is optional for products containing a new active substance not yet authorized in the EEA, or for products that constitute a significant therapeutic, scientific or technical innovation or which are in the interest of public health in the EU; and</w:t>
      </w:r>
    </w:p>
    <w:p>
      <w:pPr>
        <w:spacing w:after="0" w:line="146" w:lineRule="exact"/>
        <w:rPr>
          <w:rFonts w:ascii="Arial" w:cs="Arial" w:eastAsia="Arial" w:hAnsi="Arial"/>
          <w:sz w:val="17"/>
          <w:szCs w:val="17"/>
          <w:color w:val="auto"/>
        </w:rPr>
      </w:pPr>
    </w:p>
    <w:p>
      <w:pPr>
        <w:ind w:left="1000" w:hanging="419"/>
        <w:spacing w:after="0" w:line="258"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44" w:lineRule="exact"/>
        <w:rPr>
          <w:sz w:val="20"/>
          <w:szCs w:val="20"/>
          <w:color w:val="auto"/>
        </w:rPr>
      </w:pPr>
    </w:p>
    <w:p>
      <w:pPr>
        <w:ind w:right="680" w:firstLine="589"/>
        <w:spacing w:after="0" w:line="310" w:lineRule="auto"/>
        <w:rPr>
          <w:sz w:val="20"/>
          <w:szCs w:val="20"/>
          <w:color w:val="auto"/>
        </w:rPr>
      </w:pPr>
      <w:r>
        <w:rPr>
          <w:rFonts w:ascii="Arial" w:cs="Arial" w:eastAsia="Arial" w:hAnsi="Arial"/>
          <w:sz w:val="16"/>
          <w:szCs w:val="16"/>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pacing w:after="0" w:line="103"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Data and marketing exclusivity</w:t>
      </w:r>
    </w:p>
    <w:p>
      <w:pPr>
        <w:spacing w:after="0" w:line="177" w:lineRule="exact"/>
        <w:rPr>
          <w:sz w:val="20"/>
          <w:szCs w:val="20"/>
          <w:color w:val="auto"/>
        </w:rPr>
      </w:pPr>
    </w:p>
    <w:p>
      <w:pPr>
        <w:ind w:right="20" w:firstLine="589"/>
        <w:spacing w:after="0" w:line="301" w:lineRule="auto"/>
        <w:rPr>
          <w:sz w:val="20"/>
          <w:szCs w:val="20"/>
          <w:color w:val="auto"/>
        </w:rPr>
      </w:pPr>
      <w:r>
        <w:rPr>
          <w:rFonts w:ascii="Arial" w:cs="Arial" w:eastAsia="Arial" w:hAnsi="Arial"/>
          <w:sz w:val="15"/>
          <w:szCs w:val="15"/>
          <w:color w:val="auto"/>
        </w:rPr>
        <w:t>In the EEA, new products authorized for marketing, or reference products, qualify for eight years of data exclusivity and an additional two years of market exclusivity upon marketing authorization. The data exclusivity period prevents generic or biosimilar applicants from relying on the pre-clinical and clinical trial data contained in the dossier of the reference product when applying for a generic or biosimilar marketing authorization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10-year</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44" w:name="page45"/>
    <w:bookmarkEnd w:id="44"/>
    <w:p>
      <w:pPr>
        <w:ind w:right="520"/>
        <w:spacing w:after="0" w:line="265" w:lineRule="auto"/>
        <w:rPr>
          <w:sz w:val="20"/>
          <w:szCs w:val="20"/>
          <w:color w:val="auto"/>
        </w:rPr>
      </w:pPr>
      <w:r>
        <w:rPr>
          <w:rFonts w:ascii="Arial" w:cs="Arial" w:eastAsia="Arial" w:hAnsi="Arial"/>
          <w:sz w:val="17"/>
          <w:szCs w:val="17"/>
          <w:color w:val="auto"/>
        </w:rPr>
        <w:t>market exclusivity period can be extended to a maximum of eleven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49"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Pediatric investigation plan</w:t>
      </w:r>
    </w:p>
    <w:p>
      <w:pPr>
        <w:spacing w:after="0" w:line="177" w:lineRule="exact"/>
        <w:rPr>
          <w:sz w:val="20"/>
          <w:szCs w:val="20"/>
          <w:color w:val="auto"/>
        </w:rPr>
      </w:pPr>
    </w:p>
    <w:p>
      <w:pPr>
        <w:ind w:firstLine="589"/>
        <w:spacing w:after="0" w:line="255" w:lineRule="auto"/>
        <w:rPr>
          <w:sz w:val="20"/>
          <w:szCs w:val="20"/>
          <w:color w:val="auto"/>
        </w:rPr>
      </w:pPr>
      <w:r>
        <w:rPr>
          <w:rFonts w:ascii="Arial" w:cs="Arial" w:eastAsia="Arial" w:hAnsi="Arial"/>
          <w:sz w:val="17"/>
          <w:szCs w:val="17"/>
          <w:color w:val="auto"/>
        </w:rPr>
        <w:t>In the EEA, marketing authorization applications for new medicinal products not authorized have to include the results of studies conducted in the pediatric population, in compliance with a pediatric investigation plan, or PIP, agreed with the EMA’s Pediatric Committee, or PDCO. The PIP sets out the timing and measures proposed to generate data to support a pediatric indication of the drug for which marketing authorization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marketing authorization is obtained in all Member States of the EU and study results are included in the product information, even when negative, the product is eligible for six months’ supplementary protection certificate extension.</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Clinical trials</w:t>
      </w:r>
    </w:p>
    <w:p>
      <w:pPr>
        <w:spacing w:after="0" w:line="190" w:lineRule="exact"/>
        <w:rPr>
          <w:sz w:val="20"/>
          <w:szCs w:val="20"/>
          <w:color w:val="auto"/>
        </w:rPr>
      </w:pPr>
    </w:p>
    <w:p>
      <w:pPr>
        <w:ind w:right="100" w:firstLine="589"/>
        <w:spacing w:after="0" w:line="278" w:lineRule="auto"/>
        <w:rPr>
          <w:sz w:val="20"/>
          <w:szCs w:val="20"/>
          <w:color w:val="auto"/>
        </w:rPr>
      </w:pPr>
      <w:r>
        <w:rPr>
          <w:rFonts w:ascii="Arial" w:cs="Arial" w:eastAsia="Arial" w:hAnsi="Arial"/>
          <w:sz w:val="16"/>
          <w:szCs w:val="16"/>
          <w:color w:val="auto"/>
        </w:rPr>
        <w:t>Clinical trials of medicinal products in the European Union must be conducted in accordance with European Union and national regulations and the International Conference on Harmonization, or ICH, guidelines on GCPs. Additional GCP guidelines from the European Commission, focusing in particular on traceability, apply to clinical trials of advanced therapy medicinal products. If the sponsor of the clinical trial is not established within the European Union, it must appoint an entity within the European Union to act as its legal representative. The sponsor must take out a clinical trial insurance policy, and in most EU countries, the sponsor is liable to provide ‘no fault’ compensation to any study subject injured in the clinical trial.</w:t>
      </w:r>
    </w:p>
    <w:p>
      <w:pPr>
        <w:spacing w:after="0" w:line="129" w:lineRule="exact"/>
        <w:rPr>
          <w:sz w:val="20"/>
          <w:szCs w:val="20"/>
          <w:color w:val="auto"/>
        </w:rPr>
      </w:pPr>
    </w:p>
    <w:p>
      <w:pPr>
        <w:ind w:firstLine="589"/>
        <w:spacing w:after="0" w:line="294" w:lineRule="auto"/>
        <w:rPr>
          <w:sz w:val="20"/>
          <w:szCs w:val="20"/>
          <w:color w:val="auto"/>
        </w:rPr>
      </w:pPr>
      <w:r>
        <w:rPr>
          <w:rFonts w:ascii="Arial" w:cs="Arial" w:eastAsia="Arial" w:hAnsi="Arial"/>
          <w:sz w:val="15"/>
          <w:szCs w:val="15"/>
          <w:color w:val="auto"/>
        </w:rPr>
        <w:t>Prior to commencing a clinical trial, the sponsor must obtain a clinical trial authorization from the competent authority, and a positive opinion from an independent ethics committee. The application for a clinical trial authorization must include, among other things, a copy of the trial protocol and an investigational medicinal product dossier containing information about the manufacture and quality of the medicinal product under investigation. Currently, clinical trial authorization applications must be submitted to the competent authority in each EU Member State in which the trial will be conducted. Under the new Regulation on Clinical Trials, which is currently expected to take effect in 2020, there will be a centralized application procedure where one national authority takes the lead in reviewing the application and the other national authorities have only a limited involvement. Any substantial changes to the trial protocol or other information submitted with the clinical trial applications must be notified to or approved by the relevant competent authorities and ethics committees. Medicines used in clinical trials must be manufactured in accordance with cGMP. Other national and European Union-wide regulatory requirements also apply.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privacy and security laws</w:t>
      </w:r>
    </w:p>
    <w:p>
      <w:pPr>
        <w:spacing w:after="0" w:line="190" w:lineRule="exact"/>
        <w:rPr>
          <w:sz w:val="20"/>
          <w:szCs w:val="20"/>
          <w:color w:val="auto"/>
        </w:rPr>
      </w:pPr>
    </w:p>
    <w:p>
      <w:pPr>
        <w:ind w:firstLine="589"/>
        <w:spacing w:after="0" w:line="292" w:lineRule="auto"/>
        <w:rPr>
          <w:sz w:val="20"/>
          <w:szCs w:val="20"/>
          <w:color w:val="auto"/>
        </w:rPr>
      </w:pPr>
      <w:r>
        <w:rPr>
          <w:rFonts w:ascii="Arial" w:cs="Arial" w:eastAsia="Arial" w:hAnsi="Arial"/>
          <w:sz w:val="15"/>
          <w:szCs w:val="15"/>
          <w:color w:val="auto"/>
        </w:rPr>
        <w:t>Pharmaceutical companies may be subject to federal, state and foreign data privacy, security and data breach notification laws, which may govern the collection, use, disclosure and protection of health-related and other personal information. For example, in the U.S., HIPAA imposes privacy, security and breach reporting obligations with respect to individually identifiable health information upon “covered entities” (health plans, health care clearinghouses and certain health care providers), and their respective business associates, individuals or entities that create, received, maintain or transmit protected health information in connection with providing a service for or on behalf of a covered entity. HIPAA mandates the reporting of certain breaches of health information to HHS, affected individuals and if the breach is large enough, the media. Entities that are found to be in violation of HIPAA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Even when HIPAA does not apply, according to the Federal Trade Commission or the FTC, failing to take appropriate steps to keep consumers’ personal information secure constitutes unfair acts or practices in or affecting commerce in violation of Section 5(a) of the Federal Trade Commission Act. The FTC expects a company’s data security measures to be reasonable and appropriate in light of</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5" w:name="page46"/>
    <w:bookmarkEnd w:id="45"/>
    <w:p>
      <w:pPr>
        <w:ind w:right="40"/>
        <w:spacing w:after="0" w:line="274" w:lineRule="auto"/>
        <w:rPr>
          <w:sz w:val="20"/>
          <w:szCs w:val="20"/>
          <w:color w:val="auto"/>
        </w:rPr>
      </w:pPr>
      <w:r>
        <w:rPr>
          <w:rFonts w:ascii="Arial" w:cs="Arial" w:eastAsia="Arial" w:hAnsi="Arial"/>
          <w:sz w:val="16"/>
          <w:szCs w:val="16"/>
          <w:color w:val="auto"/>
        </w:rPr>
        <w:t>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In addition, certain state and non-U.S. laws, such as the California Consumer Privacy Act, or CCPA, the California Privacy Rights Act, or CPRA, and the EU General Data Protection Regulation, or GDPR, govern the privacy and security of personal information,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83" w:lineRule="exact"/>
        <w:rPr>
          <w:sz w:val="20"/>
          <w:szCs w:val="20"/>
          <w:color w:val="auto"/>
        </w:rPr>
      </w:pPr>
    </w:p>
    <w:p>
      <w:pPr>
        <w:ind w:right="80" w:firstLine="589"/>
        <w:spacing w:after="0" w:line="278" w:lineRule="auto"/>
        <w:rPr>
          <w:sz w:val="20"/>
          <w:szCs w:val="20"/>
          <w:color w:val="auto"/>
        </w:rPr>
      </w:pPr>
      <w:r>
        <w:rPr>
          <w:rFonts w:ascii="Arial" w:cs="Arial" w:eastAsia="Arial" w:hAnsi="Arial"/>
          <w:sz w:val="17"/>
          <w:szCs w:val="17"/>
          <w:color w:val="auto"/>
        </w:rPr>
        <w:t>As of March 1, 2021, we had 55 full-time employees, 9 of whom have a Ph.D. or M.D. None of our employees are represented by labor unions or covered by collective bargaining agreements. We consider our relationship with our employees to be good.</w:t>
      </w:r>
    </w:p>
    <w:p>
      <w:pPr>
        <w:spacing w:after="0" w:line="125" w:lineRule="exact"/>
        <w:rPr>
          <w:sz w:val="20"/>
          <w:szCs w:val="20"/>
          <w:color w:val="auto"/>
        </w:rPr>
      </w:pPr>
    </w:p>
    <w:p>
      <w:pPr>
        <w:ind w:right="120" w:firstLine="589"/>
        <w:spacing w:after="0" w:line="261" w:lineRule="auto"/>
        <w:rPr>
          <w:sz w:val="20"/>
          <w:szCs w:val="20"/>
          <w:color w:val="auto"/>
        </w:rPr>
      </w:pPr>
      <w:r>
        <w:rPr>
          <w:rFonts w:ascii="Arial" w:cs="Arial" w:eastAsia="Arial" w:hAnsi="Arial"/>
          <w:sz w:val="17"/>
          <w:szCs w:val="17"/>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183" w:lineRule="exact"/>
        <w:rPr>
          <w:sz w:val="20"/>
          <w:szCs w:val="20"/>
          <w:color w:val="auto"/>
        </w:rPr>
      </w:pPr>
    </w:p>
    <w:p>
      <w:pPr>
        <w:ind w:right="100" w:firstLine="589"/>
        <w:spacing w:after="0" w:line="258" w:lineRule="auto"/>
        <w:rPr>
          <w:sz w:val="20"/>
          <w:szCs w:val="20"/>
          <w:color w:val="auto"/>
        </w:rPr>
      </w:pPr>
      <w:r>
        <w:rPr>
          <w:rFonts w:ascii="Arial" w:cs="Arial" w:eastAsia="Arial" w:hAnsi="Arial"/>
          <w:sz w:val="17"/>
          <w:szCs w:val="17"/>
          <w:color w:val="auto"/>
        </w:rPr>
        <w:t>We were originally incorporated under the laws of the state of Delaware on January 9, 2018 under the name North Bridge IV, Inc. On March 13, 2019, we changed our name to Phathom Pharmaceuticals, Inc. and merged YamadaCo IIA, Inc., a Delaware corporation, or YamadaCo, with and into our company, with Phathom Pharmaceuticals, Inc. as the surviving entity, or the Merger. References throughout this annual report to Phathom Pharmaceuticals, Inc. include North Bridge IV, Inc. prior to the Merger. Our principal executive offices are located at 100 Campus Drive, Suite 102, Florham Park, New Jersey 07932, and our telephone number is (877) 742-8466.</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96" w:lineRule="exact"/>
        <w:rPr>
          <w:sz w:val="20"/>
          <w:szCs w:val="20"/>
          <w:color w:val="auto"/>
        </w:rPr>
      </w:pPr>
    </w:p>
    <w:p>
      <w:pPr>
        <w:ind w:firstLine="589"/>
        <w:spacing w:after="0" w:line="258" w:lineRule="auto"/>
        <w:rPr>
          <w:sz w:val="20"/>
          <w:szCs w:val="20"/>
          <w:color w:val="auto"/>
        </w:rPr>
      </w:pPr>
      <w:r>
        <w:rPr>
          <w:rFonts w:ascii="Arial" w:cs="Arial" w:eastAsia="Arial" w:hAnsi="Arial"/>
          <w:sz w:val="17"/>
          <w:szCs w:val="17"/>
          <w:color w:val="auto"/>
        </w:rPr>
        <w:t>Our internet address is www.phathompharma.com. Our investor relations website is located at https://investors.phathompharma.com.com. We make available free of charge on our investor relations website under “Financials and Filings” our annual reports on Form 10-K, quarterly reports on Form 10-Q, current reports on Form 8-K, our directors’ and officers’ Section 16 reports and any amendments to those reports as soon as reasonably practicable after filing or furnishing such materials to the SEC. They are also available for free on the SEC’s website at www.sec.gov. The information in or accessible through the SEC and our website are not incorporated into, and are not considered part of, this filing.</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46" w:name="page47"/>
    <w:bookmarkEnd w:id="46"/>
    <w:p>
      <w:pPr>
        <w:spacing w:after="0"/>
        <w:tabs>
          <w:tab w:leader="none" w:pos="124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8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i w:val="1"/>
          <w:iCs w:val="1"/>
          <w:color w:val="auto"/>
        </w:rPr>
        <w:t>You should carefully consider the following risk factors, together with the other information contained in this annual report on Form 10-K, including our financial statements and the related notes and “Management’s Discussion and Analysis of Financial Condition and Results of Operations,” before making a decision to purchase or sell shares of our common stock. We cannot assure you that any of the events discussed in the risk factors below will not occur. These risks could have a material and adverse impact on our business, results of operations, financial condition and growth prospects. If that were to happen, the trading price of our common stock could decline. Additional risks and uncertainties not presently known to us or that we currently deem immaterial also may impair our business operations or financial condition. In this section, we first provide a summary of the more significant risks and uncertainties we face and then provide a full set of risk factors and discuss them in greater detail.</w:t>
      </w: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SUMMARY RISKS FACTORS</w:t>
      </w:r>
    </w:p>
    <w:p>
      <w:pPr>
        <w:spacing w:after="0" w:line="359" w:lineRule="exact"/>
        <w:rPr>
          <w:sz w:val="20"/>
          <w:szCs w:val="20"/>
          <w:color w:val="auto"/>
        </w:rPr>
      </w:pPr>
    </w:p>
    <w:p>
      <w:pPr>
        <w:ind w:left="1320" w:right="20" w:hanging="649"/>
        <w:spacing w:after="0" w:line="259" w:lineRule="auto"/>
        <w:tabs>
          <w:tab w:leader="none" w:pos="1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a limited operating history, have incurred significant operating losses since our inception and expect to incur significant losses for the foreseeable future;</w:t>
      </w:r>
    </w:p>
    <w:p>
      <w:pPr>
        <w:ind w:left="1320" w:hanging="649"/>
        <w:spacing w:after="0"/>
        <w:tabs>
          <w:tab w:leader="none" w:pos="1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may never generate any revenue or become profitable or, if we achieve profitability, we may not be able to sustain it;</w:t>
      </w:r>
    </w:p>
    <w:p>
      <w:pPr>
        <w:spacing w:after="0" w:line="10" w:lineRule="exact"/>
        <w:rPr>
          <w:rFonts w:ascii="Arial" w:cs="Arial" w:eastAsia="Arial" w:hAnsi="Arial"/>
          <w:sz w:val="17"/>
          <w:szCs w:val="17"/>
          <w:color w:val="auto"/>
        </w:rPr>
      </w:pPr>
    </w:p>
    <w:p>
      <w:pPr>
        <w:jc w:val="both"/>
        <w:ind w:left="1320" w:right="20" w:hanging="649"/>
        <w:spacing w:after="0" w:line="252" w:lineRule="auto"/>
        <w:tabs>
          <w:tab w:leader="none" w:pos="1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jc w:val="both"/>
        <w:ind w:left="1320" w:right="20" w:hanging="649"/>
        <w:spacing w:after="0" w:line="252" w:lineRule="auto"/>
        <w:tabs>
          <w:tab w:leader="none" w:pos="1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currently depend entirely on the success of vonoprazan, which is our only product candidate. If we are unable to advance vonoprazan in clinical development, obtain regulatory approval and ultimately commercialize vonoprazan, or experience significant delays in doing so, our business will be materially harmed;</w:t>
      </w:r>
    </w:p>
    <w:p>
      <w:pPr>
        <w:jc w:val="both"/>
        <w:ind w:left="1320" w:hanging="649"/>
        <w:spacing w:after="0" w:line="252" w:lineRule="auto"/>
        <w:tabs>
          <w:tab w:leader="none" w:pos="1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Clinical drug development involves a lengthy and expensive process with an uncertain outcome, and the results of prior clinical trials and other investigator-initiated clinical trials of vonoprazan are not necessarily predictive of our future results. Vonoprazan may not have favorable results in our clinical trials, or receive regulatory approval on a timely basis, if at all;</w:t>
      </w:r>
    </w:p>
    <w:p>
      <w:pPr>
        <w:jc w:val="both"/>
        <w:ind w:left="1320" w:hanging="649"/>
        <w:spacing w:after="0" w:line="252" w:lineRule="auto"/>
        <w:tabs>
          <w:tab w:leader="none" w:pos="1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Vonoprazan and any future product candidates are subject to extensive regulation and compliance obligations, which is costly and time consuming, and such regulation may cause unanticipated delays or prevent the receipt of the required approvals to commercialize vonoprazan and any future product candidates;</w:t>
      </w:r>
    </w:p>
    <w:p>
      <w:pPr>
        <w:jc w:val="both"/>
        <w:ind w:left="1320" w:hanging="649"/>
        <w:spacing w:after="0" w:line="286" w:lineRule="auto"/>
        <w:tabs>
          <w:tab w:leader="none" w:pos="1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We may not be successful in our efforts to expand our pipeline by identifying additional indications and formulations for which to investigate vonoprazan in the future. We may expend our limited resources to pursue a particular indication or formulation for vonoprazan and fail to capitalize on product candidates, indications or formulations that may be more profitable or for which there is a greater likelihood of success;</w:t>
      </w:r>
    </w:p>
    <w:p>
      <w:pPr>
        <w:jc w:val="both"/>
        <w:ind w:left="1320" w:hanging="649"/>
        <w:spacing w:after="0" w:line="268" w:lineRule="auto"/>
        <w:tabs>
          <w:tab w:leader="none" w:pos="1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currently have a limited marketing and no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jc w:val="both"/>
        <w:ind w:left="1320" w:right="20" w:hanging="649"/>
        <w:spacing w:after="0" w:line="252" w:lineRule="auto"/>
        <w:tabs>
          <w:tab w:leader="none" w:pos="1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rely on third parties to conduct our preclinical and clinical trials and perform other tasks for us. If these third parties do not successfully carry out their contractual duties, meet expected deadlines or comply with regulatory requirements, we may not be able to obtain regulatory approval for or commercialize vonoprazan and our business could be harmed;</w:t>
      </w:r>
    </w:p>
    <w:p>
      <w:pPr>
        <w:ind w:left="1320" w:hanging="649"/>
        <w:spacing w:after="0" w:line="252" w:lineRule="auto"/>
        <w:tabs>
          <w:tab w:leader="none" w:pos="1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currently engage third-party manufacturers for clinical and commercial supplies. The loss of any of these suppliers, or any future single source suppliers, could harm our business;</w:t>
      </w:r>
    </w:p>
    <w:p>
      <w:pPr>
        <w:ind w:left="1320" w:right="20" w:hanging="649"/>
        <w:spacing w:after="0" w:line="252" w:lineRule="auto"/>
        <w:tabs>
          <w:tab w:leader="none" w:pos="1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rely on the Takeda License to provide us rights to develop and commercialize vonoprazan in the United States, Europe, and Canada. If the license agreement is terminated, we would lose our rights to develop and commercialize vonoprazan;</w:t>
      </w:r>
    </w:p>
    <w:p>
      <w:pPr>
        <w:jc w:val="both"/>
        <w:ind w:left="1320" w:right="20" w:hanging="649"/>
        <w:spacing w:after="0" w:line="258" w:lineRule="auto"/>
        <w:tabs>
          <w:tab w:leader="none" w:pos="1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the scope of any patent protection we obtain is not sufficiently broad, if we lose any of our patent protection, or if we are unable to maintain our existing Qualified Infectious Disease Product, or QIDP, designations for vonoprazan tablets in combination with amoxicillin tablets and clarithromycin tablets</w:t>
      </w: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7" w:name="page48"/>
    <w:bookmarkEnd w:id="47"/>
    <w:p>
      <w:pPr>
        <w:jc w:val="both"/>
        <w:ind w:left="1320" w:right="40"/>
        <w:spacing w:after="0" w:line="256" w:lineRule="auto"/>
        <w:rPr>
          <w:sz w:val="20"/>
          <w:szCs w:val="20"/>
          <w:color w:val="auto"/>
        </w:rPr>
      </w:pPr>
      <w:r>
        <w:rPr>
          <w:rFonts w:ascii="Arial" w:cs="Arial" w:eastAsia="Arial" w:hAnsi="Arial"/>
          <w:sz w:val="17"/>
          <w:szCs w:val="17"/>
          <w:color w:val="auto"/>
        </w:rPr>
        <w:t xml:space="preserve">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and we are unable to obtain additional QIDP designations for vonoprazan tablets with amoxicillin capsules and clarithromycin tablets, our ability to prevent our competitors from commercializing similar or identical product candidates would be adversely affected;</w:t>
      </w:r>
    </w:p>
    <w:p>
      <w:pPr>
        <w:spacing w:after="0" w:line="2" w:lineRule="exact"/>
        <w:rPr>
          <w:sz w:val="20"/>
          <w:szCs w:val="20"/>
          <w:color w:val="auto"/>
        </w:rPr>
      </w:pPr>
    </w:p>
    <w:p>
      <w:pPr>
        <w:jc w:val="both"/>
        <w:ind w:left="1320" w:right="20" w:hanging="649"/>
        <w:spacing w:after="0" w:line="252" w:lineRule="auto"/>
        <w:tabs>
          <w:tab w:leader="none" w:pos="1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successful commercialization of vonoprazan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 w:lineRule="exact"/>
        <w:rPr>
          <w:rFonts w:ascii="Arial" w:cs="Arial" w:eastAsia="Arial" w:hAnsi="Arial"/>
          <w:sz w:val="17"/>
          <w:szCs w:val="17"/>
          <w:color w:val="auto"/>
        </w:rPr>
      </w:pPr>
    </w:p>
    <w:p>
      <w:pPr>
        <w:ind w:left="1320" w:right="40" w:hanging="649"/>
        <w:spacing w:after="0" w:line="252" w:lineRule="auto"/>
        <w:tabs>
          <w:tab w:leader="none" w:pos="1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are subject to various foreign, federal, and state healthcare and privacy laws and regulations, and our failure to comply with these laws and regulations could harm our results of operations and financial condition;</w:t>
      </w:r>
    </w:p>
    <w:p>
      <w:pPr>
        <w:ind w:left="1320" w:hanging="649"/>
        <w:spacing w:after="0"/>
        <w:tabs>
          <w:tab w:leader="none" w:pos="1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business is subject to risks arising from epidemic diseases, such as the ongoing COVID-19 pandemic;</w:t>
      </w:r>
    </w:p>
    <w:p>
      <w:pPr>
        <w:spacing w:after="0" w:line="10" w:lineRule="exact"/>
        <w:rPr>
          <w:rFonts w:ascii="Arial" w:cs="Arial" w:eastAsia="Arial" w:hAnsi="Arial"/>
          <w:sz w:val="17"/>
          <w:szCs w:val="17"/>
          <w:color w:val="auto"/>
        </w:rPr>
      </w:pPr>
    </w:p>
    <w:p>
      <w:pPr>
        <w:ind w:left="1320" w:right="940" w:hanging="649"/>
        <w:spacing w:after="0" w:line="268" w:lineRule="auto"/>
        <w:tabs>
          <w:tab w:leader="none" w:pos="1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are highly dependent on the services of our key executives and personnel, and if we are not able to retain these members of our management or recruit additional management, clinical and commercial personnel, our business will suffer; and</w:t>
      </w:r>
    </w:p>
    <w:p>
      <w:pPr>
        <w:ind w:left="1320" w:hanging="649"/>
        <w:spacing w:after="0"/>
        <w:tabs>
          <w:tab w:leader="none" w:pos="1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trading price of our securities is likely to be volatile, and purchasers of our securities could incur substantial losses.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Limited Operating History, Financial Position and Capital Requirements</w:t>
      </w:r>
    </w:p>
    <w:p>
      <w:pPr>
        <w:spacing w:after="0" w:line="196" w:lineRule="exact"/>
        <w:rPr>
          <w:sz w:val="20"/>
          <w:szCs w:val="20"/>
          <w:color w:val="auto"/>
        </w:rPr>
      </w:pPr>
    </w:p>
    <w:p>
      <w:pPr>
        <w:ind w:right="300"/>
        <w:spacing w:after="0" w:line="310" w:lineRule="auto"/>
        <w:rPr>
          <w:sz w:val="20"/>
          <w:szCs w:val="20"/>
          <w:color w:val="auto"/>
        </w:rPr>
      </w:pPr>
      <w:r>
        <w:rPr>
          <w:rFonts w:ascii="Arial" w:cs="Arial" w:eastAsia="Arial" w:hAnsi="Arial"/>
          <w:sz w:val="16"/>
          <w:szCs w:val="16"/>
          <w:b w:val="1"/>
          <w:bCs w:val="1"/>
          <w:i w:val="1"/>
          <w:iCs w:val="1"/>
          <w:color w:val="auto"/>
        </w:rPr>
        <w:t>We have a limited operating history, have incurred significant operating losses since our inception and expect to incur significant losses for the foreseeable future. We may never generate any revenue or become profitable or, if we achieve profitability, we may not be able to sustain it.</w:t>
      </w:r>
    </w:p>
    <w:p>
      <w:pPr>
        <w:spacing w:after="0" w:line="103" w:lineRule="exact"/>
        <w:rPr>
          <w:sz w:val="20"/>
          <w:szCs w:val="20"/>
          <w:color w:val="auto"/>
        </w:rPr>
      </w:pPr>
    </w:p>
    <w:p>
      <w:pPr>
        <w:ind w:right="20" w:firstLine="589"/>
        <w:spacing w:after="0" w:line="296" w:lineRule="auto"/>
        <w:rPr>
          <w:sz w:val="20"/>
          <w:szCs w:val="20"/>
          <w:color w:val="auto"/>
        </w:rPr>
      </w:pPr>
      <w:r>
        <w:rPr>
          <w:rFonts w:ascii="Arial" w:cs="Arial" w:eastAsia="Arial" w:hAnsi="Arial"/>
          <w:sz w:val="15"/>
          <w:szCs w:val="15"/>
          <w:color w:val="auto"/>
        </w:rPr>
        <w:t>Biopharmaceutical product development is a highly speculative undertaking and involves a substantial degree of risk. We are a late clinical-stage biopharmaceutical company with a limited operating history upon which you can evaluate our business and prospects. We commenced operations in 2018, and to date, we have focused primarily on organizing and staffing our company, business planning, raising capital, in-licensing our initial product candidate, vonoprazan, meeting with regulatory authorities, and conducting our Phase 3 clinical trials of vonoprazan. As a company, we have not yet demonstrated an ability to successfully complete any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spacing w:after="0" w:line="117" w:lineRule="exact"/>
        <w:rPr>
          <w:sz w:val="20"/>
          <w:szCs w:val="20"/>
          <w:color w:val="auto"/>
        </w:rPr>
      </w:pPr>
    </w:p>
    <w:p>
      <w:pPr>
        <w:ind w:firstLine="589"/>
        <w:spacing w:after="0" w:line="296" w:lineRule="auto"/>
        <w:rPr>
          <w:sz w:val="20"/>
          <w:szCs w:val="20"/>
          <w:color w:val="auto"/>
        </w:rPr>
      </w:pPr>
      <w:r>
        <w:rPr>
          <w:rFonts w:ascii="Arial" w:cs="Arial" w:eastAsia="Arial" w:hAnsi="Arial"/>
          <w:sz w:val="15"/>
          <w:szCs w:val="15"/>
          <w:color w:val="auto"/>
        </w:rPr>
        <w:t>We have incurred significant operating losses since our inception. If vonoprazan is not successfully developed and approved in the United States, Europe and/or Canada, we may never generate any revenue. We have incurred cumulative net losses since our inception and, as of December 31, 2020, we had an accumulated deficit of $385.5 million. Substantially all of our losses have resulted from expenses incurred in connection with in-licensing and developing vonoprazan and from general and administrative costs associated with our operations. Vonoprazan and any future product candidates will require substantial additional development time and resources before we will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vonoprazan and seek to identify, assess, acquire, in-license, or develop additional product candidates.</w:t>
      </w:r>
    </w:p>
    <w:p>
      <w:pPr>
        <w:spacing w:after="0" w:line="130" w:lineRule="exact"/>
        <w:rPr>
          <w:sz w:val="20"/>
          <w:szCs w:val="20"/>
          <w:color w:val="auto"/>
        </w:rPr>
      </w:pPr>
    </w:p>
    <w:p>
      <w:pPr>
        <w:ind w:right="80" w:firstLine="589"/>
        <w:spacing w:after="0" w:line="256" w:lineRule="auto"/>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This will require us to be successful in a range of challenging activities, including completing clinical trials and preclinical studies of vonoprazan and any future product candidates, obtaining regulatory approval for these product candidates and manufacturing, marketing and selling any products. We are only in the preliminary stages of many of these activities. We may never succeed in these activities and, even if we do, may never generate revenues that are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8" w:name="page49"/>
    <w:bookmarkEnd w:id="48"/>
    <w:p>
      <w:pPr>
        <w:ind w:right="280"/>
        <w:spacing w:after="0" w:line="261" w:lineRule="auto"/>
        <w:rPr>
          <w:sz w:val="20"/>
          <w:szCs w:val="20"/>
          <w:color w:val="auto"/>
        </w:rPr>
      </w:pPr>
      <w:r>
        <w:rPr>
          <w:rFonts w:ascii="Arial" w:cs="Arial" w:eastAsia="Arial" w:hAnsi="Arial"/>
          <w:sz w:val="17"/>
          <w:szCs w:val="17"/>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continue our product development efforts, diversify our product candidate pipeline or even continue our operations. A decline in the value of our company could also cause you to lose all or part of your investment.</w:t>
      </w:r>
    </w:p>
    <w:p>
      <w:pPr>
        <w:spacing w:after="0" w:line="152" w:lineRule="exact"/>
        <w:rPr>
          <w:sz w:val="20"/>
          <w:szCs w:val="20"/>
          <w:color w:val="auto"/>
        </w:rPr>
      </w:pPr>
    </w:p>
    <w:p>
      <w:pPr>
        <w:ind w:right="80"/>
        <w:spacing w:after="0" w:line="347" w:lineRule="auto"/>
        <w:rPr>
          <w:sz w:val="20"/>
          <w:szCs w:val="20"/>
          <w:color w:val="auto"/>
        </w:rPr>
      </w:pPr>
      <w:r>
        <w:rPr>
          <w:rFonts w:ascii="Arial" w:cs="Arial" w:eastAsia="Arial" w:hAnsi="Arial"/>
          <w:sz w:val="15"/>
          <w:szCs w:val="15"/>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79" w:lineRule="exact"/>
        <w:rPr>
          <w:sz w:val="20"/>
          <w:szCs w:val="20"/>
          <w:color w:val="auto"/>
        </w:rPr>
      </w:pPr>
    </w:p>
    <w:p>
      <w:pPr>
        <w:ind w:firstLine="589"/>
        <w:spacing w:after="0" w:line="272" w:lineRule="auto"/>
        <w:rPr>
          <w:sz w:val="20"/>
          <w:szCs w:val="20"/>
          <w:color w:val="auto"/>
        </w:rPr>
      </w:pPr>
      <w:r>
        <w:rPr>
          <w:rFonts w:ascii="Arial" w:cs="Arial" w:eastAsia="Arial" w:hAnsi="Arial"/>
          <w:sz w:val="16"/>
          <w:szCs w:val="16"/>
          <w:color w:val="auto"/>
        </w:rPr>
        <w:t>The development of biopharmaceutical product candidates is capital-intensive. We expect our expenses to increase in connection with our ongoing activities, particularly as we complete our ongoing Phase 3 clinical trials of vonoprazan and commence our NERD development program, seek regulatory approval for, and prepare to commercialize, vonoprazan. In addition, if vonoprazan receives approval and is commercialized, we will be required to make milestone and royalty payments to Takeda, from whom we have in-licensed the rights to develop and commercialize vonoprazan in the United States, Europe, and Canada pursuant to the Takeda License. Furthermore, if and to the extent we seek to acquire or in-license additional product candidates in the future, we may be required to make significant upfront payments, milestone payments, and/or royalty payments. If we obtain regulatory approval for vonoprazan or any future product candidate, we also expect to incur significant commercialization expenses related to product manufacturing, marketing, sales and distribution. Because the outcome of any clinical trial is highly uncertain, we cannot reasonably estimate the actual amounts necessary to successfully complete the development and commercialization of vonoprazan or any future product candidate.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135" w:lineRule="exact"/>
        <w:rPr>
          <w:sz w:val="20"/>
          <w:szCs w:val="20"/>
          <w:color w:val="auto"/>
        </w:rPr>
      </w:pPr>
    </w:p>
    <w:p>
      <w:pPr>
        <w:ind w:right="120" w:firstLine="589"/>
        <w:spacing w:after="0" w:line="273" w:lineRule="auto"/>
        <w:rPr>
          <w:sz w:val="20"/>
          <w:szCs w:val="20"/>
          <w:color w:val="auto"/>
        </w:rPr>
      </w:pPr>
      <w:r>
        <w:rPr>
          <w:rFonts w:ascii="Arial" w:cs="Arial" w:eastAsia="Arial" w:hAnsi="Arial"/>
          <w:sz w:val="16"/>
          <w:szCs w:val="16"/>
          <w:color w:val="auto"/>
        </w:rPr>
        <w:t xml:space="preserve">We believe that our existing cash and cash equivalents will enable us to fund our operations into the fourth quarter of 2022. In particular, we expect that these funds will allow us to complete our ongoing Phase 3 clinical trials of vonoprazan in the treatment of erosive esophagitis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and seek regulatory approval for those indications, and to initiate and complete our planned Phase 2 trial of vonoprazan in the treatment of NERD.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through public or private equity or debt financings or other capital sources, including potentially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vonoprazan or any future product candidates.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177" w:lineRule="exact"/>
        <w:rPr>
          <w:sz w:val="20"/>
          <w:szCs w:val="20"/>
          <w:color w:val="auto"/>
        </w:rPr>
      </w:pPr>
    </w:p>
    <w:p>
      <w:pPr>
        <w:ind w:left="1000" w:right="360" w:hanging="419"/>
        <w:spacing w:after="0" w:line="310"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02" w:lineRule="exact"/>
        <w:rPr>
          <w:rFonts w:ascii="Arial" w:cs="Arial" w:eastAsia="Arial" w:hAnsi="Arial"/>
          <w:sz w:val="16"/>
          <w:szCs w:val="16"/>
          <w:color w:val="auto"/>
        </w:rPr>
      </w:pPr>
    </w:p>
    <w:p>
      <w:pPr>
        <w:ind w:left="1000" w:hanging="419"/>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delays and cost increases as a result of the ongoing COVID-19 pandemic;</w:t>
      </w:r>
    </w:p>
    <w:p>
      <w:pPr>
        <w:spacing w:after="0" w:line="177" w:lineRule="exact"/>
        <w:rPr>
          <w:rFonts w:ascii="Arial" w:cs="Arial" w:eastAsia="Arial" w:hAnsi="Arial"/>
          <w:sz w:val="17"/>
          <w:szCs w:val="17"/>
          <w:color w:val="auto"/>
        </w:rPr>
      </w:pPr>
    </w:p>
    <w:p>
      <w:pPr>
        <w:ind w:left="1000" w:right="240" w:hanging="419"/>
        <w:spacing w:after="0" w:line="278"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and timing of manufacturing for vonoprazan or any future product candidates, including commercial scale manufacturing if any product candidate is approved;</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vonoprazan or any future product candidates;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of obtaining, maintaining and enforcing our patents and other intellectual property rights;</w:t>
      </w:r>
    </w:p>
    <w:p>
      <w:pPr>
        <w:spacing w:after="0" w:line="177" w:lineRule="exact"/>
        <w:rPr>
          <w:rFonts w:ascii="Arial" w:cs="Arial" w:eastAsia="Arial" w:hAnsi="Arial"/>
          <w:sz w:val="17"/>
          <w:szCs w:val="17"/>
          <w:color w:val="auto"/>
        </w:rPr>
      </w:pPr>
    </w:p>
    <w:p>
      <w:pPr>
        <w:ind w:left="1000" w:right="100" w:hanging="419"/>
        <w:spacing w:after="0" w:line="278"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efforts to enhance operational systems and hire additional personnel to satisfy our obligations as a public company, including enhanced internal controls over financial reporting;</w:t>
      </w:r>
    </w:p>
    <w:p>
      <w:pPr>
        <w:spacing w:after="0" w:line="125" w:lineRule="exact"/>
        <w:rPr>
          <w:rFonts w:ascii="Arial" w:cs="Arial" w:eastAsia="Arial" w:hAnsi="Arial"/>
          <w:sz w:val="17"/>
          <w:szCs w:val="17"/>
          <w:color w:val="auto"/>
        </w:rPr>
      </w:pPr>
    </w:p>
    <w:p>
      <w:pPr>
        <w:ind w:left="1000" w:right="600" w:hanging="419"/>
        <w:spacing w:after="0" w:line="278"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associated with hiring additional personnel and consultants as our business grows, clinical development personnel and commercial personnel;</w:t>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294" w:right="379" w:bottom="1440" w:gutter="0" w:footer="0" w:header="0"/>
        </w:sectPr>
      </w:pPr>
    </w:p>
    <w:bookmarkStart w:id="49" w:name="page50"/>
    <w:bookmarkEnd w:id="49"/>
    <w:p>
      <w:pPr>
        <w:ind w:left="1000" w:hanging="419"/>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timing and amount of the milestone or other payments we must make to Takeda and any future licensors;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costs and timing of establishing or securing sales and marketing capabilities if vonoprazan or any future product candidate is approved;</w:t>
      </w:r>
    </w:p>
    <w:p>
      <w:pPr>
        <w:spacing w:after="0" w:line="188" w:lineRule="exact"/>
        <w:rPr>
          <w:rFonts w:ascii="Arial" w:cs="Arial" w:eastAsia="Arial" w:hAnsi="Arial"/>
          <w:sz w:val="16"/>
          <w:szCs w:val="16"/>
          <w:color w:val="auto"/>
        </w:rPr>
      </w:pPr>
    </w:p>
    <w:p>
      <w:pPr>
        <w:ind w:left="1000" w:right="240" w:hanging="419"/>
        <w:spacing w:after="0" w:line="278"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achieve sufficient market acceptance, coverage and adequate reimbursement from third-party payors and adequate market share and revenue for any approved products;</w:t>
      </w:r>
    </w:p>
    <w:p>
      <w:pPr>
        <w:spacing w:after="0" w:line="125" w:lineRule="exact"/>
        <w:rPr>
          <w:rFonts w:ascii="Arial" w:cs="Arial" w:eastAsia="Arial" w:hAnsi="Arial"/>
          <w:sz w:val="17"/>
          <w:szCs w:val="17"/>
          <w:color w:val="auto"/>
        </w:rPr>
      </w:pPr>
    </w:p>
    <w:p>
      <w:pPr>
        <w:ind w:left="1000" w:right="300" w:hanging="419"/>
        <w:spacing w:after="0" w:line="278"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patients’ willingness to pay out-of-pocket for any approved products in the absence of coverage and/or adequate reimbursement from third-party payors;</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terms and timing of establishing and maintaining collaborations, licenses and other similar arrangements;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costs associated with any products or technologies that we may in-license or acquire.</w:t>
      </w:r>
    </w:p>
    <w:p>
      <w:pPr>
        <w:spacing w:after="0" w:line="177" w:lineRule="exact"/>
        <w:rPr>
          <w:sz w:val="20"/>
          <w:szCs w:val="20"/>
          <w:color w:val="auto"/>
        </w:rPr>
      </w:pPr>
    </w:p>
    <w:p>
      <w:pPr>
        <w:ind w:right="100" w:firstLine="589"/>
        <w:spacing w:after="0" w:line="261" w:lineRule="auto"/>
        <w:rPr>
          <w:sz w:val="20"/>
          <w:szCs w:val="20"/>
          <w:color w:val="auto"/>
        </w:rPr>
      </w:pPr>
      <w:r>
        <w:rPr>
          <w:rFonts w:ascii="Arial" w:cs="Arial" w:eastAsia="Arial" w:hAnsi="Arial"/>
          <w:sz w:val="17"/>
          <w:szCs w:val="17"/>
          <w:color w:val="auto"/>
        </w:rPr>
        <w:t>Conducting clinical trials and preclinical studies is a time consuming, expensive, and uncertain process that takes years to complete, and we may never generate the necessary data or results required to obtain regulatory approval and achieve product sales. In addition, vonoprazan and other potential product candidates, if approved, may not achieve commercial success. Our commercial revenues, if any, would initially be derived from sales of vonoprazan, which we do not expect to be commercially available in our licensed territories until 2022, if at all.</w:t>
      </w:r>
    </w:p>
    <w:p>
      <w:pPr>
        <w:spacing w:after="0" w:line="152" w:lineRule="exact"/>
        <w:rPr>
          <w:sz w:val="20"/>
          <w:szCs w:val="20"/>
          <w:color w:val="auto"/>
        </w:rPr>
      </w:pPr>
    </w:p>
    <w:p>
      <w:pPr>
        <w:ind w:right="120" w:firstLine="589"/>
        <w:spacing w:after="0" w:line="265" w:lineRule="auto"/>
        <w:rPr>
          <w:sz w:val="20"/>
          <w:szCs w:val="20"/>
          <w:color w:val="auto"/>
        </w:rPr>
      </w:pPr>
      <w:r>
        <w:rPr>
          <w:rFonts w:ascii="Arial" w:cs="Arial" w:eastAsia="Arial" w:hAnsi="Arial"/>
          <w:sz w:val="17"/>
          <w:szCs w:val="17"/>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36" w:lineRule="exact"/>
        <w:rPr>
          <w:sz w:val="20"/>
          <w:szCs w:val="20"/>
          <w:color w:val="auto"/>
        </w:rPr>
      </w:pPr>
    </w:p>
    <w:p>
      <w:pPr>
        <w:ind w:right="460"/>
        <w:spacing w:after="0" w:line="278"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rights to our technologies or product candidates.</w:t>
      </w:r>
    </w:p>
    <w:p>
      <w:pPr>
        <w:spacing w:after="0" w:line="125" w:lineRule="exact"/>
        <w:rPr>
          <w:sz w:val="20"/>
          <w:szCs w:val="20"/>
          <w:color w:val="auto"/>
        </w:rPr>
      </w:pPr>
    </w:p>
    <w:p>
      <w:pPr>
        <w:ind w:right="20" w:firstLine="589"/>
        <w:spacing w:after="0" w:line="275"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equity offerings, our loan and security agreement, or the Loan Agreement, with Silicon Valley Bank, or SVB, as administrative and collateral agent, and lenders SVB and WestRiver Innovation Lending Fund VIII, L.P., or WestRiver, debt financings, or other capital sources, including potential collaborations, licenses and other similar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Our Loan Agreement includes, and any future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43" w:lineRule="exact"/>
        <w:rPr>
          <w:sz w:val="20"/>
          <w:szCs w:val="20"/>
          <w:color w:val="auto"/>
        </w:rPr>
      </w:pPr>
    </w:p>
    <w:p>
      <w:pPr>
        <w:ind w:right="40" w:firstLine="589"/>
        <w:spacing w:after="0" w:line="347" w:lineRule="auto"/>
        <w:rPr>
          <w:sz w:val="20"/>
          <w:szCs w:val="20"/>
          <w:color w:val="auto"/>
        </w:rPr>
      </w:pPr>
      <w:r>
        <w:rPr>
          <w:rFonts w:ascii="Arial" w:cs="Arial" w:eastAsia="Arial" w:hAnsi="Arial"/>
          <w:sz w:val="15"/>
          <w:szCs w:val="15"/>
          <w:color w:val="auto"/>
        </w:rPr>
        <w:t>If we raise funds through future collaborations, licenses and other similar arrangements, we may have to relinquish valuable rights to our future revenue streams, research programs or product candidates or grant licenses on terms that may not be favorable to us and/or that may reduce the value of our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Development and Regulatory Approval of Product Candidates</w:t>
      </w:r>
    </w:p>
    <w:p>
      <w:pPr>
        <w:spacing w:after="0" w:line="183" w:lineRule="exact"/>
        <w:rPr>
          <w:sz w:val="20"/>
          <w:szCs w:val="20"/>
          <w:color w:val="auto"/>
        </w:rPr>
      </w:pPr>
    </w:p>
    <w:p>
      <w:pPr>
        <w:spacing w:after="0" w:line="265" w:lineRule="auto"/>
        <w:rPr>
          <w:sz w:val="20"/>
          <w:szCs w:val="20"/>
          <w:color w:val="auto"/>
        </w:rPr>
      </w:pPr>
      <w:r>
        <w:rPr>
          <w:rFonts w:ascii="Arial" w:cs="Arial" w:eastAsia="Arial" w:hAnsi="Arial"/>
          <w:sz w:val="17"/>
          <w:szCs w:val="17"/>
          <w:b w:val="1"/>
          <w:bCs w:val="1"/>
          <w:i w:val="1"/>
          <w:iCs w:val="1"/>
          <w:color w:val="auto"/>
        </w:rPr>
        <w:t>We currently depend entirely on the success of vonoprazan, which is our only product candidate. If we are unable to advance vonoprazan in clinical development, obtain regulatory approval and ultimately commercialize vonoprazan, or experience significant delays in doing so, our business will be materially harmed.</w:t>
      </w:r>
    </w:p>
    <w:p>
      <w:pPr>
        <w:spacing w:after="0" w:line="149" w:lineRule="exact"/>
        <w:rPr>
          <w:sz w:val="20"/>
          <w:szCs w:val="20"/>
          <w:color w:val="auto"/>
        </w:rPr>
      </w:pPr>
    </w:p>
    <w:p>
      <w:pPr>
        <w:ind w:right="40" w:firstLine="589"/>
        <w:spacing w:after="0" w:line="276" w:lineRule="auto"/>
        <w:rPr>
          <w:sz w:val="20"/>
          <w:szCs w:val="20"/>
          <w:color w:val="auto"/>
        </w:rPr>
      </w:pPr>
      <w:r>
        <w:rPr>
          <w:rFonts w:ascii="Arial" w:cs="Arial" w:eastAsia="Arial" w:hAnsi="Arial"/>
          <w:sz w:val="16"/>
          <w:szCs w:val="16"/>
          <w:color w:val="auto"/>
        </w:rPr>
        <w:t xml:space="preserve">We currently only have one product candidate, vonoprazan, which we in-licensed from Takeda. Our business presently depends entirely on our ability to successfully develop, obtain regulatory approval for, and commercialize vonoprazan in a timely manner. This may make an investment in our company riskier than similar companies that have multiple product candidates in active development that may be able to better sustain failure of a lead product candidate. We recently completed enrollment in two pivotal Phase 3 clinical trials for vonoprazan: one, in November 2020, for the treatment of erosive esophagitis, and a second, in January 2021,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Our assumptions about vonoprazan’s development and commercial potential are based in large part on the development and commercial experience of vonoprazan in Japan and other Asian countries. However, our</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0" w:name="page51"/>
    <w:bookmarkEnd w:id="50"/>
    <w:p>
      <w:pPr>
        <w:ind w:right="700"/>
        <w:spacing w:after="0" w:line="278" w:lineRule="auto"/>
        <w:rPr>
          <w:sz w:val="20"/>
          <w:szCs w:val="20"/>
          <w:color w:val="auto"/>
        </w:rPr>
      </w:pPr>
      <w:r>
        <w:rPr>
          <w:rFonts w:ascii="Arial" w:cs="Arial" w:eastAsia="Arial" w:hAnsi="Arial"/>
          <w:sz w:val="17"/>
          <w:szCs w:val="17"/>
          <w:color w:val="auto"/>
        </w:rPr>
        <w:t>assumptions may prove to be wrong, and we may encounter a materially and adversely different development and commercial experience. The success of vonoprazan will depend on several factors, including the following:</w:t>
      </w:r>
    </w:p>
    <w:p>
      <w:pPr>
        <w:spacing w:after="0" w:line="138" w:lineRule="exact"/>
        <w:rPr>
          <w:sz w:val="20"/>
          <w:szCs w:val="20"/>
          <w:color w:val="auto"/>
        </w:rPr>
      </w:pPr>
    </w:p>
    <w:p>
      <w:pPr>
        <w:ind w:left="1000" w:right="180" w:hanging="419"/>
        <w:spacing w:after="0" w:line="278"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acceptance by the FDA or by comparable foreign regulatory authorities of our proposed design of the Phase 3 clinical trials of vonoprazan and any future clinical trials;</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successful enrollment in clinical trials and completion of clinical trials with favorable results;</w:t>
      </w:r>
    </w:p>
    <w:p>
      <w:pPr>
        <w:spacing w:after="0" w:line="177" w:lineRule="exact"/>
        <w:rPr>
          <w:rFonts w:ascii="Arial" w:cs="Arial" w:eastAsia="Arial" w:hAnsi="Arial"/>
          <w:sz w:val="17"/>
          <w:szCs w:val="17"/>
          <w:color w:val="auto"/>
        </w:rPr>
      </w:pPr>
    </w:p>
    <w:p>
      <w:pPr>
        <w:ind w:left="1000" w:right="180" w:hanging="419"/>
        <w:spacing w:after="0" w:line="265"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willingness of the FDA, the European Medicines Agency, or EMA, and other comparable foreign regulatory authorities to accept the data from our Phase 3 clinical trials and preclinical studies and clinical trials conducted outside of our licensed territories by Takeda and independent investigators as part of the basis for review and approval of vonoprazan</w:t>
      </w:r>
    </w:p>
    <w:p>
      <w:pPr>
        <w:spacing w:after="0" w:line="136" w:lineRule="exact"/>
        <w:rPr>
          <w:rFonts w:ascii="Arial" w:cs="Arial" w:eastAsia="Arial" w:hAnsi="Arial"/>
          <w:sz w:val="17"/>
          <w:szCs w:val="17"/>
          <w:color w:val="auto"/>
        </w:rPr>
      </w:pPr>
    </w:p>
    <w:p>
      <w:pPr>
        <w:ind w:left="1000" w:hanging="419"/>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demonstrating safety and efficacy to the satisfaction of applicable regulatory authorities;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outcome, timing and cost of meeting regulatory requirements established by the FDA, EMA, and other comparable foreign regulatory authorities;</w:t>
      </w:r>
    </w:p>
    <w:p>
      <w:pPr>
        <w:spacing w:after="0" w:line="200" w:lineRule="exact"/>
        <w:rPr>
          <w:rFonts w:ascii="Arial" w:cs="Arial" w:eastAsia="Arial" w:hAnsi="Arial"/>
          <w:sz w:val="15"/>
          <w:szCs w:val="15"/>
          <w:color w:val="auto"/>
        </w:rPr>
      </w:pPr>
    </w:p>
    <w:p>
      <w:pPr>
        <w:ind w:left="1000" w:hanging="419"/>
        <w:spacing w:after="0"/>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receipt of marketing approvals from applicable regulatory authorities, including one or more NDAs from the FDA and maintaining such approvals;</w:t>
      </w:r>
    </w:p>
    <w:p>
      <w:pPr>
        <w:spacing w:after="0" w:line="188" w:lineRule="exact"/>
        <w:rPr>
          <w:rFonts w:ascii="Arial" w:cs="Arial" w:eastAsia="Arial" w:hAnsi="Arial"/>
          <w:sz w:val="16"/>
          <w:szCs w:val="16"/>
          <w:color w:val="auto"/>
        </w:rPr>
      </w:pPr>
    </w:p>
    <w:p>
      <w:pPr>
        <w:ind w:left="1000" w:right="320" w:hanging="419"/>
        <w:spacing w:after="0" w:line="265"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making and/or maintaining arrangements with Takeda, Sandoz, or any future third-party manufacturers for, or establishing, commercial manufacturing capabilities and receiving/importing commercial supplies approved by FDA and other regulators from Takeda or any future third-party manufacturer;</w:t>
      </w:r>
    </w:p>
    <w:p>
      <w:pPr>
        <w:spacing w:after="0" w:line="136" w:lineRule="exact"/>
        <w:rPr>
          <w:rFonts w:ascii="Arial" w:cs="Arial" w:eastAsia="Arial" w:hAnsi="Arial"/>
          <w:sz w:val="17"/>
          <w:szCs w:val="17"/>
          <w:color w:val="auto"/>
        </w:rPr>
      </w:pPr>
    </w:p>
    <w:p>
      <w:pPr>
        <w:ind w:left="1000" w:right="420" w:hanging="419"/>
        <w:spacing w:after="0" w:line="278"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establishing sales, marketing and distribution capabilities and commercializing vonoprazan, if approved, whether alone or in collaboration with others;</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establishment and maintenance of patent and trade secret protection or regulatory exclusivity for vonoprazan;</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maintaining an acceptable safety profile of vonoprazan following approval; and</w:t>
      </w:r>
    </w:p>
    <w:p>
      <w:pPr>
        <w:spacing w:after="0" w:line="177" w:lineRule="exact"/>
        <w:rPr>
          <w:rFonts w:ascii="Arial" w:cs="Arial" w:eastAsia="Arial" w:hAnsi="Arial"/>
          <w:sz w:val="17"/>
          <w:szCs w:val="17"/>
          <w:color w:val="auto"/>
        </w:rPr>
      </w:pPr>
    </w:p>
    <w:p>
      <w:pPr>
        <w:ind w:left="1000" w:right="280" w:hanging="419"/>
        <w:spacing w:after="0" w:line="278"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maintaining and growing an organization of people who can develop and, if approved, commercialize, market, and sell vonoprazan to physicians, patients, healthcare payors, and others in the medical community.</w:t>
      </w:r>
    </w:p>
    <w:p>
      <w:pPr>
        <w:spacing w:after="0" w:line="125" w:lineRule="exact"/>
        <w:rPr>
          <w:sz w:val="20"/>
          <w:szCs w:val="20"/>
          <w:color w:val="auto"/>
        </w:rPr>
      </w:pPr>
    </w:p>
    <w:p>
      <w:pPr>
        <w:ind w:firstLine="589"/>
        <w:spacing w:after="0" w:line="278" w:lineRule="auto"/>
        <w:rPr>
          <w:sz w:val="20"/>
          <w:szCs w:val="20"/>
          <w:color w:val="auto"/>
        </w:rPr>
      </w:pPr>
      <w:r>
        <w:rPr>
          <w:rFonts w:ascii="Arial" w:cs="Arial" w:eastAsia="Arial" w:hAnsi="Arial"/>
          <w:sz w:val="16"/>
          <w:szCs w:val="16"/>
          <w:color w:val="auto"/>
        </w:rPr>
        <w:t>The success of our business, including our ability to finance our company and generate any revenue in the future, will primarily depend on the successful development, regulatory approval and commercialization of vonoprazan, which may never occur. We have not yet succeeded and may not succeed in demonstrating efficacy and safety for vonoprazan in clinical trials or in obtaining marketing approval thereafter. It may be several years, if at all, before we have demonstrated the safety and efficacy of a treatment sufficient to warrant approval for commercialization. If we are unable to develop, or obtain regulatory approval for, or, if approved, successfully commercialize vonoprazan, we may not be able to generate sufficient revenue to continue our business.</w:t>
      </w:r>
    </w:p>
    <w:p>
      <w:pPr>
        <w:spacing w:after="0" w:line="129" w:lineRule="exact"/>
        <w:rPr>
          <w:sz w:val="20"/>
          <w:szCs w:val="20"/>
          <w:color w:val="auto"/>
        </w:rPr>
      </w:pPr>
    </w:p>
    <w:p>
      <w:pPr>
        <w:jc w:val="both"/>
        <w:ind w:right="200"/>
        <w:spacing w:after="0" w:line="265"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and the results of prior clinical trials and other investigator-initiated clinical trials of vonoprazan are not necessarily predictive of our future results. Vonoprazan may not have favorable results in our clinical trials, or receive regulatory approval on a timely basis, if at all.</w:t>
      </w:r>
    </w:p>
    <w:p>
      <w:pPr>
        <w:spacing w:after="0" w:line="136" w:lineRule="exact"/>
        <w:rPr>
          <w:sz w:val="20"/>
          <w:szCs w:val="20"/>
          <w:color w:val="auto"/>
        </w:rPr>
      </w:pPr>
    </w:p>
    <w:p>
      <w:pPr>
        <w:ind w:right="100" w:firstLine="589"/>
        <w:spacing w:after="0" w:line="261" w:lineRule="auto"/>
        <w:rPr>
          <w:sz w:val="20"/>
          <w:szCs w:val="20"/>
          <w:color w:val="auto"/>
        </w:rPr>
      </w:pPr>
      <w:r>
        <w:rPr>
          <w:rFonts w:ascii="Arial" w:cs="Arial" w:eastAsia="Arial" w:hAnsi="Arial"/>
          <w:sz w:val="17"/>
          <w:szCs w:val="17"/>
          <w:color w:val="auto"/>
        </w:rPr>
        <w:t>Clinical drug development is expensive and can take many years to complete, and its outcome is inherently uncertain. Our clinical trials may not be conducted as planned or completed on schedule, if at all, and failure can occur at any time during the preclinical study or clinical trial process. Despite promising preclinical or clinical results, any product candidate can unexpectedly fail at any stage of preclinical or clinical development. The historical failure rate for product candidates in our industry is high.</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1" w:name="page52"/>
    <w:bookmarkEnd w:id="51"/>
    <w:p>
      <w:pPr>
        <w:ind w:firstLine="589"/>
        <w:spacing w:after="0" w:line="270" w:lineRule="auto"/>
        <w:rPr>
          <w:sz w:val="20"/>
          <w:szCs w:val="20"/>
          <w:color w:val="auto"/>
        </w:rPr>
      </w:pPr>
      <w:r>
        <w:rPr>
          <w:rFonts w:ascii="Arial" w:cs="Arial" w:eastAsia="Arial" w:hAnsi="Arial"/>
          <w:sz w:val="16"/>
          <w:szCs w:val="16"/>
          <w:color w:val="auto"/>
        </w:rPr>
        <w:t xml:space="preserve">The results from clinical trials or preclinical studies of a product candidate may not predict the results of later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In particular, while vonoprazan has been studied in an extensive clinical program by Takeda, including 19 Phase 3 clinical trials, we do not know how vonoprazan will perform in future clinical trials, including as a result of differences between the clinical trials conducted to date by Takeda or other third parties and our Phase 3 clinical trial designs. These differences include, among other things: including higher doses of antibiotics and longer duration of treatment and inclusion of a dual therapy arm in our Phase 3 clinical trial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and conducting a single Phase 3 clinical trial for both the healing and maintenance of erosive esophagitis, rather than two separate trials. Further, the large majority of the clinical development of vonoprazan was conducted in Asian subjects, who naturally have differences in height, weight, drug metabolism, and potentially, acid-secretory capacity from Western populations. Although there are data across two Phase 1 clinical trials in healthy volunteers showing that the vonoprazan pharmacokinetic and pharmacodynamic profile is similar in Japanese and non-Japanese subjects, our clinical trials of vonoprazan in a broader population comprised of patients in the United States and Europe may not yield the same results as prior clinical trials. Additionally, Western patients may be more likely to deviate from clinical trial protocols or drop out of clinical trials than Japanese patients, which may negatively impact the results of our clinical trials. Further, in our Phase 3 clinical trial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the vonoprazan dual therapy arm will not be double-blinded because patients in this arm will be administered amoxicillin three times daily, versus twice daily for the triple therapy regimens. Both triple therapy regimens will be double-blinded. The inability to double-blind the dual therapy arm may impact the results of this trial and how regulatory agencies or healthcare payors interpret such results. For example, the EMA has noted that it expects additional analyses of treatment compliance and drop-out rates in the dual therapy arm because it will not be double-blinded.</w:t>
      </w:r>
    </w:p>
    <w:p>
      <w:pPr>
        <w:spacing w:after="0" w:line="156" w:lineRule="exact"/>
        <w:rPr>
          <w:sz w:val="20"/>
          <w:szCs w:val="20"/>
          <w:color w:val="auto"/>
        </w:rPr>
      </w:pPr>
    </w:p>
    <w:p>
      <w:pPr>
        <w:ind w:right="300" w:firstLine="589"/>
        <w:spacing w:after="0" w:line="265" w:lineRule="auto"/>
        <w:rPr>
          <w:sz w:val="20"/>
          <w:szCs w:val="20"/>
          <w:color w:val="auto"/>
        </w:rPr>
      </w:pPr>
      <w:r>
        <w:rPr>
          <w:rFonts w:ascii="Arial" w:cs="Arial" w:eastAsia="Arial" w:hAnsi="Arial"/>
          <w:sz w:val="17"/>
          <w:szCs w:val="17"/>
          <w:color w:val="auto"/>
        </w:rPr>
        <w:t>A number of companies in the pharmaceutical and biotechnology industries have suffered significant setbacks in clinical development even after the product candidate achieved promising results in earlier clinical trials. The results of our trials may not be comparable to those achieved previously, whether as a result of differences in trial design, patient population or otherwise.</w:t>
      </w:r>
    </w:p>
    <w:p>
      <w:pPr>
        <w:spacing w:after="0" w:line="136" w:lineRule="exact"/>
        <w:rPr>
          <w:sz w:val="20"/>
          <w:szCs w:val="20"/>
          <w:color w:val="auto"/>
        </w:rPr>
      </w:pPr>
    </w:p>
    <w:p>
      <w:pPr>
        <w:ind w:right="140" w:firstLine="589"/>
        <w:spacing w:after="0" w:line="292" w:lineRule="auto"/>
        <w:rPr>
          <w:sz w:val="20"/>
          <w:szCs w:val="20"/>
          <w:color w:val="auto"/>
        </w:rPr>
      </w:pPr>
      <w:r>
        <w:rPr>
          <w:rFonts w:ascii="Arial" w:cs="Arial" w:eastAsia="Arial" w:hAnsi="Arial"/>
          <w:sz w:val="15"/>
          <w:szCs w:val="15"/>
          <w:color w:val="auto"/>
        </w:rPr>
        <w:t xml:space="preserve">Further, the FDA, the EMA, or other comparable foreign regulatory authorities may not view the data from clinical trials conducted by Takeda and other third parties discussed above, together with our single Phase 3 clinical trial in each of erosive esophagitis and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infection, as sufficient to support the regulatory approval of vonoprazan for the treatment of erosive esophagitis or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infection. The FDA, EMA, or other comparable foreign regulatory authorities may also disagree with the adequacy of our trial designs, including as a result of the differences between our designs and those of Takeda’s Phase 3 clinical trials discussed above. As a result, we could be required to conduct additional clinical trials prior to seeking and obtaining regulatory approval and our planned development timeline could materially change. In addition, in July 2019, we received scientific advice from the EMA on our Phase 3 clinical trial of vonoprazan in the healing and maintenance of healing of erosive esophagitis. For the healing phase of the study, the EMA recommended that we include an endoscopy to assess healing at Week 4 in addition to the planned endoscopies at Week 2 and Week 8 because the summary of product characteristics for lansoprazole suggests four weeks of treatment to assess healing in erosive esophagitis. We have decided not to incorporate this change into the study design given the additional burden on study subjects to return for a third endoscopy in an eight-week period. This decision may impact the future summary of product characteristics for vonoprazan or may cause the EMA to require us to conduct additional clinical trials for vonoprazan to support marketing approval.</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2" w:name="page53"/>
    <w:bookmarkEnd w:id="52"/>
    <w:p>
      <w:pPr>
        <w:ind w:right="80" w:firstLine="589"/>
        <w:spacing w:after="0" w:line="273" w:lineRule="auto"/>
        <w:rPr>
          <w:sz w:val="20"/>
          <w:szCs w:val="20"/>
          <w:color w:val="auto"/>
        </w:rPr>
      </w:pPr>
      <w:r>
        <w:rPr>
          <w:rFonts w:ascii="Arial" w:cs="Arial" w:eastAsia="Arial" w:hAnsi="Arial"/>
          <w:sz w:val="16"/>
          <w:szCs w:val="16"/>
          <w:color w:val="auto"/>
        </w:rPr>
        <w:t>In addition, Takeda, a third party over which we have no control, has the right to develop and commercialize vonoprazan outside of the United States, Europe, and Canada. Takeda has marketing approval for vonoprazan in certain countries in Asia and Latin America, and Takeda has ongoing clinical trials of vonoprazan in certain indications that we are also pursuing. If such ongoing trials fail to meet their primary endpoints, have serious adverse events or encounter other problems, the development potential of vonoprazan could be materially and adversely affected. In addition, if serious adverse events or other problems occur with patients using vonoprazan marketed outside of our licensed territories, or if the results of ongoing or future clinical trials of vonoprazan conducted by Takeda or others generate negative results or results that conflict with the results of our clinical trials, the FDA, EMA, or other regulatory authorities may delay, limit, or deny approval of vonoprazan, require us to conduct additional clinical trials as a condition to marketing approval, or withdraw their approval of vonoprazan or otherwise restrict our ability to market and sell vonoprazan, if approved. In addition, treating physicians may be less willing to prescribe vonoprazan due to concerns over such trial results or adverse events, which would limit our ability to commercialize vonoprazan.</w:t>
      </w:r>
    </w:p>
    <w:p>
      <w:pPr>
        <w:spacing w:after="0" w:line="147" w:lineRule="exact"/>
        <w:rPr>
          <w:sz w:val="20"/>
          <w:szCs w:val="20"/>
          <w:color w:val="auto"/>
        </w:rPr>
      </w:pPr>
    </w:p>
    <w:p>
      <w:pPr>
        <w:ind w:right="160" w:firstLine="589"/>
        <w:spacing w:after="0" w:line="265" w:lineRule="auto"/>
        <w:rPr>
          <w:sz w:val="20"/>
          <w:szCs w:val="20"/>
          <w:color w:val="auto"/>
        </w:rPr>
      </w:pPr>
      <w:r>
        <w:rPr>
          <w:rFonts w:ascii="Arial" w:cs="Arial" w:eastAsia="Arial" w:hAnsi="Arial"/>
          <w:sz w:val="17"/>
          <w:szCs w:val="17"/>
          <w:color w:val="auto"/>
        </w:rPr>
        <w:t>For the foregoing reasons, our ongoing clinical trials may not be successful. Any safety concerns observed in any one of our clinical trials in our targeted indications could limit the prospects for regulatory approval of vonoprazan or any future product candidates in those and other indications, which could have a material adverse effect on our business, financial condition and results of operations.</w:t>
      </w:r>
    </w:p>
    <w:p>
      <w:pPr>
        <w:spacing w:after="0" w:line="136"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termination or suspension, of our clinical trials could result in increased costs to us, delay or limit our ability to generate revenue and adversely affect our commercial prospects.</w:t>
      </w:r>
    </w:p>
    <w:p>
      <w:pPr>
        <w:spacing w:after="0" w:line="125" w:lineRule="exact"/>
        <w:rPr>
          <w:sz w:val="20"/>
          <w:szCs w:val="20"/>
          <w:color w:val="auto"/>
        </w:rPr>
      </w:pPr>
    </w:p>
    <w:p>
      <w:pPr>
        <w:ind w:right="20" w:firstLine="589"/>
        <w:spacing w:after="0" w:line="257" w:lineRule="auto"/>
        <w:rPr>
          <w:sz w:val="20"/>
          <w:szCs w:val="20"/>
          <w:color w:val="auto"/>
        </w:rPr>
      </w:pPr>
      <w:r>
        <w:rPr>
          <w:rFonts w:ascii="Arial" w:cs="Arial" w:eastAsia="Arial" w:hAnsi="Arial"/>
          <w:sz w:val="17"/>
          <w:szCs w:val="17"/>
          <w:color w:val="auto"/>
        </w:rPr>
        <w:t xml:space="preserve">Before obtaining marketing approval from regulatory authorities for the sale of vonoprazan or any future product candidates, we must conduct extensive clinical trials to demonstrate the safety and efficacy of vonoprazan or any future product candidates in humans. In August 2019, we submitted three separate INDs to the FDA for vonoprazan: one for erosive esophagitis; a second for dual therapy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and a third for triple therapy treatment of </w:t>
      </w:r>
      <w:r>
        <w:rPr>
          <w:rFonts w:ascii="Arial" w:cs="Arial" w:eastAsia="Arial" w:hAnsi="Arial"/>
          <w:sz w:val="17"/>
          <w:szCs w:val="17"/>
          <w:i w:val="1"/>
          <w:iCs w:val="1"/>
          <w:color w:val="auto"/>
        </w:rPr>
        <w: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pylori </w:t>
      </w:r>
      <w:r>
        <w:rPr>
          <w:rFonts w:ascii="Arial" w:cs="Arial" w:eastAsia="Arial" w:hAnsi="Arial"/>
          <w:sz w:val="17"/>
          <w:szCs w:val="17"/>
          <w:color w:val="auto"/>
        </w:rPr>
        <w:t>infection. These three INDs were accepted by the FDA in September 2019. We initiated two pivotal Phase 3 clinical trials in the fourth quarter of 2019 for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vonoprazan: one for the treatment of erosive esophagitis and a second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and completed enrollment of those trials in November 2020 and January 2021, respectively.</w:t>
      </w:r>
    </w:p>
    <w:p>
      <w:pPr>
        <w:spacing w:after="0" w:line="157" w:lineRule="exact"/>
        <w:rPr>
          <w:sz w:val="20"/>
          <w:szCs w:val="20"/>
          <w:color w:val="auto"/>
        </w:rPr>
      </w:pPr>
    </w:p>
    <w:p>
      <w:pPr>
        <w:ind w:firstLine="589"/>
        <w:spacing w:after="0" w:line="316" w:lineRule="auto"/>
        <w:rPr>
          <w:sz w:val="20"/>
          <w:szCs w:val="20"/>
          <w:color w:val="auto"/>
        </w:rPr>
      </w:pPr>
      <w:r>
        <w:rPr>
          <w:rFonts w:ascii="Arial" w:cs="Arial" w:eastAsia="Arial" w:hAnsi="Arial"/>
          <w:sz w:val="15"/>
          <w:szCs w:val="15"/>
          <w:color w:val="auto"/>
        </w:rPr>
        <w:t>We will have to submit the results of preclinical studies to the FDA along with other information, including information about product candidate chemistry, manufacturing and controls and our proposed clinical trial protocol, as part of an IND for any future product candidates that we advance to clinical development, and we may also be required to submit regulatory filings to foreign regulatory authorities to the extent we initiate clinical trials outside of the United States.</w:t>
      </w:r>
    </w:p>
    <w:p>
      <w:pPr>
        <w:spacing w:after="0" w:line="102" w:lineRule="exact"/>
        <w:rPr>
          <w:sz w:val="20"/>
          <w:szCs w:val="20"/>
          <w:color w:val="auto"/>
        </w:rPr>
      </w:pPr>
    </w:p>
    <w:p>
      <w:pPr>
        <w:ind w:right="160" w:firstLine="589"/>
        <w:spacing w:after="0" w:line="278" w:lineRule="auto"/>
        <w:rPr>
          <w:sz w:val="20"/>
          <w:szCs w:val="20"/>
          <w:color w:val="auto"/>
        </w:rPr>
      </w:pPr>
      <w:r>
        <w:rPr>
          <w:rFonts w:ascii="Arial" w:cs="Arial" w:eastAsia="Arial" w:hAnsi="Arial"/>
          <w:sz w:val="17"/>
          <w:szCs w:val="17"/>
          <w:color w:val="auto"/>
        </w:rPr>
        <w:t>We do not know whether our ongoing trials will be completed on schedule, if at all, or if any future clinical trials will begin on time. The commencement and completion of clinical trials can be delayed for a number of reasons, including delays related to:</w:t>
      </w:r>
    </w:p>
    <w:p>
      <w:pPr>
        <w:spacing w:after="0" w:line="125" w:lineRule="exact"/>
        <w:rPr>
          <w:sz w:val="20"/>
          <w:szCs w:val="20"/>
          <w:color w:val="auto"/>
        </w:rPr>
      </w:pPr>
    </w:p>
    <w:p>
      <w:pPr>
        <w:ind w:left="1000" w:right="540" w:hanging="419"/>
        <w:spacing w:after="0" w:line="278"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EMA or comparable foreign regulatory authorities disagreeing as to the design or implementation of our clinical trials and reaching consensus among the FDA and EMA over the design of the same clinical trial;</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failure or delay in obtaining regulatory authorizations to commence a trial;</w:t>
      </w:r>
    </w:p>
    <w:p>
      <w:pPr>
        <w:spacing w:after="0" w:line="177" w:lineRule="exact"/>
        <w:rPr>
          <w:rFonts w:ascii="Arial" w:cs="Arial" w:eastAsia="Arial" w:hAnsi="Arial"/>
          <w:sz w:val="17"/>
          <w:szCs w:val="17"/>
          <w:color w:val="auto"/>
        </w:rPr>
      </w:pPr>
    </w:p>
    <w:p>
      <w:pPr>
        <w:ind w:left="1000" w:hanging="419"/>
        <w:spacing w:after="0" w:line="278"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failure or delay in reaching an agreement with contract research organizations, or CROs, and clinical trial sites, the terms of which can be subject to extensive negotiation and may vary significantly among different CROs and trial sites;</w:t>
      </w:r>
    </w:p>
    <w:p>
      <w:pPr>
        <w:spacing w:after="0" w:line="125" w:lineRule="exact"/>
        <w:rPr>
          <w:rFonts w:ascii="Arial" w:cs="Arial" w:eastAsia="Arial" w:hAnsi="Arial"/>
          <w:sz w:val="17"/>
          <w:szCs w:val="17"/>
          <w:color w:val="auto"/>
        </w:rPr>
      </w:pPr>
    </w:p>
    <w:p>
      <w:pPr>
        <w:ind w:left="1000" w:right="440" w:hanging="419"/>
        <w:spacing w:after="0" w:line="278"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institutional review boards, or IRBs, refusing to approve, suspending or terminating the trial at an investigational site, precluding enrollment of additional subjects, or withdrawing their approval of the trial;</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changes to clinical trial protocols;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3" w:name="page54"/>
    <w:bookmarkEnd w:id="53"/>
    <w:p>
      <w:pPr>
        <w:ind w:left="1000" w:hanging="419"/>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clinical sites deviating from trial protocols or dropping out of a trial;</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manufacturing or obtaining sufficient quantities of vonoprazan and any future product candidates;</w:t>
      </w:r>
    </w:p>
    <w:p>
      <w:pPr>
        <w:spacing w:after="0" w:line="177" w:lineRule="exact"/>
        <w:rPr>
          <w:rFonts w:ascii="Arial" w:cs="Arial" w:eastAsia="Arial" w:hAnsi="Arial"/>
          <w:sz w:val="17"/>
          <w:szCs w:val="17"/>
          <w:color w:val="auto"/>
        </w:rPr>
      </w:pPr>
    </w:p>
    <w:p>
      <w:pPr>
        <w:ind w:left="1000" w:right="120" w:hanging="419"/>
        <w:spacing w:after="0" w:line="265"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inability to obtain and deliver sufficient quantities of vonoprazan and any future product candidates, or of lansoprazole, which is being used in both of our Phase 3 clinical trials, and/or antibiotics, including amoxicillin and clarithromycin, which are being used in our Phase 3 clinical trial of vonoprazan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to clinical sites;</w:t>
      </w:r>
    </w:p>
    <w:p>
      <w:pPr>
        <w:spacing w:after="0" w:line="136" w:lineRule="exact"/>
        <w:rPr>
          <w:rFonts w:ascii="Arial" w:cs="Arial" w:eastAsia="Arial" w:hAnsi="Arial"/>
          <w:sz w:val="17"/>
          <w:szCs w:val="17"/>
          <w:color w:val="auto"/>
        </w:rPr>
      </w:pPr>
    </w:p>
    <w:p>
      <w:pPr>
        <w:ind w:left="1000" w:hanging="419"/>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subjects failing to enroll or remain in our trials at the rate we expect, or failing to return for post- treatment follow-up;</w:t>
      </w:r>
    </w:p>
    <w:p>
      <w:pPr>
        <w:spacing w:after="0" w:line="177" w:lineRule="exact"/>
        <w:rPr>
          <w:rFonts w:ascii="Arial" w:cs="Arial" w:eastAsia="Arial" w:hAnsi="Arial"/>
          <w:sz w:val="17"/>
          <w:szCs w:val="17"/>
          <w:color w:val="auto"/>
        </w:rPr>
      </w:pPr>
    </w:p>
    <w:p>
      <w:pPr>
        <w:ind w:left="1000" w:right="680" w:hanging="419"/>
        <w:spacing w:after="0" w:line="278"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subjects choosing an alternative treatment for the indication for which we are developing vonoprazan and any future product candidates, or participating in competing clinical trials;</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lack of adequate funding to continue the clinical trial;</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subjects experiencing severe or unexpected drug-related adverse effects;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occurrence of serious adverse events in trials of the same class of agents conducted by other companies;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selection of clinical endpoints that require prolonged periods of clinical observation or analysis of the resulting data;</w:t>
      </w:r>
    </w:p>
    <w:p>
      <w:pPr>
        <w:spacing w:after="0" w:line="177" w:lineRule="exact"/>
        <w:rPr>
          <w:rFonts w:ascii="Arial" w:cs="Arial" w:eastAsia="Arial" w:hAnsi="Arial"/>
          <w:sz w:val="17"/>
          <w:szCs w:val="17"/>
          <w:color w:val="auto"/>
        </w:rPr>
      </w:pPr>
    </w:p>
    <w:p>
      <w:pPr>
        <w:ind w:left="1000" w:right="180" w:hanging="419"/>
        <w:spacing w:after="0" w:line="289"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facility manufacturing vonoprazan or any future product candidates or any of their components being ordered by the FDA or comparable foreign regulatory authorities to temporarily or permanently shut down due to violations of current good manufacturing, or cGMP, regulations or other applicable requirements, or infections or cross-contaminations of product candidates in the manufacturing process;</w:t>
      </w:r>
    </w:p>
    <w:p>
      <w:pPr>
        <w:spacing w:after="0" w:line="119" w:lineRule="exact"/>
        <w:rPr>
          <w:rFonts w:ascii="Arial" w:cs="Arial" w:eastAsia="Arial" w:hAnsi="Arial"/>
          <w:sz w:val="16"/>
          <w:szCs w:val="16"/>
          <w:color w:val="auto"/>
        </w:rPr>
      </w:pPr>
    </w:p>
    <w:p>
      <w:pPr>
        <w:ind w:left="1000" w:hanging="419"/>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changes to our manufacturing process that may be necessary or desired;</w:t>
      </w:r>
    </w:p>
    <w:p>
      <w:pPr>
        <w:spacing w:after="0" w:line="177" w:lineRule="exact"/>
        <w:rPr>
          <w:rFonts w:ascii="Arial" w:cs="Arial" w:eastAsia="Arial" w:hAnsi="Arial"/>
          <w:sz w:val="17"/>
          <w:szCs w:val="17"/>
          <w:color w:val="auto"/>
        </w:rPr>
      </w:pPr>
    </w:p>
    <w:p>
      <w:pPr>
        <w:ind w:left="1000" w:right="480" w:hanging="419"/>
        <w:spacing w:after="0" w:line="310" w:lineRule="auto"/>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102" w:lineRule="exact"/>
        <w:rPr>
          <w:rFonts w:ascii="Arial" w:cs="Arial" w:eastAsia="Arial" w:hAnsi="Arial"/>
          <w:sz w:val="16"/>
          <w:szCs w:val="16"/>
          <w:color w:val="auto"/>
        </w:rPr>
      </w:pPr>
    </w:p>
    <w:p>
      <w:pPr>
        <w:ind w:left="1000" w:hanging="419"/>
        <w:spacing w:after="0"/>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third-party contractors not performing data collection or analysis in a timely or accurate manner; or</w:t>
      </w:r>
    </w:p>
    <w:p>
      <w:pPr>
        <w:spacing w:after="0" w:line="177" w:lineRule="exact"/>
        <w:rPr>
          <w:rFonts w:ascii="Arial" w:cs="Arial" w:eastAsia="Arial" w:hAnsi="Arial"/>
          <w:sz w:val="17"/>
          <w:szCs w:val="17"/>
          <w:color w:val="auto"/>
        </w:rPr>
      </w:pPr>
    </w:p>
    <w:p>
      <w:pPr>
        <w:ind w:left="1000" w:right="260" w:hanging="419"/>
        <w:spacing w:after="0" w:line="265"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36" w:lineRule="exact"/>
        <w:rPr>
          <w:sz w:val="20"/>
          <w:szCs w:val="20"/>
          <w:color w:val="auto"/>
        </w:rPr>
      </w:pPr>
    </w:p>
    <w:p>
      <w:pPr>
        <w:ind w:firstLine="589"/>
        <w:spacing w:after="0" w:line="273"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trials are being conducted or by the FDA or comparable foreign regulatory authorities. For example, in March 2020, due to global efforts to combat the COVID-19 pandemic, we announced a temporary pause in randomization of new patients in our Phase 3 trials and did not recommence randomizations for approximately three months. The FDA or comparable foreign regulatory authorities may impose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4" w:name="page55"/>
    <w:bookmarkEnd w:id="54"/>
    <w:p>
      <w:pPr>
        <w:ind w:firstLine="589"/>
        <w:spacing w:after="0" w:line="261" w:lineRule="auto"/>
        <w:rPr>
          <w:sz w:val="20"/>
          <w:szCs w:val="20"/>
          <w:color w:val="auto"/>
        </w:rPr>
      </w:pPr>
      <w:r>
        <w:rPr>
          <w:rFonts w:ascii="Arial" w:cs="Arial" w:eastAsia="Arial" w:hAnsi="Arial"/>
          <w:sz w:val="17"/>
          <w:szCs w:val="17"/>
          <w:color w:val="auto"/>
        </w:rPr>
        <w:t>Further, conducting clinical trials in foreign countries, as we are doing for vonoprazan and may do for any future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52" w:lineRule="exact"/>
        <w:rPr>
          <w:sz w:val="20"/>
          <w:szCs w:val="20"/>
          <w:color w:val="auto"/>
        </w:rPr>
      </w:pPr>
    </w:p>
    <w:p>
      <w:pPr>
        <w:ind w:firstLine="589"/>
        <w:spacing w:after="0" w:line="275" w:lineRule="auto"/>
        <w:rPr>
          <w:sz w:val="20"/>
          <w:szCs w:val="20"/>
          <w:color w:val="auto"/>
        </w:rPr>
      </w:pPr>
      <w:r>
        <w:rPr>
          <w:rFonts w:ascii="Arial" w:cs="Arial" w:eastAsia="Arial" w:hAnsi="Arial"/>
          <w:sz w:val="16"/>
          <w:szCs w:val="16"/>
          <w:color w:val="auto"/>
        </w:rPr>
        <w:t>Moreover, principal investigators for our clinical trials currently serve and may continue to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clinical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vonoprazan or any future product candidates.</w:t>
      </w:r>
    </w:p>
    <w:p>
      <w:pPr>
        <w:spacing w:after="0" w:line="130" w:lineRule="exact"/>
        <w:rPr>
          <w:sz w:val="20"/>
          <w:szCs w:val="20"/>
          <w:color w:val="auto"/>
        </w:rPr>
      </w:pPr>
    </w:p>
    <w:p>
      <w:pPr>
        <w:ind w:firstLine="589"/>
        <w:spacing w:after="0" w:line="261" w:lineRule="auto"/>
        <w:rPr>
          <w:sz w:val="20"/>
          <w:szCs w:val="20"/>
          <w:color w:val="auto"/>
        </w:rPr>
      </w:pPr>
      <w:r>
        <w:rPr>
          <w:rFonts w:ascii="Arial" w:cs="Arial" w:eastAsia="Arial" w:hAnsi="Arial"/>
          <w:sz w:val="17"/>
          <w:szCs w:val="17"/>
          <w:color w:val="auto"/>
        </w:rPr>
        <w:t>If we experience delays in the completion of, or termination of, any clinical trial of vonoprazan or any future product candidates, the commercial prospects of vonoprazan and any future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39" w:lineRule="exact"/>
        <w:rPr>
          <w:sz w:val="20"/>
          <w:szCs w:val="20"/>
          <w:color w:val="auto"/>
        </w:rPr>
      </w:pPr>
    </w:p>
    <w:p>
      <w:pPr>
        <w:ind w:right="120" w:firstLine="589"/>
        <w:spacing w:after="0" w:line="298" w:lineRule="auto"/>
        <w:rPr>
          <w:sz w:val="20"/>
          <w:szCs w:val="20"/>
          <w:color w:val="auto"/>
        </w:rPr>
      </w:pPr>
      <w:r>
        <w:rPr>
          <w:rFonts w:ascii="Arial" w:cs="Arial" w:eastAsia="Arial" w:hAnsi="Arial"/>
          <w:sz w:val="15"/>
          <w:szCs w:val="15"/>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vonoprazan or any future product candidates, in which case we may need to conduct additional preclinical studies to bridge our modified product candidates to earlier versions. Any delays to our clinical trials that occur as a result could shorten any period during which we may have the exclusive right to commercialize vonoprazan or any future product candidates and our competitors may be able to bring products to market before we do, and the commercial viability of vonoprazan and any future product candidates could be significantly reduced. Any of these occurrences may harm our business, financial condition, and prospects significantly.</w:t>
      </w:r>
    </w:p>
    <w:p>
      <w:pPr>
        <w:spacing w:after="0" w:line="128" w:lineRule="exact"/>
        <w:rPr>
          <w:sz w:val="20"/>
          <w:szCs w:val="20"/>
          <w:color w:val="auto"/>
        </w:rPr>
      </w:pPr>
    </w:p>
    <w:p>
      <w:pPr>
        <w:ind w:right="700" w:firstLine="589"/>
        <w:spacing w:after="0" w:line="278" w:lineRule="auto"/>
        <w:rPr>
          <w:sz w:val="20"/>
          <w:szCs w:val="20"/>
          <w:color w:val="auto"/>
        </w:rPr>
      </w:pPr>
      <w:r>
        <w:rPr>
          <w:rFonts w:ascii="Arial" w:cs="Arial" w:eastAsia="Arial" w:hAnsi="Arial"/>
          <w:sz w:val="17"/>
          <w:szCs w:val="17"/>
          <w:b w:val="1"/>
          <w:bCs w:val="1"/>
          <w:i w:val="1"/>
          <w:iCs w:val="1"/>
          <w:color w:val="auto"/>
        </w:rPr>
        <w:t>We may find it difficult to enroll patients in our clinical trials. If we encounter difficulties enrolling patients in our clinical trials, our clinical development activities could be delayed or otherwise adversely affected.</w:t>
      </w:r>
    </w:p>
    <w:p>
      <w:pPr>
        <w:spacing w:after="0" w:line="125" w:lineRule="exact"/>
        <w:rPr>
          <w:sz w:val="20"/>
          <w:szCs w:val="20"/>
          <w:color w:val="auto"/>
        </w:rPr>
      </w:pPr>
    </w:p>
    <w:p>
      <w:pPr>
        <w:ind w:right="20" w:firstLine="589"/>
        <w:spacing w:after="0" w:line="292" w:lineRule="auto"/>
        <w:rPr>
          <w:sz w:val="20"/>
          <w:szCs w:val="20"/>
          <w:color w:val="auto"/>
        </w:rPr>
      </w:pPr>
      <w:r>
        <w:rPr>
          <w:rFonts w:ascii="Arial" w:cs="Arial" w:eastAsia="Arial" w:hAnsi="Arial"/>
          <w:sz w:val="15"/>
          <w:szCs w:val="15"/>
          <w:color w:val="auto"/>
        </w:rPr>
        <w:t>We may not be able to initiate or continue clinical trials for vonoprazan or any future product candidates if we are unable to identify and enroll a sufficient number of eligible patients to participate in these trials as required by the FDA or similar regulatory authorities outside the United States. Subject enrollment, a significant factor in the timing of clinical trials, is affected by many factors including the size and nature of the patient population, the proximity of patients to clinical sites, the eligibility and exclusion criteria for the trial, the design of the clinical trial, the risk that enrolled patients will not complete a clinical trial, our ability to recruit clinical trial investigators with the appropriate competencies and experience, competing clinical trials and clinicians’ and patients’ perceptions as to the potential advantages and risks of the product candidate being studied in relation to other available therapies, including any new drugs that may be approved for the indications we are investigating as well as any drugs under development. We will be required to identify and enroll a sufficient number of patients for each of our clinical trials. Potential patients for any planned clinical trials may not be adequately diagnosed or identified with the diseases which we are targeting or may not meet the entry criteria for such trials. We also may encounter difficulties in identifying and enrolling patients with a stage of disease appropriate for our clinical trials and monitoring such patients adequately during and after treatment. We may not be able to initiate or continue clinical trials if we are unable to locate a sufficient number of eligible patients to participate in the clinical trials required by the FDA or comparable foreign regulatory authorities.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55" w:name="page56"/>
    <w:bookmarkEnd w:id="55"/>
    <w:p>
      <w:pPr>
        <w:ind w:right="20" w:firstLine="589"/>
        <w:spacing w:after="0" w:line="256" w:lineRule="auto"/>
        <w:rPr>
          <w:sz w:val="20"/>
          <w:szCs w:val="20"/>
          <w:color w:val="auto"/>
        </w:rPr>
      </w:pPr>
      <w:r>
        <w:rPr>
          <w:rFonts w:ascii="Arial" w:cs="Arial" w:eastAsia="Arial" w:hAnsi="Arial"/>
          <w:sz w:val="17"/>
          <w:szCs w:val="17"/>
          <w:color w:val="auto"/>
        </w:rPr>
        <w:t>The timing of our clinical trials depends, in part, on the speed at which we can recruit patients to participate in our trials, as well as completion of required follow-up periods. The eligibility criteria of our clinical trials further limits the pool of available trial participants. If patients are unwilling to participate in our trials for any reason, including the existence of concurrent clinical trials for similar patient or the availability of approved therapies, or we otherwise have difficulty enrolling a sufficient number of patients, the timeline for recruiting patients, conducting trials and obtaining regulatory approval of vonoprazan and any future product candidates may be delayed. Further, public health emergencies, such as the COVID-19 pandemic, which previously caused us to temporarily pause randomization of new patients in our Phase 3 trials, have and may continue to negatively affect site activation, as well as patient enrollment and retention. Our inability to enroll a sufficient number of patients for any of our future clinical trials would result in significant delays or may require us to abandon one or more clinical trials altogether.</w:t>
      </w:r>
    </w:p>
    <w:p>
      <w:pPr>
        <w:spacing w:after="0" w:line="156" w:lineRule="exact"/>
        <w:rPr>
          <w:sz w:val="20"/>
          <w:szCs w:val="20"/>
          <w:color w:val="auto"/>
        </w:rPr>
      </w:pPr>
    </w:p>
    <w:p>
      <w:pPr>
        <w:ind w:right="20" w:firstLine="589"/>
        <w:spacing w:after="0" w:line="278" w:lineRule="auto"/>
        <w:rPr>
          <w:sz w:val="20"/>
          <w:szCs w:val="20"/>
          <w:color w:val="auto"/>
        </w:rPr>
      </w:pPr>
      <w:r>
        <w:rPr>
          <w:rFonts w:ascii="Arial" w:cs="Arial" w:eastAsia="Arial" w:hAnsi="Arial"/>
          <w:sz w:val="17"/>
          <w:szCs w:val="17"/>
          <w:color w:val="auto"/>
        </w:rPr>
        <w:t>Our assumptions used in determining expected clinical trial timelines may not be correct, and we may experience delays in enrollment, which would result in the delay of completion of such trials beyond our expected timelines.</w:t>
      </w:r>
    </w:p>
    <w:p>
      <w:pPr>
        <w:spacing w:after="0" w:line="125" w:lineRule="exact"/>
        <w:rPr>
          <w:sz w:val="20"/>
          <w:szCs w:val="20"/>
          <w:color w:val="auto"/>
        </w:rPr>
      </w:pPr>
    </w:p>
    <w:p>
      <w:pPr>
        <w:ind w:right="140"/>
        <w:spacing w:after="0" w:line="316" w:lineRule="auto"/>
        <w:rPr>
          <w:sz w:val="20"/>
          <w:szCs w:val="20"/>
          <w:color w:val="auto"/>
        </w:rPr>
      </w:pPr>
      <w:r>
        <w:rPr>
          <w:rFonts w:ascii="Arial" w:cs="Arial" w:eastAsia="Arial" w:hAnsi="Arial"/>
          <w:sz w:val="15"/>
          <w:szCs w:val="15"/>
          <w:b w:val="1"/>
          <w:bCs w:val="1"/>
          <w:i w:val="1"/>
          <w:iCs w:val="1"/>
          <w:color w:val="auto"/>
        </w:rPr>
        <w:t>Use of vonoprazan or any future product candidates could be associated with side effects, adverse events or other properties or safety risks, which could delay or preclude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spacing w:after="0" w:line="102" w:lineRule="exact"/>
        <w:rPr>
          <w:sz w:val="20"/>
          <w:szCs w:val="20"/>
          <w:color w:val="auto"/>
        </w:rPr>
      </w:pPr>
    </w:p>
    <w:p>
      <w:pPr>
        <w:ind w:right="100" w:firstLine="589"/>
        <w:spacing w:after="0" w:line="276" w:lineRule="auto"/>
        <w:rPr>
          <w:sz w:val="20"/>
          <w:szCs w:val="20"/>
          <w:color w:val="auto"/>
        </w:rPr>
      </w:pPr>
      <w:r>
        <w:rPr>
          <w:rFonts w:ascii="Arial" w:cs="Arial" w:eastAsia="Arial" w:hAnsi="Arial"/>
          <w:sz w:val="16"/>
          <w:szCs w:val="16"/>
          <w:color w:val="auto"/>
        </w:rPr>
        <w:t>As is the case with pharmaceuticals generally, it is likely that there may be side effects and adverse events associated with vonoprazan’s or any future product candidates’ use. Results of our clinical trials could reveal a high and unacceptable severity and prevalence of side effects or unexpected characteristics. Undesirable side effects caused by vonoprazan and any future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44" w:lineRule="exact"/>
        <w:rPr>
          <w:sz w:val="20"/>
          <w:szCs w:val="20"/>
          <w:color w:val="auto"/>
        </w:rPr>
      </w:pPr>
    </w:p>
    <w:p>
      <w:pPr>
        <w:jc w:val="both"/>
        <w:ind w:right="20" w:firstLine="589"/>
        <w:spacing w:after="0" w:line="282" w:lineRule="auto"/>
        <w:rPr>
          <w:sz w:val="20"/>
          <w:szCs w:val="20"/>
          <w:color w:val="auto"/>
        </w:rPr>
      </w:pPr>
      <w:r>
        <w:rPr>
          <w:rFonts w:ascii="Arial" w:cs="Arial" w:eastAsia="Arial" w:hAnsi="Arial"/>
          <w:sz w:val="16"/>
          <w:szCs w:val="16"/>
          <w:color w:val="auto"/>
        </w:rPr>
        <w:t>Moreover, if vonoprazan or any other future product candidates are associated with undesirable side effects in clinical trials or have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We may also be required to modify our study plans based on findings in our clinical trials.</w:t>
      </w:r>
    </w:p>
    <w:p>
      <w:pPr>
        <w:spacing w:after="0" w:line="125" w:lineRule="exact"/>
        <w:rPr>
          <w:sz w:val="20"/>
          <w:szCs w:val="20"/>
          <w:color w:val="auto"/>
        </w:rPr>
      </w:pPr>
    </w:p>
    <w:p>
      <w:pPr>
        <w:ind w:firstLine="589"/>
        <w:spacing w:after="0" w:line="298" w:lineRule="auto"/>
        <w:rPr>
          <w:sz w:val="20"/>
          <w:szCs w:val="20"/>
          <w:color w:val="auto"/>
        </w:rPr>
      </w:pPr>
      <w:r>
        <w:rPr>
          <w:rFonts w:ascii="Arial" w:cs="Arial" w:eastAsia="Arial" w:hAnsi="Arial"/>
          <w:sz w:val="15"/>
          <w:szCs w:val="15"/>
          <w:color w:val="auto"/>
        </w:rPr>
        <w:t xml:space="preserve">As of December 2020, more than 7,000 subjects have been exposed to vonoprazan in completed and ongoing Phase 1 to 3 clinical trials. The doses studied have ranged from 1 to 120 mg with durations up to one year. The most commonly reported AEs in the clinical development program for vonoprazan, as reflected in the Japanese prescribing information published by Japan’s Pharmaceutical and Medical Devices Agency, or PMDA, were diarrhea, constipation, nausea, elevated liver enzymes, rash, and eosinophilia. All such events had an incidence rate of less than 5.0% other than diarrhea in the treatment of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which had an incidence rate of 10.6% in combination with antibiotics. No dose- related increase in TEAEs or SAEs was observed. The safety profile of vonoprazan and incidence of TEAEs, drug-related TEAEs, and TEAEs leading to drug discontinuation were similar between vonoprazan and lansoprazole across studies.</w:t>
      </w:r>
    </w:p>
    <w:p>
      <w:pPr>
        <w:spacing w:after="0" w:line="115" w:lineRule="exact"/>
        <w:rPr>
          <w:sz w:val="20"/>
          <w:szCs w:val="20"/>
          <w:color w:val="auto"/>
        </w:rPr>
      </w:pPr>
    </w:p>
    <w:p>
      <w:pPr>
        <w:ind w:right="40" w:firstLine="589"/>
        <w:spacing w:after="0" w:line="256" w:lineRule="auto"/>
        <w:rPr>
          <w:sz w:val="20"/>
          <w:szCs w:val="20"/>
          <w:color w:val="auto"/>
        </w:rPr>
      </w:pPr>
      <w:r>
        <w:rPr>
          <w:rFonts w:ascii="Arial" w:cs="Arial" w:eastAsia="Arial" w:hAnsi="Arial"/>
          <w:sz w:val="17"/>
          <w:szCs w:val="17"/>
          <w:color w:val="auto"/>
        </w:rPr>
        <w:t>Certain earlier generation P-CABs previously under development by other companies may have been discontinued in part due to their hepatic safety profile. These hepatic safety concerns may be compound-specific and not generalizable to the P-CAB class. Vonoprazan has had a similar hepatic safety profile to lansoprazole across all clinical studies conducted by Takeda, in which 1.0% of subjects treated with vonoprazan 10 mg or 20 mg and 0.8% of subjects treated with lansoprazole 15 mg or 30 mg had ALT or AST elevations greater than three times the upper limit of normal or bilirubin elevations greater than two times the upper limit of normal. The most recent post-marketing safety report from December 2020 includes an estimate of over 50 million patients who have received vonoprazan in Japan and other countries in Asia since launch. Based on the post-marketing experience, the clinically significant adverse reactions section of the Japanese prescribing information for vonoprazan was updated to include shock, anaphylaxis, hepatic impairment, skin reactions such as toxic epidermal necrolysis, Steven-Johnson</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56" w:name="page57"/>
    <w:bookmarkEnd w:id="56"/>
    <w:p>
      <w:pPr>
        <w:ind w:right="60"/>
        <w:spacing w:after="0" w:line="261" w:lineRule="auto"/>
        <w:rPr>
          <w:sz w:val="20"/>
          <w:szCs w:val="20"/>
          <w:color w:val="auto"/>
        </w:rPr>
      </w:pPr>
      <w:r>
        <w:rPr>
          <w:rFonts w:ascii="Arial" w:cs="Arial" w:eastAsia="Arial" w:hAnsi="Arial"/>
          <w:sz w:val="17"/>
          <w:szCs w:val="17"/>
          <w:color w:val="auto"/>
        </w:rPr>
        <w:t>syndrome, and erythema multiforme, and events of pancytopenia, agranulocytosis, leukocytopenia, and thrombocytopenia. The incidence of these reactions was considered extremely rare (less than 1 in 100,000 patients) and a causal relationship to vonoprazan could not be ruled out. Although serious hepatic adverse events have been observed among patients exposed to vonoprazan in Japan in the post-marketing setting, these cases were typically confounded by comorbidities or other concomitant medications and are believed to be idiosyncratic reactions.</w:t>
      </w:r>
    </w:p>
    <w:p>
      <w:pPr>
        <w:spacing w:after="0" w:line="152" w:lineRule="exact"/>
        <w:rPr>
          <w:sz w:val="20"/>
          <w:szCs w:val="20"/>
          <w:color w:val="auto"/>
        </w:rPr>
      </w:pPr>
    </w:p>
    <w:p>
      <w:pPr>
        <w:ind w:right="100" w:firstLine="589"/>
        <w:spacing w:after="0" w:line="278" w:lineRule="auto"/>
        <w:rPr>
          <w:sz w:val="20"/>
          <w:szCs w:val="20"/>
          <w:color w:val="auto"/>
        </w:rPr>
      </w:pPr>
      <w:r>
        <w:rPr>
          <w:rFonts w:ascii="Arial" w:cs="Arial" w:eastAsia="Arial" w:hAnsi="Arial"/>
          <w:sz w:val="17"/>
          <w:szCs w:val="17"/>
          <w:color w:val="auto"/>
        </w:rPr>
        <w:t>The post-marketing safety data, including the December 2020 post-marketing safety report and the reported hepatic safety events, have been submitted to the PMDA. We may also observe hepatic-related events in our clinical trials.</w:t>
      </w:r>
    </w:p>
    <w:p>
      <w:pPr>
        <w:spacing w:after="0" w:line="125" w:lineRule="exact"/>
        <w:rPr>
          <w:sz w:val="20"/>
          <w:szCs w:val="20"/>
          <w:color w:val="auto"/>
        </w:rPr>
      </w:pPr>
    </w:p>
    <w:p>
      <w:pPr>
        <w:ind w:firstLine="589"/>
        <w:spacing w:after="0" w:line="276" w:lineRule="auto"/>
        <w:rPr>
          <w:sz w:val="20"/>
          <w:szCs w:val="20"/>
          <w:color w:val="auto"/>
        </w:rPr>
      </w:pPr>
      <w:r>
        <w:rPr>
          <w:rFonts w:ascii="Arial" w:cs="Arial" w:eastAsia="Arial" w:hAnsi="Arial"/>
          <w:sz w:val="16"/>
          <w:szCs w:val="16"/>
          <w:color w:val="auto"/>
        </w:rPr>
        <w:t>It is possible that as we test vonoprazan and any future product candidates in our clinical trials, or as the use of vonoprazan and any future product candidates becomes more widespread if they receive regulatory approval, illnesses, injuries, discomforts and other adverse events that were observed in earlier trials, as well as conditions that did not occur or went undetected in previous trials, will be reported by patients. If any such side effects become known later in development or upon approval, such findings may harm our business, financial condition and prospects significantly. Further, if a serious safety issue is identified in connection with use of vonoprazan commercially or in third-party clinical trials in Asia or elsewhere, such issues may adversely affect the development potential of vonoprazan or result in regulatory authorities restricting our ability to develop vonoprazan.</w:t>
      </w:r>
    </w:p>
    <w:p>
      <w:pPr>
        <w:spacing w:after="0" w:line="131" w:lineRule="exact"/>
        <w:rPr>
          <w:sz w:val="20"/>
          <w:szCs w:val="20"/>
          <w:color w:val="auto"/>
        </w:rPr>
      </w:pPr>
    </w:p>
    <w:p>
      <w:pPr>
        <w:ind w:right="160" w:firstLine="589"/>
        <w:spacing w:after="0" w:line="278" w:lineRule="auto"/>
        <w:rPr>
          <w:sz w:val="20"/>
          <w:szCs w:val="20"/>
          <w:color w:val="auto"/>
        </w:rPr>
      </w:pPr>
      <w:r>
        <w:rPr>
          <w:rFonts w:ascii="Arial" w:cs="Arial" w:eastAsia="Arial" w:hAnsi="Arial"/>
          <w:sz w:val="17"/>
          <w:szCs w:val="17"/>
          <w:color w:val="auto"/>
        </w:rPr>
        <w:t>In addition, if vonoprazan or any future product candidate receives marketing approval, and we or others later identify undesirable side effects caused by such products, a number of potentially significant negative consequences could result, including:</w:t>
      </w:r>
    </w:p>
    <w:p>
      <w:pPr>
        <w:spacing w:after="0" w:line="138" w:lineRule="exact"/>
        <w:rPr>
          <w:sz w:val="20"/>
          <w:szCs w:val="20"/>
          <w:color w:val="auto"/>
        </w:rPr>
      </w:pPr>
    </w:p>
    <w:p>
      <w:pPr>
        <w:ind w:left="1000" w:hanging="419"/>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authorities may withdraw, suspend or limit approvals of such product, or seek an injunction against its manufacturer;</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be required to recall a product or change the way such product is administered to patients;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regulatory authorities may require additional warnings on the label, such as a “black box” warning or a contraindication;</w:t>
      </w:r>
    </w:p>
    <w:p>
      <w:pPr>
        <w:spacing w:after="0" w:line="177" w:lineRule="exact"/>
        <w:rPr>
          <w:rFonts w:ascii="Arial" w:cs="Arial" w:eastAsia="Arial" w:hAnsi="Arial"/>
          <w:sz w:val="17"/>
          <w:szCs w:val="17"/>
          <w:color w:val="auto"/>
        </w:rPr>
      </w:pPr>
    </w:p>
    <w:p>
      <w:pPr>
        <w:ind w:left="1000" w:right="80" w:hanging="419"/>
        <w:spacing w:after="0" w:line="278"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be required to implement a Risk Evaluation and Mitigation Strategy, or REMS, or create a medication guide outlining the risks of such side effects for distribution to patients;</w:t>
      </w:r>
    </w:p>
    <w:p>
      <w:pPr>
        <w:spacing w:after="0" w:line="125" w:lineRule="exact"/>
        <w:rPr>
          <w:rFonts w:ascii="Arial" w:cs="Arial" w:eastAsia="Arial" w:hAnsi="Arial"/>
          <w:sz w:val="17"/>
          <w:szCs w:val="17"/>
          <w:color w:val="auto"/>
        </w:rPr>
      </w:pPr>
    </w:p>
    <w:p>
      <w:pPr>
        <w:ind w:left="1000" w:right="120" w:hanging="419"/>
        <w:spacing w:after="0" w:line="278" w:lineRule="auto"/>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could be sued and held liable for harm caused to patients;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sales of the product may decrease significantly or the product could become less competitive;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177" w:lineRule="exact"/>
        <w:rPr>
          <w:sz w:val="20"/>
          <w:szCs w:val="20"/>
          <w:color w:val="auto"/>
        </w:rPr>
      </w:pPr>
    </w:p>
    <w:p>
      <w:pPr>
        <w:ind w:right="620" w:firstLine="589"/>
        <w:spacing w:after="0" w:line="278"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and could significantly harm our business, results of operations and prospects.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57" w:name="page58"/>
    <w:bookmarkEnd w:id="57"/>
    <w:p>
      <w:pPr>
        <w:ind w:right="760"/>
        <w:spacing w:after="0" w:line="278" w:lineRule="auto"/>
        <w:rPr>
          <w:sz w:val="20"/>
          <w:szCs w:val="20"/>
          <w:color w:val="auto"/>
        </w:rPr>
      </w:pPr>
      <w:r>
        <w:rPr>
          <w:rFonts w:ascii="Arial" w:cs="Arial" w:eastAsia="Arial" w:hAnsi="Arial"/>
          <w:sz w:val="17"/>
          <w:szCs w:val="17"/>
          <w:b w:val="1"/>
          <w:bCs w:val="1"/>
          <w:i w:val="1"/>
          <w:iCs w:val="1"/>
          <w:color w:val="auto"/>
        </w:rPr>
        <w:t>As a company, we have never completed a clinical trial or submitted an NDA or comparable foreign regulatory filing, and may be unable to do so for vonoprazan or any future product candidates.</w:t>
      </w:r>
    </w:p>
    <w:p>
      <w:pPr>
        <w:spacing w:after="0" w:line="138" w:lineRule="exact"/>
        <w:rPr>
          <w:sz w:val="20"/>
          <w:szCs w:val="20"/>
          <w:color w:val="auto"/>
        </w:rPr>
      </w:pPr>
    </w:p>
    <w:p>
      <w:pPr>
        <w:ind w:firstLine="589"/>
        <w:spacing w:after="0" w:line="254" w:lineRule="auto"/>
        <w:rPr>
          <w:sz w:val="20"/>
          <w:szCs w:val="20"/>
          <w:color w:val="auto"/>
        </w:rPr>
      </w:pPr>
      <w:r>
        <w:rPr>
          <w:rFonts w:ascii="Arial" w:cs="Arial" w:eastAsia="Arial" w:hAnsi="Arial"/>
          <w:sz w:val="17"/>
          <w:szCs w:val="17"/>
          <w:color w:val="auto"/>
        </w:rPr>
        <w:t xml:space="preserve">Although we have completed enrollment of our pivotal Phase 3 clinical trials, we still need to successfully complete these clinical trials in order to obtain FDA, EMA or comparable foreign regulatory approval to market vonoprazan or any future product candidates. Carrying out late-stage clinical trials and the submission of a successful NDA is a complicated process. We commenced pivotal Phase 3 clinical trials of vonoprazan in erosive esophagitis and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in the fourth quarter of 2019 and completed enrollment in those trials in November 2020 and January 2021, respectively. As an organization, we have not yet completed any clinical trials for vonoprazan or any other product candidates and have limited experience as a company in preparing, submitting and prosecuting regulatory filings. As a company, we have not previously submitted an NDA, whether for one or multiple indications, or other comparable foreign regulatory submission for any product candidate. In addition, we have had limited interactions with the FDA and cannot be certain how many clinical trials of vonoprazan or any other product candidates will be required or how such trials should be designed. Consequently, we may be unable to successfully and efficiently execute and complete necessary clinical trials in a way that leads to regulatory submission and approval of vonoprazan or any future product candidates. We may require more time and incur greater costs than our competitors and may not succeed in obtaining regulatory approvals of product candidates that we develop. Failure to complete, or delays in, our ongoing clinical trials, could prevent us from or delay us in submitting NDAs for and commercializing vonoprazan or any future product candidates.</w:t>
      </w:r>
    </w:p>
    <w:p>
      <w:pPr>
        <w:spacing w:after="0" w:line="151" w:lineRule="exact"/>
        <w:rPr>
          <w:sz w:val="20"/>
          <w:szCs w:val="20"/>
          <w:color w:val="auto"/>
        </w:rPr>
      </w:pPr>
    </w:p>
    <w:p>
      <w:pPr>
        <w:ind w:right="160"/>
        <w:spacing w:after="0" w:line="389" w:lineRule="auto"/>
        <w:rPr>
          <w:sz w:val="20"/>
          <w:szCs w:val="20"/>
          <w:color w:val="auto"/>
        </w:rPr>
      </w:pPr>
      <w:r>
        <w:rPr>
          <w:rFonts w:ascii="Arial" w:cs="Arial" w:eastAsia="Arial" w:hAnsi="Arial"/>
          <w:sz w:val="14"/>
          <w:szCs w:val="14"/>
          <w:b w:val="1"/>
          <w:bCs w:val="1"/>
          <w:i w:val="1"/>
          <w:iCs w:val="1"/>
          <w:color w:val="auto"/>
        </w:rPr>
        <w:t>Vonoprazan and any future product candidates are subject to extensive regulation and compliance obligations, which is costly and time consuming, and such regulation may cause unanticipated delays or prevent the receipt of the required approvals to commercialize vonoprazan and any future product candidates.</w:t>
      </w:r>
    </w:p>
    <w:p>
      <w:pPr>
        <w:spacing w:after="0" w:line="56" w:lineRule="exact"/>
        <w:rPr>
          <w:sz w:val="20"/>
          <w:szCs w:val="20"/>
          <w:color w:val="auto"/>
        </w:rPr>
      </w:pPr>
    </w:p>
    <w:p>
      <w:pPr>
        <w:ind w:right="40" w:firstLine="589"/>
        <w:spacing w:after="0" w:line="272"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vonoprazan and any future product candidates are subject to extensive regulation by the FDA in the United States, the EMA in the European Union and by comparable foreign regulatory authorities in other foreign markets. In the United States, we are not permitted to market vonoprazan and any future product candidates until we receive regulatory approval from the FDA and in Europe, we are not permitted to market vonoprazan and any future product candidates until we receive regulatory approval from the EMA.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and EMA to review and approve new products can be affected by a variety of factors, including government budget and funding levels and the ability to hire and retain key personnel. In addition, approval policies or regulations may change, and the FDA and EMA have substantial discretion in the drug approval process, including the ability to delay, limit or deny approval of a product candidate for many reasons. Despite the time and expense invested in clinical development of product candidates, regulatory approval is never guaranteed.</w:t>
      </w:r>
    </w:p>
    <w:p>
      <w:pPr>
        <w:spacing w:after="0" w:line="150" w:lineRule="exact"/>
        <w:rPr>
          <w:sz w:val="20"/>
          <w:szCs w:val="20"/>
          <w:color w:val="auto"/>
        </w:rPr>
      </w:pPr>
    </w:p>
    <w:p>
      <w:pPr>
        <w:ind w:right="60" w:firstLine="589"/>
        <w:spacing w:after="0" w:line="256" w:lineRule="auto"/>
        <w:rPr>
          <w:sz w:val="20"/>
          <w:szCs w:val="20"/>
          <w:color w:val="auto"/>
        </w:rPr>
      </w:pPr>
      <w:r>
        <w:rPr>
          <w:rFonts w:ascii="Arial" w:cs="Arial" w:eastAsia="Arial" w:hAnsi="Arial"/>
          <w:sz w:val="17"/>
          <w:szCs w:val="17"/>
          <w:color w:val="auto"/>
        </w:rPr>
        <w:t>Prior to obtaining approval to commercialize a product candidate in the United States or internationally,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vonoprazan and any future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vonoprazan and any future product candidates either prior to or post- approval, or may object to elements of our clinical development program.</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FDA, EMA or other comparable foreign regulatory authorities can delay, limit or deny approval of a product candidate for many reasons, including:</w:t>
      </w:r>
    </w:p>
    <w:p>
      <w:pPr>
        <w:spacing w:after="0" w:line="189" w:lineRule="exact"/>
        <w:rPr>
          <w:sz w:val="20"/>
          <w:szCs w:val="20"/>
          <w:color w:val="auto"/>
        </w:rPr>
      </w:pPr>
    </w:p>
    <w:p>
      <w:pPr>
        <w:ind w:left="1000" w:hanging="419"/>
        <w:spacing w:after="0"/>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such authorities may disagree with the design or implementation of our clinical trials;</w:t>
      </w:r>
    </w:p>
    <w:p>
      <w:pPr>
        <w:spacing w:after="0" w:line="177" w:lineRule="exact"/>
        <w:rPr>
          <w:rFonts w:ascii="Arial" w:cs="Arial" w:eastAsia="Arial" w:hAnsi="Arial"/>
          <w:sz w:val="17"/>
          <w:szCs w:val="17"/>
          <w:color w:val="auto"/>
        </w:rPr>
      </w:pPr>
    </w:p>
    <w:p>
      <w:pPr>
        <w:ind w:left="1000" w:right="20" w:hanging="419"/>
        <w:spacing w:after="0" w:line="278"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negative or ambiguous results from our clinical trials or results may not meet the level of statistical significance required by the FDA, EMA, or other comparable foreign regulatory agencies for approval;</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58" w:name="page59"/>
    <w:bookmarkEnd w:id="58"/>
    <w:p>
      <w:pPr>
        <w:ind w:left="1000" w:right="80" w:hanging="419"/>
        <w:spacing w:after="0" w:line="27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serious and unexpected drug-related side effects may be experienced by participants in our clinical trials or in clinical trials conducted by Takeda or others outside of our licensed territories, or by patients using vonoprazan or drugs similar to vonoprazan;</w:t>
      </w:r>
    </w:p>
    <w:p>
      <w:pPr>
        <w:spacing w:after="0" w:line="125" w:lineRule="exact"/>
        <w:rPr>
          <w:rFonts w:ascii="Arial" w:cs="Arial" w:eastAsia="Arial" w:hAnsi="Arial"/>
          <w:sz w:val="17"/>
          <w:szCs w:val="17"/>
          <w:color w:val="auto"/>
        </w:rPr>
      </w:pPr>
    </w:p>
    <w:p>
      <w:pPr>
        <w:ind w:left="1000" w:right="260" w:hanging="419"/>
        <w:spacing w:after="0" w:line="27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population studied in the clinical trial may not be sufficiently broad or representative to assure safety in the full population for which we seek approval;</w:t>
      </w:r>
    </w:p>
    <w:p>
      <w:pPr>
        <w:spacing w:after="0" w:line="125" w:lineRule="exact"/>
        <w:rPr>
          <w:rFonts w:ascii="Arial" w:cs="Arial" w:eastAsia="Arial" w:hAnsi="Arial"/>
          <w:sz w:val="17"/>
          <w:szCs w:val="17"/>
          <w:color w:val="auto"/>
        </w:rPr>
      </w:pPr>
    </w:p>
    <w:p>
      <w:pPr>
        <w:ind w:left="1000" w:right="560" w:hanging="419"/>
        <w:spacing w:after="0" w:line="27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such authorities may not accept clinical data from trials which are conducted at clinical facilities or in countries where the standard of care is potentially different from that of the United States;</w:t>
      </w:r>
    </w:p>
    <w:p>
      <w:pPr>
        <w:spacing w:after="0" w:line="125" w:lineRule="exact"/>
        <w:rPr>
          <w:rFonts w:ascii="Arial" w:cs="Arial" w:eastAsia="Arial" w:hAnsi="Arial"/>
          <w:sz w:val="17"/>
          <w:szCs w:val="17"/>
          <w:color w:val="auto"/>
        </w:rPr>
      </w:pPr>
    </w:p>
    <w:p>
      <w:pPr>
        <w:ind w:left="1000" w:right="120" w:hanging="419"/>
        <w:spacing w:after="0" w:line="27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such authorities that a product candidate is safe and effective for its proposed indication and that a product candidate’s clinical and other benefits outweigh its safety risks;</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such authorities may disagree with our interpretation of data from preclinical studies or clinical trials;</w:t>
      </w:r>
    </w:p>
    <w:p>
      <w:pPr>
        <w:spacing w:after="0" w:line="177" w:lineRule="exact"/>
        <w:rPr>
          <w:rFonts w:ascii="Arial" w:cs="Arial" w:eastAsia="Arial" w:hAnsi="Arial"/>
          <w:sz w:val="17"/>
          <w:szCs w:val="17"/>
          <w:color w:val="auto"/>
        </w:rPr>
      </w:pPr>
    </w:p>
    <w:p>
      <w:pPr>
        <w:ind w:left="1000" w:hanging="419"/>
        <w:spacing w:after="0" w:line="261"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such authorities may not agree that the data collected from clinical trials of vonoprazan, including data collected from clinical trials conducted by Takeda and independent investigators outside of our licensed territories, and any future product candidates are acceptable or sufficient to support the submission of an NDA or other submission or to obtain regulatory approval, and such authorities may impose requirements for additional preclinical studies or clinical trials;</w:t>
      </w:r>
    </w:p>
    <w:p>
      <w:pPr>
        <w:spacing w:after="0" w:line="139" w:lineRule="exact"/>
        <w:rPr>
          <w:rFonts w:ascii="Arial" w:cs="Arial" w:eastAsia="Arial" w:hAnsi="Arial"/>
          <w:sz w:val="17"/>
          <w:szCs w:val="17"/>
          <w:color w:val="auto"/>
        </w:rPr>
      </w:pPr>
    </w:p>
    <w:p>
      <w:pPr>
        <w:ind w:left="1000" w:hanging="419"/>
        <w:spacing w:after="0"/>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such authorities may disagree regarding the formulation, labeling and/or the specifications of vonoprazan and any future product candidates;</w:t>
      </w:r>
    </w:p>
    <w:p>
      <w:pPr>
        <w:spacing w:after="0" w:line="188" w:lineRule="exact"/>
        <w:rPr>
          <w:rFonts w:ascii="Arial" w:cs="Arial" w:eastAsia="Arial" w:hAnsi="Arial"/>
          <w:sz w:val="16"/>
          <w:szCs w:val="16"/>
          <w:color w:val="auto"/>
        </w:rPr>
      </w:pPr>
    </w:p>
    <w:p>
      <w:pPr>
        <w:ind w:left="1000" w:right="120" w:hanging="419"/>
        <w:spacing w:after="0" w:line="27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approval may be granted only for indications that are significantly more limited than what we apply for and/or with other significant restrictions on distribution and use;</w:t>
      </w:r>
    </w:p>
    <w:p>
      <w:pPr>
        <w:spacing w:after="0" w:line="125" w:lineRule="exact"/>
        <w:rPr>
          <w:rFonts w:ascii="Arial" w:cs="Arial" w:eastAsia="Arial" w:hAnsi="Arial"/>
          <w:sz w:val="17"/>
          <w:szCs w:val="17"/>
          <w:color w:val="auto"/>
        </w:rPr>
      </w:pPr>
    </w:p>
    <w:p>
      <w:pPr>
        <w:ind w:left="1000" w:right="180" w:hanging="419"/>
        <w:spacing w:after="0" w:line="27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such authorities may find deficiencies in the manufacturing processes or facilities of Takeda, Sandoz, or any future third-party manufacturers with which we contract for clinical and commercial supplies;</w:t>
      </w:r>
    </w:p>
    <w:p>
      <w:pPr>
        <w:spacing w:after="0" w:line="125" w:lineRule="exact"/>
        <w:rPr>
          <w:rFonts w:ascii="Arial" w:cs="Arial" w:eastAsia="Arial" w:hAnsi="Arial"/>
          <w:sz w:val="17"/>
          <w:szCs w:val="17"/>
          <w:color w:val="auto"/>
        </w:rPr>
      </w:pPr>
    </w:p>
    <w:p>
      <w:pPr>
        <w:ind w:left="1000" w:right="640" w:hanging="419"/>
        <w:spacing w:after="0" w:line="27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regulations of such authorities may significantly change in a manner rendering our or any of our potential future collaborators’ clinical data insufficient for approval; or</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such authorities may not accept a submission due to, among other reasons, the content or formatting of the submission.</w:t>
      </w:r>
    </w:p>
    <w:p>
      <w:pPr>
        <w:spacing w:after="0" w:line="177" w:lineRule="exact"/>
        <w:rPr>
          <w:sz w:val="20"/>
          <w:szCs w:val="20"/>
          <w:color w:val="auto"/>
        </w:rPr>
      </w:pPr>
    </w:p>
    <w:p>
      <w:pPr>
        <w:ind w:right="60" w:firstLine="589"/>
        <w:spacing w:after="0" w:line="301" w:lineRule="auto"/>
        <w:rPr>
          <w:sz w:val="20"/>
          <w:szCs w:val="20"/>
          <w:color w:val="auto"/>
        </w:rPr>
      </w:pPr>
      <w:r>
        <w:rPr>
          <w:rFonts w:ascii="Arial" w:cs="Arial" w:eastAsia="Arial" w:hAnsi="Arial"/>
          <w:sz w:val="15"/>
          <w:szCs w:val="15"/>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pharmaceuticals may result in increased cautiousness by the FDA, EMA, and other comparable foreign regulatory authorities in reviewing new drugs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vonoprazan and any future product candidates.</w:t>
      </w:r>
    </w:p>
    <w:p>
      <w:pPr>
        <w:spacing w:after="0" w:line="126" w:lineRule="exact"/>
        <w:rPr>
          <w:sz w:val="20"/>
          <w:szCs w:val="20"/>
          <w:color w:val="auto"/>
        </w:rPr>
      </w:pPr>
    </w:p>
    <w:p>
      <w:pPr>
        <w:ind w:right="60" w:firstLine="589"/>
        <w:spacing w:after="0" w:line="261" w:lineRule="auto"/>
        <w:rPr>
          <w:sz w:val="20"/>
          <w:szCs w:val="20"/>
          <w:color w:val="auto"/>
        </w:rPr>
      </w:pPr>
      <w:r>
        <w:rPr>
          <w:rFonts w:ascii="Arial" w:cs="Arial" w:eastAsia="Arial" w:hAnsi="Arial"/>
          <w:sz w:val="17"/>
          <w:szCs w:val="17"/>
          <w:color w:val="auto"/>
        </w:rPr>
        <w:t>Of the large number of drugs in development, only a small percentage successfully complete the FDA, EMA or foreign regulatory approval processes and are commercialized. The lengthy approval process as well as the unpredictability of future clinical trial results may result in our failing to obtain regulatory approval to market vonoprazan and any future product candidates, which would significantly harm our business, financial condition, results of operations and prospects.</w:t>
      </w:r>
    </w:p>
    <w:p>
      <w:pPr>
        <w:spacing w:after="0" w:line="139" w:lineRule="exact"/>
        <w:rPr>
          <w:sz w:val="20"/>
          <w:szCs w:val="20"/>
          <w:color w:val="auto"/>
        </w:rPr>
      </w:pPr>
    </w:p>
    <w:p>
      <w:pPr>
        <w:ind w:right="100" w:firstLine="589"/>
        <w:spacing w:after="0" w:line="257" w:lineRule="auto"/>
        <w:rPr>
          <w:sz w:val="20"/>
          <w:szCs w:val="20"/>
          <w:color w:val="auto"/>
        </w:rPr>
      </w:pPr>
      <w:r>
        <w:rPr>
          <w:rFonts w:ascii="Arial" w:cs="Arial" w:eastAsia="Arial" w:hAnsi="Arial"/>
          <w:sz w:val="17"/>
          <w:szCs w:val="17"/>
          <w:color w:val="auto"/>
        </w:rPr>
        <w:t>Even if we eventually complete clinical trials and receive approval of an NDA or foreign marketing application for vonoprazan and any future product candidates, the FDA, EMA or other comparable foreign regulatory authority may grant approval contingent on the performance of costly additional clinical trials, including confirmatory Phase 3 clinical trials, Phase 4 clinical trials, and/or the implementation of a REMS, which may be required to ensure safe use of the drug after approval. The FDA, EMA or other comparable foreign regulatory authority also may approve a product candidate for a more limited indication or patient population than we originally requested, and the FDA, EMA or other comparable foreign regulatory authority may not approve the labeling that we believe is necessary or desirable for the successful commercialization of a product. Any delay in</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9" w:name="page60"/>
    <w:bookmarkEnd w:id="59"/>
    <w:p>
      <w:pPr>
        <w:ind w:right="40"/>
        <w:spacing w:after="0" w:line="278" w:lineRule="auto"/>
        <w:rPr>
          <w:sz w:val="20"/>
          <w:szCs w:val="20"/>
          <w:color w:val="auto"/>
        </w:rPr>
      </w:pPr>
      <w:r>
        <w:rPr>
          <w:rFonts w:ascii="Arial" w:cs="Arial" w:eastAsia="Arial" w:hAnsi="Arial"/>
          <w:sz w:val="17"/>
          <w:szCs w:val="17"/>
          <w:color w:val="auto"/>
        </w:rPr>
        <w:t>obtaining, or inability to obtain, applicable regulatory approval would delay or prevent commercialization of that product candidate and would materially adversely impact our business and prospects.</w:t>
      </w:r>
    </w:p>
    <w:p>
      <w:pPr>
        <w:spacing w:after="0" w:line="138" w:lineRule="exact"/>
        <w:rPr>
          <w:sz w:val="20"/>
          <w:szCs w:val="20"/>
          <w:color w:val="auto"/>
        </w:rPr>
      </w:pPr>
    </w:p>
    <w:p>
      <w:pPr>
        <w:spacing w:after="0" w:line="306" w:lineRule="auto"/>
        <w:rPr>
          <w:sz w:val="20"/>
          <w:szCs w:val="20"/>
          <w:color w:val="auto"/>
        </w:rPr>
      </w:pPr>
      <w:r>
        <w:rPr>
          <w:rFonts w:ascii="Arial" w:cs="Arial" w:eastAsia="Arial" w:hAnsi="Arial"/>
          <w:sz w:val="15"/>
          <w:szCs w:val="15"/>
          <w:b w:val="1"/>
          <w:bCs w:val="1"/>
          <w:i w:val="1"/>
          <w:iCs w:val="1"/>
          <w:color w:val="auto"/>
        </w:rPr>
        <w:t>Designation of vonoprazan tablets in combination with both amoxicillin tablets and clarithromycin tablets, and with amoxicillin tablets alone as a QIDP, receipt of Fast Track designation, and the potential to receive priority review, may not actually lead to faster development or regulatory review or other benefits, and do not assure FDA approval of vonoprazan or any future product candidates which may receive such designations. Moreover, we may not receive QIDP designations for other dosage form combinations such as a product containing amoxicillin capsules rather than amoxicillin tablets.</w:t>
      </w:r>
    </w:p>
    <w:p>
      <w:pPr>
        <w:spacing w:after="0" w:line="315" w:lineRule="exact"/>
        <w:rPr>
          <w:sz w:val="20"/>
          <w:szCs w:val="20"/>
          <w:color w:val="auto"/>
        </w:rPr>
      </w:pPr>
    </w:p>
    <w:p>
      <w:pPr>
        <w:ind w:right="80" w:firstLine="864"/>
        <w:spacing w:after="0" w:line="289" w:lineRule="auto"/>
        <w:rPr>
          <w:sz w:val="20"/>
          <w:szCs w:val="20"/>
          <w:color w:val="auto"/>
        </w:rPr>
      </w:pPr>
      <w:r>
        <w:rPr>
          <w:rFonts w:ascii="Arial" w:cs="Arial" w:eastAsia="Arial" w:hAnsi="Arial"/>
          <w:sz w:val="15"/>
          <w:szCs w:val="15"/>
          <w:color w:val="auto"/>
        </w:rPr>
        <w:t>The Generating Antibiotic Incentives Now, or GAIN, Act established certain programs intended to incentivize the development of antibacterial and antifungal drugs for human use to treat serious or life-threatening infections. Specifically, pursuant to the GAIN Act, the FDA may designate certain antimicrobial products as QIDPs, which would qualify them for certain benefits. A QIDP is an antibacterial or antifungal drug for human use intended to treat serious or life-threatening infections, including those caused by either (1) an antibacterial or antifungal resistant pathogen, including novel or emerging infectious pathogens, or</w:t>
      </w:r>
    </w:p>
    <w:p>
      <w:pPr>
        <w:spacing w:after="0" w:line="3" w:lineRule="exact"/>
        <w:rPr>
          <w:sz w:val="20"/>
          <w:szCs w:val="20"/>
          <w:color w:val="auto"/>
        </w:rPr>
      </w:pPr>
    </w:p>
    <w:p>
      <w:pPr>
        <w:ind w:right="80" w:firstLine="3"/>
        <w:spacing w:after="0" w:line="293" w:lineRule="auto"/>
        <w:tabs>
          <w:tab w:leader="none" w:pos="242" w:val="left"/>
        </w:tabs>
        <w:numPr>
          <w:ilvl w:val="0"/>
          <w:numId w:val="28"/>
        </w:numPr>
        <w:rPr>
          <w:rFonts w:ascii="Arial" w:cs="Arial" w:eastAsia="Arial" w:hAnsi="Arial"/>
          <w:sz w:val="15"/>
          <w:szCs w:val="15"/>
          <w:color w:val="auto"/>
        </w:rPr>
      </w:pPr>
      <w:r>
        <w:rPr>
          <w:rFonts w:ascii="Arial" w:cs="Arial" w:eastAsia="Arial" w:hAnsi="Arial"/>
          <w:sz w:val="15"/>
          <w:szCs w:val="15"/>
          <w:color w:val="auto"/>
        </w:rPr>
        <w:t>a so-called “qualifying pathogen” found on a list of potentially dangerous, drug-resistant organisms established and maintained by the FDA under the GAIN Act. The FDA interprets QIDP designation to apply to a specific drug product, including a specific dosage form of the product, and the FDA does not apply the designation to the drug substance in general or beyond the specified indications identified in the designation. The benefits of QIDP designation include eligibility for Fast Track designation, eligibility for priority review, and an extension by an additional five years of any non-patent exclusivity period awarded, such as a five-year exclusivity period awarded for a new chemical entity. This extension is in addition to any pediatric exclusivity extension that may be awarded. Receipt of QIDP designation does not assure ultimate approval by the FDA or related GAIN Act exclusivity benefits. A sponsor must request such designation before submitting a marketing application, and the FDA will respond to a request for QIDP designation within 60 days of the date the FDA receives the request.</w:t>
      </w:r>
    </w:p>
    <w:p>
      <w:pPr>
        <w:spacing w:after="0" w:line="160" w:lineRule="exact"/>
        <w:rPr>
          <w:sz w:val="20"/>
          <w:szCs w:val="20"/>
          <w:color w:val="auto"/>
        </w:rPr>
      </w:pPr>
    </w:p>
    <w:p>
      <w:pPr>
        <w:ind w:right="20" w:firstLine="864"/>
        <w:spacing w:after="0" w:line="270" w:lineRule="auto"/>
        <w:rPr>
          <w:sz w:val="20"/>
          <w:szCs w:val="20"/>
          <w:color w:val="auto"/>
        </w:rPr>
      </w:pPr>
      <w:r>
        <w:rPr>
          <w:rFonts w:ascii="Arial" w:cs="Arial" w:eastAsia="Arial" w:hAnsi="Arial"/>
          <w:sz w:val="16"/>
          <w:szCs w:val="16"/>
          <w:color w:val="auto"/>
        </w:rPr>
        <w:t xml:space="preserve">In August 2019, the FDA granted QIDP designation to vonoprazan tablets in combination with both amoxicillin tablets and clarithromycin tablets, and with amoxicillin tablets alone,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After obtaining these QIDP designations, due to the greater availability of amoxicillin capsules in the U.S. market, we commenced development of vonoprazan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in combination with amoxicillin capsules rather than amoxicillin tablets. In November 2020, we submitted new requests for QIDP designations for vonoprazan tablets in combination with both amoxicillin capsules and clarithromycin tablets, and with amoxicillin capsules alone, respectively. In January 2021, the FDA notified us that it is still reviewing whether our proposed products containing vonoprazan in combination with clarithromycin tablets and amoxicillin capsules, and amoxicillin capsules alone, are eligible for QIDP designation. If the FDA declines to grant such designations, we would not obtain the benefits of QIDP designation, including the potential for GAIN Act exclusivity benefits for such products. If we do not obtain QIDP designations for the products containing vonoprazan tablets in combination with amoxicillin capsules as we have requested, we intend to continue our ongoing efforts to source and qualify amoxicillin tablets (in place of amoxicillin capsules) and seek regulatory approval for vonoprazan tablets in combination with both amoxicillin tablets and clarithromycin tablets, and with amoxicillin tablets alone, products for which we already have QIDP designations, which could result in our seeking regulatory approval at a date later than we would have for products containing amoxicillin capsules. Under the GAIN Act, the FDA may only revoke a QIDP designation if the request for such designation contained an untrue statement of material fact. While we believe that our request for our existing QIDP designations did not contain any untrue statement of material fact, if the FDA were to seek to revoke our existing QIDP designations covering our products containing vonoprazan tablets in combination with both amoxicillin tablets and clarithromycin tablets, and with amoxicillin tablets alone, and if FDA were successful in doing so, we would not obtain the GAIN Act exclusivity benefits for such products. If this were to occur, it could have a material, adverse effect on our business prospects.</w:t>
      </w:r>
    </w:p>
    <w:p>
      <w:pPr>
        <w:spacing w:after="0" w:line="183" w:lineRule="exact"/>
        <w:rPr>
          <w:sz w:val="20"/>
          <w:szCs w:val="20"/>
          <w:color w:val="auto"/>
        </w:rPr>
      </w:pPr>
    </w:p>
    <w:p>
      <w:pPr>
        <w:ind w:right="80" w:firstLine="589"/>
        <w:spacing w:after="0" w:line="261" w:lineRule="auto"/>
        <w:rPr>
          <w:sz w:val="20"/>
          <w:szCs w:val="20"/>
          <w:color w:val="auto"/>
        </w:rPr>
      </w:pPr>
      <w:r>
        <w:rPr>
          <w:rFonts w:ascii="Arial" w:cs="Arial" w:eastAsia="Arial" w:hAnsi="Arial"/>
          <w:sz w:val="17"/>
          <w:szCs w:val="17"/>
          <w:color w:val="auto"/>
        </w:rPr>
        <w:t xml:space="preserve">While vonoprazan in combination with both amoxicillin and clarithromycin and with amoxicillin alone has received Fast Track designation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the FDA has broad discretion, so even if we believe vonoprazan is eligible for priority review, or any future product candidate is eligible for Fast Track designation or priority review status, the FDA could decide not to grant it. The FDA may withdraw Fast Track designation if it believes that the designation is no longer supported by data from our clinical development program.</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60" w:name="page61"/>
    <w:bookmarkEnd w:id="60"/>
    <w:p>
      <w:pPr>
        <w:ind w:right="80"/>
        <w:spacing w:after="0" w:line="273" w:lineRule="auto"/>
        <w:rPr>
          <w:sz w:val="20"/>
          <w:szCs w:val="20"/>
          <w:color w:val="auto"/>
        </w:rPr>
      </w:pPr>
      <w:r>
        <w:rPr>
          <w:rFonts w:ascii="Arial" w:cs="Arial" w:eastAsia="Arial" w:hAnsi="Arial"/>
          <w:sz w:val="16"/>
          <w:szCs w:val="16"/>
          <w:color w:val="auto"/>
        </w:rPr>
        <w:t>The Fast Track designation program is intended to expedite or facilitate the process for reviewing new drug candidates that meet certain criteria. Specifically, new drugs are eligible for Fast Track designation if they are intended, alone or in combination with one or more drugs, to treat a serious or life-threatening disease or condition and demonstrate the potential to address unmet medical needs for the disease or condition. Fast Track designation applies to the combination of the drug candidate and the specific indication for which it is being studied. With a Fast Track drug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Priority review means the FDA’s goal is to take action on an application within 6 months (compared to 10 months under standard review) following the NDA filing date. The FDA automatically grants priority review to the first application or efficacy supplement submitted for a specific drug and indication that has received the QIDP designation.</w:t>
      </w:r>
    </w:p>
    <w:p>
      <w:pPr>
        <w:spacing w:after="0" w:line="147" w:lineRule="exact"/>
        <w:rPr>
          <w:sz w:val="20"/>
          <w:szCs w:val="20"/>
          <w:color w:val="auto"/>
        </w:rPr>
      </w:pPr>
    </w:p>
    <w:p>
      <w:pPr>
        <w:ind w:firstLine="589"/>
        <w:spacing w:after="0" w:line="278" w:lineRule="auto"/>
        <w:rPr>
          <w:sz w:val="20"/>
          <w:szCs w:val="20"/>
          <w:color w:val="auto"/>
        </w:rPr>
      </w:pPr>
      <w:r>
        <w:rPr>
          <w:rFonts w:ascii="Arial" w:cs="Arial" w:eastAsia="Arial" w:hAnsi="Arial"/>
          <w:sz w:val="16"/>
          <w:szCs w:val="16"/>
          <w:color w:val="auto"/>
        </w:rPr>
        <w:t>Obtaining a QIDP designation, priority review, or Fast Track designation does not change the standards for product approval but may expedite the development or approval process. Even if we obtain QIDP designation for our anticipated commercial form of our product, or if we modify our commercial plans to instead source amoxicillin in tablet form in reliance on our existing QIDP designations, such QIDP designations, Fast Track designations, and priority review may not actually result in faster clinical development or regulatory review or approval. Furthermore, QIDP designation, Fast Track designation, and priority review would not increase the likelihood that vonoprazan will receive marketing approval in the United States.</w:t>
      </w:r>
    </w:p>
    <w:p>
      <w:pPr>
        <w:spacing w:after="0" w:line="129"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We may not be successful in our efforts to expand our pipeline by identifying additional indications and formulations for which to investigate vonoprazan in the future. We may expend our limited resources to pursue a particular indication or formulation for vonoprazan and fail to capitalize on product candidates, indications or formulations that may be more profitable or for which there is a greater likelihood of success.</w:t>
      </w:r>
    </w:p>
    <w:p>
      <w:pPr>
        <w:spacing w:after="0" w:line="119" w:lineRule="exact"/>
        <w:rPr>
          <w:sz w:val="20"/>
          <w:szCs w:val="20"/>
          <w:color w:val="auto"/>
        </w:rPr>
      </w:pPr>
    </w:p>
    <w:p>
      <w:pPr>
        <w:ind w:right="20" w:firstLine="589"/>
        <w:spacing w:after="0" w:line="271" w:lineRule="auto"/>
        <w:rPr>
          <w:sz w:val="20"/>
          <w:szCs w:val="20"/>
          <w:color w:val="auto"/>
        </w:rPr>
      </w:pPr>
      <w:r>
        <w:rPr>
          <w:rFonts w:ascii="Arial" w:cs="Arial" w:eastAsia="Arial" w:hAnsi="Arial"/>
          <w:sz w:val="16"/>
          <w:szCs w:val="16"/>
          <w:color w:val="auto"/>
        </w:rPr>
        <w:t>Because we have limited financial and managerial resources, we focus on specific indications and formulations for vonoprazan. As a result, we may fail to generate additional clinical development opportunities for vonoprazan for a number of reasons, including, vonoprazan may in certain indications, on further study, be shown to have harmful side effects, limited to no efficacy, or other characteristics that suggest it is unlikely to receive marketing approval and achieve market acceptance in such additional indications. For example, we believe the rapid onset of action of vonoprazan may enable on-demand, or as needed, use for the management of non-erosive reflux disease, or NERD, and we plan to commence a Phase 2 clinical studying vonoprazan as an on-demand therapy for patients with NERD in the second quarter of 2021. However, two Phase 3 clinical trials of vonoprazan in Japanese patients with endoscopically confirmed NERD conducted by Takeda did not demonstrate a statistically significant difference in symptom scores between vonoprazan and placebo. We believe that this result may be due to the selection of patients with mild to moderate symptoms rather than more frequent and severe symptoms. In addition, Takeda conducted a Phase 2 clinical trial in Europe in 256 patients with NERD who were partial responders to high dose PPIs. Patients were randomized to receive vonoprazan 20 mg, vonoprazan 40 mg, or esomeprazole 40 mg for four weeks. Neither vonoprazan dose demonstrated a benefit versus esomeprazole on the primary endpoint of the percentage of heartburn free days over the treatment period. We believe this result may be due to patient selection. Specifically, the trial may not have adequately selected for patients with NERD and may have included patients with functional GI disorders that are unrelated to acid, such as functional dyspepsia or functional heartburn. We may be incorrect in our beliefs regarding the results of such trials and any future clinical trials we conduct in NERD patients may not succeed for similar or other reasons, including as a result of our design and enrollment criteria.</w:t>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294" w:right="379" w:bottom="1440" w:gutter="0" w:footer="0" w:header="0"/>
        </w:sectPr>
      </w:pPr>
    </w:p>
    <w:bookmarkStart w:id="61" w:name="page62"/>
    <w:bookmarkEnd w:id="61"/>
    <w:p>
      <w:pPr>
        <w:ind w:right="20" w:firstLine="589"/>
        <w:spacing w:after="0" w:line="256" w:lineRule="auto"/>
        <w:rPr>
          <w:sz w:val="20"/>
          <w:szCs w:val="20"/>
          <w:color w:val="auto"/>
        </w:rPr>
      </w:pPr>
      <w:r>
        <w:rPr>
          <w:rFonts w:ascii="Arial" w:cs="Arial" w:eastAsia="Arial" w:hAnsi="Arial"/>
          <w:sz w:val="17"/>
          <w:szCs w:val="17"/>
          <w:color w:val="auto"/>
        </w:rPr>
        <w:t xml:space="preserve">Furthermore, research programs to identify additional indications for vonoprazan require substantial technical, financial and human resources. We may also pursue additional formulations and packaging for vonoprazan, such as orally disintegrating tablets and other oral dosage forms for patients with difficulty swallowing, an intravenous formulation for in-hospital applications, and pre-packaged convenience packs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However, we may not successfully develop these additional formulations for chemistry-related, stability-related or other reasons. If we do not accurately evaluate the commercial potential or target market for vonoprazan or any future product candidates,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59" w:lineRule="exact"/>
        <w:rPr>
          <w:sz w:val="20"/>
          <w:szCs w:val="20"/>
          <w:color w:val="auto"/>
        </w:rPr>
      </w:pPr>
    </w:p>
    <w:p>
      <w:pPr>
        <w:ind w:firstLine="589"/>
        <w:spacing w:after="0" w:line="261" w:lineRule="auto"/>
        <w:rPr>
          <w:sz w:val="20"/>
          <w:szCs w:val="20"/>
          <w:color w:val="auto"/>
        </w:rPr>
      </w:pPr>
      <w:r>
        <w:rPr>
          <w:rFonts w:ascii="Arial" w:cs="Arial" w:eastAsia="Arial" w:hAnsi="Arial"/>
          <w:sz w:val="17"/>
          <w:szCs w:val="17"/>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w:t>
      </w:r>
    </w:p>
    <w:p>
      <w:pPr>
        <w:spacing w:after="0" w:line="139"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b w:val="1"/>
          <w:bCs w:val="1"/>
          <w:i w:val="1"/>
          <w:iCs w:val="1"/>
          <w:color w:val="auto"/>
        </w:rPr>
        <w:t>We enrolled patients in Europe in our erosive esophagitis and H. pylori trials. Additionally, we may conduct future clinical trials outside of the United States. However, the FDA and other comparable foreign regulatory authorities may not accept data from such trials, in which case our development plans will be delayed, which could materially harm our business.</w:t>
      </w:r>
    </w:p>
    <w:p>
      <w:pPr>
        <w:spacing w:after="0" w:line="136" w:lineRule="exact"/>
        <w:rPr>
          <w:sz w:val="20"/>
          <w:szCs w:val="20"/>
          <w:color w:val="auto"/>
        </w:rPr>
      </w:pPr>
    </w:p>
    <w:p>
      <w:pPr>
        <w:ind w:right="100" w:firstLine="589"/>
        <w:spacing w:after="0" w:line="273" w:lineRule="auto"/>
        <w:rPr>
          <w:sz w:val="20"/>
          <w:szCs w:val="20"/>
          <w:color w:val="auto"/>
        </w:rPr>
      </w:pPr>
      <w:r>
        <w:rPr>
          <w:rFonts w:ascii="Arial" w:cs="Arial" w:eastAsia="Arial" w:hAnsi="Arial"/>
          <w:sz w:val="16"/>
          <w:szCs w:val="16"/>
          <w:color w:val="auto"/>
        </w:rPr>
        <w:t xml:space="preserve">We enrolled patients in Europe in our erosive esophagitis and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trials, and we may conduct one or more of our future clinical trials outside the United States. Although the FDA may accept data from clinical trials conducted outside the United States, acceptance of this data is subject to certain conditions imposed by the FDA. For example, the FDA requires the clinical trial to have been conducted in accordance with GCPs, and the FDA must be able to validate the data from the clinical trial through an onsite inspection if it deems such inspection necessary. In addition, when clinical trials are conducted only at sites outside of the United States, the FDA generally does not provide advance comment on the clinical protocols for the trials, and therefore there is an additional potential risk that the FDA could determine that the study design or protocol for a non-U.S. clinical trial was inadequate, which would likely require us to conduct additional clinical trials. The FDA may not accept data from clinical trials conducted outside of the United States. If the FDA does not accept data from our clinical trials of vonoprazan and any future product candidates, it would likely result in the need for additional clinical trials, which would be costly and time consuming and delay or permanently halt our development of vonoprazan and any future product candidates.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Conducting clinical trials outside the United States also exposes us to additional risks, including risks associated with:</w:t>
      </w:r>
    </w:p>
    <w:p>
      <w:pPr>
        <w:spacing w:after="0" w:line="177" w:lineRule="exact"/>
        <w:rPr>
          <w:sz w:val="20"/>
          <w:szCs w:val="20"/>
          <w:color w:val="auto"/>
        </w:rPr>
      </w:pPr>
    </w:p>
    <w:p>
      <w:pPr>
        <w:ind w:left="1000" w:hanging="419"/>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additional foreign regulatory requirements;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foreign exchange fluctuations;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compliance with foreign manufacturing, customs, shipment and storage requirements;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cultural differences in medical practice and clinical research;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diminished protection of intellectual property in some countries.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62" w:name="page63"/>
    <w:bookmarkEnd w:id="62"/>
    <w:p>
      <w:pPr>
        <w:ind w:right="260"/>
        <w:spacing w:after="0" w:line="310" w:lineRule="auto"/>
        <w:rPr>
          <w:sz w:val="20"/>
          <w:szCs w:val="20"/>
          <w:color w:val="auto"/>
        </w:rPr>
      </w:pPr>
      <w:r>
        <w:rPr>
          <w:rFonts w:ascii="Arial" w:cs="Arial" w:eastAsia="Arial" w:hAnsi="Arial"/>
          <w:sz w:val="16"/>
          <w:szCs w:val="16"/>
          <w:b w:val="1"/>
          <w:bCs w:val="1"/>
          <w:i w:val="1"/>
          <w:iCs w:val="1"/>
          <w:color w:val="auto"/>
        </w:rPr>
        <w:t>Interim, top-line and preliminary data from clinical trials that we or others announce or publish from time to time may change as more patient data become available and are subject to audit and verification procedures that could result in material changes in the final data.</w:t>
      </w:r>
    </w:p>
    <w:p>
      <w:pPr>
        <w:spacing w:after="0" w:line="116" w:lineRule="exact"/>
        <w:rPr>
          <w:sz w:val="20"/>
          <w:szCs w:val="20"/>
          <w:color w:val="auto"/>
        </w:rPr>
      </w:pPr>
    </w:p>
    <w:p>
      <w:pPr>
        <w:ind w:right="120" w:firstLine="589"/>
        <w:spacing w:after="0" w:line="255" w:lineRule="auto"/>
        <w:rPr>
          <w:sz w:val="20"/>
          <w:szCs w:val="20"/>
          <w:color w:val="auto"/>
        </w:rPr>
      </w:pPr>
      <w:r>
        <w:rPr>
          <w:rFonts w:ascii="Arial" w:cs="Arial" w:eastAsia="Arial" w:hAnsi="Arial"/>
          <w:sz w:val="17"/>
          <w:szCs w:val="17"/>
          <w:color w:val="auto"/>
        </w:rPr>
        <w:t>From time to time, we or others, such as Takeda, may publicly disclose preliminary or top-line data from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or others report may differ from future results of the same clinical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previously published. As a result, top-line data should be viewed with caution until the final data are available. From time to time, we or others may also disclose interim data from clinical trials. 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w:t>
      </w:r>
    </w:p>
    <w:p>
      <w:pPr>
        <w:spacing w:after="0" w:line="146" w:lineRule="exact"/>
        <w:rPr>
          <w:sz w:val="20"/>
          <w:szCs w:val="20"/>
          <w:color w:val="auto"/>
        </w:rPr>
      </w:pPr>
    </w:p>
    <w:p>
      <w:pPr>
        <w:ind w:right="160" w:firstLine="589"/>
        <w:spacing w:after="0" w:line="294" w:lineRule="auto"/>
        <w:rPr>
          <w:sz w:val="20"/>
          <w:szCs w:val="20"/>
          <w:color w:val="auto"/>
        </w:rPr>
      </w:pPr>
      <w:r>
        <w:rPr>
          <w:rFonts w:ascii="Arial" w:cs="Arial" w:eastAsia="Arial" w:hAnsi="Arial"/>
          <w:sz w:val="15"/>
          <w:szCs w:val="15"/>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vonoprazan and any future product candidates may be harmed, which could harm our business, operating results, prospects, or financial condition.</w:t>
      </w:r>
    </w:p>
    <w:p>
      <w:pPr>
        <w:spacing w:after="0" w:line="121"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b w:val="1"/>
          <w:bCs w:val="1"/>
          <w:i w:val="1"/>
          <w:iCs w:val="1"/>
          <w:color w:val="auto"/>
        </w:rPr>
        <w:t>Disruptions at the FDA and other government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49" w:lineRule="exact"/>
        <w:rPr>
          <w:sz w:val="20"/>
          <w:szCs w:val="20"/>
          <w:color w:val="auto"/>
        </w:rPr>
      </w:pPr>
    </w:p>
    <w:p>
      <w:pPr>
        <w:ind w:firstLine="589"/>
        <w:spacing w:after="0" w:line="261"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39" w:lineRule="exact"/>
        <w:rPr>
          <w:sz w:val="20"/>
          <w:szCs w:val="20"/>
          <w:color w:val="auto"/>
        </w:rPr>
      </w:pPr>
    </w:p>
    <w:p>
      <w:pPr>
        <w:ind w:right="40" w:firstLine="589"/>
        <w:spacing w:after="0" w:line="258"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44" w:lineRule="exact"/>
        <w:rPr>
          <w:sz w:val="20"/>
          <w:szCs w:val="20"/>
          <w:color w:val="auto"/>
        </w:rPr>
      </w:pPr>
    </w:p>
    <w:p>
      <w:pPr>
        <w:ind w:firstLine="589"/>
        <w:spacing w:after="0" w:line="301" w:lineRule="auto"/>
        <w:rPr>
          <w:sz w:val="20"/>
          <w:szCs w:val="20"/>
          <w:color w:val="auto"/>
        </w:rPr>
      </w:pPr>
      <w:r>
        <w:rPr>
          <w:rFonts w:ascii="Arial" w:cs="Arial" w:eastAsia="Arial" w:hAnsi="Arial"/>
          <w:sz w:val="15"/>
          <w:szCs w:val="15"/>
          <w:color w:val="auto"/>
        </w:rPr>
        <w:t>Separately, in response to the global COVID-19 pandemic, on March 10, 2020, the FDA announced its intention to postpone most foreign inspections of manufacturing facilities and products through April 2020,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63" w:name="page64"/>
    <w:bookmarkEnd w:id="63"/>
    <w:p>
      <w:pPr>
        <w:ind w:right="240"/>
        <w:spacing w:after="0" w:line="261" w:lineRule="auto"/>
        <w:rPr>
          <w:sz w:val="20"/>
          <w:szCs w:val="20"/>
          <w:color w:val="auto"/>
        </w:rPr>
      </w:pPr>
      <w:r>
        <w:rPr>
          <w:rFonts w:ascii="Arial" w:cs="Arial" w:eastAsia="Arial" w:hAnsi="Arial"/>
          <w:sz w:val="17"/>
          <w:szCs w:val="17"/>
          <w:color w:val="auto"/>
        </w:rPr>
        <w:t>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183" w:lineRule="exact"/>
        <w:rPr>
          <w:sz w:val="20"/>
          <w:szCs w:val="20"/>
          <w:color w:val="auto"/>
        </w:rPr>
      </w:pPr>
    </w:p>
    <w:p>
      <w:pPr>
        <w:ind w:right="700"/>
        <w:spacing w:after="0" w:line="278" w:lineRule="auto"/>
        <w:rPr>
          <w:sz w:val="20"/>
          <w:szCs w:val="20"/>
          <w:color w:val="auto"/>
        </w:rPr>
      </w:pPr>
      <w:r>
        <w:rPr>
          <w:rFonts w:ascii="Arial" w:cs="Arial" w:eastAsia="Arial" w:hAnsi="Arial"/>
          <w:sz w:val="17"/>
          <w:szCs w:val="17"/>
          <w:b w:val="1"/>
          <w:bCs w:val="1"/>
          <w:i w:val="1"/>
          <w:iCs w:val="1"/>
          <w:color w:val="auto"/>
        </w:rPr>
        <w:t>We rely on the Takeda License to provide us rights to develop and commercialize vonoprazan in the United States, Europe, and Canada. If the license agreement is terminated, we would lose our rights to develop and commercialize vonoprazan.</w:t>
      </w:r>
    </w:p>
    <w:p>
      <w:pPr>
        <w:spacing w:after="0" w:line="125" w:lineRule="exact"/>
        <w:rPr>
          <w:sz w:val="20"/>
          <w:szCs w:val="20"/>
          <w:color w:val="auto"/>
        </w:rPr>
      </w:pPr>
    </w:p>
    <w:p>
      <w:pPr>
        <w:jc w:val="both"/>
        <w:ind w:firstLine="589"/>
        <w:spacing w:after="0" w:line="316" w:lineRule="auto"/>
        <w:rPr>
          <w:sz w:val="20"/>
          <w:szCs w:val="20"/>
          <w:color w:val="auto"/>
        </w:rPr>
      </w:pPr>
      <w:r>
        <w:rPr>
          <w:rFonts w:ascii="Arial" w:cs="Arial" w:eastAsia="Arial" w:hAnsi="Arial"/>
          <w:sz w:val="15"/>
          <w:szCs w:val="15"/>
          <w:color w:val="auto"/>
        </w:rPr>
        <w:t>Pursuant to the Takeda License, we have secured an exclusive license from Takeda to commercialize vonoprazan products using specified formulations for all human therapeutic uses in the United States, Europe, and Canada, and a non-exclusive license to develop and manufacture vonoprazan products anywhere in the world (subject to Takeda’s consent as to each country) for the purposes of commercializing the vonoprazan products in the United States, Europe, and Canada.</w:t>
      </w:r>
    </w:p>
    <w:p>
      <w:pPr>
        <w:spacing w:after="0" w:line="115" w:lineRule="exact"/>
        <w:rPr>
          <w:sz w:val="20"/>
          <w:szCs w:val="20"/>
          <w:color w:val="auto"/>
        </w:rPr>
      </w:pPr>
    </w:p>
    <w:p>
      <w:pPr>
        <w:ind w:right="60" w:firstLine="589"/>
        <w:spacing w:after="0" w:line="256" w:lineRule="auto"/>
        <w:rPr>
          <w:sz w:val="20"/>
          <w:szCs w:val="20"/>
          <w:color w:val="auto"/>
        </w:rPr>
      </w:pPr>
      <w:r>
        <w:rPr>
          <w:rFonts w:ascii="Arial" w:cs="Arial" w:eastAsia="Arial" w:hAnsi="Arial"/>
          <w:sz w:val="17"/>
          <w:szCs w:val="17"/>
          <w:color w:val="auto"/>
        </w:rPr>
        <w:t>The Takeda License will continue until the expiration of the obligation to pay royalties in all countries and on all products, unless terminated earlier. We may terminate the Takeda License in its entirety without cause upon prior written notice. We and Takeda may terminate the Takeda License in the case of the other party’s insolvency or for the other party’s material uncured breach. Takeda may terminate the Takeda License in its entirety if we challenge the licensed patents, or if we assist any third party in challenging such patents. In addition, if any of the commercial milestones or other cash payments become due under the terms of the Takeda License, we may not have sufficient funds available to meet our obligations, which would allow Takeda to terminate the Takeda License. If the license agreement is terminated, we would lose our rights to develop and commercialize vonoprazan, which in turn would have a material adverse effect on our business, operating results and prospects.</w:t>
      </w:r>
    </w:p>
    <w:p>
      <w:pPr>
        <w:spacing w:after="0" w:line="147" w:lineRule="exact"/>
        <w:rPr>
          <w:sz w:val="20"/>
          <w:szCs w:val="20"/>
          <w:color w:val="auto"/>
        </w:rPr>
      </w:pPr>
    </w:p>
    <w:p>
      <w:pPr>
        <w:jc w:val="both"/>
        <w:ind w:right="60"/>
        <w:spacing w:after="0" w:line="389" w:lineRule="auto"/>
        <w:rPr>
          <w:sz w:val="20"/>
          <w:szCs w:val="20"/>
          <w:color w:val="auto"/>
        </w:rPr>
      </w:pPr>
      <w:r>
        <w:rPr>
          <w:rFonts w:ascii="Arial" w:cs="Arial" w:eastAsia="Arial" w:hAnsi="Arial"/>
          <w:sz w:val="14"/>
          <w:szCs w:val="14"/>
          <w:b w:val="1"/>
          <w:bCs w:val="1"/>
          <w:i w:val="1"/>
          <w:iCs w:val="1"/>
          <w:color w:val="auto"/>
        </w:rPr>
        <w:t>We rely on third parties to conduct our clinical trials. Any failure by a third party to conduct the clinical trials according to GCPs and other requirements and in a timely manner may delay or prevent our ability to seek or obtain regulatory approval for or commercialize vonoprazan and any future product candidates.</w:t>
      </w:r>
    </w:p>
    <w:p>
      <w:pPr>
        <w:spacing w:after="0" w:line="56" w:lineRule="exact"/>
        <w:rPr>
          <w:sz w:val="20"/>
          <w:szCs w:val="20"/>
          <w:color w:val="auto"/>
        </w:rPr>
      </w:pPr>
    </w:p>
    <w:p>
      <w:pPr>
        <w:ind w:firstLine="589"/>
        <w:spacing w:after="0" w:line="291" w:lineRule="auto"/>
        <w:rPr>
          <w:sz w:val="20"/>
          <w:szCs w:val="20"/>
          <w:color w:val="auto"/>
        </w:rPr>
      </w:pPr>
      <w:r>
        <w:rPr>
          <w:rFonts w:ascii="Arial" w:cs="Arial" w:eastAsia="Arial" w:hAnsi="Arial"/>
          <w:sz w:val="15"/>
          <w:szCs w:val="15"/>
          <w:color w:val="auto"/>
        </w:rPr>
        <w:t>We are dependent on third parties to conduct our preclinical and clinical trials, including our ongoing Phase 3 clinical trials of vonoprazan.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will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vonoprazan and any future product candidates that reach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regulations. Our failure to comply with these regulations may require us to repeat clinical trials, which would delay the regulatory approval process.</w:t>
      </w:r>
    </w:p>
    <w:p>
      <w:pPr>
        <w:spacing w:after="0" w:line="137" w:lineRule="exact"/>
        <w:rPr>
          <w:sz w:val="20"/>
          <w:szCs w:val="20"/>
          <w:color w:val="auto"/>
        </w:rPr>
      </w:pPr>
    </w:p>
    <w:p>
      <w:pPr>
        <w:ind w:right="160" w:firstLine="589"/>
        <w:spacing w:after="0" w:line="301" w:lineRule="auto"/>
        <w:rPr>
          <w:sz w:val="20"/>
          <w:szCs w:val="20"/>
          <w:color w:val="auto"/>
        </w:rPr>
      </w:pPr>
      <w:r>
        <w:rPr>
          <w:rFonts w:ascii="Arial" w:cs="Arial" w:eastAsia="Arial" w:hAnsi="Arial"/>
          <w:sz w:val="15"/>
          <w:szCs w:val="15"/>
          <w:color w:val="auto"/>
        </w:rPr>
        <w:t>CROs, investigators or other third parties may not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64" w:name="page65"/>
    <w:bookmarkEnd w:id="64"/>
    <w:p>
      <w:pPr>
        <w:ind w:right="80"/>
        <w:spacing w:after="0" w:line="282" w:lineRule="auto"/>
        <w:rPr>
          <w:sz w:val="20"/>
          <w:szCs w:val="20"/>
          <w:color w:val="auto"/>
        </w:rPr>
      </w:pPr>
      <w:r>
        <w:rPr>
          <w:rFonts w:ascii="Arial" w:cs="Arial" w:eastAsia="Arial" w:hAnsi="Arial"/>
          <w:sz w:val="16"/>
          <w:szCs w:val="16"/>
          <w:color w:val="auto"/>
        </w:rPr>
        <w:t>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we submit by the FDA. Any such delay or rejection could prevent us from commercializing vonoprazan and any future product candidates.</w:t>
      </w:r>
    </w:p>
    <w:p>
      <w:pPr>
        <w:spacing w:after="0" w:line="137" w:lineRule="exact"/>
        <w:rPr>
          <w:sz w:val="20"/>
          <w:szCs w:val="20"/>
          <w:color w:val="auto"/>
        </w:rPr>
      </w:pPr>
    </w:p>
    <w:p>
      <w:pPr>
        <w:ind w:right="100" w:firstLine="589"/>
        <w:spacing w:after="0" w:line="301" w:lineRule="auto"/>
        <w:rPr>
          <w:sz w:val="20"/>
          <w:szCs w:val="20"/>
          <w:color w:val="auto"/>
        </w:rPr>
      </w:pPr>
      <w:r>
        <w:rPr>
          <w:rFonts w:ascii="Arial" w:cs="Arial" w:eastAsia="Arial" w:hAnsi="Arial"/>
          <w:sz w:val="15"/>
          <w:szCs w:val="15"/>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investigators and other third parties, we may encounter challenges or delays in the future and these delays or challenges may have a material adverse impact on our business, financial condition and prospects.</w:t>
      </w:r>
    </w:p>
    <w:p>
      <w:pPr>
        <w:spacing w:after="0" w:line="152"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b w:val="1"/>
          <w:bCs w:val="1"/>
          <w:i w:val="1"/>
          <w:iCs w:val="1"/>
          <w:color w:val="auto"/>
        </w:rPr>
        <w:t>We currently rely on Takeda for the manufacture of vonoprazan for clinical development and expect to continue to do so for the foreseeable future, and we will rely on Takeda and other third parties to produce commercial supplies of vonoprazan drug substance and drug product, as well as on Sandoz for commercial supplies of amoxicillin and clarithromycin for our convenience packs. This reliance on third parties increases the risk that we will not have sufficient quantities of vonoprazan, amoxicillin, and/or clarithromycin, which could delay, prevent or impair our development or commercialization efforts.</w:t>
      </w:r>
    </w:p>
    <w:p>
      <w:pPr>
        <w:spacing w:after="0" w:line="110" w:lineRule="exact"/>
        <w:rPr>
          <w:sz w:val="20"/>
          <w:szCs w:val="20"/>
          <w:color w:val="auto"/>
        </w:rPr>
      </w:pPr>
    </w:p>
    <w:p>
      <w:pPr>
        <w:ind w:firstLine="589"/>
        <w:spacing w:after="0" w:line="270" w:lineRule="auto"/>
        <w:rPr>
          <w:sz w:val="20"/>
          <w:szCs w:val="20"/>
          <w:color w:val="auto"/>
        </w:rPr>
      </w:pPr>
      <w:r>
        <w:rPr>
          <w:rFonts w:ascii="Arial" w:cs="Arial" w:eastAsia="Arial" w:hAnsi="Arial"/>
          <w:sz w:val="16"/>
          <w:szCs w:val="16"/>
          <w:color w:val="auto"/>
        </w:rPr>
        <w:t>We do not own or operate manufacturing facilities and have no plans to build our own clinical or commercial scale manufacturing capabilities. Pursuant to the Takeda License, we entered into a clinical manufacturing and supply agreement with Takeda for the supply of vonoprazan for our clinical trials. In addition, we entered into a commercial supply agreement with Takeda for the commercial supply of bulk drug product and/or drug substance, and a commercial supply and packaging agreement with Sandoz for commercial supply of amoxicillin, clarithromycin and finished convenience packs containing vonoprazan and one or both of those antibiotics. As a result, we currently rely, and expect to continue to rely, on third parties for the manufacture of vonoprazan and related raw materials for clinical development and commercial supply. If either Takeda or Sandoz fails to fulfill its obligations under its respective supply agreement(s), or if any of the drug product or drug substance supplied by Takeda cannot be utilized due to quality or cGMP concerns, adverse findings during regulatory inspections or other reasons, our development plans and commercialization of vonoprazan, if approved, could be significantly delayed or otherwise adversely affected. The facilities used by Takeda to manufacture vonoprazan and by Sandoz to manufacture amoxicillin and clarithromycin and to package the antibiotics and vonoprazan must be approved by the FDA pursuant to inspections that may be conducted after we submit marketing authorizations to the FDA and comparable foreign regulatory authorities. We do not control the manufacturing process of, and are completely dependent on, Takeda and Sandoz for compliance with applicable cGMP requirements. If Takeda, Sandoz, or any other third-party manufacturer we contract with in the future, cannot successfully manufacture material that conforms to our specifications and the strict regulatory requirements of the FDA or others, including requirements related to the manufacturing of high potency compounds, they will not be able to secure and/or maintain regulatory approval for their manufacturing facilities. In addition, we have no control over Takeda’s, Sandoz’s or any other third-party manufacturer’s ability to maintain adequate quality control, quality assurance and qualified personnel. If the FDA or a comparable foreign regulatory authority does not approve of facilities of the third-party manufacturer for the manufacture of vonoprazan or if it withdraws any such approval in the future, we may need to find alternative manufacturing facilities, which would significantly impact our ability to develop, obtain regulatory approval for or market vonoprazan, if approved. For example, in June 2020, the FDA issued a warning letter to Takeda following a routine inspection of aseptic (sterile) drug product manufacturing at Takeda’s manufacturing facility located in Hikari, Yamaguchi (the “Hikari Facility”). Although it is not an aseptic product, Takeda also manufactures vonoprazan drug substance and drug product at the Hikari Facility. The warning letter indicated that the FDA was not satisfied with Takeda’s response to an FDA Form 483 issued to Takeda following the inspection and cited significant violations of cGMP for finished aseptic pharmaceuticals. The Hikari Facility is one of two contract manufacturing sites and/or organizations that we expect to include in our initial regulatory filings for the manufacture of each of vonoprazan drug product and drug substance. Even though Takeda has not yet fully-resolved the issues relating to the Hikari Facility, we have not experienced any clinical supply constraints to date as a result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65" w:name="page66"/>
    <w:bookmarkEnd w:id="65"/>
    <w:p>
      <w:pPr>
        <w:spacing w:after="0" w:line="296" w:lineRule="auto"/>
        <w:rPr>
          <w:sz w:val="20"/>
          <w:szCs w:val="20"/>
          <w:color w:val="auto"/>
        </w:rPr>
      </w:pPr>
      <w:r>
        <w:rPr>
          <w:rFonts w:ascii="Arial" w:cs="Arial" w:eastAsia="Arial" w:hAnsi="Arial"/>
          <w:sz w:val="15"/>
          <w:szCs w:val="15"/>
          <w:color w:val="auto"/>
        </w:rPr>
        <w:t>of these issues. We currently do not expect the issues relating to the Hikari Facility will have an effect on our ongoing or future clinical trials and we anticipate including the Hikari Facility in our currently planned regulatory submissions. If Takeda fails to resolve these issues, however, FDA may not approve Hikari for the manufacture of vonoprazan drug product or drug substance, which could significantly impact our ability to obtain regulatory approval for or commercialize vonoprazan, if approved. Our failure, or Takeda’s, Sandoz’s or any other third-party manufacturer’s failure,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Furthermore, Takeda may choose to prioritize the manufacture of vonoprazan for its markets over the manufacture of vonoprazan for our licensed markets.</w:t>
      </w:r>
    </w:p>
    <w:p>
      <w:pPr>
        <w:spacing w:after="0" w:line="130" w:lineRule="exact"/>
        <w:rPr>
          <w:sz w:val="20"/>
          <w:szCs w:val="20"/>
          <w:color w:val="auto"/>
        </w:rPr>
      </w:pPr>
    </w:p>
    <w:p>
      <w:pPr>
        <w:ind w:right="420" w:firstLine="589"/>
        <w:spacing w:after="0" w:line="310" w:lineRule="auto"/>
        <w:rPr>
          <w:sz w:val="20"/>
          <w:szCs w:val="20"/>
          <w:color w:val="auto"/>
        </w:rPr>
      </w:pPr>
      <w:r>
        <w:rPr>
          <w:rFonts w:ascii="Arial" w:cs="Arial" w:eastAsia="Arial" w:hAnsi="Arial"/>
          <w:sz w:val="16"/>
          <w:szCs w:val="16"/>
          <w:color w:val="auto"/>
        </w:rPr>
        <w:t>Our or Takeda’s or Sandoz’s failure, or the failure of any future third-party manufacturer, to execute on our manufacturing requirements, to do so on commercially reasonable terms and comply with cGMP could adversely affect our business in a number of ways, including:</w:t>
      </w:r>
    </w:p>
    <w:p>
      <w:pPr>
        <w:spacing w:after="0" w:line="103" w:lineRule="exact"/>
        <w:rPr>
          <w:sz w:val="20"/>
          <w:szCs w:val="20"/>
          <w:color w:val="auto"/>
        </w:rPr>
      </w:pPr>
    </w:p>
    <w:p>
      <w:pPr>
        <w:ind w:left="1000" w:hanging="419"/>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 inability to initiate and continue clinical trials of vonoprazan or any future product candidates;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 in submitting regulatory applications, or receiving marketing approvals, for vonoprazan and any future product candidates;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subjecting third-party manufacturing facilities or our manufacturing facilities to additional inspections by regulatory authorities;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requirements to cease development or to recall batches of vonoprazan and any future product candidates; and</w:t>
      </w:r>
    </w:p>
    <w:p>
      <w:pPr>
        <w:spacing w:after="0" w:line="177" w:lineRule="exact"/>
        <w:rPr>
          <w:rFonts w:ascii="Arial" w:cs="Arial" w:eastAsia="Arial" w:hAnsi="Arial"/>
          <w:sz w:val="17"/>
          <w:szCs w:val="17"/>
          <w:color w:val="auto"/>
        </w:rPr>
      </w:pPr>
    </w:p>
    <w:p>
      <w:pPr>
        <w:ind w:left="1000" w:right="240" w:hanging="419"/>
        <w:spacing w:after="0" w:line="27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vonoprazan or any future product candidates, an inability to meet commercial demands for vonoprazan or any future product candidates.</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Reliance on third-party manufacturers entails additional risks, including:</w:t>
      </w:r>
    </w:p>
    <w:p>
      <w:pPr>
        <w:spacing w:after="0" w:line="177" w:lineRule="exact"/>
        <w:rPr>
          <w:sz w:val="20"/>
          <w:szCs w:val="20"/>
          <w:color w:val="auto"/>
        </w:rPr>
      </w:pPr>
    </w:p>
    <w:p>
      <w:pPr>
        <w:ind w:left="1000" w:hanging="419"/>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failure of third-party manufacturers to comply with regulatory requirements and maintain quality assurance;</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breach of the manufacturing agreement by the third party;</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failure to manufacture our product according to our specifications;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failure to manufacture our product according to our schedule or at all;</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misappropriation of our proprietary information, including our trade secrets and know-how;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termination or nonrenewal of the agreement by the third party at a time that is costly or inconvenient for us.</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Vonoprazan and any products that we may develop may compete with other product candidates and products for access to manufacturing facilities.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Moreover, there may be a limited number of manufacturers that operate under cGMP regulations and that might be capable of manufacturing for us.</w:t>
      </w: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60"/>
          </w:cols>
          <w:pgMar w:left="320" w:top="294" w:right="419" w:bottom="1440" w:gutter="0" w:footer="0" w:header="0"/>
        </w:sectPr>
      </w:pPr>
    </w:p>
    <w:bookmarkStart w:id="66" w:name="page67"/>
    <w:bookmarkEnd w:id="66"/>
    <w:p>
      <w:pPr>
        <w:ind w:right="20" w:firstLine="589"/>
        <w:spacing w:after="0" w:line="256" w:lineRule="auto"/>
        <w:rPr>
          <w:sz w:val="20"/>
          <w:szCs w:val="20"/>
          <w:color w:val="auto"/>
        </w:rPr>
      </w:pPr>
      <w:r>
        <w:rPr>
          <w:rFonts w:ascii="Arial" w:cs="Arial" w:eastAsia="Arial" w:hAnsi="Arial"/>
          <w:sz w:val="17"/>
          <w:szCs w:val="17"/>
          <w:color w:val="auto"/>
        </w:rPr>
        <w:t>Any performance failure on the part of Takeda, Sandoz or any future manufacturers could delay clinical development or marketing approval, and any related remedial measures may be costly or time consuming to implement. We do not currently have arrangements in place for redundant supply or a second source for all required raw materials used in the manufacture of vonoprazan and any future product candidates. If Takeda or Sandoz cannot perform as agreed, we may be required to replace them and we may be unable to replace them on a timely basis or at all. Further, Takeda, Sandoz and any other third-party manufacturers we may use may experience manufacturing or shipping difficulties due to resource constraints or as a result of natural disasters, labor disputes, unstable political environments, or public health emergencies such as the COVID-19 outbreak. If Takeda, Sandoz or other third-party manufacturers were to encounter any manufacturing or shipping difficulties or delays due to these factors, our ability to provide vonoprazan to patients in clinical trials, or to provide product for treatment of patients if approved, would be jeopardized.</w:t>
      </w:r>
    </w:p>
    <w:p>
      <w:pPr>
        <w:spacing w:after="0" w:line="156" w:lineRule="exact"/>
        <w:rPr>
          <w:sz w:val="20"/>
          <w:szCs w:val="20"/>
          <w:color w:val="auto"/>
        </w:rPr>
      </w:pPr>
    </w:p>
    <w:p>
      <w:pPr>
        <w:ind w:right="80" w:firstLine="589"/>
        <w:spacing w:after="0" w:line="310" w:lineRule="auto"/>
        <w:rPr>
          <w:sz w:val="20"/>
          <w:szCs w:val="20"/>
          <w:color w:val="auto"/>
        </w:rPr>
      </w:pPr>
      <w:r>
        <w:rPr>
          <w:rFonts w:ascii="Arial" w:cs="Arial" w:eastAsia="Arial" w:hAnsi="Arial"/>
          <w:sz w:val="16"/>
          <w:szCs w:val="16"/>
          <w:color w:val="auto"/>
        </w:rPr>
        <w:t>Our current and anticipated future dependence upon others for the manufacture of vonoprazan or any future product candidates or products may adversely affect our future profit margins and our ability to commercialize any products that receive marketing approval on a timely and competitive basis.</w:t>
      </w:r>
    </w:p>
    <w:p>
      <w:pPr>
        <w:spacing w:after="0" w:line="103" w:lineRule="exact"/>
        <w:rPr>
          <w:sz w:val="20"/>
          <w:szCs w:val="20"/>
          <w:color w:val="auto"/>
        </w:rPr>
      </w:pPr>
    </w:p>
    <w:p>
      <w:pPr>
        <w:ind w:right="240" w:firstLine="589"/>
        <w:spacing w:after="0" w:line="278" w:lineRule="auto"/>
        <w:rPr>
          <w:sz w:val="20"/>
          <w:szCs w:val="20"/>
          <w:color w:val="auto"/>
        </w:rPr>
      </w:pPr>
      <w:r>
        <w:rPr>
          <w:rFonts w:ascii="Arial" w:cs="Arial" w:eastAsia="Arial" w:hAnsi="Arial"/>
          <w:sz w:val="17"/>
          <w:szCs w:val="17"/>
          <w:b w:val="1"/>
          <w:bCs w:val="1"/>
          <w:i w:val="1"/>
          <w:iCs w:val="1"/>
          <w:color w:val="auto"/>
        </w:rPr>
        <w:t>Our reliance on third parties, including Takeda, requires us to share our trade secrets, which increases the possibility that a competitor will discover them or that our trade secrets will be misappropriated or disclosed.</w:t>
      </w:r>
    </w:p>
    <w:p>
      <w:pPr>
        <w:spacing w:after="0" w:line="125" w:lineRule="exact"/>
        <w:rPr>
          <w:sz w:val="20"/>
          <w:szCs w:val="20"/>
          <w:color w:val="auto"/>
        </w:rPr>
      </w:pPr>
    </w:p>
    <w:p>
      <w:pPr>
        <w:ind w:firstLine="589"/>
        <w:spacing w:after="0" w:line="273" w:lineRule="auto"/>
        <w:rPr>
          <w:sz w:val="20"/>
          <w:szCs w:val="20"/>
          <w:color w:val="auto"/>
        </w:rPr>
      </w:pPr>
      <w:r>
        <w:rPr>
          <w:rFonts w:ascii="Arial" w:cs="Arial" w:eastAsia="Arial" w:hAnsi="Arial"/>
          <w:sz w:val="16"/>
          <w:szCs w:val="16"/>
          <w:color w:val="auto"/>
        </w:rPr>
        <w:t>Because we currently rely on Takeda to manufacture vonoprazan and to perform quality testing, we must, at times, share our proprietary technology and confidential information, including trade secrets, with them. We seek to protect our proprietary technology, in part, by entering into confidentiality agreements, consulting agreements or other similar agreements with our advisors, employees and consultants prior to beginning research or disclosing proprietary information. These agreements typically limit the rights of the third parties to use or disclose our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a competitor’s discovery of our proprietary technology and confidential information or other unauthorized use or disclosure would impair our competitive position and may have a material adverse effect on our business, financial condition, results of operations and prospects.</w:t>
      </w:r>
    </w:p>
    <w:p>
      <w:pPr>
        <w:spacing w:after="0" w:line="147" w:lineRule="exact"/>
        <w:rPr>
          <w:sz w:val="20"/>
          <w:szCs w:val="20"/>
          <w:color w:val="auto"/>
        </w:rPr>
      </w:pPr>
    </w:p>
    <w:p>
      <w:pPr>
        <w:ind w:right="500"/>
        <w:spacing w:after="0" w:line="278" w:lineRule="auto"/>
        <w:rPr>
          <w:sz w:val="20"/>
          <w:szCs w:val="20"/>
          <w:color w:val="auto"/>
        </w:rPr>
      </w:pPr>
      <w:r>
        <w:rPr>
          <w:rFonts w:ascii="Arial" w:cs="Arial" w:eastAsia="Arial" w:hAnsi="Arial"/>
          <w:sz w:val="17"/>
          <w:szCs w:val="17"/>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25" w:lineRule="exact"/>
        <w:rPr>
          <w:sz w:val="20"/>
          <w:szCs w:val="20"/>
          <w:color w:val="auto"/>
        </w:rPr>
      </w:pPr>
    </w:p>
    <w:p>
      <w:pPr>
        <w:ind w:firstLine="589"/>
        <w:spacing w:after="0" w:line="274" w:lineRule="auto"/>
        <w:rPr>
          <w:sz w:val="20"/>
          <w:szCs w:val="20"/>
          <w:color w:val="auto"/>
        </w:rPr>
      </w:pPr>
      <w:r>
        <w:rPr>
          <w:rFonts w:ascii="Arial" w:cs="Arial" w:eastAsia="Arial" w:hAnsi="Arial"/>
          <w:sz w:val="16"/>
          <w:szCs w:val="16"/>
          <w:color w:val="auto"/>
        </w:rPr>
        <w:t>We may seek to enter into collaborations, joint ventures, licenses and other similar arrangements for the development or commercialization of vonoprazan and any future product candidates, due to capital costs required to develop or commercialize vonoprazan and any future product candidates or manufacturing constraints. We may not be successful in our efforts to establish such collaborations for vonoprazan and any future product candidates because vonoprazan and any future product candidates may be deemed to be at too early of a stage of development for collaborative effort or third parties may not view vonoprazan and any future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spacing w:after="0" w:line="131" w:lineRule="exact"/>
        <w:rPr>
          <w:sz w:val="20"/>
          <w:szCs w:val="20"/>
          <w:color w:val="auto"/>
        </w:rPr>
      </w:pPr>
    </w:p>
    <w:p>
      <w:pPr>
        <w:jc w:val="both"/>
        <w:ind w:right="120" w:firstLine="589"/>
        <w:spacing w:after="0" w:line="265"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49" w:lineRule="exact"/>
        <w:rPr>
          <w:sz w:val="20"/>
          <w:szCs w:val="20"/>
          <w:color w:val="auto"/>
        </w:rPr>
      </w:pPr>
    </w:p>
    <w:p>
      <w:pPr>
        <w:ind w:right="120" w:firstLine="589"/>
        <w:spacing w:after="0" w:line="257" w:lineRule="auto"/>
        <w:rPr>
          <w:sz w:val="20"/>
          <w:szCs w:val="20"/>
          <w:color w:val="auto"/>
        </w:rPr>
      </w:pPr>
      <w:r>
        <w:rPr>
          <w:rFonts w:ascii="Arial" w:cs="Arial" w:eastAsia="Arial" w:hAnsi="Arial"/>
          <w:sz w:val="17"/>
          <w:szCs w:val="17"/>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vonoprazan and any future product candidates, if approved, and may not conduct those activities in the same manner as we do. Any termination of collaborations we enter into in the future, or any delay in entering into collaborations related to vonoprazan or any future product candidates, could delay the development and commercialization of vonoprazan or any future product candidates and reduce their competitiveness if they reach the market, which could have a material adverse effect on our business, financial condition and results of operations.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Risks Related to Commercialization of Vonoprazan and Any Future Product Candidates</w:t>
      </w:r>
    </w:p>
    <w:p>
      <w:pPr>
        <w:spacing w:after="0" w:line="196" w:lineRule="exact"/>
        <w:rPr>
          <w:sz w:val="20"/>
          <w:szCs w:val="20"/>
          <w:color w:val="auto"/>
        </w:rPr>
      </w:pPr>
    </w:p>
    <w:p>
      <w:pPr>
        <w:ind w:right="160"/>
        <w:spacing w:after="0" w:line="306" w:lineRule="auto"/>
        <w:rPr>
          <w:sz w:val="20"/>
          <w:szCs w:val="20"/>
          <w:color w:val="auto"/>
        </w:rPr>
      </w:pPr>
      <w:r>
        <w:rPr>
          <w:rFonts w:ascii="Arial" w:cs="Arial" w:eastAsia="Arial" w:hAnsi="Arial"/>
          <w:sz w:val="15"/>
          <w:szCs w:val="15"/>
          <w:b w:val="1"/>
          <w:bCs w:val="1"/>
          <w:i w:val="1"/>
          <w:iCs w:val="1"/>
          <w:color w:val="auto"/>
        </w:rPr>
        <w:t>Even if we receive regulatory approval for vonoprazan and any future product candidates, we will be subject to ongoing regulatory obligations and continued regulatory review, which may result in significant additional expense. Additionally, vonoprazan and any future product candidates, if approved, could be subject to labeling and other restrictions on marketing or withdrawal from the market, and we may be subject to penalties if we fail to comply with regulatory requirements or if we experience unanticipated problems with vonoprazan and any future product candidates, if approved.</w:t>
      </w:r>
    </w:p>
    <w:p>
      <w:pPr>
        <w:spacing w:after="0" w:line="110" w:lineRule="exact"/>
        <w:rPr>
          <w:sz w:val="20"/>
          <w:szCs w:val="20"/>
          <w:color w:val="auto"/>
        </w:rPr>
      </w:pPr>
    </w:p>
    <w:p>
      <w:pPr>
        <w:ind w:right="40" w:firstLine="589"/>
        <w:spacing w:after="0" w:line="272" w:lineRule="auto"/>
        <w:rPr>
          <w:sz w:val="20"/>
          <w:szCs w:val="20"/>
          <w:color w:val="auto"/>
        </w:rPr>
      </w:pPr>
      <w:r>
        <w:rPr>
          <w:rFonts w:ascii="Arial" w:cs="Arial" w:eastAsia="Arial" w:hAnsi="Arial"/>
          <w:sz w:val="16"/>
          <w:szCs w:val="16"/>
          <w:color w:val="auto"/>
        </w:rPr>
        <w:t>Following potential approval of vonoprazan or any future product candidates, the FDA, EMA or other comparable regulatory authority may impose significant restrictions on a product’s indicated uses or marketing or impose ongoing requirements for potentially costly and time-consuming post-approval studies, post-market surveillance or clinical trials to monitor the safety and efficacy of the product. The FDA may also require a REMS as a condition of approval of vonoprazan or any future product candidates, which could include requirements for a medication guide, physician communication plans or additional elements to ensure safe use, such as restricted distribution methods, patient registries and other risk minimization tools. In addition, if the FDA, EMA or a comparable foreign regulatory authority approves vonoprazan or any future product candidates,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cGMPs and GCP requirements for any clinical trials that we conduct post-approval. Later discovery of previously unknown problems with our products, including adverse events of unanticipated severity or frequency, or with our third-party manufacturers or manufacturing processes, or failure to comply with regulatory requirements, may result in, among other things:</w:t>
      </w:r>
    </w:p>
    <w:p>
      <w:pPr>
        <w:spacing w:after="0" w:line="135" w:lineRule="exact"/>
        <w:rPr>
          <w:sz w:val="20"/>
          <w:szCs w:val="20"/>
          <w:color w:val="auto"/>
        </w:rPr>
      </w:pPr>
    </w:p>
    <w:p>
      <w:pPr>
        <w:ind w:left="1000" w:hanging="419"/>
        <w:spacing w:after="0"/>
        <w:tabs>
          <w:tab w:leader="none" w:pos="10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restrictions on the marketing or manufacturing of our products, withdrawal of the product from the market or voluntary or mandatory product recalls;</w:t>
      </w:r>
    </w:p>
    <w:p>
      <w:pPr>
        <w:spacing w:after="0" w:line="200" w:lineRule="exact"/>
        <w:rPr>
          <w:rFonts w:ascii="Arial" w:cs="Arial" w:eastAsia="Arial" w:hAnsi="Arial"/>
          <w:sz w:val="15"/>
          <w:szCs w:val="15"/>
          <w:color w:val="auto"/>
        </w:rPr>
      </w:pPr>
    </w:p>
    <w:p>
      <w:pPr>
        <w:ind w:left="1000" w:hanging="419"/>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restrictions on product distribution or use, or requirements to conduct post-marketing studies or clinical trials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fines, restitutions, disgorgement of profits or revenues, warning letters, untitled letters or holds on clinical trials;</w:t>
      </w:r>
    </w:p>
    <w:p>
      <w:pPr>
        <w:spacing w:after="0" w:line="177" w:lineRule="exact"/>
        <w:rPr>
          <w:rFonts w:ascii="Arial" w:cs="Arial" w:eastAsia="Arial" w:hAnsi="Arial"/>
          <w:sz w:val="17"/>
          <w:szCs w:val="17"/>
          <w:color w:val="auto"/>
        </w:rPr>
      </w:pPr>
    </w:p>
    <w:p>
      <w:pPr>
        <w:ind w:left="1000" w:right="140" w:hanging="419"/>
        <w:spacing w:after="0" w:line="278"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refusal by the FDA or comparable foreign regulatory authority to approve pending applications or supplements to approved applications filed by us or suspension or revocation of approvals;</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product seizure or detention, or refusal to permit the import or export of our products;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177" w:lineRule="exact"/>
        <w:rPr>
          <w:sz w:val="20"/>
          <w:szCs w:val="20"/>
          <w:color w:val="auto"/>
        </w:rPr>
      </w:pPr>
    </w:p>
    <w:p>
      <w:pPr>
        <w:ind w:right="520" w:firstLine="589"/>
        <w:spacing w:after="0" w:line="310" w:lineRule="auto"/>
        <w:rPr>
          <w:sz w:val="20"/>
          <w:szCs w:val="20"/>
          <w:color w:val="auto"/>
        </w:rPr>
      </w:pPr>
      <w:r>
        <w:rPr>
          <w:rFonts w:ascii="Arial" w:cs="Arial" w:eastAsia="Arial" w:hAnsi="Arial"/>
          <w:sz w:val="16"/>
          <w:szCs w:val="16"/>
          <w:color w:val="auto"/>
        </w:rPr>
        <w:t>The occurrence of any event or penalty described above may inhibit our ability to commercialize vonoprazan and any future product candidates and generate revenue and could require us to expend significant time and resources in response and could generate negative publicity.</w:t>
      </w:r>
    </w:p>
    <w:p>
      <w:pPr>
        <w:spacing w:after="0" w:line="116" w:lineRule="exact"/>
        <w:rPr>
          <w:sz w:val="20"/>
          <w:szCs w:val="20"/>
          <w:color w:val="auto"/>
        </w:rPr>
      </w:pPr>
    </w:p>
    <w:p>
      <w:pPr>
        <w:ind w:firstLine="589"/>
        <w:spacing w:after="0" w:line="293" w:lineRule="auto"/>
        <w:rPr>
          <w:sz w:val="20"/>
          <w:szCs w:val="20"/>
          <w:color w:val="auto"/>
        </w:rPr>
      </w:pPr>
      <w:r>
        <w:rPr>
          <w:rFonts w:ascii="Arial" w:cs="Arial" w:eastAsia="Arial" w:hAnsi="Arial"/>
          <w:sz w:val="15"/>
          <w:szCs w:val="15"/>
          <w:color w:val="auto"/>
        </w:rPr>
        <w:t>In addition, if vonoprazan or any future product candidate is approved, our product labeling, advertising and promotion will be subject to regulatory requirements and continuing regulatory review. The FDA strictly regulates the promotional claims that may be made about drug products. In particular, a product may not be promoted for uses that are not approved by the FDA as reflected in the product’s approved labeling. However, companies may share truthful and not misleading information that is otherwise consistent with a product’s FDA approved labeling. If we receive marketing approval for vonoprazan or any future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68" w:name="page69"/>
    <w:bookmarkEnd w:id="68"/>
    <w:p>
      <w:pPr>
        <w:jc w:val="both"/>
        <w:ind w:right="80" w:firstLine="589"/>
        <w:spacing w:after="0" w:line="261"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vonoprazan and any future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2" w:lineRule="exact"/>
        <w:rPr>
          <w:sz w:val="20"/>
          <w:szCs w:val="20"/>
          <w:color w:val="auto"/>
        </w:rPr>
      </w:pPr>
    </w:p>
    <w:p>
      <w:pPr>
        <w:ind w:firstLine="589"/>
        <w:spacing w:after="0" w:line="294" w:lineRule="auto"/>
        <w:rPr>
          <w:sz w:val="20"/>
          <w:szCs w:val="20"/>
          <w:color w:val="auto"/>
        </w:rPr>
      </w:pPr>
      <w:r>
        <w:rPr>
          <w:rFonts w:ascii="Arial" w:cs="Arial" w:eastAsia="Arial" w:hAnsi="Arial"/>
          <w:sz w:val="15"/>
          <w:szCs w:val="15"/>
          <w:color w:val="auto"/>
        </w:rPr>
        <w:t>We also cannot predict the likelihood, nature or extent of government regulation that may arise from future legislation or administrative or executive action, either in the United States or internationally. The policies of the FDA and of other regulatory authorities may change and additional governmental regulations may be enacted that could prevent, limit or delay regulatory approval of vonoprazan or any future product candidates. For example, certain policies of the current U.S. administration may impact our business and industry. Namely, the previous U.S. administration took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or whether these executive actions, including the Executive Orders, will be implemented, or whether they will be rescinded or replaced by the new U.S. administration. The policies and priorities of the new administration are unknown and could materially impact the regulation of our business.</w:t>
      </w:r>
    </w:p>
    <w:p>
      <w:pPr>
        <w:spacing w:after="0" w:line="121" w:lineRule="exact"/>
        <w:rPr>
          <w:sz w:val="20"/>
          <w:szCs w:val="20"/>
          <w:color w:val="auto"/>
        </w:rPr>
      </w:pPr>
    </w:p>
    <w:p>
      <w:pPr>
        <w:jc w:val="both"/>
        <w:ind w:right="260" w:firstLine="589"/>
        <w:spacing w:after="0" w:line="265" w:lineRule="auto"/>
        <w:rPr>
          <w:sz w:val="20"/>
          <w:szCs w:val="20"/>
          <w:color w:val="auto"/>
        </w:rPr>
      </w:pPr>
      <w:r>
        <w:rPr>
          <w:rFonts w:ascii="Arial" w:cs="Arial" w:eastAsia="Arial" w:hAnsi="Arial"/>
          <w:sz w:val="17"/>
          <w:szCs w:val="17"/>
          <w:color w:val="auto"/>
        </w:rPr>
        <w:t>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36" w:lineRule="exact"/>
        <w:rPr>
          <w:sz w:val="20"/>
          <w:szCs w:val="20"/>
          <w:color w:val="auto"/>
        </w:rPr>
      </w:pPr>
    </w:p>
    <w:p>
      <w:pPr>
        <w:ind w:right="120" w:firstLine="589"/>
        <w:spacing w:after="0" w:line="278" w:lineRule="auto"/>
        <w:rPr>
          <w:sz w:val="20"/>
          <w:szCs w:val="20"/>
          <w:color w:val="auto"/>
        </w:rPr>
      </w:pPr>
      <w:r>
        <w:rPr>
          <w:rFonts w:ascii="Arial" w:cs="Arial" w:eastAsia="Arial" w:hAnsi="Arial"/>
          <w:sz w:val="17"/>
          <w:szCs w:val="17"/>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138"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b w:val="1"/>
          <w:bCs w:val="1"/>
          <w:i w:val="1"/>
          <w:iCs w:val="1"/>
          <w:color w:val="auto"/>
        </w:rPr>
        <w:t>The commercial success of vonoprazan or any future product candidates will depend upon the degree of market acceptance of such product candidates by physicians, patients, healthcare payors and others in the medical community.</w:t>
      </w:r>
    </w:p>
    <w:p>
      <w:pPr>
        <w:spacing w:after="0" w:line="125" w:lineRule="exact"/>
        <w:rPr>
          <w:sz w:val="20"/>
          <w:szCs w:val="20"/>
          <w:color w:val="auto"/>
        </w:rPr>
      </w:pPr>
    </w:p>
    <w:p>
      <w:pPr>
        <w:ind w:right="20" w:firstLine="589"/>
        <w:spacing w:after="0" w:line="265" w:lineRule="auto"/>
        <w:rPr>
          <w:sz w:val="20"/>
          <w:szCs w:val="20"/>
          <w:color w:val="auto"/>
        </w:rPr>
      </w:pPr>
      <w:r>
        <w:rPr>
          <w:rFonts w:ascii="Arial" w:cs="Arial" w:eastAsia="Arial" w:hAnsi="Arial"/>
          <w:sz w:val="17"/>
          <w:szCs w:val="17"/>
          <w:color w:val="auto"/>
        </w:rPr>
        <w:t>Vonoprazan and any future product candidates may not be commercially successful. The commercial success of vonoprazan or any future product candidates, if approved, will depend significantly on the broad adoption and use of such product by physicians and patients for approved indications. The degree of market acceptance of vonoprazan or any future products, if approved, will depend on a number of factors, including:</w:t>
      </w:r>
    </w:p>
    <w:p>
      <w:pPr>
        <w:spacing w:after="0" w:line="136" w:lineRule="exact"/>
        <w:rPr>
          <w:sz w:val="20"/>
          <w:szCs w:val="20"/>
          <w:color w:val="auto"/>
        </w:rPr>
      </w:pPr>
    </w:p>
    <w:p>
      <w:pPr>
        <w:ind w:left="1000" w:hanging="419"/>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demonstration of clinical efficacy and safety compared to other more-established products;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indications for which vonoprazan or any future product candidates are approved;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limitation of our targeted patient population and other limitations or warnings contained in any FDA-approved labeling;</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acceptance of a new drug for the relevant indication by healthcare providers and their patients;</w:t>
      </w:r>
    </w:p>
    <w:p>
      <w:pPr>
        <w:spacing w:after="0" w:line="177" w:lineRule="exact"/>
        <w:rPr>
          <w:rFonts w:ascii="Arial" w:cs="Arial" w:eastAsia="Arial" w:hAnsi="Arial"/>
          <w:sz w:val="17"/>
          <w:szCs w:val="17"/>
          <w:color w:val="auto"/>
        </w:rPr>
      </w:pPr>
    </w:p>
    <w:p>
      <w:pPr>
        <w:ind w:left="1000" w:right="660" w:hanging="419"/>
        <w:spacing w:after="0" w:line="27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pricing and cost-effectiveness of our products, as well as the cost of treatment with our products in relation to alternative treatments and therapies;</w:t>
      </w:r>
    </w:p>
    <w:p>
      <w:pPr>
        <w:spacing w:after="0" w:line="125" w:lineRule="exact"/>
        <w:rPr>
          <w:rFonts w:ascii="Arial" w:cs="Arial" w:eastAsia="Arial" w:hAnsi="Arial"/>
          <w:sz w:val="17"/>
          <w:szCs w:val="17"/>
          <w:color w:val="auto"/>
        </w:rPr>
      </w:pPr>
    </w:p>
    <w:p>
      <w:pPr>
        <w:ind w:left="1000" w:right="380" w:hanging="419"/>
        <w:spacing w:after="0" w:line="27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obtain and maintain sufficient third-party coverage and adequate reimbursement from government healthcare programs, including Medicare and Medicaid, private health insurers and other third-party payors;</w:t>
      </w:r>
    </w:p>
    <w:p>
      <w:pPr>
        <w:spacing w:after="0" w:line="125" w:lineRule="exact"/>
        <w:rPr>
          <w:rFonts w:ascii="Arial" w:cs="Arial" w:eastAsia="Arial" w:hAnsi="Arial"/>
          <w:sz w:val="17"/>
          <w:szCs w:val="17"/>
          <w:color w:val="auto"/>
        </w:rPr>
      </w:pPr>
    </w:p>
    <w:p>
      <w:pPr>
        <w:ind w:left="1000" w:right="620" w:hanging="419"/>
        <w:spacing w:after="0" w:line="27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willingness of patients to pay all, or a portion of, out-of-pocket costs associated with our products in the absence of sufficient third-party coverage or adequate reimbursement;</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69" w:name="page70"/>
    <w:bookmarkEnd w:id="69"/>
    <w:p>
      <w:pPr>
        <w:ind w:left="1000" w:hanging="419"/>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any restrictions on the use of our products, and the prevalence and severity of any adverse effects;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potential product liability claims;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timing of market introduction of our products as well as competitive drugs;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effectiveness of our or any of our potential future collaborators’ sales and marketing strategies;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unfavorable publicity relating to the product.</w:t>
      </w:r>
    </w:p>
    <w:p>
      <w:pPr>
        <w:spacing w:after="0" w:line="177" w:lineRule="exact"/>
        <w:rPr>
          <w:sz w:val="20"/>
          <w:szCs w:val="20"/>
          <w:color w:val="auto"/>
        </w:rPr>
      </w:pPr>
    </w:p>
    <w:p>
      <w:pPr>
        <w:jc w:val="both"/>
        <w:ind w:firstLine="589"/>
        <w:spacing w:after="0" w:line="289" w:lineRule="auto"/>
        <w:rPr>
          <w:sz w:val="20"/>
          <w:szCs w:val="20"/>
          <w:color w:val="auto"/>
        </w:rPr>
      </w:pPr>
      <w:r>
        <w:rPr>
          <w:rFonts w:ascii="Arial" w:cs="Arial" w:eastAsia="Arial" w:hAnsi="Arial"/>
          <w:sz w:val="16"/>
          <w:szCs w:val="16"/>
          <w:color w:val="auto"/>
        </w:rPr>
        <w:t>If vonoprazan or any future product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spacing w:after="0" w:line="132" w:lineRule="exact"/>
        <w:rPr>
          <w:sz w:val="20"/>
          <w:szCs w:val="20"/>
          <w:color w:val="auto"/>
        </w:rPr>
      </w:pPr>
    </w:p>
    <w:p>
      <w:pPr>
        <w:ind w:firstLine="589"/>
        <w:spacing w:after="0" w:line="274" w:lineRule="auto"/>
        <w:rPr>
          <w:sz w:val="20"/>
          <w:szCs w:val="20"/>
          <w:color w:val="auto"/>
        </w:rPr>
      </w:pPr>
      <w:r>
        <w:rPr>
          <w:rFonts w:ascii="Arial" w:cs="Arial" w:eastAsia="Arial" w:hAnsi="Arial"/>
          <w:sz w:val="16"/>
          <w:szCs w:val="16"/>
          <w:color w:val="auto"/>
        </w:rPr>
        <w:t>With respect to vonoprazan, Takeda has the right to develop and commercialize the product outside of the United States, Europe, and Canada and has received marketing approval for vonoprazan in certain countries in Asia and Latin America. We have little or no control over Takeda’s commercialization activities with respect to vonoprazan outside of our licensed territories even though those activities could impact our ability to successfully commercialize vonoprazan. For example, Takeda can make statements or use promotional materials with respect to vonoprazan outside of our licensed territories that are inconsistent with our positioning of the product in the United States, Europe, and Canada, and could sell vonoprazan in foreign countries at prices that are dramatically lower than the prices we would charge in our licensed territories. These activities and decisions, while occurring outside of our licensed territories, could harm our commercialization strategy. In addition, product recalls or safety issues with vonoprazan outside our licensed territories could result in serious damage to the brand and impair our ability to successfully market vonoprazan in our licensed territories.</w:t>
      </w:r>
    </w:p>
    <w:p>
      <w:pPr>
        <w:spacing w:after="0" w:line="131"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125" w:lineRule="exact"/>
        <w:rPr>
          <w:sz w:val="20"/>
          <w:szCs w:val="20"/>
          <w:color w:val="auto"/>
        </w:rPr>
      </w:pPr>
    </w:p>
    <w:p>
      <w:pPr>
        <w:ind w:right="40" w:firstLine="589"/>
        <w:spacing w:after="0" w:line="274"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as vonoprazan and any future product candidates would be,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vonoprazan or any future product candidates, if approved, we could become subject to significant liability, which would materially adversely affect our business and financial condition.</w:t>
      </w:r>
    </w:p>
    <w:p>
      <w:pPr>
        <w:spacing w:after="0" w:line="144" w:lineRule="exact"/>
        <w:rPr>
          <w:sz w:val="20"/>
          <w:szCs w:val="20"/>
          <w:color w:val="auto"/>
        </w:rPr>
      </w:pPr>
    </w:p>
    <w:p>
      <w:pPr>
        <w:ind w:right="140"/>
        <w:spacing w:after="0" w:line="316" w:lineRule="auto"/>
        <w:rPr>
          <w:sz w:val="20"/>
          <w:szCs w:val="20"/>
          <w:color w:val="auto"/>
        </w:rPr>
      </w:pPr>
      <w:r>
        <w:rPr>
          <w:rFonts w:ascii="Arial" w:cs="Arial" w:eastAsia="Arial" w:hAnsi="Arial"/>
          <w:sz w:val="15"/>
          <w:szCs w:val="15"/>
          <w:b w:val="1"/>
          <w:bCs w:val="1"/>
          <w:i w:val="1"/>
          <w:iCs w:val="1"/>
          <w:color w:val="auto"/>
        </w:rPr>
        <w:t>The successful commercialization of vonoprazan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02" w:lineRule="exact"/>
        <w:rPr>
          <w:sz w:val="20"/>
          <w:szCs w:val="20"/>
          <w:color w:val="auto"/>
        </w:rPr>
      </w:pPr>
    </w:p>
    <w:p>
      <w:pPr>
        <w:ind w:right="140" w:firstLine="589"/>
        <w:spacing w:after="0" w:line="256" w:lineRule="auto"/>
        <w:rPr>
          <w:sz w:val="20"/>
          <w:szCs w:val="20"/>
          <w:color w:val="auto"/>
        </w:rPr>
      </w:pPr>
      <w:r>
        <w:rPr>
          <w:rFonts w:ascii="Arial" w:cs="Arial" w:eastAsia="Arial" w:hAnsi="Arial"/>
          <w:sz w:val="17"/>
          <w:szCs w:val="17"/>
          <w:color w:val="auto"/>
        </w:rPr>
        <w:t>The availability of coverage and the adequacy of reimbursement by governmental healthcare programs, such as Medicare and Medicaid, private health insurers and other third-party payors are essential for most patients to be able to afford prescription medications such as vonoprazan or any future product candidate, if approved. Our ability to achieve coverage and acceptable levels of reimbursement for our products by third-party payors will have an effect on our ability to successfully commercialize those products. Even if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70" w:name="page71"/>
    <w:bookmarkEnd w:id="70"/>
    <w:p>
      <w:pPr>
        <w:ind w:right="100" w:firstLine="589"/>
        <w:spacing w:after="0" w:line="256" w:lineRule="auto"/>
        <w:rPr>
          <w:sz w:val="20"/>
          <w:szCs w:val="20"/>
          <w:color w:val="auto"/>
        </w:rPr>
      </w:pPr>
      <w:r>
        <w:rPr>
          <w:rFonts w:ascii="Arial" w:cs="Arial" w:eastAsia="Arial" w:hAnsi="Arial"/>
          <w:sz w:val="17"/>
          <w:szCs w:val="17"/>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w:t>
      </w:r>
    </w:p>
    <w:p>
      <w:pPr>
        <w:spacing w:after="0" w:line="156" w:lineRule="exact"/>
        <w:rPr>
          <w:sz w:val="20"/>
          <w:szCs w:val="20"/>
          <w:color w:val="auto"/>
        </w:rPr>
      </w:pPr>
    </w:p>
    <w:p>
      <w:pPr>
        <w:ind w:firstLine="589"/>
        <w:spacing w:after="0" w:line="258"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products.</w:t>
      </w:r>
    </w:p>
    <w:p>
      <w:pPr>
        <w:spacing w:after="0" w:line="144" w:lineRule="exact"/>
        <w:rPr>
          <w:sz w:val="20"/>
          <w:szCs w:val="20"/>
          <w:color w:val="auto"/>
        </w:rPr>
      </w:pPr>
    </w:p>
    <w:p>
      <w:pPr>
        <w:ind w:right="160" w:firstLine="589"/>
        <w:spacing w:after="0" w:line="256" w:lineRule="auto"/>
        <w:rPr>
          <w:sz w:val="20"/>
          <w:szCs w:val="20"/>
          <w:color w:val="auto"/>
        </w:rPr>
      </w:pPr>
      <w:r>
        <w:rPr>
          <w:rFonts w:ascii="Arial" w:cs="Arial" w:eastAsia="Arial" w:hAnsi="Arial"/>
          <w:sz w:val="17"/>
          <w:szCs w:val="17"/>
          <w:color w:val="auto"/>
        </w:rPr>
        <w:t>Obtaining and maintaining reimbursement status is time 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47" w:lineRule="exact"/>
        <w:rPr>
          <w:sz w:val="20"/>
          <w:szCs w:val="20"/>
          <w:color w:val="auto"/>
        </w:rPr>
      </w:pPr>
    </w:p>
    <w:p>
      <w:pPr>
        <w:ind w:right="20" w:firstLine="589"/>
        <w:spacing w:after="0" w:line="298" w:lineRule="auto"/>
        <w:rPr>
          <w:sz w:val="20"/>
          <w:szCs w:val="20"/>
          <w:color w:val="auto"/>
        </w:rPr>
      </w:pPr>
      <w:r>
        <w:rPr>
          <w:rFonts w:ascii="Arial" w:cs="Arial" w:eastAsia="Arial" w:hAnsi="Arial"/>
          <w:sz w:val="15"/>
          <w:szCs w:val="15"/>
          <w:color w:val="auto"/>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the reimbursement for our products may be reduced compared with the United States and may be insufficient to generate commercially reasonable revenue and profits.</w:t>
      </w:r>
    </w:p>
    <w:p>
      <w:pPr>
        <w:spacing w:after="0" w:line="128" w:lineRule="exact"/>
        <w:rPr>
          <w:sz w:val="20"/>
          <w:szCs w:val="20"/>
          <w:color w:val="auto"/>
        </w:rPr>
      </w:pPr>
    </w:p>
    <w:p>
      <w:pPr>
        <w:ind w:right="80" w:firstLine="589"/>
        <w:spacing w:after="0" w:line="257"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71" w:name="page72"/>
    <w:bookmarkEnd w:id="71"/>
    <w:p>
      <w:pPr>
        <w:ind w:right="360"/>
        <w:spacing w:after="0" w:line="278" w:lineRule="auto"/>
        <w:rPr>
          <w:sz w:val="20"/>
          <w:szCs w:val="20"/>
          <w:color w:val="auto"/>
        </w:rPr>
      </w:pPr>
      <w:r>
        <w:rPr>
          <w:rFonts w:ascii="Arial" w:cs="Arial" w:eastAsia="Arial" w:hAnsi="Arial"/>
          <w:sz w:val="17"/>
          <w:szCs w:val="17"/>
          <w:b w:val="1"/>
          <w:bCs w:val="1"/>
          <w:i w:val="1"/>
          <w:iCs w:val="1"/>
          <w:color w:val="auto"/>
        </w:rPr>
        <w:t>We face significant competition, and if our competitors develop technologies or product candidates more rapidly than we do or their technologies are more effective, our ability to develop and successfully commercialize products may be adversely affected.</w:t>
      </w:r>
    </w:p>
    <w:p>
      <w:pPr>
        <w:spacing w:after="0" w:line="138" w:lineRule="exact"/>
        <w:rPr>
          <w:sz w:val="20"/>
          <w:szCs w:val="20"/>
          <w:color w:val="auto"/>
        </w:rPr>
      </w:pPr>
    </w:p>
    <w:p>
      <w:pPr>
        <w:ind w:right="80" w:firstLine="589"/>
        <w:spacing w:after="0" w:line="272" w:lineRule="auto"/>
        <w:rPr>
          <w:sz w:val="20"/>
          <w:szCs w:val="20"/>
          <w:color w:val="auto"/>
        </w:rPr>
      </w:pPr>
      <w:r>
        <w:rPr>
          <w:rFonts w:ascii="Arial" w:cs="Arial" w:eastAsia="Arial" w:hAnsi="Arial"/>
          <w:sz w:val="16"/>
          <w:szCs w:val="16"/>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vonoprazan.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GI diseases for which we may attempt to develop vonoprazan or any future product candidates. Our competitors include larger and better funded pharmaceutical, biopharmaceutical, biotechnological and therapeutics companies. Moreover, we may also compete with universities and other research institutions who may be active in the indications we are targeting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patients for clinical trials and in identifying and in-licensing new product candidates. Smaller or early-stage companies may also prove to be significant competitors, particularly through collaborative arrangements with large and established companies.</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We expect that vonoprazan, if approved for the treatment of erosive esophagitis and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will primarily compete with generic</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PPIs marketed by multiple pharmaceutical companies in both the prescription and OTC markets. Additionally, in March 2020, RedHill Biopharma Ltd. launched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Talicia, a co-formulated capsule comprising generic omeprazole, amoxicillin, and rifabutin for the treatment of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w:t>
      </w:r>
    </w:p>
    <w:p>
      <w:pPr>
        <w:spacing w:after="0" w:line="166" w:lineRule="exact"/>
        <w:rPr>
          <w:sz w:val="20"/>
          <w:szCs w:val="20"/>
          <w:color w:val="auto"/>
        </w:rPr>
      </w:pPr>
    </w:p>
    <w:p>
      <w:pPr>
        <w:ind w:firstLine="589"/>
        <w:spacing w:after="0" w:line="301" w:lineRule="auto"/>
        <w:rPr>
          <w:sz w:val="20"/>
          <w:szCs w:val="20"/>
          <w:color w:val="auto"/>
        </w:rPr>
      </w:pPr>
      <w:r>
        <w:rPr>
          <w:rFonts w:ascii="Arial" w:cs="Arial" w:eastAsia="Arial" w:hAnsi="Arial"/>
          <w:sz w:val="15"/>
          <w:szCs w:val="15"/>
          <w:color w:val="auto"/>
        </w:rPr>
        <w:t>We are also aware of other P-CABs in territories outside of the United States that, if developed and approved in our territories, may compete with vonoprazan. Revaprazan is marketed by Yuhan Corporation in South Korea. Tegoprazan is marketed by CJ Healthcare Corp. in South Korea and is currently in development in Japan by RaQualia Pharma, Inc. Daewoong Pharmaceutical Co., Ltd. has filed an application for regulatory approval for fexuprazan in South Korea and plans to commence a Phase 1 clinical trial in China in the first half of 2021, Jeil Pharm has opened a Phase 2 trial in South Korea of its P-CAB candidate, JP-1366, in erosive esophagitis, and Cinclus Pharma AG’s X842 has completed a Phase 1 clinical trial in Europe and is currently in Phase 2 clinical trials.</w:t>
      </w:r>
    </w:p>
    <w:p>
      <w:pPr>
        <w:spacing w:after="0" w:line="126" w:lineRule="exact"/>
        <w:rPr>
          <w:sz w:val="20"/>
          <w:szCs w:val="20"/>
          <w:color w:val="auto"/>
        </w:rPr>
      </w:pPr>
    </w:p>
    <w:p>
      <w:pPr>
        <w:ind w:right="40" w:firstLine="589"/>
        <w:spacing w:after="0" w:line="261" w:lineRule="auto"/>
        <w:rPr>
          <w:sz w:val="20"/>
          <w:szCs w:val="20"/>
          <w:color w:val="auto"/>
        </w:rPr>
      </w:pPr>
      <w:r>
        <w:rPr>
          <w:rFonts w:ascii="Arial" w:cs="Arial" w:eastAsia="Arial" w:hAnsi="Arial"/>
          <w:sz w:val="17"/>
          <w:szCs w:val="17"/>
          <w:color w:val="auto"/>
        </w:rPr>
        <w:t>Additionally, we are aware of several clinical-stage PPIs in territories outside of the United States that if developed and approved in our licensed territories may compete with vonoprazan. These include Dexa Medica’s DLBS-2411, currently in Phase 3 clinical trials in Indonesia, Sihuan Pharmaceutical’s anaprazole, currently in Phase 3 clinical trials in China, Eisai’s azeloprazole, currently in a Phase 2 clinical trial in Japan, and Sidem Pharma’s tenatoprazole, currently in Phase 2 clinical trials in Europe and Canada.</w:t>
      </w:r>
    </w:p>
    <w:p>
      <w:pPr>
        <w:spacing w:after="0" w:line="139" w:lineRule="exact"/>
        <w:rPr>
          <w:sz w:val="20"/>
          <w:szCs w:val="20"/>
          <w:color w:val="auto"/>
        </w:rPr>
      </w:pPr>
    </w:p>
    <w:p>
      <w:pPr>
        <w:ind w:right="20" w:firstLine="589"/>
        <w:spacing w:after="0" w:line="258" w:lineRule="auto"/>
        <w:rPr>
          <w:sz w:val="20"/>
          <w:szCs w:val="20"/>
          <w:color w:val="auto"/>
        </w:rPr>
      </w:pPr>
      <w:r>
        <w:rPr>
          <w:rFonts w:ascii="Arial" w:cs="Arial" w:eastAsia="Arial" w:hAnsi="Arial"/>
          <w:sz w:val="17"/>
          <w:szCs w:val="17"/>
          <w:color w:val="auto"/>
        </w:rPr>
        <w:t>In July 2012, the Food and Drug Administration Safety and Innovation Act was passed, which included the GAIN Act. The GAIN Act is intended to provide incentives for the development of new, qualified infectious disease products. In December 2016, the 21st Century Cures Act was passed, providing additional support for the development of new infectious disease products. These incentives may result in more competition in the market for new antibiotics and may cause pharmaceutical and biotechnology companies with more resources than we have to shift their efforts towards the development of product candidates that could be competitive with vonoprazan or any future product candidates.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72" w:name="page73"/>
    <w:bookmarkEnd w:id="72"/>
    <w:p>
      <w:pPr>
        <w:ind w:right="60" w:firstLine="589"/>
        <w:spacing w:after="0" w:line="294" w:lineRule="auto"/>
        <w:rPr>
          <w:sz w:val="20"/>
          <w:szCs w:val="20"/>
          <w:color w:val="auto"/>
        </w:rPr>
      </w:pPr>
      <w:r>
        <w:rPr>
          <w:rFonts w:ascii="Arial" w:cs="Arial" w:eastAsia="Arial" w:hAnsi="Arial"/>
          <w:sz w:val="15"/>
          <w:szCs w:val="15"/>
          <w:color w:val="auto"/>
        </w:rPr>
        <w:t>Many of our competitors have significantly greater financial, technical, manufacturing, marketing, sales and supply resources or experience than we do. If we successfully obtain approval for vonoprazan or any future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Competitive products may make any products we develop obsolete or noncompetitive before we recover the expense of developing and commercializing vonoprazan or any future product candidates. If we are unable to compete effectively, our opportunity to generate revenue from the sale of our products we may develop, if approved, could be adversely affected.</w:t>
      </w:r>
    </w:p>
    <w:p>
      <w:pPr>
        <w:spacing w:after="0" w:line="134" w:lineRule="exact"/>
        <w:rPr>
          <w:sz w:val="20"/>
          <w:szCs w:val="20"/>
          <w:color w:val="auto"/>
        </w:rPr>
      </w:pPr>
    </w:p>
    <w:p>
      <w:pPr>
        <w:ind w:right="600"/>
        <w:spacing w:after="0" w:line="278" w:lineRule="auto"/>
        <w:rPr>
          <w:sz w:val="20"/>
          <w:szCs w:val="20"/>
          <w:color w:val="auto"/>
        </w:rPr>
      </w:pPr>
      <w:r>
        <w:rPr>
          <w:rFonts w:ascii="Arial" w:cs="Arial" w:eastAsia="Arial" w:hAnsi="Arial"/>
          <w:sz w:val="17"/>
          <w:szCs w:val="17"/>
          <w:b w:val="1"/>
          <w:bCs w:val="1"/>
          <w:i w:val="1"/>
          <w:iCs w:val="1"/>
          <w:color w:val="auto"/>
        </w:rPr>
        <w:t>If the market opportunities for vonoprazan or any future products are smaller than we believe they are, our revenue may be adversely affected, and our business may suffer.</w:t>
      </w:r>
    </w:p>
    <w:p>
      <w:pPr>
        <w:spacing w:after="0" w:line="125" w:lineRule="exact"/>
        <w:rPr>
          <w:sz w:val="20"/>
          <w:szCs w:val="20"/>
          <w:color w:val="auto"/>
        </w:rPr>
      </w:pPr>
    </w:p>
    <w:p>
      <w:pPr>
        <w:ind w:right="80" w:firstLine="589"/>
        <w:spacing w:after="0" w:line="292" w:lineRule="auto"/>
        <w:rPr>
          <w:sz w:val="20"/>
          <w:szCs w:val="20"/>
          <w:color w:val="auto"/>
        </w:rPr>
      </w:pPr>
      <w:r>
        <w:rPr>
          <w:rFonts w:ascii="Arial" w:cs="Arial" w:eastAsia="Arial" w:hAnsi="Arial"/>
          <w:sz w:val="15"/>
          <w:szCs w:val="15"/>
          <w:color w:val="auto"/>
        </w:rPr>
        <w:t>The precise incidence and prevalence for all the conditions we aim to address with vonoprazan or any future product candidates are unknown. Our projections of both the number of people who have these diseases, as well as the subset of people with these diseases who have the potential to benefit from treatment of vonoprazan or any future product candidates, are based on our beliefs and estimates. These estimates have been derived from a variety of sources, including the scientific literature, surveys of clinics or market research, and may prove to be incorrect. Further, new trials may change the estimated incidence or prevalence of these diseases. The total addressable market across vonoprazan and any future product candidates will ultimately depend upon, among other things, the diagnosis criteria included in the final label for each of vonoprazan and any future product candidates approved for sale for these indications, the availability of alternative treatments and the safety, convenience, cost and efficacy of vonoprazan and any future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24" w:lineRule="exact"/>
        <w:rPr>
          <w:sz w:val="20"/>
          <w:szCs w:val="20"/>
          <w:color w:val="auto"/>
        </w:rPr>
      </w:pPr>
    </w:p>
    <w:p>
      <w:pPr>
        <w:jc w:val="both"/>
        <w:ind w:right="120"/>
        <w:spacing w:after="0" w:line="265" w:lineRule="auto"/>
        <w:rPr>
          <w:sz w:val="20"/>
          <w:szCs w:val="20"/>
          <w:color w:val="auto"/>
        </w:rPr>
      </w:pPr>
      <w:r>
        <w:rPr>
          <w:rFonts w:ascii="Arial" w:cs="Arial" w:eastAsia="Arial" w:hAnsi="Arial"/>
          <w:sz w:val="17"/>
          <w:szCs w:val="17"/>
          <w:b w:val="1"/>
          <w:bCs w:val="1"/>
          <w:i w:val="1"/>
          <w:iCs w:val="1"/>
          <w:color w:val="auto"/>
        </w:rPr>
        <w:t>We currently have limited marketing and no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149" w:lineRule="exact"/>
        <w:rPr>
          <w:sz w:val="20"/>
          <w:szCs w:val="20"/>
          <w:color w:val="auto"/>
        </w:rPr>
      </w:pPr>
    </w:p>
    <w:p>
      <w:pPr>
        <w:ind w:firstLine="589"/>
        <w:spacing w:after="0" w:line="293" w:lineRule="auto"/>
        <w:rPr>
          <w:sz w:val="20"/>
          <w:szCs w:val="20"/>
          <w:color w:val="auto"/>
        </w:rPr>
      </w:pPr>
      <w:r>
        <w:rPr>
          <w:rFonts w:ascii="Arial" w:cs="Arial" w:eastAsia="Arial" w:hAnsi="Arial"/>
          <w:sz w:val="15"/>
          <w:szCs w:val="15"/>
          <w:color w:val="auto"/>
        </w:rPr>
        <w:t>We have limited marketing, and no internal sales or distribution capabilities, nor have we commercialized a product. If vonoprazan or any future product candidates ultimately receive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plan to independently commercialize vonoprazan in the United States by building a leading specialty gastroenterology commercial infrastructure to support the adoption of vonoprazan and we plan to seek one or more partners with existing commercial infrastructure and expertise in Europe and Canada. We have no prior experience as a company in the marketing, sale and distribution of biopharmaceutical products and there are significant risks involved in building and managing a marketing and sales organization, including our ability to hire, retain and incentivize qualified individuals, generate sufficient sales leads, provide adequate training to sales and marketing personnel and effectively manage a geographically dispersed sales and marketing team.</w:t>
      </w:r>
    </w:p>
    <w:p>
      <w:pPr>
        <w:spacing w:after="0" w:line="122" w:lineRule="exact"/>
        <w:rPr>
          <w:sz w:val="20"/>
          <w:szCs w:val="20"/>
          <w:color w:val="auto"/>
        </w:rPr>
      </w:pPr>
    </w:p>
    <w:p>
      <w:pPr>
        <w:ind w:firstLine="589"/>
        <w:spacing w:after="0" w:line="275" w:lineRule="auto"/>
        <w:rPr>
          <w:sz w:val="20"/>
          <w:szCs w:val="20"/>
          <w:color w:val="auto"/>
        </w:rPr>
      </w:pPr>
      <w:r>
        <w:rPr>
          <w:rFonts w:ascii="Arial" w:cs="Arial" w:eastAsia="Arial" w:hAnsi="Arial"/>
          <w:sz w:val="16"/>
          <w:szCs w:val="16"/>
          <w:color w:val="auto"/>
        </w:rPr>
        <w:t>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vonoprazan or any future product candidates, either on our own or through arrangements with one or more third parties, we may not be able to generate any future product revenue and we would incur significant additional losses.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73" w:name="page74"/>
    <w:bookmarkEnd w:id="73"/>
    <w:p>
      <w:pPr>
        <w:ind w:right="40"/>
        <w:spacing w:after="0" w:line="278" w:lineRule="auto"/>
        <w:rPr>
          <w:sz w:val="20"/>
          <w:szCs w:val="20"/>
          <w:color w:val="auto"/>
        </w:rPr>
      </w:pPr>
      <w:r>
        <w:rPr>
          <w:rFonts w:ascii="Arial" w:cs="Arial" w:eastAsia="Arial" w:hAnsi="Arial"/>
          <w:sz w:val="17"/>
          <w:szCs w:val="17"/>
          <w:b w:val="1"/>
          <w:bCs w:val="1"/>
          <w:i w:val="1"/>
          <w:iCs w:val="1"/>
          <w:color w:val="auto"/>
        </w:rPr>
        <w:t>Our future growth may depend, in part, on our ability to operate in foreign markets, particularly Europe and Canada, where we would be subject to additional regulatory burdens and other risks and uncertainties.</w:t>
      </w:r>
    </w:p>
    <w:p>
      <w:pPr>
        <w:spacing w:after="0" w:line="138"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Our future growth may depend, in part, on our ability to develop and commercialize vonoprazan and any future product candidates in foreign markets, particularly Europe and Canada. We are not permitted to market or promote vonoprazan and any future product candidates before we receive regulatory approval from applicable regulatory authorities in foreign markets, and we may never receive such regulatory approvals for vonoprazan or any future product candidates. To obtain separate regulatory approval in any other countries we must comply with numerous and varying regulatory requirements regarding safety and efficacy and governing, among other things, clinical trials, commercial sales, pricing and distribution of vonoprazan and any future product candidates. If we obtain regulatory approval of vonoprazan and any future product candidates and ultimately commercialize our products in foreign markets, we would be subject to additional risks and uncertainties, including:</w:t>
      </w:r>
    </w:p>
    <w:p>
      <w:pPr>
        <w:spacing w:after="0" w:line="147" w:lineRule="exact"/>
        <w:rPr>
          <w:sz w:val="20"/>
          <w:szCs w:val="20"/>
          <w:color w:val="auto"/>
        </w:rPr>
      </w:pPr>
    </w:p>
    <w:p>
      <w:pPr>
        <w:ind w:left="1000" w:hanging="419"/>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different regulatory requirements for approval of drugs in foreign countries;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reduced protection for intellectual property rights;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existence of additional third-party patent rights of potential relevance to our business;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unexpected changes in tariffs, trade barriers and regulatory requirements;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economic weakness, including inflation, public health emergencies or political instability in particular foreign economies and markets;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compliance with tax, employment, immigration and labor laws for employees living or traveling internationally;</w:t>
      </w:r>
    </w:p>
    <w:p>
      <w:pPr>
        <w:spacing w:after="0" w:line="177" w:lineRule="exact"/>
        <w:rPr>
          <w:rFonts w:ascii="Arial" w:cs="Arial" w:eastAsia="Arial" w:hAnsi="Arial"/>
          <w:sz w:val="17"/>
          <w:szCs w:val="17"/>
          <w:color w:val="auto"/>
        </w:rPr>
      </w:pPr>
    </w:p>
    <w:p>
      <w:pPr>
        <w:ind w:left="1000" w:right="360" w:hanging="419"/>
        <w:spacing w:after="0" w:line="278"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foreign currency fluctuations, which could result in increased operating expenses and reduced revenues, and other obligations incident to doing business in another country;</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foreign reimbursement, pricing and insurance regimes;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workforce uncertainty in countries where labor unrest is common;</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production shortages resulting from any events affecting raw material supply or manufacturing capabilities internationally; and</w:t>
      </w:r>
    </w:p>
    <w:p>
      <w:pPr>
        <w:spacing w:after="0" w:line="177" w:lineRule="exact"/>
        <w:rPr>
          <w:rFonts w:ascii="Arial" w:cs="Arial" w:eastAsia="Arial" w:hAnsi="Arial"/>
          <w:sz w:val="17"/>
          <w:szCs w:val="17"/>
          <w:color w:val="auto"/>
        </w:rPr>
      </w:pPr>
    </w:p>
    <w:p>
      <w:pPr>
        <w:ind w:left="1000" w:right="140" w:hanging="419"/>
        <w:spacing w:after="0" w:line="278" w:lineRule="auto"/>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or natural disasters including earthquakes, typhoons, floods and fires.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Operations and Industry</w:t>
      </w:r>
    </w:p>
    <w:p>
      <w:pPr>
        <w:spacing w:after="0" w:line="183"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38" w:lineRule="exact"/>
        <w:rPr>
          <w:sz w:val="20"/>
          <w:szCs w:val="20"/>
          <w:color w:val="auto"/>
        </w:rPr>
      </w:pPr>
    </w:p>
    <w:p>
      <w:pPr>
        <w:ind w:right="580" w:firstLine="589"/>
        <w:spacing w:after="0" w:line="278" w:lineRule="auto"/>
        <w:rPr>
          <w:sz w:val="20"/>
          <w:szCs w:val="20"/>
          <w:color w:val="auto"/>
        </w:rPr>
      </w:pPr>
      <w:r>
        <w:rPr>
          <w:rFonts w:ascii="Arial" w:cs="Arial" w:eastAsia="Arial" w:hAnsi="Arial"/>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25" w:lineRule="exact"/>
        <w:rPr>
          <w:sz w:val="20"/>
          <w:szCs w:val="20"/>
          <w:color w:val="auto"/>
        </w:rPr>
      </w:pPr>
    </w:p>
    <w:p>
      <w:pPr>
        <w:ind w:left="1000" w:right="760" w:hanging="419"/>
        <w:spacing w:after="0" w:line="278"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timing and cost of, and level of investment in, research, development, regulatory approval and commercialization activities relating to vonoprazan or any future product candidates, which may change from time to time;</w:t>
      </w:r>
    </w:p>
    <w:p>
      <w:pPr>
        <w:spacing w:after="0" w:line="125" w:lineRule="exact"/>
        <w:rPr>
          <w:rFonts w:ascii="Arial" w:cs="Arial" w:eastAsia="Arial" w:hAnsi="Arial"/>
          <w:sz w:val="17"/>
          <w:szCs w:val="17"/>
          <w:color w:val="auto"/>
        </w:rPr>
      </w:pPr>
    </w:p>
    <w:p>
      <w:pPr>
        <w:ind w:left="1000" w:right="460" w:hanging="419"/>
        <w:spacing w:after="0" w:line="278"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coverage and reimbursement policies with respect to vonoprazan or any future product candidates, if approved, and potential future drugs that compete with such products, if approved;</w:t>
      </w:r>
    </w:p>
    <w:p>
      <w:pPr>
        <w:spacing w:after="0" w:line="125" w:lineRule="exact"/>
        <w:rPr>
          <w:rFonts w:ascii="Arial" w:cs="Arial" w:eastAsia="Arial" w:hAnsi="Arial"/>
          <w:sz w:val="17"/>
          <w:szCs w:val="17"/>
          <w:color w:val="auto"/>
        </w:rPr>
      </w:pPr>
    </w:p>
    <w:p>
      <w:pPr>
        <w:ind w:left="1000" w:right="180" w:hanging="419"/>
        <w:spacing w:after="0" w:line="278" w:lineRule="auto"/>
        <w:tabs>
          <w:tab w:leader="none" w:pos="10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cost of manufacturing vonoprazan or any future product candidates, which may vary depending on the quantity of production and the terms of our agreements with Takeda and any future third-party manufacturers;</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80"/>
          </w:cols>
          <w:pgMar w:left="320" w:top="294" w:right="399" w:bottom="1440" w:gutter="0" w:footer="0" w:header="0"/>
        </w:sectPr>
      </w:pPr>
    </w:p>
    <w:bookmarkStart w:id="74" w:name="page75"/>
    <w:bookmarkEnd w:id="74"/>
    <w:p>
      <w:pPr>
        <w:ind w:left="1000" w:right="40" w:hanging="419"/>
        <w:spacing w:after="0" w:line="278"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business interruptions resulting from geopolitical actions, including war and terrorism, or natural disasters such as earthquakes, typhoons, floods and fires or public health emergencies or pandemics such as the ongoing COVID-19 pandemic;</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timing and amount of the milestone or other payments we will be required to pay to Takeda pursuant to the Takeda License;</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expenditures that we may incur to acquire, develop or commercialize additional product candidates and technologies;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level of demand for any approved products, which may vary significantly;</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future accounting pronouncements or changes in our accounting policies; and</w:t>
      </w:r>
    </w:p>
    <w:p>
      <w:pPr>
        <w:spacing w:after="0" w:line="177" w:lineRule="exact"/>
        <w:rPr>
          <w:rFonts w:ascii="Arial" w:cs="Arial" w:eastAsia="Arial" w:hAnsi="Arial"/>
          <w:sz w:val="17"/>
          <w:szCs w:val="17"/>
          <w:color w:val="auto"/>
        </w:rPr>
      </w:pPr>
    </w:p>
    <w:p>
      <w:pPr>
        <w:ind w:left="1000" w:right="560" w:hanging="419"/>
        <w:spacing w:after="0" w:line="347" w:lineRule="auto"/>
        <w:tabs>
          <w:tab w:leader="none" w:pos="10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timing and success or failure of preclinical studies or clinical trials for vonoprazan or any future product candidates or competing product candidates, or any other change in the competitive landscape of our industry, including consolidation among our competitors or partners.</w:t>
      </w:r>
    </w:p>
    <w:p>
      <w:pPr>
        <w:spacing w:after="0" w:line="79" w:lineRule="exact"/>
        <w:rPr>
          <w:sz w:val="20"/>
          <w:szCs w:val="20"/>
          <w:color w:val="auto"/>
        </w:rPr>
      </w:pPr>
    </w:p>
    <w:p>
      <w:pPr>
        <w:jc w:val="both"/>
        <w:ind w:right="380" w:firstLine="589"/>
        <w:spacing w:after="0" w:line="265" w:lineRule="auto"/>
        <w:rPr>
          <w:sz w:val="20"/>
          <w:szCs w:val="20"/>
          <w:color w:val="auto"/>
        </w:rPr>
      </w:pPr>
      <w:r>
        <w:rPr>
          <w:rFonts w:ascii="Arial" w:cs="Arial" w:eastAsia="Arial" w:hAnsi="Arial"/>
          <w:sz w:val="17"/>
          <w:szCs w:val="17"/>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49" w:lineRule="exact"/>
        <w:rPr>
          <w:sz w:val="20"/>
          <w:szCs w:val="20"/>
          <w:color w:val="auto"/>
        </w:rPr>
      </w:pPr>
    </w:p>
    <w:p>
      <w:pPr>
        <w:ind w:right="100" w:firstLine="589"/>
        <w:spacing w:after="0" w:line="282" w:lineRule="auto"/>
        <w:rPr>
          <w:sz w:val="20"/>
          <w:szCs w:val="20"/>
          <w:color w:val="auto"/>
        </w:rPr>
      </w:pPr>
      <w:r>
        <w:rPr>
          <w:rFonts w:ascii="Arial" w:cs="Arial" w:eastAsia="Arial" w:hAnsi="Arial"/>
          <w:sz w:val="16"/>
          <w:szCs w:val="16"/>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risks arising from epidemic diseases, such as the ongoing COVID-19 pandemic.</w:t>
      </w:r>
    </w:p>
    <w:p>
      <w:pPr>
        <w:spacing w:after="0" w:line="177" w:lineRule="exact"/>
        <w:rPr>
          <w:sz w:val="20"/>
          <w:szCs w:val="20"/>
          <w:color w:val="auto"/>
        </w:rPr>
      </w:pPr>
    </w:p>
    <w:p>
      <w:pPr>
        <w:ind w:firstLine="589"/>
        <w:spacing w:after="0" w:line="291" w:lineRule="auto"/>
        <w:rPr>
          <w:sz w:val="20"/>
          <w:szCs w:val="20"/>
          <w:color w:val="auto"/>
        </w:rPr>
      </w:pPr>
      <w:r>
        <w:rPr>
          <w:rFonts w:ascii="Arial" w:cs="Arial" w:eastAsia="Arial" w:hAnsi="Arial"/>
          <w:sz w:val="15"/>
          <w:szCs w:val="15"/>
          <w:color w:val="auto"/>
        </w:rPr>
        <w:t>The COVID-19 pandemic continues to impact worldwide economic activity. A pandemic, including COVID-19 or other public health epidemic, poses the risk that we or our employees, contractors, including our CROs, suppliers, and other partners may be prevented from conducting business activities for an indefinite period of time, including due to spread of the disease within these groups or due to shutdowns that may be requested or mandated by governmental authorities. In March 2020, due to efforts to combat the COVID-19 pandemic, we announced a temporary pause in randomization of new patients in our Phase 3 trials and did not recommence randomizations in either trials until June 2020. While it is not possible at this time to estimate the full impact that COVID-19 could have on our business, the continued spread of COVID-19 and the measures taken by the governments of countries affected could, in addition to disrupting our clinical trials, disrupt the supply chain and the manufacture or shipment of drug substance and finished drug product for vonoprazan for use in our clinical trials, cause patients to discontinue the trial adversely affecting our trials results, ultimately lead to a discontinuation of the trials prior to their completion, impede our future clinical trial recruitment, testing, monitoring, data collection and analysis and other related activities, which could delay our ongoing clinical trials and increase development costs and have a material adverse effect on our business, financial condition and results of operations. The COVID-19 pandemic and mitigation measures have also had an adverse impact on global economic conditions which could have an adverse effect on our business and financial condition, including impairing our ability to raise capital when needed. The extent to which the COVID-19 pandemic impacts our results will depend on future developments that are highly uncertain and cannot be predicted, including new information that may emerge concerning the severity of the virus and the actions to contain its impact.</w:t>
      </w:r>
    </w:p>
    <w:p>
      <w:pPr>
        <w:spacing w:after="0" w:line="134"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b w:val="1"/>
          <w:bCs w:val="1"/>
          <w:i w:val="1"/>
          <w:iCs w:val="1"/>
          <w:color w:val="auto"/>
        </w:rPr>
        <w:t>Our indebtedness may limit our flexibility in operating our business and adversely affect our financial health and competitive position, and all of our obligations under our indebtedness are secured by substantially all of our assets, excluding our intellectual property and certain other assets. If we default on these obligations, our lenders could foreclose on our assets.</w:t>
      </w:r>
    </w:p>
    <w:p>
      <w:pPr>
        <w:spacing w:after="0" w:line="136" w:lineRule="exact"/>
        <w:rPr>
          <w:sz w:val="20"/>
          <w:szCs w:val="20"/>
          <w:color w:val="auto"/>
        </w:rPr>
      </w:pPr>
    </w:p>
    <w:p>
      <w:pPr>
        <w:ind w:right="260" w:firstLine="589"/>
        <w:spacing w:after="0" w:line="278" w:lineRule="auto"/>
        <w:rPr>
          <w:sz w:val="20"/>
          <w:szCs w:val="20"/>
          <w:color w:val="auto"/>
        </w:rPr>
      </w:pPr>
      <w:r>
        <w:rPr>
          <w:rFonts w:ascii="Arial" w:cs="Arial" w:eastAsia="Arial" w:hAnsi="Arial"/>
          <w:sz w:val="17"/>
          <w:szCs w:val="17"/>
          <w:color w:val="auto"/>
        </w:rPr>
        <w:t>In May 2019, we entered into the Loan Agreement with SVB and WestRiver. We borrowed $25.0 million, or Term Loan A, at the inception of the Loan Agreement and in March 2020 we borrowed an additional $25.0 million,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ind w:right="100"/>
        <w:spacing w:after="0" w:line="276" w:lineRule="auto"/>
        <w:rPr>
          <w:sz w:val="20"/>
          <w:szCs w:val="20"/>
          <w:color w:val="auto"/>
        </w:rPr>
      </w:pPr>
      <w:r>
        <w:rPr>
          <w:rFonts w:ascii="Arial" w:cs="Arial" w:eastAsia="Arial" w:hAnsi="Arial"/>
          <w:sz w:val="16"/>
          <w:szCs w:val="16"/>
          <w:color w:val="auto"/>
        </w:rPr>
        <w:t>or Term Loan B, and which we collectively refer to as the Term Loans. All obligations under the Term Loans are secured by a first priority lien on substantially all of our assets, excluding intellectual property and certain other assets. We have agreed not to encumber our intellectual property assets without SVB’s prior written consent unless a security interest in the underlying intellectual property is necessary to have a security interest in the accounts and proceeds that are part of the assets securing the Term Loans, in which case our intellectual property will automatically be included within the assets securing the Term Loans. As a result, if we default on any of our obligations under the Loan Agreement, SVB could foreclose on its security interest and liquidate some or all of the collateral, which would harm our business, financial condition and results of operations and could require us to reduce or cease operations.</w:t>
      </w:r>
    </w:p>
    <w:p>
      <w:pPr>
        <w:spacing w:after="0" w:line="144" w:lineRule="exact"/>
        <w:rPr>
          <w:sz w:val="20"/>
          <w:szCs w:val="20"/>
          <w:color w:val="auto"/>
        </w:rPr>
      </w:pPr>
    </w:p>
    <w:p>
      <w:pPr>
        <w:ind w:right="20" w:firstLine="589"/>
        <w:spacing w:after="0" w:line="275" w:lineRule="auto"/>
        <w:rPr>
          <w:sz w:val="20"/>
          <w:szCs w:val="20"/>
          <w:color w:val="auto"/>
        </w:rPr>
      </w:pPr>
      <w:r>
        <w:rPr>
          <w:rFonts w:ascii="Arial" w:cs="Arial" w:eastAsia="Arial" w:hAnsi="Arial"/>
          <w:sz w:val="16"/>
          <w:szCs w:val="16"/>
          <w:color w:val="auto"/>
        </w:rPr>
        <w:t>In order to service this indebtedness and any additional indebtedness we may incur in the future, we need to generate cash from our operating activities or other financings. Our ability to generate cash is subject, in part, to our ability to successfully execute our business strategy, as well as general economic, financial, competitive, regulatory and other factors beyond our control. Our business may not be able to generate sufficient cash flow from operations, and future borrowings or other financings may not be available to us in an amount sufficient to enable us to service our indebtedness and fund our other liquidity needs. To the extent we are required to use cash from operations or the proceeds of any future financing to service our indebtedness instead of funding working capital or other general corporate purposes, we will be less able to plan for, or react to, changes in our business, industry and in the economy generally. This could place us at a competitive disadvantage compared to our competitors that have less indebtedness.</w:t>
      </w:r>
    </w:p>
    <w:p>
      <w:pPr>
        <w:spacing w:after="0" w:line="130" w:lineRule="exact"/>
        <w:rPr>
          <w:sz w:val="20"/>
          <w:szCs w:val="20"/>
          <w:color w:val="auto"/>
        </w:rPr>
      </w:pPr>
    </w:p>
    <w:p>
      <w:pPr>
        <w:ind w:right="20" w:firstLine="589"/>
        <w:spacing w:after="0" w:line="257" w:lineRule="auto"/>
        <w:rPr>
          <w:sz w:val="20"/>
          <w:szCs w:val="20"/>
          <w:color w:val="auto"/>
        </w:rPr>
      </w:pPr>
      <w:r>
        <w:rPr>
          <w:rFonts w:ascii="Arial" w:cs="Arial" w:eastAsia="Arial" w:hAnsi="Arial"/>
          <w:sz w:val="17"/>
          <w:szCs w:val="17"/>
          <w:color w:val="auto"/>
        </w:rPr>
        <w:t>The Loan Agreement contains customary affirmative and negative covenants that limit our ability to engage in certain transactions that may be in our long-term best interest. The affirmative covenants include, among others, covenants requiring us to maintain our legal existence and governmental approvals, deliver certain financial reports, maintain insurance coverage and satisfy certain requirements regarding our operating accounts. The negative covenants include, among others, limitations on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w:t>
      </w:r>
    </w:p>
    <w:p>
      <w:pPr>
        <w:spacing w:after="0" w:line="145" w:lineRule="exact"/>
        <w:rPr>
          <w:sz w:val="20"/>
          <w:szCs w:val="20"/>
          <w:color w:val="auto"/>
        </w:rPr>
      </w:pPr>
    </w:p>
    <w:p>
      <w:pPr>
        <w:ind w:right="40" w:firstLine="589"/>
        <w:spacing w:after="0" w:line="258" w:lineRule="auto"/>
        <w:rPr>
          <w:sz w:val="20"/>
          <w:szCs w:val="20"/>
          <w:color w:val="auto"/>
        </w:rPr>
      </w:pPr>
      <w:r>
        <w:rPr>
          <w:rFonts w:ascii="Arial" w:cs="Arial" w:eastAsia="Arial" w:hAnsi="Arial"/>
          <w:sz w:val="17"/>
          <w:szCs w:val="17"/>
          <w:color w:val="auto"/>
        </w:rPr>
        <w:t>While we believe we are currently in compliance with the covenants contained in the Loan Agreement, we may breach these covenants in the future. Our ability to comply with these covenants may be affected by events and factors beyond our control. In the event that we breach one or more covenants, the lenders may choose to declare an event of default and require that we immediately repay all amounts outstanding under the Loan Agreement, terminate any commitment to extend further credit and foreclose on the collateral. The occurrence of any of these events could have a material adverse effect on our business, financial condition and results of operations.</w:t>
      </w:r>
    </w:p>
    <w:p>
      <w:pPr>
        <w:spacing w:after="0" w:line="157" w:lineRule="exact"/>
        <w:rPr>
          <w:sz w:val="20"/>
          <w:szCs w:val="20"/>
          <w:color w:val="auto"/>
        </w:rPr>
      </w:pPr>
    </w:p>
    <w:p>
      <w:pPr>
        <w:ind w:right="220"/>
        <w:spacing w:after="0" w:line="278" w:lineRule="auto"/>
        <w:rPr>
          <w:sz w:val="20"/>
          <w:szCs w:val="20"/>
          <w:color w:val="auto"/>
        </w:rPr>
      </w:pPr>
      <w:r>
        <w:rPr>
          <w:rFonts w:ascii="Arial" w:cs="Arial" w:eastAsia="Arial" w:hAnsi="Arial"/>
          <w:sz w:val="17"/>
          <w:szCs w:val="17"/>
          <w:b w:val="1"/>
          <w:bCs w:val="1"/>
          <w:i w:val="1"/>
          <w:iCs w:val="1"/>
          <w:color w:val="auto"/>
        </w:rPr>
        <w:t>We are dependent on the services of our current management and other clinical and scientific personnel, and if we are not able to retain these individuals or recruit additional management or clinical and scientific personnel, our business will suffer.</w:t>
      </w:r>
    </w:p>
    <w:p>
      <w:pPr>
        <w:spacing w:after="0" w:line="125" w:lineRule="exact"/>
        <w:rPr>
          <w:sz w:val="20"/>
          <w:szCs w:val="20"/>
          <w:color w:val="auto"/>
        </w:rPr>
      </w:pPr>
    </w:p>
    <w:p>
      <w:pPr>
        <w:ind w:firstLine="589"/>
        <w:spacing w:after="0" w:line="275" w:lineRule="auto"/>
        <w:rPr>
          <w:sz w:val="20"/>
          <w:szCs w:val="20"/>
          <w:color w:val="auto"/>
        </w:rPr>
      </w:pPr>
      <w:r>
        <w:rPr>
          <w:rFonts w:ascii="Arial" w:cs="Arial" w:eastAsia="Arial" w:hAnsi="Arial"/>
          <w:sz w:val="16"/>
          <w:szCs w:val="16"/>
          <w:color w:val="auto"/>
        </w:rPr>
        <w:t>Our success depends in part on our continued ability to attract, retain and motivate highly qualified management, clinical and scientific personnel. We are highly dependent upon our current senior management team, our Chairman and our development personnel. The loss of services of any of these individuals or personnel could delay or prevent the successful development of our product pipeline, completion of our ongoing clinical trials, initiation or completion of future clinical trials, or the commercialization of vonoprazan or any other future product candidates. Although we have executed employment agreements or offer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This lack of insurance means that we may not have adequate compensation for the loss of the services of these individuals.</w:t>
      </w:r>
    </w:p>
    <w:p>
      <w:pPr>
        <w:spacing w:after="0" w:line="130" w:lineRule="exact"/>
        <w:rPr>
          <w:sz w:val="20"/>
          <w:szCs w:val="20"/>
          <w:color w:val="auto"/>
        </w:rPr>
      </w:pPr>
    </w:p>
    <w:p>
      <w:pPr>
        <w:ind w:right="200" w:firstLine="589"/>
        <w:spacing w:after="0" w:line="258" w:lineRule="auto"/>
        <w:rPr>
          <w:sz w:val="20"/>
          <w:szCs w:val="20"/>
          <w:color w:val="auto"/>
        </w:rPr>
      </w:pPr>
      <w:r>
        <w:rPr>
          <w:rFonts w:ascii="Arial" w:cs="Arial" w:eastAsia="Arial" w:hAnsi="Arial"/>
          <w:sz w:val="17"/>
          <w:szCs w:val="17"/>
          <w:color w:val="auto"/>
        </w:rPr>
        <w:t>We will continue to expand and need to effectively manage our managerial, operational, financial and other resources in order to successfully pursue our clinical development and commercialization efforts. We may not be successful in maintaining our unique company culture and continuing to attract or retain qualified management and scientific and clinical personnel in the future due to the intense competition for qualified personnel among pharmaceutical, biotechnology and other businesses. Our industry has experienced a high rate of turnover of management personnel in recent years. If we are not able to attract, integrate, retain and motivate necessary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76" w:name="page77"/>
    <w:bookmarkEnd w:id="76"/>
    <w:p>
      <w:pPr>
        <w:ind w:right="100"/>
        <w:spacing w:after="0" w:line="278" w:lineRule="auto"/>
        <w:rPr>
          <w:sz w:val="20"/>
          <w:szCs w:val="20"/>
          <w:color w:val="auto"/>
        </w:rPr>
      </w:pPr>
      <w:r>
        <w:rPr>
          <w:rFonts w:ascii="Arial" w:cs="Arial" w:eastAsia="Arial" w:hAnsi="Arial"/>
          <w:sz w:val="17"/>
          <w:szCs w:val="17"/>
          <w:color w:val="auto"/>
        </w:rPr>
        <w:t>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38"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i w:val="1"/>
          <w:iCs w:val="1"/>
          <w:color w:val="auto"/>
        </w:rPr>
        <w:t>We have recently substantially increased the size of our organization, and we may encounter difficulties in managing our growth and expanding our operations successfully.</w:t>
      </w:r>
    </w:p>
    <w:p>
      <w:pPr>
        <w:spacing w:after="0" w:line="125" w:lineRule="exact"/>
        <w:rPr>
          <w:sz w:val="20"/>
          <w:szCs w:val="20"/>
          <w:color w:val="auto"/>
        </w:rPr>
      </w:pPr>
    </w:p>
    <w:p>
      <w:pPr>
        <w:ind w:right="20" w:firstLine="589"/>
        <w:spacing w:after="0" w:line="276" w:lineRule="auto"/>
        <w:rPr>
          <w:sz w:val="20"/>
          <w:szCs w:val="20"/>
          <w:color w:val="auto"/>
        </w:rPr>
      </w:pPr>
      <w:r>
        <w:rPr>
          <w:rFonts w:ascii="Arial" w:cs="Arial" w:eastAsia="Arial" w:hAnsi="Arial"/>
          <w:sz w:val="16"/>
          <w:szCs w:val="16"/>
          <w:color w:val="auto"/>
        </w:rPr>
        <w:t>We have substantially increased our organization from eighteen full-time employees in December 2019 to forty-seven full-time employees as of December 31, 2020. As we continue development and pursue the potential commercialization of vonoprazan and any future product candidates, as well as function as a public company, we will continue to expand our financial,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Our future financial performance and our ability to develop and commercialize vonoprazan and any future product candidates and to compete effectively will depend, in part, on our ability to manage our recent substantial growth and any future growth effectively.</w:t>
      </w:r>
    </w:p>
    <w:p>
      <w:pPr>
        <w:spacing w:after="0" w:line="131"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b w:val="1"/>
          <w:bCs w:val="1"/>
          <w:i w:val="1"/>
          <w:iCs w:val="1"/>
          <w:color w:val="auto"/>
        </w:rPr>
        <w:t>We are subject to various foreign, federal, and state healthcare and privacy laws and regulations, and our failure to comply with these laws and regulations could harm our results of operations and financial condition.</w:t>
      </w:r>
    </w:p>
    <w:p>
      <w:pPr>
        <w:spacing w:after="0" w:line="138" w:lineRule="exact"/>
        <w:rPr>
          <w:sz w:val="20"/>
          <w:szCs w:val="20"/>
          <w:color w:val="auto"/>
        </w:rPr>
      </w:pPr>
    </w:p>
    <w:p>
      <w:pPr>
        <w:ind w:firstLine="589"/>
        <w:spacing w:after="0" w:line="261" w:lineRule="auto"/>
        <w:rPr>
          <w:sz w:val="20"/>
          <w:szCs w:val="20"/>
          <w:color w:val="auto"/>
        </w:rPr>
      </w:pPr>
      <w:r>
        <w:rPr>
          <w:rFonts w:ascii="Arial" w:cs="Arial" w:eastAsia="Arial" w:hAnsi="Arial"/>
          <w:sz w:val="17"/>
          <w:szCs w:val="17"/>
          <w:color w:val="auto"/>
        </w:rPr>
        <w:t>Our business operations and current and future arrangements with investigators, healthcare professionals, consultants, third-party payors, patient organizations and customers expose us to broadly applicable foreign, federal and state fraud and abuse and other healthcare and privacy laws and regulations. These laws may constrain the business or financial arrangements and relationships through which we conduct our operations, including how we research, market, sell and distribute any products for which we obtain marketing approval. Such laws include, but are not limited to:</w:t>
      </w:r>
    </w:p>
    <w:p>
      <w:pPr>
        <w:spacing w:after="0" w:line="139" w:lineRule="exact"/>
        <w:rPr>
          <w:sz w:val="20"/>
          <w:szCs w:val="20"/>
          <w:color w:val="auto"/>
        </w:rPr>
      </w:pPr>
    </w:p>
    <w:p>
      <w:pPr>
        <w:ind w:left="1000" w:right="20" w:hanging="419"/>
        <w:spacing w:after="0" w:line="257"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U.S.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to induce or reward, or in return for, either the referral of an individual for, or the purchase, lease, or order, or arranging for or recommending the purchase, lease, or order of any good, facility, item or service, for which payment may be made, in whole or in part, under any U.S. federal healthcare program, such as Medicare and Medicaid. A person or entity does not need to have actual knowledge of the federal Anti-Kickback Statute or specific intent to violate it in order to have committed a violation;</w:t>
      </w:r>
    </w:p>
    <w:p>
      <w:pPr>
        <w:spacing w:after="0" w:line="144" w:lineRule="exact"/>
        <w:rPr>
          <w:rFonts w:ascii="Arial" w:cs="Arial" w:eastAsia="Arial" w:hAnsi="Arial"/>
          <w:sz w:val="17"/>
          <w:szCs w:val="17"/>
          <w:color w:val="auto"/>
        </w:rPr>
      </w:pPr>
    </w:p>
    <w:p>
      <w:pPr>
        <w:ind w:left="1000" w:right="60" w:hanging="419"/>
        <w:spacing w:after="0" w:line="256"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U.S. civil and criminal federal false claims laws, including the civil False Claims Act, which can be enforced through civil whistleblower or qui tam actions,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U.S. federal government. In addition, the government may assert that a claim including items or services resulting from a violation of the federal Anti-Kickback Statute constitutes a false or fraudulent claim for purposes of the False Claims Act;</w:t>
      </w:r>
    </w:p>
    <w:p>
      <w:pPr>
        <w:spacing w:after="0" w:line="146" w:lineRule="exact"/>
        <w:rPr>
          <w:rFonts w:ascii="Arial" w:cs="Arial" w:eastAsia="Arial" w:hAnsi="Arial"/>
          <w:sz w:val="17"/>
          <w:szCs w:val="17"/>
          <w:color w:val="auto"/>
        </w:rPr>
      </w:pPr>
    </w:p>
    <w:p>
      <w:pPr>
        <w:ind w:left="1000" w:right="20" w:hanging="419"/>
        <w:spacing w:after="0" w:line="278"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healthcare fraud statute implemented under HIPAA or specific intent to violate it in order to have committed a violation;</w:t>
      </w:r>
    </w:p>
    <w:p>
      <w:pPr>
        <w:spacing w:after="0" w:line="129" w:lineRule="exact"/>
        <w:rPr>
          <w:rFonts w:ascii="Arial" w:cs="Arial" w:eastAsia="Arial" w:hAnsi="Arial"/>
          <w:sz w:val="16"/>
          <w:szCs w:val="16"/>
          <w:color w:val="auto"/>
        </w:rPr>
      </w:pPr>
    </w:p>
    <w:p>
      <w:pPr>
        <w:ind w:left="1000" w:right="200" w:hanging="419"/>
        <w:spacing w:after="0" w:line="289"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its implementing regulations, also impose obligations, including mandatory contractual terms, with respect to safeguarding the privacy, security and transmission of individually identifiable health information of covered entities subject to the rule, such as health plans, healthcare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77" w:name="page78"/>
    <w:bookmarkEnd w:id="77"/>
    <w:p>
      <w:pPr>
        <w:ind w:left="1000" w:right="120"/>
        <w:spacing w:after="0" w:line="265" w:lineRule="auto"/>
        <w:rPr>
          <w:sz w:val="20"/>
          <w:szCs w:val="20"/>
          <w:color w:val="auto"/>
        </w:rPr>
      </w:pPr>
      <w:r>
        <w:rPr>
          <w:rFonts w:ascii="Arial" w:cs="Arial" w:eastAsia="Arial" w:hAnsi="Arial"/>
          <w:sz w:val="17"/>
          <w:szCs w:val="17"/>
          <w:color w:val="auto"/>
        </w:rPr>
        <w:t>clearinghouses and certain healthcare providers as well as their business associates that perform certain services for or on their behalf involving the use or disclosure of individually identifiable health information and their subcontractors that use, disclose or otherwise process individually identifiable health information;</w:t>
      </w:r>
    </w:p>
    <w:p>
      <w:pPr>
        <w:spacing w:after="0" w:line="136" w:lineRule="exact"/>
        <w:rPr>
          <w:sz w:val="20"/>
          <w:szCs w:val="20"/>
          <w:color w:val="auto"/>
        </w:rPr>
      </w:pPr>
    </w:p>
    <w:p>
      <w:pPr>
        <w:ind w:left="1000" w:hanging="419"/>
        <w:spacing w:after="0" w:line="296" w:lineRule="auto"/>
        <w:tabs>
          <w:tab w:leader="none" w:pos="10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U.S.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or CMS, information related to certain payments and other “transfers of value” made to physicians (defined to include doctors, dentists, optometrists, podiatrists and chiropractors) and teaching hospitals, as well as ownership and investment interests held by the physicians described above and their immediate family members. Beginning in 2022, such obligations will include payments and other transfers of value provided in the previous year to certain other healthcare professionals, including physician assistants, nurse practitioners, clinical nurse specialists, certified nurse anesthetists, anesthesiologist assistants and certified nurse midwives; and</w:t>
      </w:r>
    </w:p>
    <w:p>
      <w:pPr>
        <w:spacing w:after="0" w:line="116" w:lineRule="exact"/>
        <w:rPr>
          <w:rFonts w:ascii="Arial" w:cs="Arial" w:eastAsia="Arial" w:hAnsi="Arial"/>
          <w:sz w:val="15"/>
          <w:szCs w:val="15"/>
          <w:color w:val="auto"/>
        </w:rPr>
      </w:pPr>
    </w:p>
    <w:p>
      <w:pPr>
        <w:ind w:left="1000" w:right="20" w:hanging="419"/>
        <w:spacing w:after="0" w:line="269" w:lineRule="auto"/>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by the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state and foreign laws governing the privacy and security of health information in some circumstances, many of which differ from each other in significant ways and often are not preempted by HIPAA; state and foreign governments that have enacted or proposed requirements regarding the collection, distribution, use, security, and storage of personally identifiable information and other data relating to individuals (including the GDPR), and federal and state consumer protection laws are being applied to enforce regulations related to the online collection, use, and dissemination of data, thus complicating compliance efforts. The GDPR went into effect in May 2018 and imposes strict requirements for processing the personal data of individuals within the EEA. In addition, the GDPR increases the scrutiny of transfers of personal data from the EEA to the United States and other jurisdictions that the European 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use of the standard contractual clauses, which could increase our costs and our ability to efficiently process personal data from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Relatedly, from January 1, 2021, we may have to comply with the GDPR and also the United Kingdom GDPR (UK GDPR), which, together with the amended UK Data Protection Act 2018, retains the GDPR in United Kingdom national law. The UK GDPR mirrors the fines under the GDPR, e.g. fines up to the greater of €20 million (£17.5 million) or 4% of global turnover. The relationship between the United Kingdom and the European Union in relation to certain aspects of data protection law remains unclear, and it is unclear how UK data protection laws and regulations will develop in the medium to longer term, and how data transfers to and from the United Kingdom will be regulated in the long term. Currently there is a four to six-month grace period agreed in the EU and UK Trade and Cooperation Agreement, ending June 30, 2021 at the latest, whilst the parties discuss an adequacy decision. However, it is not clear whether (and when) an adequacy decision may be granted by the European Commission enabling data transfers from EU member states to the United Kingdom long term without additional measures. These changes will lead to additional costs and increase our overall risk exposure.</w:t>
      </w:r>
    </w:p>
    <w:p>
      <w:pPr>
        <w:spacing w:after="0" w:line="149" w:lineRule="exact"/>
        <w:rPr>
          <w:sz w:val="20"/>
          <w:szCs w:val="20"/>
          <w:color w:val="auto"/>
        </w:rPr>
      </w:pPr>
    </w:p>
    <w:p>
      <w:pPr>
        <w:ind w:right="100" w:firstLine="589"/>
        <w:spacing w:after="0" w:line="265" w:lineRule="auto"/>
        <w:rPr>
          <w:sz w:val="20"/>
          <w:szCs w:val="20"/>
          <w:color w:val="auto"/>
        </w:rPr>
      </w:pPr>
      <w:r>
        <w:rPr>
          <w:rFonts w:ascii="Arial" w:cs="Arial" w:eastAsia="Arial" w:hAnsi="Arial"/>
          <w:sz w:val="17"/>
          <w:szCs w:val="17"/>
          <w:color w:val="auto"/>
        </w:rPr>
        <w:t>We may also be subject to additional regulation in the conduct of our business. For example, we may be subject to the U.S. Foreign Corrupt Practices Act of 1977, as amended, which prohibits, among other things, U.S. companies and their employees and agents from authorizing, promising, offering, or providing, directly or indirectly,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8" w:name="page79"/>
    <w:bookmarkEnd w:id="78"/>
    <w:p>
      <w:pPr>
        <w:ind w:right="240"/>
        <w:spacing w:after="0" w:line="278" w:lineRule="auto"/>
        <w:rPr>
          <w:sz w:val="20"/>
          <w:szCs w:val="20"/>
          <w:color w:val="auto"/>
        </w:rPr>
      </w:pPr>
      <w:r>
        <w:rPr>
          <w:rFonts w:ascii="Arial" w:cs="Arial" w:eastAsia="Arial" w:hAnsi="Arial"/>
          <w:sz w:val="17"/>
          <w:szCs w:val="17"/>
          <w:color w:val="auto"/>
        </w:rPr>
        <w:t>corrupt or improper payments or anything else of value to foreign government officials, employees of public international organizations and foreign government owned or affiliated entities, candidates for foreign political office, and foreign political parties or officials thereof.</w:t>
      </w:r>
    </w:p>
    <w:p>
      <w:pPr>
        <w:spacing w:after="0" w:line="138"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In addition, California recently enacted the California Consumer Privacy Act, or the CCPA, which creates new individual privacy rights for California consumers (as defined in the law) and places increased privacy and security obligations on entities handling certain personal information of California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became enforceable by the California Attorney General on July 1, 2020. Further, the CPRA recently passed in California, which further amends and expands the CCPA. Most of the CPRA’s substantive provisions will not take effect until January 1, 2023. As currently written, the CCPA and CPRA may impact our business activities and exemplifies the vulnerability of our business to the evolving regulatory environment related to personal information.</w:t>
      </w:r>
    </w:p>
    <w:p>
      <w:pPr>
        <w:spacing w:after="0" w:line="144" w:lineRule="exact"/>
        <w:rPr>
          <w:sz w:val="20"/>
          <w:szCs w:val="20"/>
          <w:color w:val="auto"/>
        </w:rPr>
      </w:pPr>
    </w:p>
    <w:p>
      <w:pPr>
        <w:ind w:right="60" w:firstLine="589"/>
        <w:spacing w:after="0" w:line="272" w:lineRule="auto"/>
        <w:rPr>
          <w:sz w:val="20"/>
          <w:szCs w:val="20"/>
          <w:color w:val="auto"/>
        </w:rPr>
      </w:pPr>
      <w:r>
        <w:rPr>
          <w:rFonts w:ascii="Arial" w:cs="Arial" w:eastAsia="Arial" w:hAnsi="Arial"/>
          <w:sz w:val="16"/>
          <w:szCs w:val="16"/>
          <w:color w:val="auto"/>
        </w:rPr>
        <w:t>Ensuring that our internal operations and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additional reporting requirements and oversight if we become subject to a corporate integrity agreement or similar agreement to resolve allegations of non-compliance with these laws, diminished profits and the curtailment or restructuring of our operations. Further, defending against any such actions can be costly,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not to be in compliance with applicable laws, they may be subject to significant criminal, civil or administrative sanctions, including exclusion from government funded healthcare programs and imprisonment. If any of the above occur, it could adversely affect our ability to operate our business and our results of operations.</w:t>
      </w:r>
    </w:p>
    <w:p>
      <w:pPr>
        <w:spacing w:after="0" w:line="132"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b w:val="1"/>
          <w:bCs w:val="1"/>
          <w:i w:val="1"/>
          <w:iCs w:val="1"/>
          <w:color w:val="auto"/>
        </w:rPr>
        <w:t>Enacted and future legislation and healthcare reform measures may increase the difficulty and cost for us to obtain marketing approval for and commercialize vonoprazan and any future product candidates and may affect the prices we may set.</w:t>
      </w:r>
    </w:p>
    <w:p>
      <w:pPr>
        <w:spacing w:after="0" w:line="138" w:lineRule="exact"/>
        <w:rPr>
          <w:sz w:val="20"/>
          <w:szCs w:val="20"/>
          <w:color w:val="auto"/>
        </w:rPr>
      </w:pPr>
    </w:p>
    <w:p>
      <w:pPr>
        <w:ind w:right="120" w:firstLine="589"/>
        <w:spacing w:after="0" w:line="282" w:lineRule="auto"/>
        <w:rPr>
          <w:sz w:val="20"/>
          <w:szCs w:val="20"/>
          <w:color w:val="auto"/>
        </w:rPr>
      </w:pPr>
      <w:r>
        <w:rPr>
          <w:rFonts w:ascii="Arial" w:cs="Arial" w:eastAsia="Arial" w:hAnsi="Arial"/>
          <w:sz w:val="16"/>
          <w:szCs w:val="16"/>
          <w:color w:val="auto"/>
        </w:rPr>
        <w:t>In the United States and some foreign jurisdictions, there have been, and we expect there will continue to be, a number of legislative and regulatory changes and proposed changes to the healthcare system, including cost-containment measures that may reduce or limit coverage and reimbursement for newly approved drugs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spacing w:after="0" w:line="125" w:lineRule="exact"/>
        <w:rPr>
          <w:sz w:val="20"/>
          <w:szCs w:val="20"/>
          <w:color w:val="auto"/>
        </w:rPr>
      </w:pPr>
    </w:p>
    <w:p>
      <w:pPr>
        <w:ind w:right="280" w:firstLine="589"/>
        <w:spacing w:after="0" w:line="265" w:lineRule="auto"/>
        <w:rPr>
          <w:sz w:val="20"/>
          <w:szCs w:val="20"/>
          <w:color w:val="auto"/>
        </w:rPr>
      </w:pPr>
      <w:r>
        <w:rPr>
          <w:rFonts w:ascii="Arial" w:cs="Arial" w:eastAsia="Arial" w:hAnsi="Arial"/>
          <w:sz w:val="17"/>
          <w:szCs w:val="17"/>
          <w:color w:val="auto"/>
        </w:rPr>
        <w:t>For example, in March 2010, the Patient Protection and Affordable Care Act, as amended by the Health Care and Education Reconciliation Act, collectively the Affordable Care Act, was enacted in the United States. Among the provisions of the Affordable Care Act of importance to our potential product candidates, the Affordable Care Act includes:</w:t>
      </w:r>
    </w:p>
    <w:p>
      <w:pPr>
        <w:spacing w:after="0" w:line="136" w:lineRule="exact"/>
        <w:rPr>
          <w:sz w:val="20"/>
          <w:szCs w:val="20"/>
          <w:color w:val="auto"/>
        </w:rPr>
      </w:pPr>
    </w:p>
    <w:p>
      <w:pPr>
        <w:ind w:left="1000" w:right="740" w:hanging="419"/>
        <w:spacing w:after="0" w:line="278"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agents, which is apportioned among these entities according to their market share in certain government healthcare programs;</w:t>
      </w:r>
    </w:p>
    <w:p>
      <w:pPr>
        <w:spacing w:after="0" w:line="125" w:lineRule="exact"/>
        <w:rPr>
          <w:rFonts w:ascii="Arial" w:cs="Arial" w:eastAsia="Arial" w:hAnsi="Arial"/>
          <w:sz w:val="17"/>
          <w:szCs w:val="17"/>
          <w:color w:val="auto"/>
        </w:rPr>
      </w:pPr>
    </w:p>
    <w:p>
      <w:pPr>
        <w:ind w:left="1000" w:right="20" w:hanging="419"/>
        <w:spacing w:after="0" w:line="265"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79" w:name="page80"/>
    <w:bookmarkEnd w:id="79"/>
    <w:p>
      <w:pPr>
        <w:ind w:left="1000" w:right="40" w:hanging="419"/>
        <w:spacing w:after="0" w:line="278"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 to 23.1% and 13.0% of the average manufacturer price for branded and generic drugs, respectively;</w:t>
      </w:r>
    </w:p>
    <w:p>
      <w:pPr>
        <w:spacing w:after="0" w:line="125" w:lineRule="exact"/>
        <w:rPr>
          <w:rFonts w:ascii="Arial" w:cs="Arial" w:eastAsia="Arial" w:hAnsi="Arial"/>
          <w:sz w:val="17"/>
          <w:szCs w:val="17"/>
          <w:color w:val="auto"/>
        </w:rPr>
      </w:pPr>
    </w:p>
    <w:p>
      <w:pPr>
        <w:ind w:left="1000" w:right="40" w:hanging="419"/>
        <w:spacing w:after="0" w:line="278"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methodology by which rebates owed by manufacturers under the Medicaid Drug Rebate Program are calculated for drugs that are inhaled, infused, instilled, implanted or injected;</w:t>
      </w:r>
    </w:p>
    <w:p>
      <w:pPr>
        <w:spacing w:after="0" w:line="125" w:lineRule="exact"/>
        <w:rPr>
          <w:rFonts w:ascii="Arial" w:cs="Arial" w:eastAsia="Arial" w:hAnsi="Arial"/>
          <w:sz w:val="17"/>
          <w:szCs w:val="17"/>
          <w:color w:val="auto"/>
        </w:rPr>
      </w:pPr>
    </w:p>
    <w:p>
      <w:pPr>
        <w:ind w:left="1000" w:right="320" w:hanging="419"/>
        <w:spacing w:after="0" w:line="278"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extension of a manufacturers’ Medicaid rebate liability to covered drugs dispensed to individuals who are enrolled in Medicaid managed care organizations;</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pharmaceutical pricing program;</w:t>
      </w:r>
    </w:p>
    <w:p>
      <w:pPr>
        <w:spacing w:after="0" w:line="177" w:lineRule="exact"/>
        <w:rPr>
          <w:rFonts w:ascii="Arial" w:cs="Arial" w:eastAsia="Arial" w:hAnsi="Arial"/>
          <w:sz w:val="17"/>
          <w:szCs w:val="17"/>
          <w:color w:val="auto"/>
        </w:rPr>
      </w:pPr>
    </w:p>
    <w:p>
      <w:pPr>
        <w:ind w:left="1000" w:right="80" w:hanging="419"/>
        <w:spacing w:after="0" w:line="278"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 along with funding for such research; and</w:t>
      </w:r>
    </w:p>
    <w:p>
      <w:pPr>
        <w:spacing w:after="0" w:line="125" w:lineRule="exact"/>
        <w:rPr>
          <w:rFonts w:ascii="Arial" w:cs="Arial" w:eastAsia="Arial" w:hAnsi="Arial"/>
          <w:sz w:val="17"/>
          <w:szCs w:val="17"/>
          <w:color w:val="auto"/>
        </w:rPr>
      </w:pPr>
    </w:p>
    <w:p>
      <w:pPr>
        <w:ind w:left="1000" w:right="100" w:hanging="419"/>
        <w:spacing w:after="0" w:line="278"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establishment of a Center for Medicare Innovation at CMS to test innovative payment and service delivery models to lower Medicare and Medicaid spending, potentially including prescription drug spending.</w:t>
      </w:r>
    </w:p>
    <w:p>
      <w:pPr>
        <w:spacing w:after="0" w:line="125" w:lineRule="exact"/>
        <w:rPr>
          <w:sz w:val="20"/>
          <w:szCs w:val="20"/>
          <w:color w:val="auto"/>
        </w:rPr>
      </w:pPr>
    </w:p>
    <w:p>
      <w:pPr>
        <w:ind w:firstLine="589"/>
        <w:spacing w:after="0" w:line="273" w:lineRule="auto"/>
        <w:rPr>
          <w:sz w:val="20"/>
          <w:szCs w:val="20"/>
          <w:color w:val="auto"/>
        </w:rPr>
      </w:pPr>
      <w:r>
        <w:rPr>
          <w:rFonts w:ascii="Arial" w:cs="Arial" w:eastAsia="Arial" w:hAnsi="Arial"/>
          <w:sz w:val="16"/>
          <w:szCs w:val="16"/>
          <w:color w:val="auto"/>
        </w:rPr>
        <w:t>Since its enactment, there have been judicial and political challenges to certain aspects of the Affordable Care Act. For example, the Tax Cuts and Jobs Act of 2017, or Tax Act,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or Texas District Court Judge, ruled that the individual mandate is a critical and inseverable feature of the Affordable Care Act, and therefore, because it was repealed as part of the Tax Act, the remaining provisions of the Affordable Care Act are invalid as well. On December 18, 2019, the U.S. Court of Appeals for the Fifth Circuit held that the individual mandate is unconstitutional and remanded the case back to the district court to determine whether the remaining provisions of the Affordable Care Act are invalid as well. The U.S. Supreme Court is currently reviewing the case, although it is unclear how the Supreme Court will rule. It is also unclear how other efforts, if any, to challenge, repeal or replace the Affordable Care Act will impact the Affordable Care Act and our business.</w:t>
      </w:r>
    </w:p>
    <w:p>
      <w:pPr>
        <w:spacing w:after="0" w:line="147" w:lineRule="exact"/>
        <w:rPr>
          <w:sz w:val="20"/>
          <w:szCs w:val="20"/>
          <w:color w:val="auto"/>
        </w:rPr>
      </w:pPr>
    </w:p>
    <w:p>
      <w:pPr>
        <w:ind w:right="140" w:firstLine="589"/>
        <w:spacing w:after="0" w:line="273"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These changes included aggregate reductions to Medicare payments to providers of 2% per fiscal year, which went into effect on April 1, 2013 and, due to subsequent legislative amendments to the statute will remain in effect through 2030, with the exception of a temporary suspension from May 1, 2020 through March 31, 2021,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Further, there has been heightened governmental scrutiny in the United States of pharmaceutical pricing practices in light of the rising cost of prescription drugs. At the federal level,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w:t>
      </w:r>
    </w:p>
    <w:p>
      <w:pPr>
        <w:spacing w:after="0" w:line="172" w:lineRule="exact"/>
        <w:rPr>
          <w:sz w:val="20"/>
          <w:szCs w:val="20"/>
          <w:color w:val="auto"/>
        </w:rPr>
      </w:pPr>
    </w:p>
    <w:p>
      <w:pPr>
        <w:jc w:val="both"/>
        <w:ind w:right="200" w:firstLine="589"/>
        <w:spacing w:after="0" w:line="265" w:lineRule="auto"/>
        <w:rPr>
          <w:sz w:val="20"/>
          <w:szCs w:val="20"/>
          <w:color w:val="auto"/>
        </w:rPr>
      </w:pPr>
      <w:r>
        <w:rPr>
          <w:rFonts w:ascii="Arial" w:cs="Arial" w:eastAsia="Arial" w:hAnsi="Arial"/>
          <w:sz w:val="17"/>
          <w:szCs w:val="17"/>
          <w:color w:val="auto"/>
        </w:rPr>
        <w:t>The likelihood of implementation of these and other reform initiatives proposed by the former Trump administration is uncertain, particularly in light of the new Biden administration. Moreover, In the coming years, additional legislative and regulatory changes could be made to governmental health programs that could significantly impact pharmaceutical companies and the success of our product candidates.</w:t>
      </w:r>
    </w:p>
    <w:p>
      <w:pPr>
        <w:spacing w:after="0" w:line="136" w:lineRule="exact"/>
        <w:rPr>
          <w:sz w:val="20"/>
          <w:szCs w:val="20"/>
          <w:color w:val="auto"/>
        </w:rPr>
      </w:pPr>
    </w:p>
    <w:p>
      <w:pPr>
        <w:ind w:right="20" w:firstLine="589"/>
        <w:spacing w:after="0" w:line="278" w:lineRule="auto"/>
        <w:rPr>
          <w:sz w:val="20"/>
          <w:szCs w:val="20"/>
          <w:color w:val="auto"/>
        </w:rPr>
      </w:pPr>
      <w:r>
        <w:rPr>
          <w:rFonts w:ascii="Arial" w:cs="Arial" w:eastAsia="Arial" w:hAnsi="Arial"/>
          <w:sz w:val="16"/>
          <w:szCs w:val="16"/>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 party payors and governmental authorities in</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80" w:name="page81"/>
    <w:bookmarkEnd w:id="80"/>
    <w:p>
      <w:pPr>
        <w:spacing w:after="0" w:line="347" w:lineRule="auto"/>
        <w:rPr>
          <w:sz w:val="20"/>
          <w:szCs w:val="20"/>
          <w:color w:val="auto"/>
        </w:rPr>
      </w:pPr>
      <w:r>
        <w:rPr>
          <w:rFonts w:ascii="Arial" w:cs="Arial" w:eastAsia="Arial" w:hAnsi="Arial"/>
          <w:sz w:val="15"/>
          <w:szCs w:val="15"/>
          <w:color w:val="auto"/>
        </w:rPr>
        <w:t>reference pricing systems and publication of discounts and list prices. These reforms could reduce the ultimate demand for vonoprazan and any future product candidates, if approved, or put pressure on our product pricing, which could negatively affect our business, results of operations, financial condition and prospects.</w:t>
      </w:r>
    </w:p>
    <w:p>
      <w:pPr>
        <w:spacing w:after="0" w:line="92" w:lineRule="exact"/>
        <w:rPr>
          <w:sz w:val="20"/>
          <w:szCs w:val="20"/>
          <w:color w:val="auto"/>
        </w:rPr>
      </w:pPr>
    </w:p>
    <w:p>
      <w:pPr>
        <w:ind w:right="80" w:firstLine="589"/>
        <w:spacing w:after="0" w:line="306" w:lineRule="auto"/>
        <w:rPr>
          <w:sz w:val="20"/>
          <w:szCs w:val="20"/>
          <w:color w:val="auto"/>
        </w:rPr>
      </w:pPr>
      <w:r>
        <w:rPr>
          <w:rFonts w:ascii="Arial" w:cs="Arial" w:eastAsia="Arial" w:hAnsi="Arial"/>
          <w:sz w:val="15"/>
          <w:szCs w:val="15"/>
          <w:color w:val="auto"/>
        </w:rPr>
        <w:t>We expect that these healthcare reform measures that may be adopted in the future may result in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vonoprazan and any future product candidates, if approved.</w:t>
      </w:r>
    </w:p>
    <w:p>
      <w:pPr>
        <w:spacing w:after="0" w:line="110" w:lineRule="exact"/>
        <w:rPr>
          <w:sz w:val="20"/>
          <w:szCs w:val="20"/>
          <w:color w:val="auto"/>
        </w:rPr>
      </w:pPr>
    </w:p>
    <w:p>
      <w:pPr>
        <w:ind w:right="420"/>
        <w:spacing w:after="0" w:line="278" w:lineRule="auto"/>
        <w:rPr>
          <w:sz w:val="20"/>
          <w:szCs w:val="20"/>
          <w:color w:val="auto"/>
        </w:rPr>
      </w:pPr>
      <w:r>
        <w:rPr>
          <w:rFonts w:ascii="Arial" w:cs="Arial" w:eastAsia="Arial" w:hAnsi="Arial"/>
          <w:sz w:val="17"/>
          <w:szCs w:val="17"/>
          <w:b w:val="1"/>
          <w:bCs w:val="1"/>
          <w:i w:val="1"/>
          <w:iCs w:val="1"/>
          <w:color w:val="auto"/>
        </w:rPr>
        <w:t>We and any of our third-party manufacturers or suppliers may use potent chemical agents and hazardous materials, and any claims relating to improper handling, storage or disposal of these materials could be time consuming or costly.</w:t>
      </w:r>
    </w:p>
    <w:p>
      <w:pPr>
        <w:spacing w:after="0" w:line="125" w:lineRule="exact"/>
        <w:rPr>
          <w:sz w:val="20"/>
          <w:szCs w:val="20"/>
          <w:color w:val="auto"/>
        </w:rPr>
      </w:pPr>
    </w:p>
    <w:p>
      <w:pPr>
        <w:ind w:firstLine="589"/>
        <w:spacing w:after="0" w:line="273" w:lineRule="auto"/>
        <w:rPr>
          <w:sz w:val="20"/>
          <w:szCs w:val="20"/>
          <w:color w:val="auto"/>
        </w:rPr>
      </w:pPr>
      <w:r>
        <w:rPr>
          <w:rFonts w:ascii="Arial" w:cs="Arial" w:eastAsia="Arial" w:hAnsi="Arial"/>
          <w:sz w:val="16"/>
          <w:szCs w:val="16"/>
          <w:color w:val="auto"/>
        </w:rPr>
        <w:t>We and any of our third-party manufacturers or suppliers will use biological materials, potent chemical agents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w:t>
      </w:r>
    </w:p>
    <w:p>
      <w:pPr>
        <w:spacing w:after="0" w:line="147" w:lineRule="exact"/>
        <w:rPr>
          <w:sz w:val="20"/>
          <w:szCs w:val="20"/>
          <w:color w:val="auto"/>
        </w:rPr>
      </w:pPr>
    </w:p>
    <w:p>
      <w:pPr>
        <w:ind w:right="120" w:firstLine="589"/>
        <w:spacing w:after="0" w:line="316" w:lineRule="auto"/>
        <w:rPr>
          <w:sz w:val="20"/>
          <w:szCs w:val="20"/>
          <w:color w:val="auto"/>
        </w:rPr>
      </w:pPr>
      <w:r>
        <w:rPr>
          <w:rFonts w:ascii="Arial" w:cs="Arial" w:eastAsia="Arial" w:hAnsi="Arial"/>
          <w:sz w:val="15"/>
          <w:szCs w:val="15"/>
          <w:color w:val="auto"/>
        </w:rPr>
        <w:t>Although we maintain workers’ compensation insurance for certain costs and expenses we may incur due to injuries to our employees resulting from the use of hazardous materials or other work- related injuries, this insurance may not provide adequate coverage against potential liabilities. We do not maintain insurance for toxic tort claims that may be asserted against us in connection with our storage or disposal of biologic, hazardous or radioactive materials.</w:t>
      </w:r>
    </w:p>
    <w:p>
      <w:pPr>
        <w:spacing w:after="0" w:line="102" w:lineRule="exact"/>
        <w:rPr>
          <w:sz w:val="20"/>
          <w:szCs w:val="20"/>
          <w:color w:val="auto"/>
        </w:rPr>
      </w:pPr>
    </w:p>
    <w:p>
      <w:pPr>
        <w:jc w:val="both"/>
        <w:ind w:right="160" w:firstLine="589"/>
        <w:spacing w:after="0" w:line="261"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which have tended to become more stringent over time.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product liability lawsuits are brought against us, we may incur substantial liabilities and may be required to limit commercialization of our products.</w:t>
      </w:r>
    </w:p>
    <w:p>
      <w:pPr>
        <w:spacing w:after="0" w:line="213" w:lineRule="exact"/>
        <w:rPr>
          <w:sz w:val="20"/>
          <w:szCs w:val="20"/>
          <w:color w:val="auto"/>
        </w:rPr>
      </w:pPr>
    </w:p>
    <w:p>
      <w:pPr>
        <w:ind w:right="60" w:firstLine="589"/>
        <w:spacing w:after="0" w:line="276" w:lineRule="auto"/>
        <w:rPr>
          <w:sz w:val="20"/>
          <w:szCs w:val="20"/>
          <w:color w:val="auto"/>
        </w:rPr>
      </w:pPr>
      <w:r>
        <w:rPr>
          <w:rFonts w:ascii="Arial" w:cs="Arial" w:eastAsia="Arial" w:hAnsi="Arial"/>
          <w:sz w:val="16"/>
          <w:szCs w:val="16"/>
          <w:color w:val="auto"/>
        </w:rPr>
        <w:t>We face an inherent risk of product liability as a result of the clinical trials of vonoprazan and any future product candidates and will face an even greater risk if we commercialize vonoprazan and any future product candidates. For example, we may be sued if vonoprazan and any future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spacing w:after="0" w:line="131" w:lineRule="exact"/>
        <w:rPr>
          <w:sz w:val="20"/>
          <w:szCs w:val="20"/>
          <w:color w:val="auto"/>
        </w:rPr>
      </w:pPr>
    </w:p>
    <w:p>
      <w:pPr>
        <w:ind w:right="60" w:firstLine="589"/>
        <w:spacing w:after="0" w:line="265" w:lineRule="auto"/>
        <w:rPr>
          <w:sz w:val="20"/>
          <w:szCs w:val="20"/>
          <w:color w:val="auto"/>
        </w:rPr>
      </w:pPr>
      <w:r>
        <w:rPr>
          <w:rFonts w:ascii="Arial" w:cs="Arial" w:eastAsia="Arial" w:hAnsi="Arial"/>
          <w:sz w:val="17"/>
          <w:szCs w:val="17"/>
          <w:color w:val="auto"/>
        </w:rPr>
        <w:t>If we cannot successfully defend ourselves against product liability claims, we may incur substantial liabilities or be required to limit or cease the commercialization of our products. Even a successful defense would require significant financial and management resources. Regardless of the merits or eventual outcome, liability claims may result in:</w:t>
      </w:r>
    </w:p>
    <w:p>
      <w:pPr>
        <w:spacing w:after="0" w:line="136" w:lineRule="exact"/>
        <w:rPr>
          <w:sz w:val="20"/>
          <w:szCs w:val="20"/>
          <w:color w:val="auto"/>
        </w:rPr>
      </w:pPr>
    </w:p>
    <w:p>
      <w:pPr>
        <w:ind w:left="1000" w:hanging="419"/>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decreased demand for our products;</w:t>
      </w: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60"/>
          </w:cols>
          <w:pgMar w:left="320" w:top="294" w:right="419" w:bottom="1440" w:gutter="0" w:footer="0" w:header="0"/>
        </w:sectPr>
      </w:pPr>
    </w:p>
    <w:bookmarkStart w:id="81" w:name="page82"/>
    <w:bookmarkEnd w:id="81"/>
    <w:p>
      <w:pPr>
        <w:ind w:left="1000" w:hanging="419"/>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costs to defend the related litigation;</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diversion of management’s time and our resources;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product recalls, withdrawals or labeling, marketing or promotional restrictions;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significant negative financial impact;</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inability to commercialize vonoprazan and any future product candidates;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decline in our stock price.</w:t>
      </w:r>
    </w:p>
    <w:p>
      <w:pPr>
        <w:spacing w:after="0" w:line="177" w:lineRule="exact"/>
        <w:rPr>
          <w:sz w:val="20"/>
          <w:szCs w:val="20"/>
          <w:color w:val="auto"/>
        </w:rPr>
      </w:pPr>
    </w:p>
    <w:p>
      <w:pPr>
        <w:ind w:right="40" w:firstLine="589"/>
        <w:spacing w:after="0" w:line="274" w:lineRule="auto"/>
        <w:rPr>
          <w:sz w:val="20"/>
          <w:szCs w:val="20"/>
          <w:color w:val="auto"/>
        </w:rPr>
      </w:pPr>
      <w:r>
        <w:rPr>
          <w:rFonts w:ascii="Arial" w:cs="Arial" w:eastAsia="Arial" w:hAnsi="Arial"/>
          <w:sz w:val="16"/>
          <w:szCs w:val="16"/>
          <w:color w:val="auto"/>
        </w:rPr>
        <w:t>We currently maintain product liability insurance coverage in connection with our clinical trials, but do not maintain such insurance coverage for commercialization of vonoprazan and any future product candidates. Insurance coverage is increasingly expensive. Our inability to obtain and retain sufficient product liability insurance at an acceptable cost to protect against potential product liability claims could prevent or inhibit the commercialization of vonoprazan and any future product candidates. Although we plan to maintain such insurance, any claim that may be brought against us could result in a court judgment or settlement in an amount that is not covered, in whole or in part, by our insurance or that is in excess of the limits of our insurance coverage. Our insurance policies have, and future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spacing w:after="0" w:line="144" w:lineRule="exact"/>
        <w:rPr>
          <w:sz w:val="20"/>
          <w:szCs w:val="20"/>
          <w:color w:val="auto"/>
        </w:rPr>
      </w:pPr>
    </w:p>
    <w:p>
      <w:pPr>
        <w:ind w:right="80"/>
        <w:spacing w:after="0" w:line="347" w:lineRule="auto"/>
        <w:rPr>
          <w:sz w:val="20"/>
          <w:szCs w:val="20"/>
          <w:color w:val="auto"/>
        </w:rPr>
      </w:pPr>
      <w:r>
        <w:rPr>
          <w:rFonts w:ascii="Arial" w:cs="Arial" w:eastAsia="Arial" w:hAnsi="Arial"/>
          <w:sz w:val="15"/>
          <w:szCs w:val="15"/>
          <w:b w:val="1"/>
          <w:bCs w:val="1"/>
          <w:i w:val="1"/>
          <w:iCs w:val="1"/>
          <w:color w:val="auto"/>
        </w:rPr>
        <w:t>We and others, including any of our potential future collaborators, will be required to report to regulatory authorities if any of our approved products cause or contribute to adverse medical events, and any failure to do so would result in sanctions that would materially harm our business.</w:t>
      </w:r>
    </w:p>
    <w:p>
      <w:pPr>
        <w:spacing w:after="0" w:line="79"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If we or any of our potential future collaborators are successful in commercializing vonoprazan or any future product candidates, the FDA and foreign regulatory authorities would require that we and Takeda (with respect to vonoprazan) and any of our current or potential future collaborators, report certain information about adverse medical events if those products may have caused or contributed to those adverse events. The timing of our obligation to report would be triggered by the date we become aware of the adverse event as well as the nature of the event. We, Takeda and any of our potential future collaborators or CROs may fail to report adverse events within the prescribed timeframe. If we, Takeda or any of our potential future collaborators or CROs fail to comply with such reporting obligations, the FDA or a foreign regulatory authority could take action, including criminal prosecution, the imposition of civil monetary penalties, seizure of our products or delay in approval of future products.</w:t>
      </w:r>
    </w:p>
    <w:p>
      <w:pPr>
        <w:spacing w:after="0" w:line="147" w:lineRule="exact"/>
        <w:rPr>
          <w:sz w:val="20"/>
          <w:szCs w:val="20"/>
          <w:color w:val="auto"/>
        </w:rPr>
      </w:pPr>
    </w:p>
    <w:p>
      <w:pPr>
        <w:spacing w:after="0" w:line="278" w:lineRule="auto"/>
        <w:rPr>
          <w:sz w:val="20"/>
          <w:szCs w:val="20"/>
          <w:color w:val="auto"/>
        </w:rPr>
      </w:pPr>
      <w:r>
        <w:rPr>
          <w:rFonts w:ascii="Arial" w:cs="Arial" w:eastAsia="Arial" w:hAnsi="Arial"/>
          <w:sz w:val="17"/>
          <w:szCs w:val="17"/>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38" w:lineRule="exact"/>
        <w:rPr>
          <w:sz w:val="20"/>
          <w:szCs w:val="20"/>
          <w:color w:val="auto"/>
        </w:rPr>
      </w:pPr>
    </w:p>
    <w:p>
      <w:pPr>
        <w:ind w:right="80" w:firstLine="589"/>
        <w:spacing w:after="0" w:line="296" w:lineRule="auto"/>
        <w:rPr>
          <w:sz w:val="20"/>
          <w:szCs w:val="20"/>
          <w:color w:val="auto"/>
        </w:rPr>
      </w:pPr>
      <w:r>
        <w:rPr>
          <w:rFonts w:ascii="Arial" w:cs="Arial" w:eastAsia="Arial" w:hAnsi="Arial"/>
          <w:sz w:val="15"/>
          <w:szCs w:val="15"/>
          <w:color w:val="auto"/>
        </w:rPr>
        <w:t>The global data protection landscape is rapidly evolving, and we are or may become subject to numerous state, federal and foreign laws, requirements and regulations governing the collection, use, disclosure, retention, and security of personal data,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jc w:val="both"/>
        <w:ind w:right="460"/>
        <w:spacing w:after="0" w:line="265" w:lineRule="auto"/>
        <w:rPr>
          <w:sz w:val="20"/>
          <w:szCs w:val="20"/>
          <w:color w:val="auto"/>
        </w:rPr>
      </w:pPr>
      <w:r>
        <w:rPr>
          <w:rFonts w:ascii="Arial" w:cs="Arial" w:eastAsia="Arial" w:hAnsi="Arial"/>
          <w:sz w:val="17"/>
          <w:szCs w:val="17"/>
          <w:color w:val="auto"/>
        </w:rPr>
        <w:t>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49" w:lineRule="exact"/>
        <w:rPr>
          <w:sz w:val="20"/>
          <w:szCs w:val="20"/>
          <w:color w:val="auto"/>
        </w:rPr>
      </w:pPr>
    </w:p>
    <w:p>
      <w:pPr>
        <w:ind w:firstLine="589"/>
        <w:spacing w:after="0" w:line="271" w:lineRule="auto"/>
        <w:rPr>
          <w:sz w:val="20"/>
          <w:szCs w:val="20"/>
          <w:color w:val="auto"/>
        </w:rPr>
      </w:pPr>
      <w:r>
        <w:rPr>
          <w:rFonts w:ascii="Arial" w:cs="Arial" w:eastAsia="Arial" w:hAnsi="Arial"/>
          <w:sz w:val="16"/>
          <w:szCs w:val="16"/>
          <w:color w:val="auto"/>
        </w:rPr>
        <w:t>As our operations and business grow, we may become subject to or affected by new or additional data protection laws and regulations and face increased scrutiny or attention from regulatory authorities. In the U.S., HIPAA imposes, among other things, certain standards relating to the privacy, security, transmission and breach reporting of individually identifiable health information. 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In addition, California enacted the California Consumer Privacy Act (CCPA) on June 28, 2018, which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34" w:lineRule="exact"/>
        <w:rPr>
          <w:sz w:val="20"/>
          <w:szCs w:val="20"/>
          <w:color w:val="auto"/>
        </w:rPr>
      </w:pPr>
    </w:p>
    <w:p>
      <w:pPr>
        <w:ind w:right="40" w:firstLine="589"/>
        <w:spacing w:after="0" w:line="271" w:lineRule="auto"/>
        <w:rPr>
          <w:sz w:val="20"/>
          <w:szCs w:val="20"/>
          <w:color w:val="auto"/>
        </w:rPr>
      </w:pPr>
      <w:r>
        <w:rPr>
          <w:rFonts w:ascii="Arial" w:cs="Arial" w:eastAsia="Arial" w:hAnsi="Arial"/>
          <w:sz w:val="16"/>
          <w:szCs w:val="16"/>
          <w:color w:val="auto"/>
        </w:rPr>
        <w:t>In Europe, the European Union General Data Protection Regulation (GDPR) went into effect in May 2018 and imposes strict requirements for processing the personal data of individuals within the European Economic Area (EEA). In addition, the GDPR increases the scrutiny of transfers of personal data from the EEA to the United States and other jurisdictions that the European 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use of the standard contractual clauses, which could increase our costs and our ability to efficiently process personal data from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Relatedly, from January 1, 2021, we may have to comply with the GDPR and also the UK GDPR, which, together with the amended UK Data Protection Act 2018, retains the GDPR in UK national law. The UK GDPR mirrors the fines under the GDPR, e.g. fines up to the greater of €20 million (£17.5 million) or 4% of global turnover. The relationship between the United Kingdom and the European Union in relation to certain aspects of data protection law remains unclear, and it is unclear how UK data protection laws and regulations will develop in the medium to longer term, and how data transfers to and from the United Kingdom will be regulated in the long term. Currently there is a four to six-month grace period agreed in the EU and UK Trade and Cooperation Agreement, ending June 30, 2021 at the latest, whilst the parties discuss an adequacy decision. However, it is not clear whether (and when) an adequacy decision may be granted by the European Commission enabling data transfers from EU member states to the United Kingdom long term without additional measures. These changes will lead to additional costs and increase our overall risk exposure.</w:t>
      </w:r>
    </w:p>
    <w:p>
      <w:pPr>
        <w:spacing w:after="0" w:line="134"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b w:val="1"/>
          <w:bCs w:val="1"/>
          <w:i w:val="1"/>
          <w:iCs w:val="1"/>
          <w:color w:val="auto"/>
        </w:rPr>
        <w:t>Our internal computer systems, or those of any of our CROs, manufacturers, other contractors or consultants or potential future collaborators, may fail or suffer security breaches, which could result in a material disruption of our product development programs.</w:t>
      </w:r>
    </w:p>
    <w:p>
      <w:pPr>
        <w:spacing w:after="0" w:line="138" w:lineRule="exact"/>
        <w:rPr>
          <w:sz w:val="20"/>
          <w:szCs w:val="20"/>
          <w:color w:val="auto"/>
        </w:rPr>
      </w:pPr>
    </w:p>
    <w:p>
      <w:pPr>
        <w:ind w:right="120" w:firstLine="589"/>
        <w:spacing w:after="0" w:line="289" w:lineRule="auto"/>
        <w:rPr>
          <w:sz w:val="20"/>
          <w:szCs w:val="20"/>
          <w:color w:val="auto"/>
        </w:rPr>
      </w:pPr>
      <w:r>
        <w:rPr>
          <w:rFonts w:ascii="Arial" w:cs="Arial" w:eastAsia="Arial" w:hAnsi="Arial"/>
          <w:sz w:val="16"/>
          <w:szCs w:val="16"/>
          <w:color w:val="auto"/>
        </w:rPr>
        <w:t>The United States federal and various state and foreign governments have adopted or proposed requirements regarding the collection, distribution, use, security, and storage of personally identifiable information and other data relating to individuals, and federal and state consumer protection laws are being applied to enforce regulations related to the online collection, use, and dissemination of data. Despite the implementation of security measures, our</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83" w:name="page84"/>
    <w:bookmarkEnd w:id="83"/>
    <w:p>
      <w:pPr>
        <w:spacing w:after="0" w:line="270" w:lineRule="auto"/>
        <w:rPr>
          <w:sz w:val="20"/>
          <w:szCs w:val="20"/>
          <w:color w:val="auto"/>
        </w:rPr>
      </w:pPr>
      <w:r>
        <w:rPr>
          <w:rFonts w:ascii="Arial" w:cs="Arial" w:eastAsia="Arial" w:hAnsi="Arial"/>
          <w:sz w:val="16"/>
          <w:szCs w:val="16"/>
          <w:color w:val="auto"/>
        </w:rPr>
        <w:t>internal computer systems and those of our current and any future CROs and other contractors, consultants and collaborators are vulnerable to damage from computer viruses, cybersecurity threats, unauthorized access,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or result in the unauthorized disclosure of or access to personally identifiable information or individually identifiable health information (violating certain privacy laws such as GDPR), it could result in a material disruption of our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Even though we may have contractual protections with such vendors, contractors, or other organizations, notifications and follow-up actions related to a security breach could impact our reputation, cause us to incur significant costs, including legal expenses, harm customer confidence, hurt our expansion into new markets, cause us to incur remediation costs, or cause us to lose existing customers. For example, the loss of clinical trial data from completed or future clinical trials could result in delays in our regulatory approval efforts and significantly increase our costs to recover or reproduce the data. We also rely on third parties to manufacture vonoprazan and any future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the further development and commercialization of vonoprazan and any future product candidates could be delayed, and we could be subject to significant fines, penalties or liabilities for any noncompliance to certain privacy and security laws.</w:t>
      </w:r>
    </w:p>
    <w:p>
      <w:pPr>
        <w:spacing w:after="0" w:line="150"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b w:val="1"/>
          <w:bCs w:val="1"/>
          <w:i w:val="1"/>
          <w:iCs w:val="1"/>
          <w:color w:val="auto"/>
        </w:rPr>
        <w:t>Our employees and independent contractors, including principal investigators, CROs, consultants and vendors, may engage in misconduct or other improper activities, including noncompliance with regulatory standards and requirements.</w:t>
      </w:r>
    </w:p>
    <w:p>
      <w:pPr>
        <w:spacing w:after="0" w:line="125" w:lineRule="exact"/>
        <w:rPr>
          <w:sz w:val="20"/>
          <w:szCs w:val="20"/>
          <w:color w:val="auto"/>
        </w:rPr>
      </w:pPr>
    </w:p>
    <w:p>
      <w:pPr>
        <w:ind w:right="60" w:firstLine="589"/>
        <w:spacing w:after="0" w:line="270" w:lineRule="auto"/>
        <w:rPr>
          <w:sz w:val="20"/>
          <w:szCs w:val="20"/>
          <w:color w:val="auto"/>
        </w:rPr>
      </w:pPr>
      <w:r>
        <w:rPr>
          <w:rFonts w:ascii="Arial" w:cs="Arial" w:eastAsia="Arial" w:hAnsi="Arial"/>
          <w:sz w:val="16"/>
          <w:szCs w:val="16"/>
          <w:color w:val="auto"/>
        </w:rPr>
        <w:t>We are exposed to the risk that our employees and independent contractors, including principal investigators, CROs, consultants and vendors may engage in misconduct or other illegal activity. Misconduct by these parties could include intentional, reckless and/or negligent conduct or other unauthorized activities that violate: (i) the laws and regulations of the FDA and other similar regulatory bodies, including those laws that require the reporting of true, complete and accurate information to such regulatory bodies, (ii) manufacturing standards, including cGMP requirements, or (iii) federal and state healthcare, security, fraud and abuse laws, data privacy and security laws, and other similar non-U.S.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U.S. federal healthcare programs or healthcare programs in other jurisdictions, integrity oversight and reporting obligations to resolve allegations of non-compliance, imprisonment, contractual damages, reputational harm, diminished profits and future earnings, and curtailment of our operations, any of which could adversely affect our ability to operate our business and our results of operations.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84" w:name="page85"/>
    <w:bookmarkEnd w:id="84"/>
    <w:p>
      <w:pPr>
        <w:ind w:right="100"/>
        <w:spacing w:after="0" w:line="265"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could face criminal liability and other serious consequences for violations, which could harm our business.</w:t>
      </w:r>
    </w:p>
    <w:p>
      <w:pPr>
        <w:spacing w:after="0" w:line="149" w:lineRule="exact"/>
        <w:rPr>
          <w:sz w:val="20"/>
          <w:szCs w:val="20"/>
          <w:color w:val="auto"/>
        </w:rPr>
      </w:pPr>
    </w:p>
    <w:p>
      <w:pPr>
        <w:ind w:firstLine="589"/>
        <w:spacing w:after="0" w:line="271" w:lineRule="auto"/>
        <w:rPr>
          <w:sz w:val="20"/>
          <w:szCs w:val="20"/>
          <w:color w:val="auto"/>
        </w:rPr>
      </w:pPr>
      <w:r>
        <w:rPr>
          <w:rFonts w:ascii="Arial" w:cs="Arial" w:eastAsia="Arial" w:hAnsi="Arial"/>
          <w:sz w:val="16"/>
          <w:szCs w:val="16"/>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clinical research organizations,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clinical research organizations, contractors and other collaborators and partners,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200" w:lineRule="exact"/>
        <w:rPr>
          <w:sz w:val="20"/>
          <w:szCs w:val="20"/>
          <w:color w:val="auto"/>
        </w:rPr>
      </w:pPr>
    </w:p>
    <w:p>
      <w:pPr>
        <w:ind w:firstLine="589"/>
        <w:spacing w:after="0" w:line="272" w:lineRule="auto"/>
        <w:rPr>
          <w:sz w:val="20"/>
          <w:szCs w:val="20"/>
          <w:color w:val="auto"/>
        </w:rPr>
      </w:pPr>
      <w:r>
        <w:rPr>
          <w:rFonts w:ascii="Arial" w:cs="Arial" w:eastAsia="Arial" w:hAnsi="Arial"/>
          <w:sz w:val="16"/>
          <w:szCs w:val="16"/>
          <w:color w:val="auto"/>
        </w:rPr>
        <w:t>From time to time, we may consider strategic transactions, such as acquisitions of companies, asset purchases and out-licensing or in-licensing of intellectual property, products or technologies, similar to our approach in in-licensing and acquiring our current product candidates.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85" w:name="page86"/>
    <w:bookmarkEnd w:id="85"/>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on our ability to protect our intellectual property and our proprietary technologies.</w:t>
      </w:r>
    </w:p>
    <w:p>
      <w:pPr>
        <w:spacing w:after="0" w:line="177" w:lineRule="exact"/>
        <w:rPr>
          <w:sz w:val="20"/>
          <w:szCs w:val="20"/>
          <w:color w:val="auto"/>
        </w:rPr>
      </w:pPr>
    </w:p>
    <w:p>
      <w:pPr>
        <w:ind w:firstLine="589"/>
        <w:spacing w:after="0" w:line="274" w:lineRule="auto"/>
        <w:rPr>
          <w:sz w:val="20"/>
          <w:szCs w:val="20"/>
          <w:color w:val="auto"/>
        </w:rPr>
      </w:pPr>
      <w:r>
        <w:rPr>
          <w:rFonts w:ascii="Arial" w:cs="Arial" w:eastAsia="Arial" w:hAnsi="Arial"/>
          <w:sz w:val="16"/>
          <w:szCs w:val="16"/>
          <w:color w:val="auto"/>
        </w:rPr>
        <w:t>Our commercial success depends in part on our ability to obtain and maintain patent protection and trade secret protection for vonoprazan and any future product candidates, proprietary technologies and their uses as well as our ability to operate without infringing upon the proprietary rights of others. If we are unable to protect our intellectual property rights or if our intellectual property rights are inadequate for our technology or vonoprazan or any future product candidates, our competitive position could be harmed. We generally seek to protect our proprietary position by filing patent applications in the United States and abroad related to vonoprazan or any future product candidates, proprietary technologies and their uses that are important to our business. We do not currently own any issued patents or pending patent applications. We also seek to protect our proprietary position by acquiring or in-licensing relevant issued patents or pending patent applications from third parties. We have in-licensed from Takeda a number of United States, European, and Canadian patents and patent applications relating to the compound vonoprazan as well as the use and manufacture of vonoprazan products.</w:t>
      </w:r>
    </w:p>
    <w:p>
      <w:pPr>
        <w:spacing w:after="0" w:line="131" w:lineRule="exact"/>
        <w:rPr>
          <w:sz w:val="20"/>
          <w:szCs w:val="20"/>
          <w:color w:val="auto"/>
        </w:rPr>
      </w:pPr>
    </w:p>
    <w:p>
      <w:pPr>
        <w:ind w:right="100" w:firstLine="589"/>
        <w:spacing w:after="0" w:line="306" w:lineRule="auto"/>
        <w:rPr>
          <w:sz w:val="20"/>
          <w:szCs w:val="20"/>
          <w:color w:val="auto"/>
        </w:rPr>
      </w:pPr>
      <w:r>
        <w:rPr>
          <w:rFonts w:ascii="Arial" w:cs="Arial" w:eastAsia="Arial" w:hAnsi="Arial"/>
          <w:sz w:val="15"/>
          <w:szCs w:val="15"/>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future patent applications or the patent applications of our current and future licensors will result in patents being issued or that issued patents will afford sufficient protection against competitors with similar technology, nor can there be any assurance that the patents if issued will not be infringed, designed around or invalidated by third parties.</w:t>
      </w:r>
    </w:p>
    <w:p>
      <w:pPr>
        <w:spacing w:after="0" w:line="123" w:lineRule="exact"/>
        <w:rPr>
          <w:sz w:val="20"/>
          <w:szCs w:val="20"/>
          <w:color w:val="auto"/>
        </w:rPr>
      </w:pPr>
    </w:p>
    <w:p>
      <w:pPr>
        <w:ind w:right="80" w:firstLine="589"/>
        <w:spacing w:after="0" w:line="306" w:lineRule="auto"/>
        <w:rPr>
          <w:sz w:val="20"/>
          <w:szCs w:val="20"/>
          <w:color w:val="auto"/>
        </w:rPr>
      </w:pPr>
      <w:r>
        <w:rPr>
          <w:rFonts w:ascii="Arial" w:cs="Arial" w:eastAsia="Arial" w:hAnsi="Arial"/>
          <w:sz w:val="15"/>
          <w:szCs w:val="15"/>
          <w:color w:val="auto"/>
        </w:rPr>
        <w:t>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vonoprazan and any future product candidates could have a material adverse effect on our financial condition and results of operations.</w:t>
      </w:r>
    </w:p>
    <w:p>
      <w:pPr>
        <w:spacing w:after="0" w:line="110" w:lineRule="exact"/>
        <w:rPr>
          <w:sz w:val="20"/>
          <w:szCs w:val="20"/>
          <w:color w:val="auto"/>
        </w:rPr>
      </w:pPr>
    </w:p>
    <w:p>
      <w:pPr>
        <w:ind w:right="20" w:firstLine="589"/>
        <w:spacing w:after="0" w:line="261" w:lineRule="auto"/>
        <w:rPr>
          <w:sz w:val="20"/>
          <w:szCs w:val="20"/>
          <w:color w:val="auto"/>
        </w:rPr>
      </w:pPr>
      <w:r>
        <w:rPr>
          <w:rFonts w:ascii="Arial" w:cs="Arial" w:eastAsia="Arial" w:hAnsi="Arial"/>
          <w:sz w:val="17"/>
          <w:szCs w:val="17"/>
          <w:color w:val="auto"/>
        </w:rPr>
        <w:t>We cannot be certain that the claims in our licensor’s U.S. pending patent applications, corresponding international patent applications and patent applications in certain foreign countries will be considered patentable by the United States Patent and Trademark Office, or USPTO, courts in the United States or by the patent offices and courts in foreign countries, nor can we be certain that the claims in our licensor’s issued patents will not be found invalid or unenforceable if challenged.</w:t>
      </w:r>
    </w:p>
    <w:p>
      <w:pPr>
        <w:spacing w:after="0" w:line="139" w:lineRule="exact"/>
        <w:rPr>
          <w:sz w:val="20"/>
          <w:szCs w:val="20"/>
          <w:color w:val="auto"/>
        </w:rPr>
      </w:pPr>
    </w:p>
    <w:p>
      <w:pPr>
        <w:ind w:right="420" w:firstLine="589"/>
        <w:spacing w:after="0" w:line="265" w:lineRule="auto"/>
        <w:rPr>
          <w:sz w:val="20"/>
          <w:szCs w:val="20"/>
          <w:color w:val="auto"/>
        </w:rPr>
      </w:pPr>
      <w:r>
        <w:rPr>
          <w:rFonts w:ascii="Arial" w:cs="Arial" w:eastAsia="Arial" w:hAnsi="Arial"/>
          <w:sz w:val="17"/>
          <w:szCs w:val="17"/>
          <w:color w:val="auto"/>
        </w:rPr>
        <w:t>The patent application process is subject to numerous risks and uncertainties, and there can be no assurance that we or any of our potential future collaborators will be successful in protecting vonoprazan and any future product candidates by obtaining and defending patents. These risks and uncertainties include the following:</w:t>
      </w:r>
    </w:p>
    <w:p>
      <w:pPr>
        <w:spacing w:after="0" w:line="149" w:lineRule="exact"/>
        <w:rPr>
          <w:sz w:val="20"/>
          <w:szCs w:val="20"/>
          <w:color w:val="auto"/>
        </w:rPr>
      </w:pPr>
    </w:p>
    <w:p>
      <w:pPr>
        <w:jc w:val="both"/>
        <w:ind w:left="1000" w:right="40" w:hanging="419"/>
        <w:spacing w:after="0" w:line="265"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36" w:lineRule="exact"/>
        <w:rPr>
          <w:rFonts w:ascii="Arial" w:cs="Arial" w:eastAsia="Arial" w:hAnsi="Arial"/>
          <w:sz w:val="17"/>
          <w:szCs w:val="17"/>
          <w:color w:val="auto"/>
        </w:rPr>
      </w:pPr>
    </w:p>
    <w:p>
      <w:pPr>
        <w:ind w:left="1000" w:hanging="419"/>
        <w:spacing w:after="0"/>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patent applications may not result in any patents being issued;</w:t>
      </w:r>
    </w:p>
    <w:p>
      <w:pPr>
        <w:spacing w:after="0" w:line="177" w:lineRule="exact"/>
        <w:rPr>
          <w:rFonts w:ascii="Arial" w:cs="Arial" w:eastAsia="Arial" w:hAnsi="Arial"/>
          <w:sz w:val="17"/>
          <w:szCs w:val="17"/>
          <w:color w:val="auto"/>
        </w:rPr>
      </w:pPr>
    </w:p>
    <w:p>
      <w:pPr>
        <w:ind w:left="1000" w:right="120" w:hanging="419"/>
        <w:spacing w:after="0" w:line="278"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patents may be challenged, invalidated, modified, revoked, circumvented, found to be unenforceable or otherwise may not provide any competitive advantage;</w:t>
      </w:r>
    </w:p>
    <w:p>
      <w:pPr>
        <w:spacing w:after="0" w:line="125" w:lineRule="exact"/>
        <w:rPr>
          <w:rFonts w:ascii="Arial" w:cs="Arial" w:eastAsia="Arial" w:hAnsi="Arial"/>
          <w:sz w:val="17"/>
          <w:szCs w:val="17"/>
          <w:color w:val="auto"/>
        </w:rPr>
      </w:pPr>
    </w:p>
    <w:p>
      <w:pPr>
        <w:jc w:val="both"/>
        <w:ind w:left="1000" w:right="20" w:hanging="419"/>
        <w:spacing w:after="0" w:line="265"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vonoprazan and any future product candidates;</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86" w:name="page87"/>
    <w:bookmarkEnd w:id="86"/>
    <w:p>
      <w:pPr>
        <w:ind w:left="1000" w:right="180" w:hanging="419"/>
        <w:spacing w:after="0" w:line="347" w:lineRule="auto"/>
        <w:tabs>
          <w:tab w:leader="none" w:pos="10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79" w:lineRule="exact"/>
        <w:rPr>
          <w:rFonts w:ascii="Arial" w:cs="Arial" w:eastAsia="Arial" w:hAnsi="Arial"/>
          <w:sz w:val="15"/>
          <w:szCs w:val="15"/>
          <w:color w:val="auto"/>
        </w:rPr>
      </w:pPr>
    </w:p>
    <w:p>
      <w:pPr>
        <w:ind w:left="1000" w:right="760" w:hanging="419"/>
        <w:spacing w:after="0" w:line="278"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products.</w:t>
      </w:r>
    </w:p>
    <w:p>
      <w:pPr>
        <w:spacing w:after="0" w:line="125" w:lineRule="exact"/>
        <w:rPr>
          <w:sz w:val="20"/>
          <w:szCs w:val="20"/>
          <w:color w:val="auto"/>
        </w:rPr>
      </w:pPr>
    </w:p>
    <w:p>
      <w:pPr>
        <w:ind w:right="160" w:firstLine="589"/>
        <w:spacing w:after="0" w:line="256" w:lineRule="auto"/>
        <w:rPr>
          <w:sz w:val="20"/>
          <w:szCs w:val="20"/>
          <w:color w:val="auto"/>
        </w:rPr>
      </w:pPr>
      <w:r>
        <w:rPr>
          <w:rFonts w:ascii="Arial" w:cs="Arial" w:eastAsia="Arial" w:hAnsi="Arial"/>
          <w:sz w:val="17"/>
          <w:szCs w:val="17"/>
          <w:color w:val="auto"/>
        </w:rPr>
        <w:t>The patent prosecution process is also expensive and time consuming, and we and our licensor may not be able to file and prosecute all necessary or desirable patent applications at a reasonable cost or in a timely manner or in all jurisdictions where protection may be commercially advantageous. It is also possible that we and our licensor will fail to identify patentable aspects of our research and development output before it is too late to obtain patent protection. Moreover, in some circumstances such as under the Takeda License, we do not have the right to control the preparation, filing and prosecution of patent applications, or to maintain the patents, directed to technology that we license from third parties. We may also require the cooperation of our licensors in order to enforce the licensed patent rights, and such cooperation may not be provided. Therefore, these patents and applications may not be prosecuted and enforced in a manner consistent with the best interests of our business.</w:t>
      </w:r>
    </w:p>
    <w:p>
      <w:pPr>
        <w:spacing w:after="0" w:line="159"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We cannot be certain that patent prosecution and maintenance activities by our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spacing w:after="0" w:line="125" w:lineRule="exact"/>
        <w:rPr>
          <w:sz w:val="20"/>
          <w:szCs w:val="20"/>
          <w:color w:val="auto"/>
        </w:rPr>
      </w:pPr>
    </w:p>
    <w:p>
      <w:pPr>
        <w:ind w:right="80" w:firstLine="589"/>
        <w:spacing w:after="0" w:line="316" w:lineRule="auto"/>
        <w:rPr>
          <w:sz w:val="20"/>
          <w:szCs w:val="20"/>
          <w:color w:val="auto"/>
        </w:rPr>
      </w:pPr>
      <w:r>
        <w:rPr>
          <w:rFonts w:ascii="Arial" w:cs="Arial" w:eastAsia="Arial" w:hAnsi="Arial"/>
          <w:sz w:val="15"/>
          <w:szCs w:val="15"/>
          <w:color w:val="auto"/>
        </w:rPr>
        <w:t>In addition, although we enter into non-disclosure and confidentiality agreements with parties who have access to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w:t>
      </w:r>
    </w:p>
    <w:p>
      <w:pPr>
        <w:spacing w:after="0" w:line="102"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b w:val="1"/>
          <w:bCs w:val="1"/>
          <w:i w:val="1"/>
          <w:iCs w:val="1"/>
          <w:color w:val="auto"/>
        </w:rPr>
        <w:t>If we fail to comply with our obligations in the agreements under which we license intellectual property rights from third parties, including our rights in vonoprazan licensed from Takeda, or otherwise experience disruptions to our business relationships with our licensors, we could lose license rights that are important to our business.</w:t>
      </w:r>
    </w:p>
    <w:p>
      <w:pPr>
        <w:spacing w:after="0" w:line="149" w:lineRule="exact"/>
        <w:rPr>
          <w:sz w:val="20"/>
          <w:szCs w:val="20"/>
          <w:color w:val="auto"/>
        </w:rPr>
      </w:pPr>
    </w:p>
    <w:p>
      <w:pPr>
        <w:ind w:firstLine="589"/>
        <w:spacing w:after="0" w:line="272" w:lineRule="auto"/>
        <w:rPr>
          <w:sz w:val="20"/>
          <w:szCs w:val="20"/>
          <w:color w:val="auto"/>
        </w:rPr>
      </w:pPr>
      <w:r>
        <w:rPr>
          <w:rFonts w:ascii="Arial" w:cs="Arial" w:eastAsia="Arial" w:hAnsi="Arial"/>
          <w:sz w:val="16"/>
          <w:szCs w:val="16"/>
          <w:color w:val="auto"/>
        </w:rPr>
        <w:t>We are a party to the Takeda License under which we are granted rights to intellectual property that are important to our business and we may enter into additional license agreements in the future with other third parties. The Takeda License imposes, and we expect that any future license agreements where we in-license intellectual property, will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 Additionally, if a future license agreement includes a sublicense from a third party who is not the original licensor of the intellectual property at issue, then we must rely on our direct licensor to comply with its obligations under the primary license agreements under which such licensor obtained rights in the applicable intellectual property, where we may have no relationship with the original licensor of such rights. If such a licensor fails to comply with its obligations under its upstream license agreement, the original third-party licensor may have the right to terminate the original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vonoprazan and any future product candidates incorporating the relevant intellectual property.</w:t>
      </w:r>
    </w:p>
    <w:p>
      <w:pPr>
        <w:spacing w:after="0" w:line="132" w:lineRule="exact"/>
        <w:rPr>
          <w:sz w:val="20"/>
          <w:szCs w:val="20"/>
          <w:color w:val="auto"/>
        </w:rPr>
      </w:pPr>
    </w:p>
    <w:p>
      <w:pPr>
        <w:ind w:right="120" w:firstLine="589"/>
        <w:spacing w:after="0" w:line="261" w:lineRule="auto"/>
        <w:rPr>
          <w:sz w:val="20"/>
          <w:szCs w:val="20"/>
          <w:color w:val="auto"/>
        </w:rPr>
      </w:pPr>
      <w:r>
        <w:rPr>
          <w:rFonts w:ascii="Arial" w:cs="Arial" w:eastAsia="Arial" w:hAnsi="Arial"/>
          <w:sz w:val="17"/>
          <w:szCs w:val="17"/>
          <w:color w:val="auto"/>
        </w:rPr>
        <w:t>We may need to obtain further licenses from third parties to advance our research or allow commercialization of vonoprazan and any future product candidates, and we cannot provide any assurances that third-party patents do not exist which might be enforced against vonoprazan and any future product candidates in the absence of such a license. We may fail to obtain any of these licenses on commercially reasonable terms, if at all. Even if we are able to obtain a license, it may be non-exclusive, thereby giving our competitors access to the same technologies licensed</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87" w:name="page88"/>
    <w:bookmarkEnd w:id="87"/>
    <w:p>
      <w:pPr>
        <w:ind w:right="160"/>
        <w:spacing w:after="0" w:line="261" w:lineRule="auto"/>
        <w:rPr>
          <w:sz w:val="20"/>
          <w:szCs w:val="20"/>
          <w:color w:val="auto"/>
        </w:rPr>
      </w:pPr>
      <w:r>
        <w:rPr>
          <w:rFonts w:ascii="Arial" w:cs="Arial" w:eastAsia="Arial" w:hAnsi="Arial"/>
          <w:sz w:val="17"/>
          <w:szCs w:val="17"/>
          <w:color w:val="auto"/>
        </w:rPr>
        <w:t>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52" w:lineRule="exact"/>
        <w:rPr>
          <w:sz w:val="20"/>
          <w:szCs w:val="20"/>
          <w:color w:val="auto"/>
        </w:rPr>
      </w:pPr>
    </w:p>
    <w:p>
      <w:pPr>
        <w:ind w:right="200" w:firstLine="589"/>
        <w:spacing w:after="0" w:line="278" w:lineRule="auto"/>
        <w:rPr>
          <w:sz w:val="20"/>
          <w:szCs w:val="20"/>
          <w:color w:val="auto"/>
        </w:rPr>
      </w:pPr>
      <w:r>
        <w:rPr>
          <w:rFonts w:ascii="Arial" w:cs="Arial" w:eastAsia="Arial" w:hAnsi="Arial"/>
          <w:sz w:val="17"/>
          <w:szCs w:val="17"/>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125" w:lineRule="exact"/>
        <w:rPr>
          <w:sz w:val="20"/>
          <w:szCs w:val="20"/>
          <w:color w:val="auto"/>
        </w:rPr>
      </w:pPr>
    </w:p>
    <w:p>
      <w:pPr>
        <w:ind w:left="1000" w:hanging="419"/>
        <w:spacing w:after="0"/>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scope of rights granted under the license agreement and other interpretation-related issues;</w:t>
      </w:r>
    </w:p>
    <w:p>
      <w:pPr>
        <w:spacing w:after="0" w:line="177" w:lineRule="exact"/>
        <w:rPr>
          <w:rFonts w:ascii="Arial" w:cs="Arial" w:eastAsia="Arial" w:hAnsi="Arial"/>
          <w:sz w:val="17"/>
          <w:szCs w:val="17"/>
          <w:color w:val="auto"/>
        </w:rPr>
      </w:pPr>
    </w:p>
    <w:p>
      <w:pPr>
        <w:ind w:left="1000" w:right="380" w:hanging="419"/>
        <w:spacing w:after="0" w:line="278" w:lineRule="auto"/>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whether and the extent to which our technology and processes infringe on intellectual property of the licensor that is not subject to the licensing agreement;</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right to sublicense patents and other rights to third parties;</w:t>
      </w:r>
    </w:p>
    <w:p>
      <w:pPr>
        <w:spacing w:after="0" w:line="177" w:lineRule="exact"/>
        <w:rPr>
          <w:rFonts w:ascii="Arial" w:cs="Arial" w:eastAsia="Arial" w:hAnsi="Arial"/>
          <w:sz w:val="17"/>
          <w:szCs w:val="17"/>
          <w:color w:val="auto"/>
        </w:rPr>
      </w:pPr>
    </w:p>
    <w:p>
      <w:pPr>
        <w:ind w:left="1000" w:right="60" w:hanging="419"/>
        <w:spacing w:after="0" w:line="278" w:lineRule="auto"/>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diligence obligations with respect to the use of the licensed technology in relation to our development and commercialization of vonoprazan and any future product candidates, and what activities satisfy those diligence obligations;</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right to transfer or assign the license;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ownership of inventions and know-how resulting from the joint creation or use of intellectual property by our licensors and us and our partners.</w:t>
      </w:r>
    </w:p>
    <w:p>
      <w:pPr>
        <w:spacing w:after="0" w:line="200" w:lineRule="exact"/>
        <w:rPr>
          <w:sz w:val="20"/>
          <w:szCs w:val="20"/>
          <w:color w:val="auto"/>
        </w:rPr>
      </w:pPr>
    </w:p>
    <w:p>
      <w:pPr>
        <w:ind w:right="60" w:firstLine="589"/>
        <w:spacing w:after="0" w:line="347" w:lineRule="auto"/>
        <w:rPr>
          <w:sz w:val="20"/>
          <w:szCs w:val="20"/>
          <w:color w:val="auto"/>
        </w:rPr>
      </w:pPr>
      <w:r>
        <w:rPr>
          <w:rFonts w:ascii="Arial" w:cs="Arial" w:eastAsia="Arial" w:hAnsi="Arial"/>
          <w:sz w:val="15"/>
          <w:szCs w:val="15"/>
          <w:color w:val="auto"/>
        </w:rPr>
        <w:t>If disputes over intellectual property that we have licensed prevent or impair our ability to maintain our current licensing arrangements on acceptable terms, we may not be able to successfully develop and commercialize the affected product candidates, which would have a material adverse effect on our business.</w:t>
      </w:r>
    </w:p>
    <w:p>
      <w:pPr>
        <w:spacing w:after="0" w:line="79" w:lineRule="exact"/>
        <w:rPr>
          <w:sz w:val="20"/>
          <w:szCs w:val="20"/>
          <w:color w:val="auto"/>
        </w:rPr>
      </w:pPr>
    </w:p>
    <w:p>
      <w:pPr>
        <w:ind w:right="300" w:firstLine="589"/>
        <w:spacing w:after="0" w:line="261" w:lineRule="auto"/>
        <w:rPr>
          <w:sz w:val="20"/>
          <w:szCs w:val="20"/>
          <w:color w:val="auto"/>
        </w:rPr>
      </w:pPr>
      <w:r>
        <w:rPr>
          <w:rFonts w:ascii="Arial" w:cs="Arial" w:eastAsia="Arial" w:hAnsi="Arial"/>
          <w:sz w:val="17"/>
          <w:szCs w:val="17"/>
          <w:color w:val="auto"/>
        </w:rPr>
        <w:t>In addition, certain of our agreements may limit or delay our ability to consummate certain transactions, may impact the value of those transactions, or may limit our ability to pursue certain activities. For example, if we choose to sublicense or assign to any third parties our rights under our existing license agreement with Takeda with respect to any licensed product, we may be required to wait for a certain period or until the occurrence of certain funding or development milestones.</w:t>
      </w:r>
    </w:p>
    <w:p>
      <w:pPr>
        <w:spacing w:after="0" w:line="152" w:lineRule="exact"/>
        <w:rPr>
          <w:sz w:val="20"/>
          <w:szCs w:val="20"/>
          <w:color w:val="auto"/>
        </w:rPr>
      </w:pPr>
    </w:p>
    <w:p>
      <w:pPr>
        <w:ind w:right="200"/>
        <w:spacing w:after="0" w:line="278"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25" w:lineRule="exact"/>
        <w:rPr>
          <w:sz w:val="20"/>
          <w:szCs w:val="20"/>
          <w:color w:val="auto"/>
        </w:rPr>
      </w:pPr>
    </w:p>
    <w:p>
      <w:pPr>
        <w:ind w:right="120" w:firstLine="589"/>
        <w:spacing w:after="0" w:line="261" w:lineRule="auto"/>
        <w:rPr>
          <w:sz w:val="20"/>
          <w:szCs w:val="20"/>
          <w:color w:val="auto"/>
        </w:rPr>
      </w:pPr>
      <w:r>
        <w:rPr>
          <w:rFonts w:ascii="Arial" w:cs="Arial" w:eastAsia="Arial" w:hAnsi="Arial"/>
          <w:sz w:val="17"/>
          <w:szCs w:val="17"/>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in-licensed pending and future patent applications may not result in patents being issued which protect vonoprazan or any future product candidates or which effectively prevent others from commercializing competitive product candidates.</w:t>
      </w:r>
    </w:p>
    <w:p>
      <w:pPr>
        <w:spacing w:after="0" w:line="139"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Moreover, the coverage claimed in a patent application can be significantly reduced before the patent is issued, and its scope can be reinterpreted after issuance. Even if patent applications we own in the future or license currently issue as patents, they may not issue in a form that will provide us with any meaningful protection, prevent competitors or other third parties from competing with us, or otherwise provide us with any competitive advantage. Any future patents that we own or license, now or in the future, may be challenged or circumvented by third parties or may be narrowed or invalidated as a result of challenges by third parties. Consequently, we do not know whether vonoprazan or any future product candidates will be protectable or remain protected by valid and enforceable patents. Our competitors or other third parties may be able to circumvent our future patents or the patents of our current and future licensors by developing similar or alternative technologies or products in a non-infringing manner which could materially adversely affect our business, financial condition, results of operations and prospects.</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88" w:name="page89"/>
    <w:bookmarkEnd w:id="88"/>
    <w:p>
      <w:pPr>
        <w:ind w:firstLine="589"/>
        <w:spacing w:after="0" w:line="271" w:lineRule="auto"/>
        <w:rPr>
          <w:sz w:val="20"/>
          <w:szCs w:val="20"/>
          <w:color w:val="auto"/>
        </w:rPr>
      </w:pPr>
      <w:r>
        <w:rPr>
          <w:rFonts w:ascii="Arial" w:cs="Arial" w:eastAsia="Arial" w:hAnsi="Arial"/>
          <w:sz w:val="16"/>
          <w:szCs w:val="16"/>
          <w:color w:val="auto"/>
        </w:rPr>
        <w:t>The issuance of a patent is not conclusive as to its inventorship, scope, validity or enforceability, and our future patents or the patents of our current and future licensors may not cover vonoprazan or any future product candidates or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the validity question, for example, we cannot be certain that there is no invalidating prior art, of which we or our predecessors and the patent examiner were unaware during prosecution. There is no assurance that all potentially relevant prior art relating to our in-licensed patents and patent applications has been found. There is also no assurance that there is not prior art of which we, our predecessors or licensors are aware, but which we do not believe affects the validity or enforceability of a claim in our in-licensed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vonoprazan or any future product candidates and compete directly with us, without payment to us. It is possible that defects of form in the preparation or filing of our or our current and future licensors’ patents or patent applications may exist, or may arise in the future, for example with respect to proper priority claims, inventorship, claim scope, or requests for patent term adjustments. If there are material defects in the form, preparation, prosecution, or enforcement of our future patents or future patent applications or our current and future licensors’ patents or patent applications, such patents may be invalid and/or unenforceable, and such applications may never result in valid, enforceable patents.</w:t>
      </w:r>
    </w:p>
    <w:p>
      <w:pPr>
        <w:spacing w:after="0" w:line="147" w:lineRule="exact"/>
        <w:rPr>
          <w:sz w:val="20"/>
          <w:szCs w:val="20"/>
          <w:color w:val="auto"/>
        </w:rPr>
      </w:pPr>
    </w:p>
    <w:p>
      <w:pPr>
        <w:ind w:right="180" w:firstLine="589"/>
        <w:spacing w:after="0" w:line="276" w:lineRule="auto"/>
        <w:rPr>
          <w:sz w:val="20"/>
          <w:szCs w:val="20"/>
          <w:color w:val="auto"/>
        </w:rPr>
      </w:pPr>
      <w:r>
        <w:rPr>
          <w:rFonts w:ascii="Arial" w:cs="Arial" w:eastAsia="Arial" w:hAnsi="Arial"/>
          <w:sz w:val="16"/>
          <w:szCs w:val="16"/>
          <w:color w:val="auto"/>
        </w:rPr>
        <w:t>Any loss of patent rights, loss of exclusivity or in patent claims being narrowed, invalidated or held unenforceable could limit our ability to stop others from using or commercializing similar or identical technology and products, or limit the duration of the patent protection of vonoprazan or any future product candidates, which could materially and adversely impact our business. Such proceedings also may result in substantial cost and require significant time from our scientists and management, even if the eventual outcome is favorable to us. In addition, if the breadth or strength of protection provided by our future patents and future patent applications or the patents and patent applications of our current and future licensors is threatened, regardless of the outcome, it could dissuade companies from collaborating with us to license, develop or commercialize vonoprazan or any future product candidates.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patent protection and patent prosecution for vonoprazan or any future product candidates may be dependent on third parties.</w:t>
      </w:r>
    </w:p>
    <w:p>
      <w:pPr>
        <w:spacing w:after="0" w:line="177" w:lineRule="exact"/>
        <w:rPr>
          <w:sz w:val="20"/>
          <w:szCs w:val="20"/>
          <w:color w:val="auto"/>
        </w:rPr>
      </w:pPr>
    </w:p>
    <w:p>
      <w:pPr>
        <w:ind w:firstLine="589"/>
        <w:spacing w:after="0" w:line="271" w:lineRule="auto"/>
        <w:rPr>
          <w:sz w:val="20"/>
          <w:szCs w:val="20"/>
          <w:color w:val="auto"/>
        </w:rPr>
      </w:pPr>
      <w:r>
        <w:rPr>
          <w:rFonts w:ascii="Arial" w:cs="Arial" w:eastAsia="Arial" w:hAnsi="Arial"/>
          <w:sz w:val="16"/>
          <w:szCs w:val="16"/>
          <w:color w:val="auto"/>
        </w:rPr>
        <w:t>We may rely on third parties to file and prosecute patent applications and maintain patents and otherwise protect the licensed intellectual property under certain current and future license agreements, such as the Takeda License. Under such arrangements, we may not have primary control over these activities for certain of licensed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In addition, our current and future licensors may not be fully cooperative or disagree with us as to the prosecution, maintenance or enforcement of any patent rights, which could compromise such patent rights. We may in the future enter into license agreements where the licensors may have the right to control enforcement of our licensed patents or defense of any claims asserting the invalidity of these patents and even if we are permitted to pursue such enforcement or defense, we will require the cooperation of our licensors. We cannot be certain that our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licensors or any of our future licensors or future collaborators fail to appropriately prosecute and maintain patent protection for patents covering vonoprazan or any future product candidates, our ability to develop and commercialize those product candidates may be adversely affected and we may not be able to prevent competitors from making, using and selling competing products.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89" w:name="page90"/>
    <w:bookmarkEnd w:id="89"/>
    <w:p>
      <w:pPr>
        <w:ind w:right="180" w:firstLine="589"/>
        <w:spacing w:after="0" w:line="265" w:lineRule="auto"/>
        <w:rPr>
          <w:sz w:val="20"/>
          <w:szCs w:val="20"/>
          <w:color w:val="auto"/>
        </w:rPr>
      </w:pPr>
      <w:r>
        <w:rPr>
          <w:rFonts w:ascii="Arial" w:cs="Arial" w:eastAsia="Arial" w:hAnsi="Arial"/>
          <w:sz w:val="17"/>
          <w:szCs w:val="17"/>
          <w:color w:val="auto"/>
        </w:rPr>
        <w:t>In addition, even where we have the right to control prosecution of patent applications or enforcement of patents we have acquired or licensed from third parties, we may still be adversely affected or prejudiced by actions or inactions of our predecessors or licensors and their counsel that took place prior to us assuming control over such activities.</w:t>
      </w:r>
    </w:p>
    <w:p>
      <w:pPr>
        <w:spacing w:after="0" w:line="149" w:lineRule="exact"/>
        <w:rPr>
          <w:sz w:val="20"/>
          <w:szCs w:val="20"/>
          <w:color w:val="auto"/>
        </w:rPr>
      </w:pPr>
    </w:p>
    <w:p>
      <w:pPr>
        <w:ind w:firstLine="589"/>
        <w:spacing w:after="0" w:line="276" w:lineRule="auto"/>
        <w:rPr>
          <w:sz w:val="20"/>
          <w:szCs w:val="20"/>
          <w:color w:val="auto"/>
        </w:rPr>
      </w:pPr>
      <w:r>
        <w:rPr>
          <w:rFonts w:ascii="Arial" w:cs="Arial" w:eastAsia="Arial" w:hAnsi="Arial"/>
          <w:sz w:val="16"/>
          <w:szCs w:val="16"/>
          <w:color w:val="auto"/>
        </w:rPr>
        <w:t>Third parties may retain certain rights to the technology that they license to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For example, under the Takeda License, Takeda retained the rights to the inventions in all countries other than the United States, Europe, and Canada. Takeda also retained the right to develop certain drug products that contain vonoprazan where vonoprazan is not the only active pharmaceutical ingredient. It is difficult to monitor whether our predecessors or licensors limit their use of the technology to these uses, and we could incur substantial expenses to enforce our rights to our licensed technology in the event of misuse.</w:t>
      </w:r>
    </w:p>
    <w:p>
      <w:pPr>
        <w:spacing w:after="0" w:line="131" w:lineRule="exact"/>
        <w:rPr>
          <w:sz w:val="20"/>
          <w:szCs w:val="20"/>
          <w:color w:val="auto"/>
        </w:rPr>
      </w:pPr>
    </w:p>
    <w:p>
      <w:pPr>
        <w:ind w:right="80" w:firstLine="589"/>
        <w:spacing w:after="0" w:line="261" w:lineRule="auto"/>
        <w:rPr>
          <w:sz w:val="20"/>
          <w:szCs w:val="20"/>
          <w:color w:val="auto"/>
        </w:rPr>
      </w:pPr>
      <w:r>
        <w:rPr>
          <w:rFonts w:ascii="Arial" w:cs="Arial" w:eastAsia="Arial" w:hAnsi="Arial"/>
          <w:sz w:val="17"/>
          <w:szCs w:val="17"/>
          <w:color w:val="auto"/>
        </w:rPr>
        <w:t>If we are limited in our ability to utilize acquired or licensed technologies, or if we lose our rights to critical in-licensed technology, we may be unable to successfully develop, out-license, market and sell our products, which could prevent or delay new product introductions. Our business strategy depends on the successful development of licensed and acquired technologies into commercial products. Therefore, any limitations on our ability to utilize these technologies may impair our ability to develop, out-license or market and sell our product candidate.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competitive advantage.</w:t>
      </w:r>
    </w:p>
    <w:p>
      <w:pPr>
        <w:spacing w:after="0" w:line="190" w:lineRule="exact"/>
        <w:rPr>
          <w:sz w:val="20"/>
          <w:szCs w:val="20"/>
          <w:color w:val="auto"/>
        </w:rPr>
      </w:pPr>
    </w:p>
    <w:p>
      <w:pPr>
        <w:ind w:right="240" w:firstLine="589"/>
        <w:spacing w:after="0" w:line="27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25" w:lineRule="exact"/>
        <w:rPr>
          <w:sz w:val="20"/>
          <w:szCs w:val="20"/>
          <w:color w:val="auto"/>
        </w:rPr>
      </w:pPr>
    </w:p>
    <w:p>
      <w:pPr>
        <w:ind w:left="1000" w:right="160" w:hanging="419"/>
        <w:spacing w:after="0" w:line="278"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others may be able to develop products that are similar to vonoprazan or any future product candidates but that are not covered by the claims of the patents that we own in the future or license;</w:t>
      </w:r>
    </w:p>
    <w:p>
      <w:pPr>
        <w:spacing w:after="0" w:line="125" w:lineRule="exact"/>
        <w:rPr>
          <w:rFonts w:ascii="Arial" w:cs="Arial" w:eastAsia="Arial" w:hAnsi="Arial"/>
          <w:sz w:val="17"/>
          <w:szCs w:val="17"/>
          <w:color w:val="auto"/>
        </w:rPr>
      </w:pPr>
    </w:p>
    <w:p>
      <w:pPr>
        <w:ind w:left="1000" w:right="260" w:hanging="419"/>
        <w:spacing w:after="0" w:line="278"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or our current and future licensors or predecessors might not have been the first to make the inventions covered by the issued patents or patent applications that we own in the future or license;</w:t>
      </w:r>
    </w:p>
    <w:p>
      <w:pPr>
        <w:spacing w:after="0" w:line="125" w:lineRule="exact"/>
        <w:rPr>
          <w:rFonts w:ascii="Arial" w:cs="Arial" w:eastAsia="Arial" w:hAnsi="Arial"/>
          <w:sz w:val="17"/>
          <w:szCs w:val="17"/>
          <w:color w:val="auto"/>
        </w:rPr>
      </w:pPr>
    </w:p>
    <w:p>
      <w:pPr>
        <w:ind w:left="1000" w:right="600" w:hanging="419"/>
        <w:spacing w:after="0" w:line="278"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or our current and future licensors or predecessors might not have been the first to file patent applications covering certain of the claimed inventions;</w:t>
      </w:r>
    </w:p>
    <w:p>
      <w:pPr>
        <w:spacing w:after="0" w:line="125" w:lineRule="exact"/>
        <w:rPr>
          <w:rFonts w:ascii="Arial" w:cs="Arial" w:eastAsia="Arial" w:hAnsi="Arial"/>
          <w:sz w:val="17"/>
          <w:szCs w:val="17"/>
          <w:color w:val="auto"/>
        </w:rPr>
      </w:pPr>
    </w:p>
    <w:p>
      <w:pPr>
        <w:ind w:left="1000" w:hanging="419"/>
        <w:spacing w:after="0" w:line="278"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it is possible that the pending patent applications we own or license will not lead to issued patents;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issued patents that we own in the future or license may be held invalid or unenforceable, as a result of legal challenges by our competitors;</w:t>
      </w:r>
    </w:p>
    <w:p>
      <w:pPr>
        <w:spacing w:after="0" w:line="188" w:lineRule="exact"/>
        <w:rPr>
          <w:rFonts w:ascii="Arial" w:cs="Arial" w:eastAsia="Arial" w:hAnsi="Arial"/>
          <w:sz w:val="16"/>
          <w:szCs w:val="16"/>
          <w:color w:val="auto"/>
        </w:rPr>
      </w:pPr>
    </w:p>
    <w:p>
      <w:pPr>
        <w:ind w:left="1000" w:right="340" w:hanging="419"/>
        <w:spacing w:after="0" w:line="278" w:lineRule="auto"/>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we may not develop additional proprietary technologies that are patentable;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patents of others may have an adverse effect on our business.</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Should any of these events occur, it could significantly harm our business, results of operations and prospects.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90" w:name="page91"/>
    <w:bookmarkEnd w:id="90"/>
    <w:p>
      <w:pPr>
        <w:jc w:val="both"/>
        <w:ind w:right="180"/>
        <w:spacing w:after="0" w:line="389" w:lineRule="auto"/>
        <w:rPr>
          <w:sz w:val="20"/>
          <w:szCs w:val="20"/>
          <w:color w:val="auto"/>
        </w:rPr>
      </w:pPr>
      <w:r>
        <w:rPr>
          <w:rFonts w:ascii="Arial" w:cs="Arial" w:eastAsia="Arial" w:hAnsi="Arial"/>
          <w:sz w:val="14"/>
          <w:szCs w:val="14"/>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69" w:lineRule="exact"/>
        <w:rPr>
          <w:sz w:val="20"/>
          <w:szCs w:val="20"/>
          <w:color w:val="auto"/>
        </w:rPr>
      </w:pPr>
    </w:p>
    <w:p>
      <w:pPr>
        <w:ind w:right="20" w:firstLine="589"/>
        <w:spacing w:after="0" w:line="255"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vonoprazan and any future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 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vonoprazan and any future product candidates.</w:t>
      </w:r>
    </w:p>
    <w:p>
      <w:pPr>
        <w:spacing w:after="0" w:line="148" w:lineRule="exact"/>
        <w:rPr>
          <w:sz w:val="20"/>
          <w:szCs w:val="20"/>
          <w:color w:val="auto"/>
        </w:rPr>
      </w:pPr>
    </w:p>
    <w:p>
      <w:pPr>
        <w:ind w:firstLine="589"/>
        <w:spacing w:after="0" w:line="273" w:lineRule="auto"/>
        <w:rPr>
          <w:sz w:val="20"/>
          <w:szCs w:val="20"/>
          <w:color w:val="auto"/>
        </w:rPr>
      </w:pPr>
      <w:r>
        <w:rPr>
          <w:rFonts w:ascii="Arial" w:cs="Arial" w:eastAsia="Arial" w:hAnsi="Arial"/>
          <w:sz w:val="16"/>
          <w:szCs w:val="16"/>
          <w:color w:val="auto"/>
        </w:rPr>
        <w:t>As the biopharmaceutical industry expands and more patents are issued, the risk increases that vonoprazan and any future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vonoprazan and any future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vonoprazan and any future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In addition, third parties may obtain patents in the future and claim that use of our technologies infringes upon these patents. Any claims of patent infringement asserted by third parties would be time consuming and could:</w:t>
      </w:r>
    </w:p>
    <w:p>
      <w:pPr>
        <w:spacing w:after="0" w:line="134" w:lineRule="exact"/>
        <w:rPr>
          <w:sz w:val="20"/>
          <w:szCs w:val="20"/>
          <w:color w:val="auto"/>
        </w:rPr>
      </w:pPr>
    </w:p>
    <w:p>
      <w:pPr>
        <w:ind w:left="1000" w:hanging="419"/>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result in costly litigation that may cause negative publicity;</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divert the time and attention of our technical personnel and management;</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cause development delays;</w:t>
      </w:r>
    </w:p>
    <w:p>
      <w:pPr>
        <w:spacing w:after="0" w:line="177" w:lineRule="exact"/>
        <w:rPr>
          <w:rFonts w:ascii="Arial" w:cs="Arial" w:eastAsia="Arial" w:hAnsi="Arial"/>
          <w:sz w:val="17"/>
          <w:szCs w:val="17"/>
          <w:color w:val="auto"/>
        </w:rPr>
      </w:pPr>
    </w:p>
    <w:p>
      <w:pPr>
        <w:ind w:left="1000" w:right="420" w:hanging="419"/>
        <w:spacing w:after="0" w:line="278"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prevent us from commercializing vonoprazan and any future product candidates until the asserted patent expires or is held finally invalid or not infringed in a court of law;</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require us to develop non-infringing technology, which may not be possible on a cost-effective basis;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subject us to significant liability to third parties; or</w:t>
      </w:r>
    </w:p>
    <w:p>
      <w:pPr>
        <w:spacing w:after="0" w:line="177" w:lineRule="exact"/>
        <w:rPr>
          <w:rFonts w:ascii="Arial" w:cs="Arial" w:eastAsia="Arial" w:hAnsi="Arial"/>
          <w:sz w:val="17"/>
          <w:szCs w:val="17"/>
          <w:color w:val="auto"/>
        </w:rPr>
      </w:pPr>
    </w:p>
    <w:p>
      <w:pPr>
        <w:ind w:left="1000" w:right="180" w:hanging="419"/>
        <w:spacing w:after="0" w:line="278" w:lineRule="auto"/>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25" w:lineRule="exact"/>
        <w:rPr>
          <w:sz w:val="20"/>
          <w:szCs w:val="20"/>
          <w:color w:val="auto"/>
        </w:rPr>
      </w:pPr>
    </w:p>
    <w:p>
      <w:pPr>
        <w:ind w:right="220" w:firstLine="589"/>
        <w:spacing w:after="0" w:line="278" w:lineRule="auto"/>
        <w:rPr>
          <w:sz w:val="20"/>
          <w:szCs w:val="20"/>
          <w:color w:val="auto"/>
        </w:rPr>
      </w:pPr>
      <w:r>
        <w:rPr>
          <w:rFonts w:ascii="Arial" w:cs="Arial" w:eastAsia="Arial" w:hAnsi="Arial"/>
          <w:sz w:val="17"/>
          <w:szCs w:val="17"/>
          <w:color w:val="auto"/>
        </w:rPr>
        <w:t>Although no third party has asserted a claim of patent infringement against us as of the date of this annual report, others may hold proprietary rights that could prevent vonoprazan and any future product candidates from being marketed.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91" w:name="page92"/>
    <w:bookmarkEnd w:id="91"/>
    <w:p>
      <w:pPr>
        <w:ind w:firstLine="589"/>
        <w:spacing w:after="0" w:line="293" w:lineRule="auto"/>
        <w:rPr>
          <w:sz w:val="20"/>
          <w:szCs w:val="20"/>
          <w:color w:val="auto"/>
        </w:rPr>
      </w:pPr>
      <w:r>
        <w:rPr>
          <w:rFonts w:ascii="Arial" w:cs="Arial" w:eastAsia="Arial" w:hAnsi="Arial"/>
          <w:sz w:val="15"/>
          <w:szCs w:val="15"/>
          <w:color w:val="auto"/>
        </w:rPr>
        <w:t>Any patent-related legal action against us claiming damages and seeking to enjoin activities relating to vonoprazan and any future product candidates or processes could subject us to potential liability for damages, including treble damages if we were determined to willfully infringe, and require us to obtain a license to manufacture or develop vonoprazan and any future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vonoprazan and any future product candidates or processes to avoid infringement, if necessary. Accordingly, an adverse determination in a judicial or administrative proceeding, or the failure to obtain necessary licenses, could prevent us from developing and commercializing vonoprazan and any future product candidates, which could harm our business, financial condition and operating results.</w:t>
      </w:r>
    </w:p>
    <w:p>
      <w:pPr>
        <w:spacing w:after="0" w:line="135" w:lineRule="exact"/>
        <w:rPr>
          <w:sz w:val="20"/>
          <w:szCs w:val="20"/>
          <w:color w:val="auto"/>
        </w:rPr>
      </w:pPr>
    </w:p>
    <w:p>
      <w:pPr>
        <w:ind w:right="20" w:firstLine="589"/>
        <w:spacing w:after="0" w:line="258"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be successful in obtaining or maintaining necessary rights to vonoprazan and any future product candidates through acquisitions and in-licenses.</w:t>
      </w:r>
    </w:p>
    <w:p>
      <w:pPr>
        <w:spacing w:after="0" w:line="212" w:lineRule="exact"/>
        <w:rPr>
          <w:sz w:val="20"/>
          <w:szCs w:val="20"/>
          <w:color w:val="auto"/>
        </w:rPr>
      </w:pPr>
    </w:p>
    <w:p>
      <w:pPr>
        <w:ind w:right="20" w:firstLine="589"/>
        <w:spacing w:after="0" w:line="255" w:lineRule="auto"/>
        <w:rPr>
          <w:sz w:val="20"/>
          <w:szCs w:val="20"/>
          <w:color w:val="auto"/>
        </w:rPr>
      </w:pPr>
      <w:r>
        <w:rPr>
          <w:rFonts w:ascii="Arial" w:cs="Arial" w:eastAsia="Arial" w:hAnsi="Arial"/>
          <w:sz w:val="17"/>
          <w:szCs w:val="17"/>
          <w:color w:val="auto"/>
        </w:rPr>
        <w:t>Because our development programs may in the future require the use of proprietary rights held by other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vonoprazan and any future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59"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b w:val="1"/>
          <w:bCs w:val="1"/>
          <w:i w:val="1"/>
          <w:iCs w:val="1"/>
          <w:color w:val="auto"/>
        </w:rPr>
        <w:t>We may be involved in lawsuits to protect or enforce our future patents or the patents of our current and future licensors, which could be expensive, time consuming and unsuccessful. Further, our future issued patents or the patents of our current and future licensors could be found invalid or unenforceable if challenged in court.</w:t>
      </w:r>
    </w:p>
    <w:p>
      <w:pPr>
        <w:spacing w:after="0" w:line="136" w:lineRule="exact"/>
        <w:rPr>
          <w:sz w:val="20"/>
          <w:szCs w:val="20"/>
          <w:color w:val="auto"/>
        </w:rPr>
      </w:pPr>
    </w:p>
    <w:p>
      <w:pPr>
        <w:ind w:right="20" w:firstLine="589"/>
        <w:spacing w:after="0" w:line="255" w:lineRule="auto"/>
        <w:rPr>
          <w:sz w:val="20"/>
          <w:szCs w:val="20"/>
          <w:color w:val="auto"/>
        </w:rPr>
      </w:pPr>
      <w:r>
        <w:rPr>
          <w:rFonts w:ascii="Arial" w:cs="Arial" w:eastAsia="Arial" w:hAnsi="Arial"/>
          <w:sz w:val="17"/>
          <w:szCs w:val="17"/>
          <w:color w:val="auto"/>
        </w:rPr>
        <w:t>Competitors may infringe our intellectual property rights or those of our current and future licensors. To prevent infringement or unauthorized use, we and/or any such licensors may be required to file infringement claims, which can be expensive and time consuming. In addition, in a patent infringement proceeding, a court may decide that a patent we own or license is not valid, is unenforceable and/or is not infringed. If we or any of our current and future licensors were to initiate legal proceedings against a third party to enforce a patent directed at vonoprazan and any future product candidates, the defendant could counterclaim that our patent or the patent of our current or future licensor is invalid and/or unenforceable in whole or in part. In patent litigation,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92" w:name="page93"/>
    <w:bookmarkEnd w:id="92"/>
    <w:p>
      <w:pPr>
        <w:ind w:firstLine="589"/>
        <w:spacing w:after="0" w:line="261" w:lineRule="auto"/>
        <w:rPr>
          <w:sz w:val="20"/>
          <w:szCs w:val="20"/>
          <w:color w:val="auto"/>
        </w:rPr>
      </w:pPr>
      <w:r>
        <w:rPr>
          <w:rFonts w:ascii="Arial" w:cs="Arial" w:eastAsia="Arial" w:hAnsi="Arial"/>
          <w:sz w:val="17"/>
          <w:szCs w:val="17"/>
          <w:color w:val="auto"/>
        </w:rPr>
        <w:t>If a defendant were to prevail on a legal assertion of invalidity and/or unenforceability, we would lose at least part, and perhaps all, of the patent protection on such product candidate. In addition, if the breadth or strength of protection provided by our future patents and future patent applications or those of our current and future licensors is threatened, it could dissuade companies from collaborating with us to license, develop or commercialize current or future product candidates. Such a loss of patent protection would have a material adverse impact on our business.</w:t>
      </w:r>
    </w:p>
    <w:p>
      <w:pPr>
        <w:spacing w:after="0" w:line="152" w:lineRule="exact"/>
        <w:rPr>
          <w:sz w:val="20"/>
          <w:szCs w:val="20"/>
          <w:color w:val="auto"/>
        </w:rPr>
      </w:pPr>
    </w:p>
    <w:p>
      <w:pPr>
        <w:ind w:right="40" w:firstLine="589"/>
        <w:spacing w:after="0" w:line="276" w:lineRule="auto"/>
        <w:rPr>
          <w:sz w:val="20"/>
          <w:szCs w:val="20"/>
          <w:color w:val="auto"/>
        </w:rPr>
      </w:pPr>
      <w:r>
        <w:rPr>
          <w:rFonts w:ascii="Arial" w:cs="Arial" w:eastAsia="Arial" w:hAnsi="Arial"/>
          <w:sz w:val="16"/>
          <w:szCs w:val="16"/>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31" w:lineRule="exact"/>
        <w:rPr>
          <w:sz w:val="20"/>
          <w:szCs w:val="20"/>
          <w:color w:val="auto"/>
        </w:rPr>
      </w:pPr>
    </w:p>
    <w:p>
      <w:pPr>
        <w:ind w:firstLine="589"/>
        <w:spacing w:after="0" w:line="265"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shares to decline.</w:t>
      </w:r>
    </w:p>
    <w:p>
      <w:pPr>
        <w:spacing w:after="0" w:line="213" w:lineRule="exact"/>
        <w:rPr>
          <w:sz w:val="20"/>
          <w:szCs w:val="20"/>
          <w:color w:val="auto"/>
        </w:rPr>
      </w:pPr>
    </w:p>
    <w:p>
      <w:pPr>
        <w:ind w:right="80" w:firstLine="589"/>
        <w:spacing w:after="0" w:line="306" w:lineRule="auto"/>
        <w:rPr>
          <w:sz w:val="20"/>
          <w:szCs w:val="20"/>
          <w:color w:val="auto"/>
        </w:rPr>
      </w:pPr>
      <w:r>
        <w:rPr>
          <w:rFonts w:ascii="Arial" w:cs="Arial" w:eastAsia="Arial" w:hAnsi="Arial"/>
          <w:sz w:val="15"/>
          <w:szCs w:val="15"/>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10" w:lineRule="exact"/>
        <w:rPr>
          <w:sz w:val="20"/>
          <w:szCs w:val="20"/>
          <w:color w:val="auto"/>
        </w:rPr>
      </w:pPr>
    </w:p>
    <w:p>
      <w:pPr>
        <w:ind w:right="280"/>
        <w:spacing w:after="0" w:line="278" w:lineRule="auto"/>
        <w:rPr>
          <w:sz w:val="20"/>
          <w:szCs w:val="20"/>
          <w:color w:val="auto"/>
        </w:rPr>
      </w:pPr>
      <w:r>
        <w:rPr>
          <w:rFonts w:ascii="Arial" w:cs="Arial" w:eastAsia="Arial" w:hAnsi="Arial"/>
          <w:sz w:val="17"/>
          <w:szCs w:val="17"/>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25" w:lineRule="exact"/>
        <w:rPr>
          <w:sz w:val="20"/>
          <w:szCs w:val="20"/>
          <w:color w:val="auto"/>
        </w:rPr>
      </w:pPr>
    </w:p>
    <w:p>
      <w:pPr>
        <w:ind w:right="40" w:firstLine="589"/>
        <w:spacing w:after="0" w:line="256" w:lineRule="auto"/>
        <w:rPr>
          <w:sz w:val="20"/>
          <w:szCs w:val="20"/>
          <w:color w:val="auto"/>
        </w:rPr>
      </w:pPr>
      <w:r>
        <w:rPr>
          <w:rFonts w:ascii="Arial" w:cs="Arial" w:eastAsia="Arial" w:hAnsi="Arial"/>
          <w:sz w:val="17"/>
          <w:szCs w:val="17"/>
          <w:color w:val="auto"/>
        </w:rPr>
        <w:t>Derivation or interference proceedings provoked by third parties or brought by us or declared by the USPTO or similar proceedings in foreign patent offices may be necessary to determine the priority of inventions with respect to our future patents or future patent applications or those of our current and future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such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vonoprazan and any future product candidates to market.</w:t>
      </w:r>
    </w:p>
    <w:p>
      <w:pPr>
        <w:spacing w:after="0" w:line="156" w:lineRule="exact"/>
        <w:rPr>
          <w:sz w:val="20"/>
          <w:szCs w:val="20"/>
          <w:color w:val="auto"/>
        </w:rPr>
      </w:pPr>
    </w:p>
    <w:p>
      <w:pPr>
        <w:ind w:right="500"/>
        <w:spacing w:after="0" w:line="347" w:lineRule="auto"/>
        <w:rPr>
          <w:sz w:val="20"/>
          <w:szCs w:val="20"/>
          <w:color w:val="auto"/>
        </w:rPr>
      </w:pPr>
      <w:r>
        <w:rPr>
          <w:rFonts w:ascii="Arial" w:cs="Arial" w:eastAsia="Arial" w:hAnsi="Arial"/>
          <w:sz w:val="15"/>
          <w:szCs w:val="15"/>
          <w:b w:val="1"/>
          <w:bCs w:val="1"/>
          <w:i w:val="1"/>
          <w:iCs w:val="1"/>
          <w:color w:val="auto"/>
        </w:rPr>
        <w:t>Recent patent reform legislation could increase the uncertainties and costs surrounding the prosecution of our future patent applications or those of our current and future licensors and the enforcement or defense of our future issued patents or those of our current and future licensors.</w:t>
      </w:r>
    </w:p>
    <w:p>
      <w:pPr>
        <w:spacing w:after="0" w:line="79" w:lineRule="exact"/>
        <w:rPr>
          <w:sz w:val="20"/>
          <w:szCs w:val="20"/>
          <w:color w:val="auto"/>
        </w:rPr>
      </w:pPr>
    </w:p>
    <w:p>
      <w:pPr>
        <w:ind w:right="120" w:firstLine="589"/>
        <w:spacing w:after="0" w:line="256" w:lineRule="auto"/>
        <w:rPr>
          <w:sz w:val="20"/>
          <w:szCs w:val="20"/>
          <w:color w:val="auto"/>
        </w:rPr>
      </w:pPr>
      <w:r>
        <w:rPr>
          <w:rFonts w:ascii="Arial" w:cs="Arial" w:eastAsia="Arial" w:hAnsi="Arial"/>
          <w:sz w:val="17"/>
          <w:szCs w:val="17"/>
          <w:color w:val="auto"/>
        </w:rPr>
        <w:t>On September 16, 2011, the Leahy-Smith America Invents Act, or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93" w:name="page94"/>
    <w:bookmarkEnd w:id="93"/>
    <w:p>
      <w:pPr>
        <w:ind w:right="60"/>
        <w:spacing w:after="0" w:line="261" w:lineRule="auto"/>
        <w:rPr>
          <w:sz w:val="20"/>
          <w:szCs w:val="20"/>
          <w:color w:val="auto"/>
        </w:rPr>
      </w:pPr>
      <w:r>
        <w:rPr>
          <w:rFonts w:ascii="Arial" w:cs="Arial" w:eastAsia="Arial" w:hAnsi="Arial"/>
          <w:sz w:val="17"/>
          <w:szCs w:val="17"/>
          <w:color w:val="auto"/>
        </w:rPr>
        <w:t>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current and future licensors are the first to either (1) file any patent application related to vonoprazan and any future product candidates or (2) invent any of the inventions claimed in the patents or patent applications.</w:t>
      </w:r>
    </w:p>
    <w:p>
      <w:pPr>
        <w:spacing w:after="0" w:line="152" w:lineRule="exact"/>
        <w:rPr>
          <w:sz w:val="20"/>
          <w:szCs w:val="20"/>
          <w:color w:val="auto"/>
        </w:rPr>
      </w:pPr>
    </w:p>
    <w:p>
      <w:pPr>
        <w:ind w:right="180" w:firstLine="589"/>
        <w:spacing w:after="0" w:line="282" w:lineRule="auto"/>
        <w:rPr>
          <w:sz w:val="20"/>
          <w:szCs w:val="20"/>
          <w:color w:val="auto"/>
        </w:rPr>
      </w:pPr>
      <w:r>
        <w:rPr>
          <w:rFonts w:ascii="Arial" w:cs="Arial" w:eastAsia="Arial" w:hAnsi="Arial"/>
          <w:sz w:val="16"/>
          <w:szCs w:val="16"/>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25" w:lineRule="exact"/>
        <w:rPr>
          <w:sz w:val="20"/>
          <w:szCs w:val="20"/>
          <w:color w:val="auto"/>
        </w:rPr>
      </w:pPr>
    </w:p>
    <w:p>
      <w:pPr>
        <w:ind w:right="40" w:firstLine="589"/>
        <w:spacing w:after="0" w:line="275" w:lineRule="auto"/>
        <w:rPr>
          <w:sz w:val="20"/>
          <w:szCs w:val="20"/>
          <w:color w:val="auto"/>
        </w:rPr>
      </w:pPr>
      <w:r>
        <w:rPr>
          <w:rFonts w:ascii="Arial" w:cs="Arial" w:eastAsia="Arial" w:hAnsi="Arial"/>
          <w:sz w:val="16"/>
          <w:szCs w:val="16"/>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future patent applications or those of our current and future licensors and the enforcement or defense of our future issued patents or those of our current and future licensors, all of which could have a material adverse effect on our business, financial condition, results of operations and prospects.</w:t>
      </w:r>
    </w:p>
    <w:p>
      <w:pPr>
        <w:spacing w:after="0" w:line="130" w:lineRule="exact"/>
        <w:rPr>
          <w:sz w:val="20"/>
          <w:szCs w:val="20"/>
          <w:color w:val="auto"/>
        </w:rPr>
      </w:pPr>
    </w:p>
    <w:p>
      <w:pPr>
        <w:ind w:right="100"/>
        <w:spacing w:after="0" w:line="278" w:lineRule="auto"/>
        <w:rPr>
          <w:sz w:val="20"/>
          <w:szCs w:val="20"/>
          <w:color w:val="auto"/>
        </w:rPr>
      </w:pPr>
      <w:r>
        <w:rPr>
          <w:rFonts w:ascii="Arial" w:cs="Arial" w:eastAsia="Arial" w:hAnsi="Arial"/>
          <w:sz w:val="17"/>
          <w:szCs w:val="17"/>
          <w:b w:val="1"/>
          <w:bCs w:val="1"/>
          <w:i w:val="1"/>
          <w:iCs w:val="1"/>
          <w:color w:val="auto"/>
        </w:rPr>
        <w:t>Changes in U.S. patent law, or laws in other countries, could diminish the value of patents in general, thereby impairing our ability to protect vonoprazan and any future product candidates.</w:t>
      </w:r>
    </w:p>
    <w:p>
      <w:pPr>
        <w:spacing w:after="0" w:line="138" w:lineRule="exact"/>
        <w:rPr>
          <w:sz w:val="20"/>
          <w:szCs w:val="20"/>
          <w:color w:val="auto"/>
        </w:rPr>
      </w:pPr>
    </w:p>
    <w:p>
      <w:pPr>
        <w:ind w:firstLine="589"/>
        <w:spacing w:after="0" w:line="291" w:lineRule="auto"/>
        <w:rPr>
          <w:sz w:val="20"/>
          <w:szCs w:val="20"/>
          <w:color w:val="auto"/>
        </w:rPr>
      </w:pPr>
      <w:r>
        <w:rPr>
          <w:rFonts w:ascii="Arial" w:cs="Arial" w:eastAsia="Arial" w:hAnsi="Arial"/>
          <w:sz w:val="15"/>
          <w:szCs w:val="15"/>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future patents or in third-party patents. In addition, Congress or other foreign legislative bodies may pass patent reform legislation that is unfavorable to us. For example, a new bill (Terminating the Extension of Rights Misappropriated Act H.R. 3199) percolating through the United States Congress aims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the existing licensed patents and the patents we might obtain or license in the future.</w:t>
      </w:r>
    </w:p>
    <w:p>
      <w:pPr>
        <w:spacing w:after="0" w:line="121" w:lineRule="exact"/>
        <w:rPr>
          <w:sz w:val="20"/>
          <w:szCs w:val="20"/>
          <w:color w:val="auto"/>
        </w:rPr>
      </w:pPr>
    </w:p>
    <w:p>
      <w:pPr>
        <w:ind w:right="700"/>
        <w:spacing w:after="0" w:line="278" w:lineRule="auto"/>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future patents, the patents of our current and future licensors, or other intellectual property</w:t>
      </w:r>
      <w:r>
        <w:rPr>
          <w:rFonts w:ascii="Arial" w:cs="Arial" w:eastAsia="Arial" w:hAnsi="Arial"/>
          <w:sz w:val="17"/>
          <w:szCs w:val="17"/>
          <w:color w:val="auto"/>
        </w:rPr>
        <w:t>.</w:t>
      </w:r>
    </w:p>
    <w:p>
      <w:pPr>
        <w:spacing w:after="0" w:line="125" w:lineRule="exact"/>
        <w:rPr>
          <w:sz w:val="20"/>
          <w:szCs w:val="20"/>
          <w:color w:val="auto"/>
        </w:rPr>
      </w:pPr>
    </w:p>
    <w:p>
      <w:pPr>
        <w:ind w:right="200" w:firstLine="589"/>
        <w:spacing w:after="0" w:line="258" w:lineRule="auto"/>
        <w:rPr>
          <w:sz w:val="20"/>
          <w:szCs w:val="20"/>
          <w:color w:val="auto"/>
        </w:rPr>
      </w:pPr>
      <w:r>
        <w:rPr>
          <w:rFonts w:ascii="Arial" w:cs="Arial" w:eastAsia="Arial" w:hAnsi="Arial"/>
          <w:sz w:val="17"/>
          <w:szCs w:val="17"/>
          <w:color w:val="auto"/>
        </w:rPr>
        <w:t>We may also be subject to claims that former employees or other third parties have an ownership interest in our future patents, the patents of our current and future licensors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94" w:name="page95"/>
    <w:bookmarkEnd w:id="94"/>
    <w:p>
      <w:pPr>
        <w:spacing w:after="0"/>
        <w:rPr>
          <w:sz w:val="20"/>
          <w:szCs w:val="20"/>
          <w:color w:val="auto"/>
        </w:rPr>
      </w:pPr>
      <w:r>
        <w:rPr>
          <w:rFonts w:ascii="Arial" w:cs="Arial" w:eastAsia="Arial" w:hAnsi="Arial"/>
          <w:sz w:val="15"/>
          <w:szCs w:val="15"/>
          <w:b w:val="1"/>
          <w:bCs w:val="1"/>
          <w:i w:val="1"/>
          <w:iCs w:val="1"/>
          <w:color w:val="auto"/>
        </w:rPr>
        <w:t>Patent terms may be inadequate to protect our competitive position on vonoprazan and any future product candidates for an adequate amount of time.</w:t>
      </w:r>
    </w:p>
    <w:p>
      <w:pPr>
        <w:spacing w:after="0" w:line="213" w:lineRule="exact"/>
        <w:rPr>
          <w:sz w:val="20"/>
          <w:szCs w:val="20"/>
          <w:color w:val="auto"/>
        </w:rPr>
      </w:pPr>
    </w:p>
    <w:p>
      <w:pPr>
        <w:ind w:right="60" w:firstLine="589"/>
        <w:spacing w:after="0" w:line="257"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vonoprazan and any future product candidates are obtained, once the patent life has expired, we may be open to competition from competitive products. Given the amount of time required for the development, testing and regulatory review of product candidates, patents protecting vonoprazan and any future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obtain patent term extension for vonoprazan and any future product candidates, our business may be materially harmed.</w:t>
      </w:r>
    </w:p>
    <w:p>
      <w:pPr>
        <w:spacing w:after="0" w:line="177" w:lineRule="exact"/>
        <w:rPr>
          <w:sz w:val="20"/>
          <w:szCs w:val="20"/>
          <w:color w:val="auto"/>
        </w:rPr>
      </w:pPr>
    </w:p>
    <w:p>
      <w:pPr>
        <w:ind w:firstLine="589"/>
        <w:spacing w:after="0" w:line="271" w:lineRule="auto"/>
        <w:rPr>
          <w:sz w:val="20"/>
          <w:szCs w:val="20"/>
          <w:color w:val="auto"/>
        </w:rPr>
      </w:pPr>
      <w:r>
        <w:rPr>
          <w:rFonts w:ascii="Arial" w:cs="Arial" w:eastAsia="Arial" w:hAnsi="Arial"/>
          <w:sz w:val="16"/>
          <w:szCs w:val="16"/>
          <w:color w:val="auto"/>
        </w:rPr>
        <w:t>Depending upon the timing, duration and specifics of FDA marketing approval of vonoprazan and any future product candidates, one or more of our U.S. patents or those of our current and future licensors, may be eligible for limited patent term restoration under the Drug Price Competition and Patent Term Restoration Act of 1984, or the Hatch-Waxman Amendments. The Hatch- 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vonoprazan and any future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our licensed territories.</w:t>
      </w:r>
    </w:p>
    <w:p>
      <w:pPr>
        <w:spacing w:after="0" w:line="177" w:lineRule="exact"/>
        <w:rPr>
          <w:sz w:val="20"/>
          <w:szCs w:val="20"/>
          <w:color w:val="auto"/>
        </w:rPr>
      </w:pPr>
    </w:p>
    <w:p>
      <w:pPr>
        <w:ind w:right="40" w:firstLine="589"/>
        <w:spacing w:after="0" w:line="273" w:lineRule="auto"/>
        <w:rPr>
          <w:sz w:val="20"/>
          <w:szCs w:val="20"/>
          <w:color w:val="auto"/>
        </w:rPr>
      </w:pPr>
      <w:r>
        <w:rPr>
          <w:rFonts w:ascii="Arial" w:cs="Arial" w:eastAsia="Arial" w:hAnsi="Arial"/>
          <w:sz w:val="16"/>
          <w:szCs w:val="16"/>
          <w:color w:val="auto"/>
        </w:rPr>
        <w:t>Although we have issued patents and pending patent applications in the United States and certain other countries in which we intend to commercialize our products, filing, prosecuting and defending patents in all relevant countries throughout our licensed territories could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vonoprazan or any future product candidates, and our patents, the patents of our current and future licensors or other intellectual property rights may not be effective or sufficient to prevent them from competing.</w:t>
      </w:r>
    </w:p>
    <w:p>
      <w:pPr>
        <w:spacing w:after="0" w:line="134" w:lineRule="exact"/>
        <w:rPr>
          <w:sz w:val="20"/>
          <w:szCs w:val="20"/>
          <w:color w:val="auto"/>
        </w:rPr>
      </w:pPr>
    </w:p>
    <w:p>
      <w:pPr>
        <w:ind w:right="20" w:firstLine="589"/>
        <w:spacing w:after="0" w:line="294" w:lineRule="auto"/>
        <w:rPr>
          <w:sz w:val="20"/>
          <w:szCs w:val="20"/>
          <w:color w:val="auto"/>
        </w:rPr>
      </w:pPr>
      <w:r>
        <w:rPr>
          <w:rFonts w:ascii="Arial" w:cs="Arial" w:eastAsia="Arial" w:hAnsi="Arial"/>
          <w:sz w:val="15"/>
          <w:szCs w:val="15"/>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intellectual property rights or marketing of competing products in violation of our proprietary rights. Proceedings to enforce our patent rights in foreign jurisdictions could result in substantial costs and divert our efforts and attention from other aspects of our business, could put our future patents or the patents of our current and future licensors at risk of being invalidated or interpreted narrowly and our future patent applications or the patent applications of our current and future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95" w:name="page96"/>
    <w:bookmarkEnd w:id="95"/>
    <w:p>
      <w:pPr>
        <w:ind w:right="220" w:firstLine="589"/>
        <w:spacing w:after="0" w:line="306" w:lineRule="auto"/>
        <w:rPr>
          <w:sz w:val="20"/>
          <w:szCs w:val="20"/>
          <w:color w:val="auto"/>
        </w:rPr>
      </w:pPr>
      <w:r>
        <w:rPr>
          <w:rFonts w:ascii="Arial" w:cs="Arial" w:eastAsia="Arial" w:hAnsi="Arial"/>
          <w:sz w:val="15"/>
          <w:szCs w:val="15"/>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23" w:lineRule="exact"/>
        <w:rPr>
          <w:sz w:val="20"/>
          <w:szCs w:val="20"/>
          <w:color w:val="auto"/>
        </w:rPr>
      </w:pPr>
    </w:p>
    <w:p>
      <w:pPr>
        <w:ind w:right="20"/>
        <w:spacing w:after="0" w:line="389"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56" w:lineRule="exact"/>
        <w:rPr>
          <w:sz w:val="20"/>
          <w:szCs w:val="20"/>
          <w:color w:val="auto"/>
        </w:rPr>
      </w:pPr>
    </w:p>
    <w:p>
      <w:pPr>
        <w:ind w:right="20" w:firstLine="589"/>
        <w:spacing w:after="0" w:line="274"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the USPTO and various foreign patent offices at various points over the lifetime of our future patents and/or future applications and those of our current and future licensors.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and competitive position would be harmed.</w:t>
      </w:r>
    </w:p>
    <w:p>
      <w:pPr>
        <w:spacing w:after="0" w:line="190"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 consuming, and the outcome is unpredictable. In addition, some courts inside and outside the United States are less willing or unwilling to protect trade secrets.</w:t>
      </w:r>
    </w:p>
    <w:p>
      <w:pPr>
        <w:spacing w:after="0" w:line="147" w:lineRule="exact"/>
        <w:rPr>
          <w:sz w:val="20"/>
          <w:szCs w:val="20"/>
          <w:color w:val="auto"/>
        </w:rPr>
      </w:pPr>
    </w:p>
    <w:p>
      <w:pPr>
        <w:ind w:right="160" w:firstLine="589"/>
        <w:spacing w:after="0" w:line="282" w:lineRule="auto"/>
        <w:rPr>
          <w:sz w:val="20"/>
          <w:szCs w:val="20"/>
          <w:color w:val="auto"/>
        </w:rPr>
      </w:pPr>
      <w:r>
        <w:rPr>
          <w:rFonts w:ascii="Arial" w:cs="Arial" w:eastAsia="Arial" w:hAnsi="Arial"/>
          <w:sz w:val="16"/>
          <w:szCs w:val="16"/>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cannot otherwise maintain the confidentiality of our proprietary technology and other confidential information, then our ability to protect our trade secret information may be jeopardized.</w:t>
      </w:r>
    </w:p>
    <w:p>
      <w:pPr>
        <w:spacing w:after="0" w:line="125" w:lineRule="exact"/>
        <w:rPr>
          <w:sz w:val="20"/>
          <w:szCs w:val="20"/>
          <w:color w:val="auto"/>
        </w:rPr>
      </w:pPr>
    </w:p>
    <w:p>
      <w:pPr>
        <w:ind w:right="380"/>
        <w:spacing w:after="0" w:line="278" w:lineRule="auto"/>
        <w:rPr>
          <w:sz w:val="20"/>
          <w:szCs w:val="20"/>
          <w:color w:val="auto"/>
        </w:rPr>
      </w:pPr>
      <w:r>
        <w:rPr>
          <w:rFonts w:ascii="Arial" w:cs="Arial" w:eastAsia="Arial" w:hAnsi="Arial"/>
          <w:sz w:val="17"/>
          <w:szCs w:val="17"/>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138" w:lineRule="exact"/>
        <w:rPr>
          <w:sz w:val="20"/>
          <w:szCs w:val="20"/>
          <w:color w:val="auto"/>
        </w:rPr>
      </w:pPr>
    </w:p>
    <w:p>
      <w:pPr>
        <w:ind w:firstLine="589"/>
        <w:spacing w:after="0" w:line="296" w:lineRule="auto"/>
        <w:rPr>
          <w:sz w:val="20"/>
          <w:szCs w:val="20"/>
          <w:color w:val="auto"/>
        </w:rPr>
      </w:pPr>
      <w:r>
        <w:rPr>
          <w:rFonts w:ascii="Arial" w:cs="Arial" w:eastAsia="Arial" w:hAnsi="Arial"/>
          <w:sz w:val="15"/>
          <w:szCs w:val="15"/>
          <w:color w:val="auto"/>
        </w:rPr>
        <w:t>As is common in the biopharmaceutical industry, in addition to our employees, we engage the services of consultants to assist us in the development of vonoprazan and any future product candidates. Many of these consultants, and many of our employees, were previously employed at, or may have previously provided or may be currently providing consulting services to, other biopharmaceutical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36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60"/>
          </w:cols>
          <w:pgMar w:left="320" w:top="294" w:right="419" w:bottom="1440" w:gutter="0" w:footer="0" w:header="0"/>
        </w:sectPr>
      </w:pPr>
    </w:p>
    <w:bookmarkStart w:id="96" w:name="page97"/>
    <w:bookmarkEnd w:id="96"/>
    <w:p>
      <w:pPr>
        <w:spacing w:after="0" w:line="278"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8" w:lineRule="exact"/>
        <w:rPr>
          <w:sz w:val="20"/>
          <w:szCs w:val="20"/>
          <w:color w:val="auto"/>
        </w:rPr>
      </w:pPr>
    </w:p>
    <w:p>
      <w:pPr>
        <w:ind w:firstLine="589"/>
        <w:spacing w:after="0" w:line="292" w:lineRule="auto"/>
        <w:rPr>
          <w:sz w:val="20"/>
          <w:szCs w:val="20"/>
          <w:color w:val="auto"/>
        </w:rPr>
      </w:pPr>
      <w:r>
        <w:rPr>
          <w:rFonts w:ascii="Arial" w:cs="Arial" w:eastAsia="Arial" w:hAnsi="Arial"/>
          <w:sz w:val="15"/>
          <w:szCs w:val="15"/>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120" w:lineRule="exact"/>
        <w:rPr>
          <w:sz w:val="20"/>
          <w:szCs w:val="20"/>
          <w:color w:val="auto"/>
        </w:rPr>
      </w:pPr>
    </w:p>
    <w:p>
      <w:pPr>
        <w:ind w:right="320"/>
        <w:spacing w:after="0" w:line="278" w:lineRule="auto"/>
        <w:rPr>
          <w:sz w:val="20"/>
          <w:szCs w:val="20"/>
          <w:color w:val="auto"/>
        </w:rPr>
      </w:pPr>
      <w:r>
        <w:rPr>
          <w:rFonts w:ascii="Arial" w:cs="Arial" w:eastAsia="Arial" w:hAnsi="Arial"/>
          <w:sz w:val="17"/>
          <w:szCs w:val="17"/>
          <w:b w:val="1"/>
          <w:bCs w:val="1"/>
          <w:i w:val="1"/>
          <w:iCs w:val="1"/>
          <w:color w:val="auto"/>
        </w:rPr>
        <w:t>Any collaboration arrangements that we have or may enter into in the future may not be successful, which could adversely affect our ability to develop and commercialize our products.</w:t>
      </w:r>
    </w:p>
    <w:p>
      <w:pPr>
        <w:spacing w:after="0" w:line="125" w:lineRule="exact"/>
        <w:rPr>
          <w:sz w:val="20"/>
          <w:szCs w:val="20"/>
          <w:color w:val="auto"/>
        </w:rPr>
      </w:pPr>
    </w:p>
    <w:p>
      <w:pPr>
        <w:ind w:right="20" w:firstLine="589"/>
        <w:spacing w:after="0" w:line="289" w:lineRule="auto"/>
        <w:rPr>
          <w:sz w:val="20"/>
          <w:szCs w:val="20"/>
          <w:color w:val="auto"/>
        </w:rPr>
      </w:pPr>
      <w:r>
        <w:rPr>
          <w:rFonts w:ascii="Arial" w:cs="Arial" w:eastAsia="Arial" w:hAnsi="Arial"/>
          <w:sz w:val="16"/>
          <w:szCs w:val="16"/>
          <w:color w:val="auto"/>
        </w:rPr>
        <w:t>The success of our collaboration arrangements will depend heavily on the efforts and activities of our collaborators and partners. Under the Takeda License, for example, Takeda has certain obligations with respect to assisting with the transition of information and materials to us as well as providing clinical and commercial supply of the vonoprazan product. Collaborations and partnerships are subject to numerous risks, which may include that:</w:t>
      </w:r>
    </w:p>
    <w:p>
      <w:pPr>
        <w:spacing w:after="0" w:line="132" w:lineRule="exact"/>
        <w:rPr>
          <w:sz w:val="20"/>
          <w:szCs w:val="20"/>
          <w:color w:val="auto"/>
        </w:rPr>
      </w:pPr>
    </w:p>
    <w:p>
      <w:pPr>
        <w:ind w:left="1000" w:hanging="419"/>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collaborations;</w:t>
      </w:r>
    </w:p>
    <w:p>
      <w:pPr>
        <w:spacing w:after="0" w:line="177" w:lineRule="exact"/>
        <w:rPr>
          <w:rFonts w:ascii="Arial" w:cs="Arial" w:eastAsia="Arial" w:hAnsi="Arial"/>
          <w:sz w:val="17"/>
          <w:szCs w:val="17"/>
          <w:color w:val="auto"/>
        </w:rPr>
      </w:pPr>
    </w:p>
    <w:p>
      <w:pPr>
        <w:ind w:left="1000" w:right="80" w:hanging="419"/>
        <w:spacing w:after="0" w:line="289"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119" w:lineRule="exact"/>
        <w:rPr>
          <w:rFonts w:ascii="Arial" w:cs="Arial" w:eastAsia="Arial" w:hAnsi="Arial"/>
          <w:sz w:val="16"/>
          <w:szCs w:val="16"/>
          <w:color w:val="auto"/>
        </w:rPr>
      </w:pPr>
    </w:p>
    <w:p>
      <w:pPr>
        <w:ind w:left="1000" w:right="220" w:hanging="419"/>
        <w:spacing w:after="0" w:line="278"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w:t>
      </w:r>
    </w:p>
    <w:p>
      <w:pPr>
        <w:spacing w:after="0" w:line="125" w:lineRule="exact"/>
        <w:rPr>
          <w:rFonts w:ascii="Arial" w:cs="Arial" w:eastAsia="Arial" w:hAnsi="Arial"/>
          <w:sz w:val="17"/>
          <w:szCs w:val="17"/>
          <w:color w:val="auto"/>
        </w:rPr>
      </w:pPr>
    </w:p>
    <w:p>
      <w:pPr>
        <w:ind w:left="1000" w:hanging="419"/>
        <w:spacing w:after="0" w:line="278"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 collaborator with marketing, manufacturing and distribution rights to one or more products may not commit sufficient resources to or otherwise not perform satisfactorily in carrying out these activities;</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we could grant exclusive rights to our collaborators that would prevent us from collaborating with others;</w:t>
      </w:r>
    </w:p>
    <w:p>
      <w:pPr>
        <w:spacing w:after="0" w:line="177" w:lineRule="exact"/>
        <w:rPr>
          <w:rFonts w:ascii="Arial" w:cs="Arial" w:eastAsia="Arial" w:hAnsi="Arial"/>
          <w:sz w:val="17"/>
          <w:szCs w:val="17"/>
          <w:color w:val="auto"/>
        </w:rPr>
      </w:pPr>
    </w:p>
    <w:p>
      <w:pPr>
        <w:ind w:left="1000" w:hanging="419"/>
        <w:spacing w:after="0" w:line="265"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36" w:lineRule="exact"/>
        <w:rPr>
          <w:rFonts w:ascii="Arial" w:cs="Arial" w:eastAsia="Arial" w:hAnsi="Arial"/>
          <w:sz w:val="17"/>
          <w:szCs w:val="17"/>
          <w:color w:val="auto"/>
        </w:rPr>
      </w:pPr>
    </w:p>
    <w:p>
      <w:pPr>
        <w:ind w:left="1000" w:right="400" w:hanging="419"/>
        <w:spacing w:after="0" w:line="310" w:lineRule="auto"/>
        <w:tabs>
          <w:tab w:leader="none" w:pos="10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products or that results in costly litigation or arbitration that diverts management attention and resources;</w:t>
      </w:r>
    </w:p>
    <w:p>
      <w:pPr>
        <w:spacing w:after="0" w:line="102" w:lineRule="exact"/>
        <w:rPr>
          <w:rFonts w:ascii="Arial" w:cs="Arial" w:eastAsia="Arial" w:hAnsi="Arial"/>
          <w:sz w:val="16"/>
          <w:szCs w:val="16"/>
          <w:color w:val="auto"/>
        </w:rPr>
      </w:pPr>
    </w:p>
    <w:p>
      <w:pPr>
        <w:ind w:left="1000" w:right="80" w:hanging="419"/>
        <w:spacing w:after="0" w:line="278" w:lineRule="auto"/>
        <w:tabs>
          <w:tab w:leader="none" w:pos="10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current or future products;</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97" w:name="page98"/>
    <w:bookmarkEnd w:id="97"/>
    <w:p>
      <w:pPr>
        <w:ind w:left="1000" w:right="280" w:hanging="419"/>
        <w:spacing w:after="0" w:line="278"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125" w:lineRule="exact"/>
        <w:rPr>
          <w:rFonts w:ascii="Arial" w:cs="Arial" w:eastAsia="Arial" w:hAnsi="Arial"/>
          <w:sz w:val="17"/>
          <w:szCs w:val="17"/>
          <w:color w:val="auto"/>
        </w:rPr>
      </w:pPr>
    </w:p>
    <w:p>
      <w:pPr>
        <w:ind w:left="1000" w:right="540" w:hanging="419"/>
        <w:spacing w:after="0" w:line="278"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collaborator’s sales and marketing activities or other operations may not be in compliance with applicable laws resulting in civil or criminal proceedings.</w:t>
      </w:r>
    </w:p>
    <w:p>
      <w:pPr>
        <w:spacing w:after="0" w:line="125" w:lineRule="exact"/>
        <w:rPr>
          <w:sz w:val="20"/>
          <w:szCs w:val="20"/>
          <w:color w:val="auto"/>
        </w:rPr>
      </w:pPr>
    </w:p>
    <w:p>
      <w:pPr>
        <w:spacing w:after="0" w:line="265" w:lineRule="auto"/>
        <w:rPr>
          <w:sz w:val="20"/>
          <w:szCs w:val="20"/>
          <w:color w:val="auto"/>
        </w:rPr>
      </w:pPr>
      <w:r>
        <w:rPr>
          <w:rFonts w:ascii="Arial" w:cs="Arial" w:eastAsia="Arial" w:hAnsi="Arial"/>
          <w:sz w:val="17"/>
          <w:szCs w:val="17"/>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49" w:lineRule="exact"/>
        <w:rPr>
          <w:sz w:val="20"/>
          <w:szCs w:val="20"/>
          <w:color w:val="auto"/>
        </w:rPr>
      </w:pPr>
    </w:p>
    <w:p>
      <w:pPr>
        <w:ind w:right="20" w:firstLine="589"/>
        <w:spacing w:after="0" w:line="289" w:lineRule="auto"/>
        <w:rPr>
          <w:sz w:val="20"/>
          <w:szCs w:val="20"/>
          <w:color w:val="auto"/>
        </w:rPr>
      </w:pPr>
      <w:r>
        <w:rPr>
          <w:rFonts w:ascii="Arial" w:cs="Arial" w:eastAsia="Arial" w:hAnsi="Arial"/>
          <w:sz w:val="15"/>
          <w:szCs w:val="15"/>
          <w:color w:val="auto"/>
        </w:rPr>
        <w:t>We may acquire or license in the future intellectual property rights that have been generated through the use of U.S. government funding or grant.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w:t>
      </w:r>
    </w:p>
    <w:p>
      <w:pPr>
        <w:ind w:right="60" w:firstLine="3"/>
        <w:spacing w:after="0" w:line="271" w:lineRule="auto"/>
        <w:tabs>
          <w:tab w:leader="none" w:pos="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government action is necessary to meet requirements for public use under federal regulations (also referred to as “march-in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active, liquid and orderly market for our common stock may not be maintained.</w:t>
      </w:r>
    </w:p>
    <w:p>
      <w:pPr>
        <w:spacing w:after="0" w:line="190" w:lineRule="exact"/>
        <w:rPr>
          <w:sz w:val="20"/>
          <w:szCs w:val="20"/>
          <w:color w:val="auto"/>
        </w:rPr>
      </w:pPr>
    </w:p>
    <w:p>
      <w:pPr>
        <w:ind w:right="20" w:firstLine="589"/>
        <w:spacing w:after="0" w:line="258" w:lineRule="auto"/>
        <w:rPr>
          <w:sz w:val="20"/>
          <w:szCs w:val="20"/>
          <w:color w:val="auto"/>
        </w:rPr>
      </w:pPr>
      <w:r>
        <w:rPr>
          <w:rFonts w:ascii="Arial" w:cs="Arial" w:eastAsia="Arial" w:hAnsi="Arial"/>
          <w:sz w:val="17"/>
          <w:szCs w:val="17"/>
          <w:color w:val="auto"/>
        </w:rPr>
        <w:t>Prior to our IPO, there had been no public market for our common stock. Our common stock began trading on Nasdaq in October 2019, and we can provide no assurance that we will be able to sustain an active trading market for our common stock.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spacing w:after="0" w:line="144"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b w:val="1"/>
          <w:bCs w:val="1"/>
          <w:i w:val="1"/>
          <w:iCs w:val="1"/>
          <w:color w:val="auto"/>
        </w:rPr>
        <w:t>The trading price of the shares of our common stock has been, and is likely to continue to be, highly volatile, and purchasers of our common stock could incur substantial losses.</w:t>
      </w:r>
    </w:p>
    <w:p>
      <w:pPr>
        <w:spacing w:after="0" w:line="125" w:lineRule="exact"/>
        <w:rPr>
          <w:sz w:val="20"/>
          <w:szCs w:val="20"/>
          <w:color w:val="auto"/>
        </w:rPr>
      </w:pPr>
    </w:p>
    <w:p>
      <w:pPr>
        <w:ind w:right="140" w:firstLine="589"/>
        <w:spacing w:after="0" w:line="261" w:lineRule="auto"/>
        <w:rPr>
          <w:sz w:val="20"/>
          <w:szCs w:val="20"/>
          <w:color w:val="auto"/>
        </w:rPr>
      </w:pPr>
      <w:r>
        <w:rPr>
          <w:rFonts w:ascii="Arial" w:cs="Arial" w:eastAsia="Arial" w:hAnsi="Arial"/>
          <w:sz w:val="17"/>
          <w:szCs w:val="17"/>
          <w:color w:val="auto"/>
        </w:rPr>
        <w:t>Our stock price has been and is likely to continue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 including:</w:t>
      </w:r>
    </w:p>
    <w:p>
      <w:pPr>
        <w:spacing w:after="0" w:line="152" w:lineRule="exact"/>
        <w:rPr>
          <w:sz w:val="20"/>
          <w:szCs w:val="20"/>
          <w:color w:val="auto"/>
        </w:rPr>
      </w:pPr>
    </w:p>
    <w:p>
      <w:pPr>
        <w:ind w:left="1000" w:hanging="419"/>
        <w:spacing w:after="0"/>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ability to enroll patients in our ongoing and any future clinical trials;</w:t>
      </w:r>
    </w:p>
    <w:p>
      <w:pPr>
        <w:spacing w:after="0" w:line="177" w:lineRule="exact"/>
        <w:rPr>
          <w:rFonts w:ascii="Arial" w:cs="Arial" w:eastAsia="Arial" w:hAnsi="Arial"/>
          <w:sz w:val="17"/>
          <w:szCs w:val="17"/>
          <w:color w:val="auto"/>
        </w:rPr>
      </w:pPr>
    </w:p>
    <w:p>
      <w:pPr>
        <w:ind w:left="1000" w:right="340" w:hanging="419"/>
        <w:spacing w:after="0" w:line="278"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results of our clinical trials and preclinical studies, the results of clinical trials conducted by Takeda and others for vonoprazan, and the results of trials of our competitors or those of other companies in our market sector;</w:t>
      </w:r>
    </w:p>
    <w:p>
      <w:pPr>
        <w:spacing w:after="0" w:line="125" w:lineRule="exact"/>
        <w:rPr>
          <w:rFonts w:ascii="Arial" w:cs="Arial" w:eastAsia="Arial" w:hAnsi="Arial"/>
          <w:sz w:val="17"/>
          <w:szCs w:val="17"/>
          <w:color w:val="auto"/>
        </w:rPr>
      </w:pPr>
    </w:p>
    <w:p>
      <w:pPr>
        <w:ind w:left="1000" w:right="100" w:hanging="419"/>
        <w:spacing w:after="0" w:line="278" w:lineRule="auto"/>
        <w:tabs>
          <w:tab w:leader="none" w:pos="10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regulatory approval of vonoprazan and any future product candidates, or limitations to specific label indications or patient populations for its use, or changes or delays in the regulatory review process;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termination or loss of rights under the Takeda License;</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regulatory developments in the United States and foreign countries;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 especially in light of reforms to the U.S. healthcare system;</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success or failure of our efforts to acquire, license or develop additional product candidates;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innovations or new products developed by us or our competitors;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joint ventures or capital commitments;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manufacturing, supply or distribution delays or shortages;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changes to our relationship with any manufacturers, suppliers, licensors, future collaborators or other strategic partners;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achievement of expected product sales and profitability;</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market conditions in the biopharmaceutical sector and issuance of securities analysts’ reports or recommendations;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establishment of short positions by holders or non-holders of our common stock;</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 inability to obtain additional funding;</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sales of our stock by insiders and stockholders, including Takeda;</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general economic, industry and market conditions, public health emergencies or other events or factors, many of which are beyond our control;</w:t>
      </w:r>
    </w:p>
    <w:p>
      <w:pPr>
        <w:spacing w:after="0" w:line="188" w:lineRule="exact"/>
        <w:rPr>
          <w:rFonts w:ascii="Arial" w:cs="Arial" w:eastAsia="Arial" w:hAnsi="Arial"/>
          <w:sz w:val="16"/>
          <w:szCs w:val="16"/>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additions or departures of key personnel;</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intellectual property, product liability or other litigation against us;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changes in our capital structure, such as future issuances of securities and the incurrence of additional debt;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177" w:lineRule="exact"/>
        <w:rPr>
          <w:sz w:val="20"/>
          <w:szCs w:val="20"/>
          <w:color w:val="auto"/>
        </w:rPr>
      </w:pPr>
    </w:p>
    <w:p>
      <w:pPr>
        <w:jc w:val="both"/>
        <w:ind w:right="20" w:firstLine="589"/>
        <w:spacing w:after="0" w:line="265" w:lineRule="auto"/>
        <w:rPr>
          <w:sz w:val="20"/>
          <w:szCs w:val="20"/>
          <w:color w:val="auto"/>
        </w:rPr>
      </w:pPr>
      <w:r>
        <w:rPr>
          <w:rFonts w:ascii="Arial" w:cs="Arial" w:eastAsia="Arial" w:hAnsi="Arial"/>
          <w:sz w:val="17"/>
          <w:szCs w:val="17"/>
          <w:color w:val="auto"/>
        </w:rPr>
        <w:t>In addition, in the past, stockholders have initiated class action lawsuits against biopharmaceutical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spacing w:after="0" w:line="149" w:lineRule="exact"/>
        <w:rPr>
          <w:sz w:val="20"/>
          <w:szCs w:val="20"/>
          <w:color w:val="auto"/>
        </w:rPr>
      </w:pPr>
    </w:p>
    <w:p>
      <w:pPr>
        <w:ind w:right="400"/>
        <w:spacing w:after="0" w:line="347" w:lineRule="auto"/>
        <w:rPr>
          <w:sz w:val="20"/>
          <w:szCs w:val="20"/>
          <w:color w:val="auto"/>
        </w:rPr>
      </w:pPr>
      <w:r>
        <w:rPr>
          <w:rFonts w:ascii="Arial" w:cs="Arial" w:eastAsia="Arial" w:hAnsi="Arial"/>
          <w:sz w:val="15"/>
          <w:szCs w:val="15"/>
          <w:b w:val="1"/>
          <w:bCs w:val="1"/>
          <w:i w:val="1"/>
          <w:iCs w:val="1"/>
          <w:color w:val="auto"/>
        </w:rPr>
        <w:t>Our executive officers, directors and principal stockholders, if they choose to act together, have the ability to control or significantly influence all matters submitted to stockholders for approval. Furthermore, many of our current directors were appointed by our principal stockholders.</w:t>
      </w:r>
    </w:p>
    <w:p>
      <w:pPr>
        <w:spacing w:after="0" w:line="79" w:lineRule="exact"/>
        <w:rPr>
          <w:sz w:val="20"/>
          <w:szCs w:val="20"/>
          <w:color w:val="auto"/>
        </w:rPr>
      </w:pPr>
    </w:p>
    <w:p>
      <w:pPr>
        <w:ind w:firstLine="589"/>
        <w:spacing w:after="0" w:line="265" w:lineRule="auto"/>
        <w:rPr>
          <w:sz w:val="20"/>
          <w:szCs w:val="20"/>
          <w:color w:val="auto"/>
        </w:rPr>
      </w:pPr>
      <w:r>
        <w:rPr>
          <w:rFonts w:ascii="Arial" w:cs="Arial" w:eastAsia="Arial" w:hAnsi="Arial"/>
          <w:sz w:val="17"/>
          <w:szCs w:val="17"/>
          <w:color w:val="auto"/>
        </w:rPr>
        <w:t>Our executive officers, directors and greater than 5% stockholders, in the aggregate, own a majority of our outstanding common stock. Furthermore, many of our current directors were appointed by our principal stockholders. As a result, such persons or their appointees to our board of directors, acting together, have the ability</w:t>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99" w:name="page100"/>
    <w:bookmarkEnd w:id="99"/>
    <w:p>
      <w:pPr>
        <w:ind w:right="40"/>
        <w:spacing w:after="0" w:line="258" w:lineRule="auto"/>
        <w:rPr>
          <w:sz w:val="20"/>
          <w:szCs w:val="20"/>
          <w:color w:val="auto"/>
        </w:rPr>
      </w:pPr>
      <w:r>
        <w:rPr>
          <w:rFonts w:ascii="Arial" w:cs="Arial" w:eastAsia="Arial" w:hAnsi="Arial"/>
          <w:sz w:val="17"/>
          <w:szCs w:val="17"/>
          <w:color w:val="auto"/>
        </w:rPr>
        <w:t>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spacing w:after="0" w:line="157" w:lineRule="exact"/>
        <w:rPr>
          <w:sz w:val="20"/>
          <w:szCs w:val="20"/>
          <w:color w:val="auto"/>
        </w:rPr>
      </w:pPr>
    </w:p>
    <w:p>
      <w:pPr>
        <w:ind w:right="540"/>
        <w:spacing w:after="0" w:line="278" w:lineRule="auto"/>
        <w:rPr>
          <w:sz w:val="20"/>
          <w:szCs w:val="20"/>
          <w:color w:val="auto"/>
        </w:rPr>
      </w:pPr>
      <w:r>
        <w:rPr>
          <w:rFonts w:ascii="Arial" w:cs="Arial" w:eastAsia="Arial" w:hAnsi="Arial"/>
          <w:sz w:val="17"/>
          <w:szCs w:val="17"/>
          <w:b w:val="1"/>
          <w:bCs w:val="1"/>
          <w:i w:val="1"/>
          <w:iCs w:val="1"/>
          <w:color w:val="auto"/>
        </w:rPr>
        <w:t>We do not currently intend to pay dividends on our common stock, and, consequently, your ability to achieve a return on your investment will depend on appreciation, if any, in the price of our common stock.</w:t>
      </w:r>
    </w:p>
    <w:p>
      <w:pPr>
        <w:spacing w:after="0" w:line="125" w:lineRule="exact"/>
        <w:rPr>
          <w:sz w:val="20"/>
          <w:szCs w:val="20"/>
          <w:color w:val="auto"/>
        </w:rPr>
      </w:pPr>
    </w:p>
    <w:p>
      <w:pPr>
        <w:jc w:val="both"/>
        <w:ind w:right="100" w:firstLine="589"/>
        <w:spacing w:after="0" w:line="306" w:lineRule="auto"/>
        <w:rPr>
          <w:sz w:val="20"/>
          <w:szCs w:val="20"/>
          <w:color w:val="auto"/>
        </w:rPr>
      </w:pPr>
      <w:r>
        <w:rPr>
          <w:rFonts w:ascii="Arial" w:cs="Arial" w:eastAsia="Arial" w:hAnsi="Arial"/>
          <w:sz w:val="15"/>
          <w:szCs w:val="15"/>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under the terms of the Loan Agreement, we are prohibited from paying any cash dividends without the consent of the lenders. Any return to stockholders will therefore be limited to the appreciation of their stock. Shares of our common stock may not appreciate in value or even maintain the price at which stockholders have purchased their shares.</w:t>
      </w:r>
    </w:p>
    <w:p>
      <w:pPr>
        <w:spacing w:after="0" w:line="110"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b w:val="1"/>
          <w:bCs w:val="1"/>
          <w:i w:val="1"/>
          <w:iCs w:val="1"/>
          <w:color w:val="auto"/>
        </w:rPr>
        <w:t>Sales of a substantial number of shares of our common stock by our existing stockholders, including Takeda, in the public market could cause our stock price to fall.</w:t>
      </w:r>
    </w:p>
    <w:p>
      <w:pPr>
        <w:spacing w:after="0" w:line="138" w:lineRule="exact"/>
        <w:rPr>
          <w:sz w:val="20"/>
          <w:szCs w:val="20"/>
          <w:color w:val="auto"/>
        </w:rPr>
      </w:pPr>
    </w:p>
    <w:p>
      <w:pPr>
        <w:ind w:right="100" w:firstLine="589"/>
        <w:spacing w:after="0" w:line="310"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103" w:lineRule="exact"/>
        <w:rPr>
          <w:sz w:val="20"/>
          <w:szCs w:val="20"/>
          <w:color w:val="auto"/>
        </w:rPr>
      </w:pPr>
    </w:p>
    <w:p>
      <w:pPr>
        <w:ind w:right="120" w:firstLine="589"/>
        <w:spacing w:after="0" w:line="261" w:lineRule="auto"/>
        <w:rPr>
          <w:sz w:val="20"/>
          <w:szCs w:val="20"/>
          <w:color w:val="auto"/>
        </w:rPr>
      </w:pPr>
      <w:r>
        <w:rPr>
          <w:rFonts w:ascii="Arial" w:cs="Arial" w:eastAsia="Arial" w:hAnsi="Arial"/>
          <w:sz w:val="17"/>
          <w:szCs w:val="17"/>
          <w:color w:val="auto"/>
        </w:rPr>
        <w:t>As of December 31, 2020, up to 13,374,936 shares of common stock that are either subject to outstanding options, warrants or other rights or reserved for future issuance under our employee benefit plans will become eligible for sale in the public market to the extent permitted by the provisions of various vesting schedules, exercise limitations, and Rule 144 and Rule 701 under the Securities Act. If these additional shares of common stock are sold, or if it is perceived that they will be sold, in the public market, the trading price of our common stock could decline.</w:t>
      </w:r>
    </w:p>
    <w:p>
      <w:pPr>
        <w:spacing w:after="0" w:line="139" w:lineRule="exact"/>
        <w:rPr>
          <w:sz w:val="20"/>
          <w:szCs w:val="20"/>
          <w:color w:val="auto"/>
        </w:rPr>
      </w:pPr>
    </w:p>
    <w:p>
      <w:pPr>
        <w:ind w:right="220" w:firstLine="589"/>
        <w:spacing w:after="0" w:line="261" w:lineRule="auto"/>
        <w:rPr>
          <w:sz w:val="20"/>
          <w:szCs w:val="20"/>
          <w:color w:val="auto"/>
        </w:rPr>
      </w:pPr>
      <w:r>
        <w:rPr>
          <w:rFonts w:ascii="Arial" w:cs="Arial" w:eastAsia="Arial" w:hAnsi="Arial"/>
          <w:sz w:val="17"/>
          <w:szCs w:val="17"/>
          <w:color w:val="auto"/>
        </w:rPr>
        <w:t>Further, we filed a registration statement, which became effective on November 17, 2020, registering the resale of up to 14,499,416 shares of common stock held by Takeda and Frazier Life Sciences IX, L.P., or Frazier, including 7,588,000 shares of our common stock underlying the Takeda Warrant. As a result, Takeda and Frazier are each able to freely sell some or all of their shares of our common stock. Any sales by these stockholders could have a material adverse effect on the trading price of our common stock.</w:t>
      </w:r>
    </w:p>
    <w:p>
      <w:pPr>
        <w:spacing w:after="0" w:line="152" w:lineRule="exact"/>
        <w:rPr>
          <w:sz w:val="20"/>
          <w:szCs w:val="20"/>
          <w:color w:val="auto"/>
        </w:rPr>
      </w:pPr>
    </w:p>
    <w:p>
      <w:pPr>
        <w:ind w:right="300"/>
        <w:spacing w:after="0" w:line="278"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the reduced disclosure requirements applicable to emerging growth companies and smaller reporting company may make our common stock less attractive to investors.</w:t>
      </w:r>
    </w:p>
    <w:p>
      <w:pPr>
        <w:spacing w:after="0" w:line="125" w:lineRule="exact"/>
        <w:rPr>
          <w:sz w:val="20"/>
          <w:szCs w:val="20"/>
          <w:color w:val="auto"/>
        </w:rPr>
      </w:pPr>
    </w:p>
    <w:p>
      <w:pPr>
        <w:ind w:firstLine="589"/>
        <w:spacing w:after="0" w:line="257" w:lineRule="auto"/>
        <w:rPr>
          <w:sz w:val="20"/>
          <w:szCs w:val="20"/>
          <w:color w:val="auto"/>
        </w:rPr>
      </w:pPr>
      <w:r>
        <w:rPr>
          <w:rFonts w:ascii="Arial" w:cs="Arial" w:eastAsia="Arial" w:hAnsi="Arial"/>
          <w:sz w:val="17"/>
          <w:szCs w:val="17"/>
          <w:color w:val="auto"/>
        </w:rPr>
        <w:t>We are an emerging growth company, as defined in the JOBS Act, and may remain an emerging growth company until the last day of the fiscal year following the fifth anniversary of the completion of our IPO. However, if certain events occur prior to the end of such five-year period, including if we become a “large accelerated filer” as defined in Rule 12b-2 under the Exchange Act, our annual gross revenues exceed $1.07 billion or we issue more than $1.0 billion of non-convertible debt in any three- 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45" w:lineRule="exact"/>
        <w:rPr>
          <w:sz w:val="20"/>
          <w:szCs w:val="20"/>
          <w:color w:val="auto"/>
        </w:rPr>
      </w:pPr>
    </w:p>
    <w:p>
      <w:pPr>
        <w:ind w:left="1000" w:right="260" w:hanging="419"/>
        <w:spacing w:after="0" w:line="310" w:lineRule="auto"/>
        <w:tabs>
          <w:tab w:leader="none" w:pos="10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102" w:lineRule="exact"/>
        <w:rPr>
          <w:rFonts w:ascii="Arial" w:cs="Arial" w:eastAsia="Arial" w:hAnsi="Arial"/>
          <w:sz w:val="16"/>
          <w:szCs w:val="16"/>
          <w:color w:val="auto"/>
        </w:rPr>
      </w:pPr>
    </w:p>
    <w:p>
      <w:pPr>
        <w:ind w:left="1000" w:right="180" w:hanging="419"/>
        <w:spacing w:after="0" w:line="278"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in the assessment of our internal control over financial reporting pursuant to the Sarbanes-Oxley Act;</w:t>
      </w:r>
    </w:p>
    <w:p>
      <w:pPr>
        <w:spacing w:after="0" w:line="125" w:lineRule="exact"/>
        <w:rPr>
          <w:rFonts w:ascii="Arial" w:cs="Arial" w:eastAsia="Arial" w:hAnsi="Arial"/>
          <w:sz w:val="17"/>
          <w:szCs w:val="17"/>
          <w:color w:val="auto"/>
        </w:rPr>
      </w:pPr>
    </w:p>
    <w:p>
      <w:pPr>
        <w:ind w:left="1000" w:right="160" w:hanging="419"/>
        <w:spacing w:after="0" w:line="278" w:lineRule="auto"/>
        <w:tabs>
          <w:tab w:leader="none" w:pos="10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00" w:name="page101"/>
    <w:bookmarkEnd w:id="100"/>
    <w:p>
      <w:pPr>
        <w:ind w:left="1000" w:right="380"/>
        <w:spacing w:after="0" w:line="278" w:lineRule="auto"/>
        <w:rPr>
          <w:sz w:val="20"/>
          <w:szCs w:val="20"/>
          <w:color w:val="auto"/>
        </w:rPr>
      </w:pPr>
      <w:r>
        <w:rPr>
          <w:rFonts w:ascii="Arial" w:cs="Arial" w:eastAsia="Arial" w:hAnsi="Arial"/>
          <w:sz w:val="17"/>
          <w:szCs w:val="17"/>
          <w:color w:val="auto"/>
        </w:rPr>
        <w:t>report providing additional information about the audit and the financial statements, unless the SEC, determines the new rules are necessary for protecting the public;</w:t>
      </w:r>
    </w:p>
    <w:p>
      <w:pPr>
        <w:spacing w:after="0" w:line="125" w:lineRule="exact"/>
        <w:rPr>
          <w:sz w:val="20"/>
          <w:szCs w:val="20"/>
          <w:color w:val="auto"/>
        </w:rPr>
      </w:pPr>
    </w:p>
    <w:p>
      <w:pPr>
        <w:ind w:left="1000" w:hanging="419"/>
        <w:spacing w:after="0"/>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reduced disclosure obligations regarding executive compensation; and</w:t>
      </w:r>
    </w:p>
    <w:p>
      <w:pPr>
        <w:spacing w:after="0" w:line="177" w:lineRule="exact"/>
        <w:rPr>
          <w:rFonts w:ascii="Arial" w:cs="Arial" w:eastAsia="Arial" w:hAnsi="Arial"/>
          <w:sz w:val="17"/>
          <w:szCs w:val="17"/>
          <w:color w:val="auto"/>
        </w:rPr>
      </w:pPr>
    </w:p>
    <w:p>
      <w:pPr>
        <w:ind w:left="1000" w:right="520" w:hanging="419"/>
        <w:spacing w:after="0" w:line="278" w:lineRule="auto"/>
        <w:tabs>
          <w:tab w:leader="none" w:pos="10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exemptions from the requirements of holding a nonbinding advisory vote on executive compensation and shareholder approval of any golden parachute payments not previously approved.</w:t>
      </w:r>
    </w:p>
    <w:p>
      <w:pPr>
        <w:spacing w:after="0" w:line="125" w:lineRule="exact"/>
        <w:rPr>
          <w:sz w:val="20"/>
          <w:szCs w:val="20"/>
          <w:color w:val="auto"/>
        </w:rPr>
      </w:pPr>
    </w:p>
    <w:p>
      <w:pPr>
        <w:ind w:right="120" w:firstLine="589"/>
        <w:spacing w:after="0" w:line="257" w:lineRule="auto"/>
        <w:rPr>
          <w:sz w:val="20"/>
          <w:szCs w:val="20"/>
          <w:color w:val="auto"/>
        </w:rPr>
      </w:pPr>
      <w:r>
        <w:rPr>
          <w:rFonts w:ascii="Arial" w:cs="Arial" w:eastAsia="Arial" w:hAnsi="Arial"/>
          <w:sz w:val="17"/>
          <w:szCs w:val="17"/>
          <w:color w:val="auto"/>
        </w:rPr>
        <w:t>Investors may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157" w:lineRule="exact"/>
        <w:rPr>
          <w:sz w:val="20"/>
          <w:szCs w:val="20"/>
          <w:color w:val="auto"/>
        </w:rPr>
      </w:pPr>
    </w:p>
    <w:p>
      <w:pPr>
        <w:ind w:firstLine="589"/>
        <w:spacing w:after="0" w:line="278" w:lineRule="auto"/>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29" w:lineRule="exact"/>
        <w:rPr>
          <w:sz w:val="20"/>
          <w:szCs w:val="20"/>
          <w:color w:val="auto"/>
        </w:rPr>
      </w:pPr>
    </w:p>
    <w:p>
      <w:pPr>
        <w:ind w:right="720"/>
        <w:spacing w:after="0" w:line="278" w:lineRule="auto"/>
        <w:rPr>
          <w:sz w:val="20"/>
          <w:szCs w:val="20"/>
          <w:color w:val="auto"/>
        </w:rPr>
      </w:pPr>
      <w:r>
        <w:rPr>
          <w:rFonts w:ascii="Arial" w:cs="Arial" w:eastAsia="Arial" w:hAnsi="Arial"/>
          <w:sz w:val="17"/>
          <w:szCs w:val="17"/>
          <w:b w:val="1"/>
          <w:bCs w:val="1"/>
          <w:i w:val="1"/>
          <w:iCs w:val="1"/>
          <w:color w:val="auto"/>
        </w:rPr>
        <w:t>Provisions in our charter documents and under Delaware law could discourage a takeover that stockholders may consider favorable and may lead to entrenchment of management.</w:t>
      </w:r>
    </w:p>
    <w:p>
      <w:pPr>
        <w:spacing w:after="0" w:line="125" w:lineRule="exact"/>
        <w:rPr>
          <w:sz w:val="20"/>
          <w:szCs w:val="20"/>
          <w:color w:val="auto"/>
        </w:rPr>
      </w:pPr>
    </w:p>
    <w:p>
      <w:pPr>
        <w:jc w:val="both"/>
        <w:ind w:right="40" w:firstLine="589"/>
        <w:spacing w:after="0" w:line="265" w:lineRule="auto"/>
        <w:rPr>
          <w:sz w:val="20"/>
          <w:szCs w:val="20"/>
          <w:color w:val="auto"/>
        </w:rPr>
      </w:pPr>
      <w:r>
        <w:rPr>
          <w:rFonts w:ascii="Arial" w:cs="Arial" w:eastAsia="Arial" w:hAnsi="Arial"/>
          <w:sz w:val="17"/>
          <w:szCs w:val="17"/>
          <w:color w:val="auto"/>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p>
      <w:pPr>
        <w:spacing w:after="0" w:line="149" w:lineRule="exact"/>
        <w:rPr>
          <w:sz w:val="20"/>
          <w:szCs w:val="20"/>
          <w:color w:val="auto"/>
        </w:rPr>
      </w:pPr>
    </w:p>
    <w:p>
      <w:pPr>
        <w:ind w:left="1000" w:right="100" w:hanging="419"/>
        <w:spacing w:after="0" w:line="278"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 classified board of directors with three-year staggered terms, which may delay the ability of stockholders to change the membership of a majority of our board of directors;</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177" w:lineRule="exact"/>
        <w:rPr>
          <w:rFonts w:ascii="Arial" w:cs="Arial" w:eastAsia="Arial" w:hAnsi="Arial"/>
          <w:sz w:val="17"/>
          <w:szCs w:val="17"/>
          <w:color w:val="auto"/>
        </w:rPr>
      </w:pPr>
    </w:p>
    <w:p>
      <w:pPr>
        <w:ind w:left="1000" w:right="100" w:hanging="419"/>
        <w:spacing w:after="0" w:line="265"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spacing w:after="0" w:line="136" w:lineRule="exact"/>
        <w:rPr>
          <w:rFonts w:ascii="Arial" w:cs="Arial" w:eastAsia="Arial" w:hAnsi="Arial"/>
          <w:sz w:val="17"/>
          <w:szCs w:val="17"/>
          <w:color w:val="auto"/>
        </w:rPr>
      </w:pPr>
    </w:p>
    <w:p>
      <w:pPr>
        <w:ind w:left="1000" w:right="280" w:hanging="419"/>
        <w:spacing w:after="0" w:line="278"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required approval of at least 66-2/3% of the shares entitled to vote to remove a director for cause, and the prohibition on removal of directors without cause;</w:t>
      </w:r>
    </w:p>
    <w:p>
      <w:pPr>
        <w:spacing w:after="0" w:line="125" w:lineRule="exact"/>
        <w:rPr>
          <w:rFonts w:ascii="Arial" w:cs="Arial" w:eastAsia="Arial" w:hAnsi="Arial"/>
          <w:sz w:val="17"/>
          <w:szCs w:val="17"/>
          <w:color w:val="auto"/>
        </w:rPr>
      </w:pPr>
    </w:p>
    <w:p>
      <w:pPr>
        <w:ind w:left="1000" w:right="100" w:hanging="419"/>
        <w:spacing w:after="0" w:line="265"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36" w:lineRule="exact"/>
        <w:rPr>
          <w:rFonts w:ascii="Arial" w:cs="Arial" w:eastAsia="Arial" w:hAnsi="Arial"/>
          <w:sz w:val="17"/>
          <w:szCs w:val="17"/>
          <w:color w:val="auto"/>
        </w:rPr>
      </w:pPr>
    </w:p>
    <w:p>
      <w:pPr>
        <w:ind w:left="1000" w:hanging="419"/>
        <w:spacing w:after="0"/>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ability of our board of directors to alter our amended and restated bylaws without obtaining stockholder approval;</w:t>
      </w:r>
    </w:p>
    <w:p>
      <w:pPr>
        <w:spacing w:after="0" w:line="177" w:lineRule="exact"/>
        <w:rPr>
          <w:rFonts w:ascii="Arial" w:cs="Arial" w:eastAsia="Arial" w:hAnsi="Arial"/>
          <w:sz w:val="17"/>
          <w:szCs w:val="17"/>
          <w:color w:val="auto"/>
        </w:rPr>
      </w:pPr>
    </w:p>
    <w:p>
      <w:pPr>
        <w:ind w:left="1000" w:right="400" w:hanging="419"/>
        <w:spacing w:after="0" w:line="310" w:lineRule="auto"/>
        <w:tabs>
          <w:tab w:leader="none" w:pos="10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required approval of at least 66-2/3% of the shares entitled to vote to adopt, amend or repeal our amended and restated bylaws or repeal the provisions of our amended and restated certificate of incorporation regarding the election and removal of directors;</w:t>
      </w:r>
    </w:p>
    <w:p>
      <w:pPr>
        <w:spacing w:after="0" w:line="33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1" w:name="page102"/>
    <w:bookmarkEnd w:id="101"/>
    <w:p>
      <w:pPr>
        <w:ind w:left="1000" w:right="800" w:hanging="419"/>
        <w:spacing w:after="0" w:line="278"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which forces stockholder action to be taken at an annual or special meeting of our stockholders;</w:t>
      </w:r>
    </w:p>
    <w:p>
      <w:pPr>
        <w:spacing w:after="0" w:line="125" w:lineRule="exact"/>
        <w:rPr>
          <w:rFonts w:ascii="Arial" w:cs="Arial" w:eastAsia="Arial" w:hAnsi="Arial"/>
          <w:sz w:val="17"/>
          <w:szCs w:val="17"/>
          <w:color w:val="auto"/>
        </w:rPr>
      </w:pPr>
    </w:p>
    <w:p>
      <w:pPr>
        <w:ind w:left="1000" w:right="420" w:hanging="419"/>
        <w:spacing w:after="0" w:line="278"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exclusive forum provision providing that the Court of Chancery of the State of Delaware will be the exclusive forum for certain actions and proceedings;</w:t>
      </w:r>
    </w:p>
    <w:p>
      <w:pPr>
        <w:spacing w:after="0" w:line="125" w:lineRule="exact"/>
        <w:rPr>
          <w:rFonts w:ascii="Arial" w:cs="Arial" w:eastAsia="Arial" w:hAnsi="Arial"/>
          <w:sz w:val="17"/>
          <w:szCs w:val="17"/>
          <w:color w:val="auto"/>
        </w:rPr>
      </w:pPr>
    </w:p>
    <w:p>
      <w:pPr>
        <w:ind w:left="1000" w:right="80" w:hanging="419"/>
        <w:spacing w:after="0" w:line="278"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requirement that a special meeting of stockholders may be called only by the board of directors, which may delay the ability of our stockholders to force consideration of a proposal or to take action, including the removal of directors; and</w:t>
      </w:r>
    </w:p>
    <w:p>
      <w:pPr>
        <w:spacing w:after="0" w:line="125" w:lineRule="exact"/>
        <w:rPr>
          <w:rFonts w:ascii="Arial" w:cs="Arial" w:eastAsia="Arial" w:hAnsi="Arial"/>
          <w:sz w:val="17"/>
          <w:szCs w:val="17"/>
          <w:color w:val="auto"/>
        </w:rPr>
      </w:pPr>
    </w:p>
    <w:p>
      <w:pPr>
        <w:ind w:left="1000" w:right="100" w:hanging="419"/>
        <w:spacing w:after="0" w:line="265"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36" w:lineRule="exact"/>
        <w:rPr>
          <w:sz w:val="20"/>
          <w:szCs w:val="20"/>
          <w:color w:val="auto"/>
        </w:rPr>
      </w:pPr>
    </w:p>
    <w:p>
      <w:pPr>
        <w:ind w:right="120" w:firstLine="589"/>
        <w:spacing w:after="0" w:line="265" w:lineRule="auto"/>
        <w:rPr>
          <w:sz w:val="20"/>
          <w:szCs w:val="20"/>
          <w:color w:val="auto"/>
        </w:rPr>
      </w:pPr>
      <w:r>
        <w:rPr>
          <w:rFonts w:ascii="Arial" w:cs="Arial" w:eastAsia="Arial" w:hAnsi="Arial"/>
          <w:sz w:val="17"/>
          <w:szCs w:val="17"/>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49" w:lineRule="exact"/>
        <w:rPr>
          <w:sz w:val="20"/>
          <w:szCs w:val="20"/>
          <w:color w:val="auto"/>
        </w:rPr>
      </w:pPr>
    </w:p>
    <w:p>
      <w:pPr>
        <w:jc w:val="both"/>
        <w:ind w:right="200"/>
        <w:spacing w:after="0" w:line="265" w:lineRule="auto"/>
        <w:rPr>
          <w:sz w:val="20"/>
          <w:szCs w:val="20"/>
          <w:color w:val="auto"/>
        </w:rPr>
      </w:pPr>
      <w:r>
        <w:rPr>
          <w:rFonts w:ascii="Arial" w:cs="Arial" w:eastAsia="Arial" w:hAnsi="Arial"/>
          <w:sz w:val="17"/>
          <w:szCs w:val="17"/>
          <w:b w:val="1"/>
          <w:bCs w:val="1"/>
          <w:i w:val="1"/>
          <w:iCs w:val="1"/>
          <w:color w:val="auto"/>
        </w:rPr>
        <w:t>Our amended and restated certificate of incorporation and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136" w:lineRule="exact"/>
        <w:rPr>
          <w:sz w:val="20"/>
          <w:szCs w:val="20"/>
          <w:color w:val="auto"/>
        </w:rPr>
      </w:pPr>
    </w:p>
    <w:p>
      <w:pPr>
        <w:ind w:firstLine="589"/>
        <w:spacing w:after="0" w:line="290" w:lineRule="auto"/>
        <w:rPr>
          <w:sz w:val="20"/>
          <w:szCs w:val="20"/>
          <w:color w:val="auto"/>
        </w:rPr>
      </w:pPr>
      <w:r>
        <w:rPr>
          <w:rFonts w:ascii="Arial" w:cs="Arial" w:eastAsia="Arial" w:hAnsi="Arial"/>
          <w:sz w:val="15"/>
          <w:szCs w:val="15"/>
          <w:color w:val="auto"/>
        </w:rPr>
        <w:t>Our amended and restated certificate of incorporation and amended and restated bylaws provide that the Court of Chancery of the State of Delaware is the exclusive forum for any derivative action or proceeding brought on our behalf under Delaware statutory or common law, including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provided, that, this provision would not apply to suits brought to enforce a duty or liability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The choice of forum provisions in our amended and restated certificate of incorporation may limit a stockholder’s ability to bring a claim in a judicial forum that it finds favorable for disputes with us or our directors, officers or other employees, which may discourage such lawsuits against us and our directors, officers and other employees. By agreeing to these provisions,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net operating loss carryforwards and other tax attributes may be limited.</w:t>
      </w:r>
    </w:p>
    <w:p>
      <w:pPr>
        <w:spacing w:after="0" w:line="190" w:lineRule="exact"/>
        <w:rPr>
          <w:sz w:val="20"/>
          <w:szCs w:val="20"/>
          <w:color w:val="auto"/>
        </w:rPr>
      </w:pPr>
    </w:p>
    <w:p>
      <w:pPr>
        <w:ind w:firstLine="589"/>
        <w:spacing w:after="0" w:line="265"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and we may never achieve profitability. To the extent that we continue to generate taxable losses, unused losses will carry forward to offset future taxable income, if any, until such unused losses expire (if at all).</w:t>
      </w:r>
    </w:p>
    <w:p>
      <w:pPr>
        <w:spacing w:after="0" w:line="136" w:lineRule="exact"/>
        <w:rPr>
          <w:sz w:val="20"/>
          <w:szCs w:val="20"/>
          <w:color w:val="auto"/>
        </w:rPr>
      </w:pPr>
    </w:p>
    <w:p>
      <w:pPr>
        <w:ind w:right="340" w:firstLine="589"/>
        <w:spacing w:after="0" w:line="261" w:lineRule="auto"/>
        <w:rPr>
          <w:sz w:val="20"/>
          <w:szCs w:val="20"/>
          <w:color w:val="auto"/>
        </w:rPr>
      </w:pPr>
      <w:r>
        <w:rPr>
          <w:rFonts w:ascii="Arial" w:cs="Arial" w:eastAsia="Arial" w:hAnsi="Arial"/>
          <w:sz w:val="17"/>
          <w:szCs w:val="17"/>
          <w:color w:val="auto"/>
        </w:rPr>
        <w:t>Under recently enacted U.S. tax legislation, federal net operating loss, or NOL, carryforwards generated in periods after December 31, 2017, may be carried forward indefinitely but may only be used to offset 80% of our taxable income annually. Our NOL carryforwards are subject to review and possible adjustment by the Internal Revenue Service, or the IRS, and state tax authorities. Under Section 382 of the Internal Revenue Code of 1986, as amended, or the Code, our federal NOL carryforwards may become subject to an annual limitation in the event of</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2" w:name="page103"/>
    <w:bookmarkEnd w:id="102"/>
    <w:p>
      <w:pPr>
        <w:ind w:right="40"/>
        <w:spacing w:after="0" w:line="256" w:lineRule="auto"/>
        <w:rPr>
          <w:sz w:val="20"/>
          <w:szCs w:val="20"/>
          <w:color w:val="auto"/>
        </w:rPr>
      </w:pPr>
      <w:r>
        <w:rPr>
          <w:rFonts w:ascii="Arial" w:cs="Arial" w:eastAsia="Arial" w:hAnsi="Arial"/>
          <w:sz w:val="17"/>
          <w:szCs w:val="17"/>
          <w:color w:val="auto"/>
        </w:rPr>
        <w:t>certain cumulative changes in the ownership interest of significant stockholders over a three-year period in excess of 50 percentage points. Our ability to utilize our NOL carryforwards and other tax attributes to offset future taxable income or tax liabilities may be limited as a result of ownership changes, including potential changes in connection with our IPO or future offerings. Similar rules may apply under state tax laws. We have not yet determined the amount of the cumulative change in our ownership resulting from our IPO or other transactions, or any resulting limitations on our ability to utilize our NOL carryforwards and other tax attributes. If we earn taxable income, such limitations could result in increased future tax liability to us and our future cash flows could be adversely affected. We have recorded a full valuation allowance related to our NOLs and other deferred tax assets due to the uncertainty of the ultimate realization of the future benefits of those assets.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U.S. tax legislation may materially adversely affect our financial condition, results of operations and cash flows.</w:t>
      </w:r>
    </w:p>
    <w:p>
      <w:pPr>
        <w:spacing w:after="0" w:line="177" w:lineRule="exact"/>
        <w:rPr>
          <w:sz w:val="20"/>
          <w:szCs w:val="20"/>
          <w:color w:val="auto"/>
        </w:rPr>
      </w:pPr>
    </w:p>
    <w:p>
      <w:pPr>
        <w:ind w:right="60" w:firstLine="589"/>
        <w:spacing w:after="0" w:line="256" w:lineRule="auto"/>
        <w:rPr>
          <w:sz w:val="20"/>
          <w:szCs w:val="20"/>
          <w:color w:val="auto"/>
        </w:rPr>
      </w:pPr>
      <w:r>
        <w:rPr>
          <w:rFonts w:ascii="Arial" w:cs="Arial" w:eastAsia="Arial" w:hAnsi="Arial"/>
          <w:sz w:val="17"/>
          <w:szCs w:val="17"/>
          <w:color w:val="auto"/>
        </w:rPr>
        <w:t>The Tax Act has significantly changed the U.S. federal income taxation of U.S. corporations, including by reducing the U.S. corporate income tax rate and revising the rules governing NOLs. Many of these changes became effective beginning in 2018, without any transition periods or grandfathering for existing transactions. The legislation is unclear in many respects and may continue to be subject to potential amendments and technical corrections, as well as interpretations and implementing regulations by the U.S. Treasury Department and the IRS, which have lessened or increased certain adverse impacts of the legislation and may do so in the future. We continue to work with our tax advisors to determine the full impact that the recent tax legislation as a whole will have on us. We urge our investors to consult with their legal and tax advisors with respect to such legislation and the potential tax consequences of investing in our common stock.</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disruptions could seriously harm our future revenue and financial condition and increase our costs and expenses.</w:t>
      </w:r>
    </w:p>
    <w:p>
      <w:pPr>
        <w:spacing w:after="0" w:line="177" w:lineRule="exact"/>
        <w:rPr>
          <w:sz w:val="20"/>
          <w:szCs w:val="20"/>
          <w:color w:val="auto"/>
        </w:rPr>
      </w:pPr>
    </w:p>
    <w:p>
      <w:pPr>
        <w:ind w:firstLine="589"/>
        <w:spacing w:after="0" w:line="301" w:lineRule="auto"/>
        <w:rPr>
          <w:sz w:val="20"/>
          <w:szCs w:val="20"/>
          <w:color w:val="auto"/>
        </w:rPr>
      </w:pPr>
      <w:r>
        <w:rPr>
          <w:rFonts w:ascii="Arial" w:cs="Arial" w:eastAsia="Arial" w:hAnsi="Arial"/>
          <w:sz w:val="15"/>
          <w:szCs w:val="15"/>
          <w:color w:val="auto"/>
        </w:rPr>
        <w:t>Our operations could be subject to earthquakes, power shortages, telecommunications failures, water shortages, floods, hurricanes, typhoons, fires, extreme weather conditions, medical epidemics and other natural or manmade disasters or business interruptions, for which we are predominantly self-insured. We rely on third-party manufacturers to produce vonoprazan and any future product candidates. Our ability to obtain clinical supplies of vonoprazan and any future product candidates could be disrupted if the operations of these suppliers were affected by a man-made or natural disaster or other business interruption. The occurrence of any of these business disruptions could seriously harm our operations and financial condition and increase our costs and expenses.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failure to meet the continued listing requirements of the Nasdaq could result in a delisting of our common stock.</w:t>
      </w:r>
    </w:p>
    <w:p>
      <w:pPr>
        <w:spacing w:after="0" w:line="190" w:lineRule="exact"/>
        <w:rPr>
          <w:sz w:val="20"/>
          <w:szCs w:val="20"/>
          <w:color w:val="auto"/>
        </w:rPr>
      </w:pPr>
    </w:p>
    <w:p>
      <w:pPr>
        <w:ind w:right="100" w:firstLine="589"/>
        <w:spacing w:after="0" w:line="301" w:lineRule="auto"/>
        <w:rPr>
          <w:sz w:val="20"/>
          <w:szCs w:val="20"/>
          <w:color w:val="auto"/>
        </w:rPr>
      </w:pPr>
      <w:r>
        <w:rPr>
          <w:rFonts w:ascii="Arial" w:cs="Arial" w:eastAsia="Arial" w:hAnsi="Arial"/>
          <w:sz w:val="15"/>
          <w:szCs w:val="15"/>
          <w:color w:val="auto"/>
        </w:rPr>
        <w:t>If we fail to satisfy the continued listing requirements of the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any action taken by us to restore compliance with listing requirements may not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03" w:name="page104"/>
    <w:bookmarkEnd w:id="103"/>
    <w:p>
      <w:pPr>
        <w:ind w:right="340"/>
        <w:spacing w:after="0" w:line="278" w:lineRule="auto"/>
        <w:rPr>
          <w:sz w:val="20"/>
          <w:szCs w:val="20"/>
          <w:color w:val="auto"/>
        </w:rPr>
      </w:pPr>
      <w:r>
        <w:rPr>
          <w:rFonts w:ascii="Arial" w:cs="Arial" w:eastAsia="Arial" w:hAnsi="Arial"/>
          <w:sz w:val="17"/>
          <w:szCs w:val="17"/>
          <w:b w:val="1"/>
          <w:bCs w:val="1"/>
          <w:i w:val="1"/>
          <w:iCs w:val="1"/>
          <w:color w:val="auto"/>
        </w:rPr>
        <w:t>We incur significant costs as a result of operating as a public company, and our management will be required to devote substantial time to new compliance initiatives.</w:t>
      </w:r>
    </w:p>
    <w:p>
      <w:pPr>
        <w:spacing w:after="0" w:line="138" w:lineRule="exact"/>
        <w:rPr>
          <w:sz w:val="20"/>
          <w:szCs w:val="20"/>
          <w:color w:val="auto"/>
        </w:rPr>
      </w:pPr>
    </w:p>
    <w:p>
      <w:pPr>
        <w:ind w:right="40" w:firstLine="589"/>
        <w:spacing w:after="0" w:line="273"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34" w:lineRule="exact"/>
        <w:rPr>
          <w:sz w:val="20"/>
          <w:szCs w:val="20"/>
          <w:color w:val="auto"/>
        </w:rPr>
      </w:pPr>
    </w:p>
    <w:p>
      <w:pPr>
        <w:ind w:right="80" w:firstLine="589"/>
        <w:spacing w:after="0" w:line="296" w:lineRule="auto"/>
        <w:rPr>
          <w:sz w:val="20"/>
          <w:szCs w:val="20"/>
          <w:color w:val="auto"/>
        </w:rPr>
      </w:pPr>
      <w:r>
        <w:rPr>
          <w:rFonts w:ascii="Arial" w:cs="Arial" w:eastAsia="Arial" w:hAnsi="Arial"/>
          <w:sz w:val="15"/>
          <w:szCs w:val="15"/>
          <w:color w:val="auto"/>
        </w:rPr>
        <w:t>We expect the rules and regulations applicable to public companies to substantially increase our legal and financial compliance costs and to make some activities more time consuming and costly. If these requirements divert the attention of our management and personnel from other business concerns, they could have a material adverse effect on our business, financial condition and results of operations. The costs we incur as a public company will decrease our net income or increase our net loss, and may require us to reduce costs in other areas of our business. For example, these rules and regulations make it more difficult and more expensive for us to obtain director and officer liability insurance, and we may be required to incur substantial costs to maintain the same or similar coverage in the future.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17"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38" w:lineRule="exact"/>
        <w:rPr>
          <w:sz w:val="20"/>
          <w:szCs w:val="20"/>
          <w:color w:val="auto"/>
        </w:rPr>
      </w:pPr>
    </w:p>
    <w:p>
      <w:pPr>
        <w:ind w:firstLine="589"/>
        <w:spacing w:after="0" w:line="306" w:lineRule="auto"/>
        <w:rPr>
          <w:sz w:val="20"/>
          <w:szCs w:val="20"/>
          <w:color w:val="auto"/>
        </w:rPr>
      </w:pPr>
      <w:r>
        <w:rPr>
          <w:rFonts w:ascii="Arial" w:cs="Arial" w:eastAsia="Arial" w:hAnsi="Arial"/>
          <w:sz w:val="15"/>
          <w:szCs w:val="15"/>
          <w:color w:val="auto"/>
        </w:rPr>
        <w:t>The trading market for our common stock depends in part on the research and reports that securities or industry analysts publish about us, our business, our market or our competitors. If securities or industry analysts do not continue coverage of our company, the trading price for our stock would be negatively impacted. In addition,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10"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03" w:lineRule="exact"/>
        <w:rPr>
          <w:sz w:val="20"/>
          <w:szCs w:val="20"/>
          <w:color w:val="auto"/>
        </w:rPr>
      </w:pPr>
    </w:p>
    <w:p>
      <w:pPr>
        <w:ind w:right="60" w:firstLine="589"/>
        <w:spacing w:after="0" w:line="256" w:lineRule="auto"/>
        <w:rPr>
          <w:sz w:val="20"/>
          <w:szCs w:val="20"/>
          <w:color w:val="auto"/>
        </w:rPr>
      </w:pPr>
      <w:r>
        <w:rPr>
          <w:rFonts w:ascii="Arial" w:cs="Arial" w:eastAsia="Arial" w:hAnsi="Arial"/>
          <w:sz w:val="17"/>
          <w:szCs w:val="17"/>
          <w:color w:val="auto"/>
        </w:rPr>
        <w:t>Pursuant to Section 404 of Sarbanes-Oxley, our management will be required to report upon the effectiveness of our internal control over financial reporting beginning with the annual report for our fiscal year ending December 31, 2020. When we lose our status as an “emerging growth company” and reach an accelerated filer threshold,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are in the process of implementing additional financial and management controls, reporting systems and procedures; and hiring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04" w:name="page105"/>
    <w:bookmarkEnd w:id="104"/>
    <w:p>
      <w:pPr>
        <w:ind w:firstLine="589"/>
        <w:spacing w:after="0" w:line="275" w:lineRule="auto"/>
        <w:rPr>
          <w:sz w:val="20"/>
          <w:szCs w:val="20"/>
          <w:color w:val="auto"/>
        </w:rPr>
      </w:pPr>
      <w:r>
        <w:rPr>
          <w:rFonts w:ascii="Arial" w:cs="Arial" w:eastAsia="Arial" w:hAnsi="Arial"/>
          <w:sz w:val="16"/>
          <w:szCs w:val="16"/>
          <w:color w:val="auto"/>
        </w:rPr>
        <w:t>There could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subject to securities class action litigation.</w:t>
      </w:r>
    </w:p>
    <w:p>
      <w:pPr>
        <w:spacing w:after="0" w:line="177" w:lineRule="exact"/>
        <w:rPr>
          <w:sz w:val="20"/>
          <w:szCs w:val="20"/>
          <w:color w:val="auto"/>
        </w:rPr>
      </w:pPr>
    </w:p>
    <w:p>
      <w:pPr>
        <w:jc w:val="both"/>
        <w:ind w:right="80" w:firstLine="589"/>
        <w:spacing w:after="0" w:line="289"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13"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183" w:lineRule="exact"/>
        <w:rPr>
          <w:sz w:val="20"/>
          <w:szCs w:val="20"/>
          <w:color w:val="auto"/>
        </w:rPr>
      </w:pPr>
    </w:p>
    <w:p>
      <w:pPr>
        <w:ind w:right="120" w:firstLine="589"/>
        <w:spacing w:after="0" w:line="278" w:lineRule="auto"/>
        <w:rPr>
          <w:sz w:val="20"/>
          <w:szCs w:val="20"/>
          <w:color w:val="auto"/>
        </w:rPr>
      </w:pPr>
      <w:r>
        <w:rPr>
          <w:rFonts w:ascii="Arial" w:cs="Arial" w:eastAsia="Arial" w:hAnsi="Arial"/>
          <w:sz w:val="17"/>
          <w:szCs w:val="17"/>
          <w:color w:val="auto"/>
        </w:rPr>
        <w:t>Our corporate offices are located in Buffalo Grove, Illinois, and Florham Park, New Jersey. We believe that our facilities are adequate to meet our current needs, and that suitable additional alternative spaces will be available in the future on commercially reasonable terms, if required.</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additional information, see Note 6, Lease Commitments included in Item 15 of this Annual Report on Form 10-K.</w:t>
      </w:r>
    </w:p>
    <w:p>
      <w:pPr>
        <w:spacing w:after="0" w:line="171"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83" w:lineRule="exact"/>
        <w:rPr>
          <w:sz w:val="20"/>
          <w:szCs w:val="20"/>
          <w:color w:val="auto"/>
        </w:rPr>
      </w:pPr>
    </w:p>
    <w:p>
      <w:pPr>
        <w:jc w:val="both"/>
        <w:ind w:right="20" w:firstLine="589"/>
        <w:spacing w:after="0" w:line="289" w:lineRule="auto"/>
        <w:rPr>
          <w:sz w:val="20"/>
          <w:szCs w:val="20"/>
          <w:color w:val="auto"/>
        </w:rPr>
      </w:pPr>
      <w:r>
        <w:rPr>
          <w:rFonts w:ascii="Arial" w:cs="Arial" w:eastAsia="Arial" w:hAnsi="Arial"/>
          <w:sz w:val="16"/>
          <w:szCs w:val="16"/>
          <w:color w:val="auto"/>
        </w:rPr>
        <w:t>We are not currently subject to any material legal proceedings. From time to time, we may be involved in legal proceedings or subject to claims incident to the ordinary course of business. Regardless of the outcome, such proceedings or claims can have an adverse impact on us because of defense and settlement costs, diversion of resources and other factors, and there can be no assurances that favorable outcomes will be obtained.</w:t>
      </w:r>
    </w:p>
    <w:p>
      <w:pPr>
        <w:spacing w:after="0" w:line="126"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177"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183" w:lineRule="exact"/>
        <w:rPr>
          <w:sz w:val="20"/>
          <w:szCs w:val="20"/>
          <w:color w:val="auto"/>
        </w:rPr>
      </w:pPr>
    </w:p>
    <w:p>
      <w:pPr>
        <w:ind w:firstLine="589"/>
        <w:spacing w:after="0" w:line="310" w:lineRule="auto"/>
        <w:rPr>
          <w:sz w:val="20"/>
          <w:szCs w:val="20"/>
          <w:color w:val="auto"/>
        </w:rPr>
      </w:pPr>
      <w:r>
        <w:rPr>
          <w:rFonts w:ascii="Arial" w:cs="Arial" w:eastAsia="Arial" w:hAnsi="Arial"/>
          <w:sz w:val="16"/>
          <w:szCs w:val="16"/>
          <w:color w:val="auto"/>
        </w:rPr>
        <w:t>Our common stock has been publicly traded on the Nasdaq Global Select Market under the symbol “PHAT” since our initial public offering on October 25, 2019, which was completed at a price to the public of $19.00 per share. Prior to our initial public offering, there was no public market for our common stock.</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Common Stock</w:t>
      </w:r>
    </w:p>
    <w:p>
      <w:pPr>
        <w:spacing w:after="0" w:line="196" w:lineRule="exact"/>
        <w:rPr>
          <w:sz w:val="20"/>
          <w:szCs w:val="20"/>
          <w:color w:val="auto"/>
        </w:rPr>
      </w:pPr>
    </w:p>
    <w:p>
      <w:pPr>
        <w:jc w:val="both"/>
        <w:ind w:right="140" w:firstLine="589"/>
        <w:spacing w:after="0" w:line="265" w:lineRule="auto"/>
        <w:rPr>
          <w:sz w:val="20"/>
          <w:szCs w:val="20"/>
          <w:color w:val="auto"/>
        </w:rPr>
      </w:pPr>
      <w:r>
        <w:rPr>
          <w:rFonts w:ascii="Arial" w:cs="Arial" w:eastAsia="Arial" w:hAnsi="Arial"/>
          <w:sz w:val="17"/>
          <w:szCs w:val="17"/>
          <w:color w:val="auto"/>
        </w:rPr>
        <w:t>As of March 26, 2021, there were 31,321,613 shares of our common stock outstanding held by approximately 47 holders of record of our common stock. This number was derived from our shareholder records and does not include beneficial owners of our common stock whose shares are held in the name of various dealers, clearing agencies, banks, brokers and other fiduciaries.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83" w:lineRule="exact"/>
        <w:rPr>
          <w:sz w:val="20"/>
          <w:szCs w:val="20"/>
          <w:color w:val="auto"/>
        </w:rPr>
      </w:pPr>
    </w:p>
    <w:p>
      <w:pPr>
        <w:ind w:right="40" w:firstLine="589"/>
        <w:spacing w:after="0" w:line="258" w:lineRule="auto"/>
        <w:rPr>
          <w:sz w:val="20"/>
          <w:szCs w:val="20"/>
          <w:color w:val="auto"/>
        </w:rPr>
      </w:pPr>
      <w:r>
        <w:rPr>
          <w:rFonts w:ascii="Arial" w:cs="Arial" w:eastAsia="Arial" w:hAnsi="Arial"/>
          <w:sz w:val="17"/>
          <w:szCs w:val="17"/>
          <w:color w:val="auto"/>
        </w:rPr>
        <w:t>We have never declared or paid any cash dividends on our capital stock. We intend to retain future earnings, if any, to finance the operation of our business and do not anticipate paying any cash dividends in the foreseeable future. Any future determination related to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 In addition, under the terms of our Loan Agreement, we are prohibited from paying any cash dividends without the consent of the lenders.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See Item 12 of Part III of this annual report on Form 10-K for information about our equity compensation plans which is incorporated by reference herein.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From January 1, 2019 through December 31, 2020, we issued and sold the equity securities described below.</w:t>
      </w:r>
    </w:p>
    <w:p>
      <w:pPr>
        <w:spacing w:after="0" w:line="190" w:lineRule="exact"/>
        <w:rPr>
          <w:sz w:val="20"/>
          <w:szCs w:val="20"/>
          <w:color w:val="auto"/>
        </w:rPr>
      </w:pPr>
    </w:p>
    <w:p>
      <w:pPr>
        <w:ind w:right="160" w:firstLine="592"/>
        <w:spacing w:after="0" w:line="278" w:lineRule="auto"/>
        <w:tabs>
          <w:tab w:leader="none" w:pos="7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March 2019, we issued 1,491,072 shares of common stock to Frazier Life Sciences IX, L.P., or FLS IX, at a purchase price of $0.0002958 per share pursuant to a stock purchase agreement.</w:t>
      </w:r>
    </w:p>
    <w:p>
      <w:pPr>
        <w:spacing w:after="0" w:line="125" w:lineRule="exact"/>
        <w:rPr>
          <w:rFonts w:ascii="Arial" w:cs="Arial" w:eastAsia="Arial" w:hAnsi="Arial"/>
          <w:sz w:val="17"/>
          <w:szCs w:val="17"/>
          <w:color w:val="auto"/>
        </w:rPr>
      </w:pPr>
    </w:p>
    <w:p>
      <w:pPr>
        <w:ind w:right="500" w:firstLine="592"/>
        <w:spacing w:after="0" w:line="278" w:lineRule="auto"/>
        <w:tabs>
          <w:tab w:leader="none" w:pos="7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March 2019, we issued 1,743,072 shares of our restricted common stock to certain of our founders at a purchase price of $0.0002958 per share pursuant to restricted stock purchase agreements.</w:t>
      </w:r>
    </w:p>
    <w:p>
      <w:pPr>
        <w:spacing w:after="0" w:line="125" w:lineRule="exact"/>
        <w:rPr>
          <w:rFonts w:ascii="Arial" w:cs="Arial" w:eastAsia="Arial" w:hAnsi="Arial"/>
          <w:sz w:val="17"/>
          <w:szCs w:val="17"/>
          <w:color w:val="auto"/>
        </w:rPr>
      </w:pPr>
    </w:p>
    <w:p>
      <w:pPr>
        <w:ind w:right="40" w:firstLine="592"/>
        <w:spacing w:after="0" w:line="278" w:lineRule="auto"/>
        <w:tabs>
          <w:tab w:leader="none" w:pos="7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From April 2019 to May 2019, we issued 781,780 shares of our restricted common stock to certain of our employees and consultants at a purchase price of $0.0002958 per share pursuant to restricted stock purchase agreements.</w:t>
      </w:r>
    </w:p>
    <w:p>
      <w:pPr>
        <w:spacing w:after="0" w:line="138" w:lineRule="exact"/>
        <w:rPr>
          <w:rFonts w:ascii="Arial" w:cs="Arial" w:eastAsia="Arial" w:hAnsi="Arial"/>
          <w:sz w:val="17"/>
          <w:szCs w:val="17"/>
          <w:color w:val="auto"/>
        </w:rPr>
      </w:pPr>
    </w:p>
    <w:p>
      <w:pPr>
        <w:ind w:right="80" w:firstLine="592"/>
        <w:spacing w:after="0" w:line="278" w:lineRule="auto"/>
        <w:tabs>
          <w:tab w:leader="none" w:pos="7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In May 2019, we granted 16,260 shares of our restricted common stock under our existing 2019 equity incentive plan to a consultant in connection with services provided to us by such person.</w:t>
      </w:r>
    </w:p>
    <w:p>
      <w:pPr>
        <w:spacing w:after="0" w:line="125" w:lineRule="exact"/>
        <w:rPr>
          <w:rFonts w:ascii="Arial" w:cs="Arial" w:eastAsia="Arial" w:hAnsi="Arial"/>
          <w:sz w:val="17"/>
          <w:szCs w:val="17"/>
          <w:color w:val="auto"/>
        </w:rPr>
      </w:pPr>
    </w:p>
    <w:p>
      <w:pPr>
        <w:ind w:right="460" w:firstLine="592"/>
        <w:spacing w:after="0" w:line="310" w:lineRule="auto"/>
        <w:tabs>
          <w:tab w:leader="none" w:pos="7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 May 2019, we issued 1,084,000 shares of common stock to Takeda pursuant to a stock issuance agreement and a warrant to purchase 7,588,000 shares of our common stock with an exercise price of $0.00004613 per share as partial consideration for the Takeda License.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ind w:firstLine="592"/>
        <w:spacing w:after="0" w:line="265" w:lineRule="auto"/>
        <w:tabs>
          <w:tab w:leader="none" w:pos="7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May 2019, we issued convertible promissory notes in an aggregate principal amount of $90.3 million to FLS IX and other investors pursuant to a note purchase agreement. The notes automatically converted into an aggregate of 6,107,918 shares of our common stock immediately prior to the closing of our initial public offering.</w:t>
      </w:r>
    </w:p>
    <w:p>
      <w:pPr>
        <w:spacing w:after="0" w:line="149" w:lineRule="exact"/>
        <w:rPr>
          <w:rFonts w:ascii="Arial" w:cs="Arial" w:eastAsia="Arial" w:hAnsi="Arial"/>
          <w:sz w:val="17"/>
          <w:szCs w:val="17"/>
          <w:color w:val="auto"/>
        </w:rPr>
      </w:pPr>
    </w:p>
    <w:p>
      <w:pPr>
        <w:ind w:right="40" w:firstLine="592"/>
        <w:spacing w:after="0" w:line="278" w:lineRule="auto"/>
        <w:tabs>
          <w:tab w:leader="none" w:pos="7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May 2019, we issued warrants to purchase 16,446 shares of common stock to Silicon Valley Bank and WestRiver Innovation Lending Fund VIII, L.P. at an exercise price of $15.20 per share.</w:t>
      </w:r>
    </w:p>
    <w:p>
      <w:pPr>
        <w:spacing w:after="0" w:line="125" w:lineRule="exact"/>
        <w:rPr>
          <w:rFonts w:ascii="Arial" w:cs="Arial" w:eastAsia="Arial" w:hAnsi="Arial"/>
          <w:sz w:val="17"/>
          <w:szCs w:val="17"/>
          <w:color w:val="auto"/>
        </w:rPr>
      </w:pPr>
    </w:p>
    <w:p>
      <w:pPr>
        <w:ind w:right="260" w:firstLine="592"/>
        <w:spacing w:after="0" w:line="278" w:lineRule="auto"/>
        <w:tabs>
          <w:tab w:leader="none" w:pos="7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August 2019, we granted stock options to purchase an aggregate of 906,224 shares of our common stock at a price of $6.95 per share, to certain of our employees and directors in connection with services provided to us by such persons.</w:t>
      </w:r>
    </w:p>
    <w:p>
      <w:pPr>
        <w:spacing w:after="0" w:line="125" w:lineRule="exact"/>
        <w:rPr>
          <w:rFonts w:ascii="Arial" w:cs="Arial" w:eastAsia="Arial" w:hAnsi="Arial"/>
          <w:sz w:val="17"/>
          <w:szCs w:val="17"/>
          <w:color w:val="auto"/>
        </w:rPr>
      </w:pPr>
    </w:p>
    <w:p>
      <w:pPr>
        <w:ind w:right="120" w:firstLine="592"/>
        <w:spacing w:after="0" w:line="278" w:lineRule="auto"/>
        <w:tabs>
          <w:tab w:leader="none" w:pos="7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 September 2019, we granted stock options to purchase an aggregate of 494,304 shares of our common stock at a price of $13.04 per share, to certain of our employees and directors in connection with services provided to us by such persons.</w:t>
      </w:r>
    </w:p>
    <w:p>
      <w:pPr>
        <w:spacing w:after="0" w:line="138" w:lineRule="exact"/>
        <w:rPr>
          <w:sz w:val="20"/>
          <w:szCs w:val="20"/>
          <w:color w:val="auto"/>
        </w:rPr>
      </w:pPr>
    </w:p>
    <w:p>
      <w:pPr>
        <w:ind w:firstLine="589"/>
        <w:spacing w:after="0" w:line="275" w:lineRule="auto"/>
        <w:rPr>
          <w:sz w:val="20"/>
          <w:szCs w:val="20"/>
          <w:color w:val="auto"/>
        </w:rPr>
      </w:pPr>
      <w:r>
        <w:rPr>
          <w:rFonts w:ascii="Arial" w:cs="Arial" w:eastAsia="Arial" w:hAnsi="Arial"/>
          <w:sz w:val="16"/>
          <w:szCs w:val="16"/>
          <w:color w:val="auto"/>
        </w:rPr>
        <w:t>The securities described in paragraphs (1) and (5) through (7) above were issued to investors in reliance upon the exemption from the registration requirements of the Securities Act, as set forth in Section 4(a)(2) under the Securities Act and Regulation D promulgated thereunder relative to transactions by an issuer not involving any public offering, to the extent an exemption from such registration was required. All holders of securities described above represented to us in connection with their purchase or issuance that they were accredited investors and were acquiring the securities for their own account for investment purposes only and not with a view to, or for sale in connection with, any distribution thereof and that they could bear the risks of the investment and could hold the securities for an indefinite period of time. The holders received written disclosures that the securities had not been registered under the Securities Act and that any resale must be made pursuant to a registration statement or an available exemption from such registration.</w:t>
      </w:r>
    </w:p>
    <w:p>
      <w:pPr>
        <w:spacing w:after="0" w:line="130" w:lineRule="exact"/>
        <w:rPr>
          <w:sz w:val="20"/>
          <w:szCs w:val="20"/>
          <w:color w:val="auto"/>
        </w:rPr>
      </w:pPr>
    </w:p>
    <w:p>
      <w:pPr>
        <w:ind w:right="200" w:firstLine="589"/>
        <w:spacing w:after="0" w:line="278" w:lineRule="auto"/>
        <w:rPr>
          <w:sz w:val="20"/>
          <w:szCs w:val="20"/>
          <w:color w:val="auto"/>
        </w:rPr>
      </w:pPr>
      <w:r>
        <w:rPr>
          <w:rFonts w:ascii="Arial" w:cs="Arial" w:eastAsia="Arial" w:hAnsi="Arial"/>
          <w:sz w:val="16"/>
          <w:szCs w:val="16"/>
          <w:color w:val="auto"/>
        </w:rPr>
        <w:t>The restricted common stock, stock options and the common stock issuable upon the exercise of such options as described in paragraph (2), (3), (4), (8) and (9) above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4(a)(2) under the Securities Act and Regulation D promulgated thereunder relative to transactions by an issuer not involving any public offering. All recipients either received adequate information about us or had access, through employment or other relationships, to such information.</w:t>
      </w:r>
    </w:p>
    <w:p>
      <w:pPr>
        <w:spacing w:after="0" w:line="12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 underwriters were involved in the foregoing sales of securities.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Proceeds</w:t>
      </w:r>
    </w:p>
    <w:p>
      <w:pPr>
        <w:spacing w:after="0" w:line="183" w:lineRule="exact"/>
        <w:rPr>
          <w:sz w:val="20"/>
          <w:szCs w:val="20"/>
          <w:color w:val="auto"/>
        </w:rPr>
      </w:pPr>
    </w:p>
    <w:p>
      <w:pPr>
        <w:ind w:right="40" w:firstLine="589"/>
        <w:spacing w:after="0" w:line="275" w:lineRule="auto"/>
        <w:rPr>
          <w:sz w:val="20"/>
          <w:szCs w:val="20"/>
          <w:color w:val="auto"/>
        </w:rPr>
      </w:pPr>
      <w:r>
        <w:rPr>
          <w:rFonts w:ascii="Arial" w:cs="Arial" w:eastAsia="Arial" w:hAnsi="Arial"/>
          <w:sz w:val="16"/>
          <w:szCs w:val="16"/>
          <w:color w:val="auto"/>
        </w:rPr>
        <w:t>On October 24, 2019, our registration statement on Form S-1 (File No. 333-234020) was declared effective by the SEC for our initial public offering. At the closing of the offering on October 29, 2019, we sold 10,997,630 shares of common stock, which included the exercise in full by the underwriters of their option to purchase 1,434,473 additional shares, at an initial public offering price of $19.00 per share and received gross proceeds of $209.0 million, which resulted in net proceeds to us of approximately $191.5 million, after deducting underwriting discounts and commissions of approximately $14.6 million and offering-related transaction costs of approximately $2.9 million. None of the expenses associated with the initial public offering were paid to directors, officers, persons owning ten percent or more of any class of equity securities, or to their associates, or to our affiliates. Goldman Sachs &amp; Co. LLC, Jefferies LLC and Evercore Group L.L.C. acted as joint book-running managers for the offering.</w:t>
      </w:r>
    </w:p>
    <w:p>
      <w:pPr>
        <w:spacing w:after="0" w:line="130" w:lineRule="exact"/>
        <w:rPr>
          <w:sz w:val="20"/>
          <w:szCs w:val="20"/>
          <w:color w:val="auto"/>
        </w:rPr>
      </w:pPr>
    </w:p>
    <w:p>
      <w:pPr>
        <w:ind w:right="120" w:firstLine="589"/>
        <w:spacing w:after="0" w:line="278" w:lineRule="auto"/>
        <w:rPr>
          <w:sz w:val="20"/>
          <w:szCs w:val="20"/>
          <w:color w:val="auto"/>
        </w:rPr>
      </w:pPr>
      <w:r>
        <w:rPr>
          <w:rFonts w:ascii="Arial" w:cs="Arial" w:eastAsia="Arial" w:hAnsi="Arial"/>
          <w:sz w:val="17"/>
          <w:szCs w:val="17"/>
          <w:color w:val="auto"/>
        </w:rPr>
        <w:t>As of December 31, 2020 the net proceeds from our initial public offering have been applied as follows: $56.1 million toward the clinical development of vonoprazan and $26.3 million towards working capital and general corporate purposes.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Repurchases of Equity Securities</w:t>
      </w:r>
    </w:p>
    <w:p>
      <w:pPr>
        <w:spacing w:after="0" w:line="1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07" w:name="page108"/>
    <w:bookmarkEnd w:id="107"/>
    <w:p>
      <w:pPr>
        <w:spacing w:after="0"/>
        <w:tabs>
          <w:tab w:leader="none" w:pos="112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27"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The following tables set forth our selected financial data as of, and for the periods ended on, the dates indicated. We have derived the statement of operations data from our audited financial statements included elsewhere in this annual report. You should read this data together with our financial statements and related notes and “Management’s Discussion and Analysis of Financial Condition and Results of Operations” included elsewhere in this annual report. Our historical results for any prior period are not indicative of our future results.</w:t>
      </w:r>
    </w:p>
    <w:p>
      <w:pPr>
        <w:spacing w:after="0" w:line="16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center"/>
              <w:ind w:right="137"/>
              <w:spacing w:after="0"/>
              <w:rPr>
                <w:sz w:val="20"/>
                <w:szCs w:val="20"/>
                <w:color w:val="auto"/>
              </w:rPr>
            </w:pPr>
            <w:r>
              <w:rPr>
                <w:rFonts w:ascii="Arial" w:cs="Arial" w:eastAsia="Arial" w:hAnsi="Arial"/>
                <w:sz w:val="14"/>
                <w:szCs w:val="14"/>
                <w:b w:val="1"/>
                <w:bCs w:val="1"/>
                <w:color w:val="auto"/>
                <w:w w:val="87"/>
              </w:rPr>
              <w:t>Years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580" w:type="dxa"/>
            <w:vAlign w:val="bottom"/>
            <w:tcBorders>
              <w:bottom w:val="single" w:sz="8" w:color="CFF0FC"/>
            </w:tcBorders>
            <w:vMerge w:val="continue"/>
          </w:tcPr>
          <w:p>
            <w:pPr>
              <w:spacing w:after="0"/>
              <w:rPr>
                <w:sz w:val="12"/>
                <w:szCs w:val="12"/>
                <w:color w:val="auto"/>
              </w:rPr>
            </w:pPr>
          </w:p>
        </w:tc>
        <w:tc>
          <w:tcPr>
            <w:tcW w:w="5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6"/>
              <w:spacing w:after="0" w:line="147"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137"/>
              <w:spacing w:after="0" w:line="147" w:lineRule="exact"/>
              <w:rPr>
                <w:sz w:val="20"/>
                <w:szCs w:val="20"/>
                <w:color w:val="auto"/>
              </w:rPr>
            </w:pPr>
            <w:r>
              <w:rPr>
                <w:rFonts w:ascii="Arial" w:cs="Arial" w:eastAsia="Arial" w:hAnsi="Arial"/>
                <w:sz w:val="14"/>
                <w:szCs w:val="14"/>
                <w:b w:val="1"/>
                <w:bCs w:val="1"/>
                <w:color w:val="auto"/>
                <w:w w:val="83"/>
              </w:rPr>
              <w:t>2019</w:t>
            </w: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6"/>
              <w:spacing w:after="0" w:line="147"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8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98,148</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20,374</w:t>
            </w:r>
          </w:p>
        </w:tc>
        <w:tc>
          <w:tcPr>
            <w:tcW w:w="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In-process research and development</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78,897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58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General and administrative</w:t>
            </w:r>
          </w:p>
        </w:tc>
        <w:tc>
          <w:tcPr>
            <w:tcW w:w="5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27,517</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6,944</w:t>
            </w: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1,205</w:t>
            </w: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Total operating expenses</w:t>
            </w:r>
          </w:p>
        </w:tc>
        <w:tc>
          <w:tcPr>
            <w:tcW w:w="5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125,665</w:t>
            </w: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106,215</w:t>
            </w: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1,225</w:t>
            </w:r>
          </w:p>
        </w:tc>
        <w:tc>
          <w:tcPr>
            <w:tcW w:w="0" w:type="dxa"/>
            <w:vAlign w:val="bottom"/>
          </w:tcPr>
          <w:p>
            <w:pPr>
              <w:spacing w:after="0"/>
              <w:rPr>
                <w:sz w:val="1"/>
                <w:szCs w:val="1"/>
                <w:color w:val="auto"/>
              </w:rPr>
            </w:pPr>
          </w:p>
        </w:tc>
      </w:tr>
      <w:tr>
        <w:trPr>
          <w:trHeight w:val="211"/>
        </w:trPr>
        <w:tc>
          <w:tcPr>
            <w:tcW w:w="3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Loss from operations</w:t>
            </w:r>
          </w:p>
        </w:tc>
        <w:tc>
          <w:tcPr>
            <w:tcW w:w="5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(125,665)</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(106,215)</w:t>
            </w: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(1,225)</w:t>
            </w: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w:t>
            </w: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58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1,091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ind w:right="17"/>
              <w:spacing w:after="0"/>
              <w:rPr>
                <w:sz w:val="20"/>
                <w:szCs w:val="20"/>
                <w:color w:val="auto"/>
              </w:rPr>
            </w:pPr>
            <w:r>
              <w:rPr>
                <w:rFonts w:ascii="Arial" w:cs="Arial" w:eastAsia="Arial" w:hAnsi="Arial"/>
                <w:sz w:val="17"/>
                <w:szCs w:val="17"/>
                <w:color w:val="auto"/>
              </w:rPr>
              <w:t>1,089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5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Interest expense</w:t>
            </w:r>
          </w:p>
        </w:tc>
        <w:tc>
          <w:tcPr>
            <w:tcW w:w="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(4,581)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(4,177)</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8"/>
        </w:trPr>
        <w:tc>
          <w:tcPr>
            <w:tcW w:w="3580" w:type="dxa"/>
            <w:vAlign w:val="bottom"/>
          </w:tcPr>
          <w:p>
            <w:pPr>
              <w:ind w:left="220"/>
              <w:spacing w:after="0"/>
              <w:rPr>
                <w:sz w:val="20"/>
                <w:szCs w:val="20"/>
                <w:color w:val="auto"/>
              </w:rPr>
            </w:pPr>
            <w:r>
              <w:rPr>
                <w:rFonts w:ascii="Arial" w:cs="Arial" w:eastAsia="Arial" w:hAnsi="Arial"/>
                <w:sz w:val="17"/>
                <w:szCs w:val="17"/>
                <w:color w:val="auto"/>
              </w:rPr>
              <w:t>Change in fair value of warrant liabilities</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(96,272)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358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Change in fair value of convertible</w:t>
            </w: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5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promissory notes</w:t>
            </w: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(49,546)</w:t>
            </w: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18"/>
        </w:trPr>
        <w:tc>
          <w:tcPr>
            <w:tcW w:w="358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Other income (expense)</w:t>
            </w:r>
          </w:p>
        </w:tc>
        <w:tc>
          <w:tcPr>
            <w:tcW w:w="5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8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Total other income (expense)</w:t>
            </w:r>
          </w:p>
        </w:tc>
        <w:tc>
          <w:tcPr>
            <w:tcW w:w="5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(3,403)</w:t>
            </w:r>
          </w:p>
        </w:tc>
        <w:tc>
          <w:tcPr>
            <w:tcW w:w="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(148,916)</w:t>
            </w:r>
          </w:p>
        </w:tc>
        <w:tc>
          <w:tcPr>
            <w:tcW w:w="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31"/>
        </w:trPr>
        <w:tc>
          <w:tcPr>
            <w:tcW w:w="3580" w:type="dxa"/>
            <w:vAlign w:val="bottom"/>
          </w:tcPr>
          <w:p>
            <w:pPr>
              <w:spacing w:after="0"/>
              <w:rPr>
                <w:sz w:val="20"/>
                <w:szCs w:val="20"/>
                <w:color w:val="auto"/>
              </w:rPr>
            </w:pPr>
            <w:r>
              <w:rPr>
                <w:rFonts w:ascii="Arial" w:cs="Arial" w:eastAsia="Arial" w:hAnsi="Arial"/>
                <w:sz w:val="17"/>
                <w:szCs w:val="17"/>
                <w:color w:val="auto"/>
              </w:rPr>
              <w:t>Net loss</w:t>
            </w:r>
          </w:p>
        </w:tc>
        <w:tc>
          <w:tcPr>
            <w:tcW w:w="7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(129,068)</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(255,131)</w:t>
            </w:r>
          </w:p>
        </w:tc>
        <w:tc>
          <w:tcPr>
            <w:tcW w:w="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(1,288)</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 xml:space="preserve">Net loss per share, basic and diluted </w:t>
            </w:r>
            <w:r>
              <w:rPr>
                <w:rFonts w:ascii="Arial" w:cs="Arial" w:eastAsia="Arial" w:hAnsi="Arial"/>
                <w:sz w:val="14"/>
                <w:szCs w:val="14"/>
                <w:color w:val="auto"/>
              </w:rPr>
              <w:t>(1)</w:t>
            </w: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vMerge w:val="continue"/>
            <w:shd w:val="clear" w:color="auto" w:fill="CFF0FC"/>
          </w:tcPr>
          <w:p>
            <w:pPr>
              <w:spacing w:after="0"/>
              <w:rPr>
                <w:sz w:val="17"/>
                <w:szCs w:val="17"/>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(3.88)</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(22.45)</w:t>
            </w:r>
          </w:p>
        </w:tc>
        <w:tc>
          <w:tcPr>
            <w:tcW w:w="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(0.21)</w:t>
            </w:r>
          </w:p>
        </w:tc>
        <w:tc>
          <w:tcPr>
            <w:tcW w:w="0" w:type="dxa"/>
            <w:vAlign w:val="bottom"/>
          </w:tcPr>
          <w:p>
            <w:pPr>
              <w:spacing w:after="0"/>
              <w:rPr>
                <w:sz w:val="1"/>
                <w:szCs w:val="1"/>
                <w:color w:val="auto"/>
              </w:rPr>
            </w:pPr>
          </w:p>
        </w:tc>
      </w:tr>
      <w:tr>
        <w:trPr>
          <w:trHeight w:val="20"/>
        </w:trPr>
        <w:tc>
          <w:tcPr>
            <w:tcW w:w="3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Weighted-average shares of common stock</w:t>
            </w:r>
          </w:p>
        </w:tc>
        <w:tc>
          <w:tcPr>
            <w:tcW w:w="5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5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580" w:type="dxa"/>
            <w:vAlign w:val="bottom"/>
          </w:tcPr>
          <w:p>
            <w:pPr>
              <w:ind w:left="120"/>
              <w:spacing w:after="0"/>
              <w:rPr>
                <w:sz w:val="20"/>
                <w:szCs w:val="20"/>
                <w:color w:val="auto"/>
              </w:rPr>
            </w:pPr>
            <w:r>
              <w:rPr>
                <w:rFonts w:ascii="Arial" w:cs="Arial" w:eastAsia="Arial" w:hAnsi="Arial"/>
                <w:sz w:val="17"/>
                <w:szCs w:val="17"/>
                <w:color w:val="auto"/>
              </w:rPr>
              <w:t>outstanding, basic and diluted</w:t>
            </w:r>
          </w:p>
        </w:tc>
        <w:tc>
          <w:tcPr>
            <w:tcW w:w="5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33,228,158</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11,366,916</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6,051,675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040" w:hanging="418"/>
        <w:spacing w:after="0" w:line="249" w:lineRule="auto"/>
        <w:tabs>
          <w:tab w:leader="none" w:pos="2040" w:val="left"/>
        </w:tabs>
        <w:numPr>
          <w:ilvl w:val="0"/>
          <w:numId w:val="60"/>
        </w:numPr>
        <w:rPr>
          <w:rFonts w:ascii="Arial" w:cs="Arial" w:eastAsia="Arial" w:hAnsi="Arial"/>
          <w:sz w:val="12"/>
          <w:szCs w:val="12"/>
          <w:color w:val="auto"/>
        </w:rPr>
      </w:pPr>
      <w:r>
        <w:rPr>
          <w:rFonts w:ascii="Arial" w:cs="Arial" w:eastAsia="Arial" w:hAnsi="Arial"/>
          <w:sz w:val="12"/>
          <w:szCs w:val="12"/>
          <w:color w:val="auto"/>
        </w:rPr>
        <w:t>See Note 1 "Organization, Basis of Presentation and Summary of Significant Accounting Policies" to our financial statements included in Item 15 of this annual report for further details on the calculation of basic and diluted net loss per share attributable to common stockholders.</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164"/>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2"/>
              </w:rPr>
              <w:t>As of December 31,</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220" w:type="dxa"/>
            <w:vAlign w:val="bottom"/>
            <w:tcBorders>
              <w:bottom w:val="single" w:sz="8" w:color="CFF0FC"/>
            </w:tcBorders>
            <w:vMerge w:val="continue"/>
          </w:tcPr>
          <w:p>
            <w:pPr>
              <w:spacing w:after="0"/>
              <w:rPr>
                <w:sz w:val="12"/>
                <w:szCs w:val="12"/>
                <w:color w:val="auto"/>
              </w:rPr>
            </w:pPr>
          </w:p>
        </w:tc>
        <w:tc>
          <w:tcPr>
            <w:tcW w:w="8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7"/>
              <w:spacing w:after="0" w:line="147"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37"/>
              <w:spacing w:after="0" w:line="147"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7"/>
              <w:spacing w:after="0" w:line="147"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32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Balance Sheets Data</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20"/>
                <w:szCs w:val="20"/>
                <w:color w:val="auto"/>
              </w:rPr>
            </w:pPr>
            <w:r>
              <w:rPr>
                <w:rFonts w:ascii="Arial" w:cs="Arial" w:eastAsia="Arial" w:hAnsi="Arial"/>
                <w:sz w:val="17"/>
                <w:szCs w:val="17"/>
                <w:color w:val="auto"/>
              </w:rPr>
              <w:t>Cash and cash equivalents</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287,496</w:t>
            </w:r>
          </w:p>
        </w:tc>
        <w:tc>
          <w:tcPr>
            <w:tcW w:w="3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243,765</w:t>
            </w:r>
          </w:p>
        </w:tc>
        <w:tc>
          <w:tcPr>
            <w:tcW w:w="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879</w:t>
            </w:r>
          </w:p>
        </w:tc>
        <w:tc>
          <w:tcPr>
            <w:tcW w:w="0" w:type="dxa"/>
            <w:vAlign w:val="bottom"/>
          </w:tcPr>
          <w:p>
            <w:pPr>
              <w:spacing w:after="0"/>
              <w:rPr>
                <w:sz w:val="1"/>
                <w:szCs w:val="1"/>
                <w:color w:val="auto"/>
              </w:rPr>
            </w:pPr>
          </w:p>
        </w:tc>
      </w:tr>
      <w:tr>
        <w:trPr>
          <w:trHeight w:val="220"/>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Working capital </w:t>
            </w:r>
            <w:r>
              <w:rPr>
                <w:rFonts w:ascii="Arial" w:cs="Arial" w:eastAsia="Arial" w:hAnsi="Arial"/>
                <w:sz w:val="14"/>
                <w:szCs w:val="14"/>
                <w:color w:val="auto"/>
              </w:rPr>
              <w:t>(1)</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235,844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251,853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(1,286)</w:t>
            </w:r>
          </w:p>
        </w:tc>
        <w:tc>
          <w:tcPr>
            <w:tcW w:w="0" w:type="dxa"/>
            <w:vAlign w:val="bottom"/>
          </w:tcPr>
          <w:p>
            <w:pPr>
              <w:spacing w:after="0"/>
              <w:rPr>
                <w:sz w:val="1"/>
                <w:szCs w:val="1"/>
                <w:color w:val="auto"/>
              </w:rPr>
            </w:pPr>
          </w:p>
        </w:tc>
      </w:tr>
      <w:tr>
        <w:trPr>
          <w:trHeight w:val="218"/>
        </w:trPr>
        <w:tc>
          <w:tcPr>
            <w:tcW w:w="3220" w:type="dxa"/>
            <w:vAlign w:val="bottom"/>
          </w:tcPr>
          <w:p>
            <w:pPr>
              <w:spacing w:after="0"/>
              <w:rPr>
                <w:sz w:val="20"/>
                <w:szCs w:val="20"/>
                <w:color w:val="auto"/>
              </w:rPr>
            </w:pPr>
            <w:r>
              <w:rPr>
                <w:rFonts w:ascii="Arial" w:cs="Arial" w:eastAsia="Arial" w:hAnsi="Arial"/>
                <w:sz w:val="17"/>
                <w:szCs w:val="17"/>
                <w:color w:val="auto"/>
              </w:rPr>
              <w:t>Total assets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295,111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257,178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902</w:t>
            </w: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100,840</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29,223</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2,188</w:t>
            </w:r>
          </w:p>
        </w:tc>
        <w:tc>
          <w:tcPr>
            <w:tcW w:w="0" w:type="dxa"/>
            <w:vAlign w:val="bottom"/>
          </w:tcPr>
          <w:p>
            <w:pPr>
              <w:spacing w:after="0"/>
              <w:rPr>
                <w:sz w:val="1"/>
                <w:szCs w:val="1"/>
                <w:color w:val="auto"/>
              </w:rPr>
            </w:pPr>
          </w:p>
        </w:tc>
      </w:tr>
      <w:tr>
        <w:trPr>
          <w:trHeight w:val="218"/>
        </w:trPr>
        <w:tc>
          <w:tcPr>
            <w:tcW w:w="3220" w:type="dxa"/>
            <w:vAlign w:val="bottom"/>
          </w:tcPr>
          <w:p>
            <w:pPr>
              <w:spacing w:after="0"/>
              <w:rPr>
                <w:sz w:val="20"/>
                <w:szCs w:val="20"/>
                <w:color w:val="auto"/>
              </w:rPr>
            </w:pPr>
            <w:r>
              <w:rPr>
                <w:rFonts w:ascii="Arial" w:cs="Arial" w:eastAsia="Arial" w:hAnsi="Arial"/>
                <w:sz w:val="17"/>
                <w:szCs w:val="17"/>
                <w:color w:val="auto"/>
              </w:rPr>
              <w:t>Common stock</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Accumulated deficit</w:t>
            </w: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(385,487)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(256,419)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(1,288)</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20"/>
                <w:szCs w:val="20"/>
                <w:color w:val="auto"/>
              </w:rPr>
            </w:pPr>
            <w:r>
              <w:rPr>
                <w:rFonts w:ascii="Arial" w:cs="Arial" w:eastAsia="Arial" w:hAnsi="Arial"/>
                <w:sz w:val="17"/>
                <w:szCs w:val="17"/>
                <w:color w:val="auto"/>
              </w:rPr>
              <w:t>Total stockholders' equity (deficit)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194,271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227,955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(1,286)</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40" w:right="260" w:hanging="418"/>
        <w:spacing w:after="0" w:line="249" w:lineRule="auto"/>
        <w:tabs>
          <w:tab w:leader="none" w:pos="2040" w:val="left"/>
        </w:tabs>
        <w:numPr>
          <w:ilvl w:val="0"/>
          <w:numId w:val="61"/>
        </w:numPr>
        <w:rPr>
          <w:rFonts w:ascii="Arial" w:cs="Arial" w:eastAsia="Arial" w:hAnsi="Arial"/>
          <w:sz w:val="12"/>
          <w:szCs w:val="12"/>
          <w:color w:val="auto"/>
        </w:rPr>
      </w:pPr>
      <w:r>
        <w:rPr>
          <w:rFonts w:ascii="Arial" w:cs="Arial" w:eastAsia="Arial" w:hAnsi="Arial"/>
          <w:sz w:val="12"/>
          <w:szCs w:val="12"/>
          <w:color w:val="auto"/>
        </w:rPr>
        <w:t>We define working capital as current assets less current liabilities. See our financial statements included in Item 15 of this annual report for further details regarding our current assets and current liabilities.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tabs>
          <w:tab w:leader="none" w:pos="112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83" w:lineRule="exact"/>
        <w:rPr>
          <w:sz w:val="20"/>
          <w:szCs w:val="20"/>
          <w:color w:val="auto"/>
        </w:rPr>
      </w:pPr>
    </w:p>
    <w:p>
      <w:pPr>
        <w:jc w:val="both"/>
        <w:ind w:right="80"/>
        <w:spacing w:after="0" w:line="26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included elsewhere in this annual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including those set forth under “Risk Factors” or in other parts of this annual report.</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83" w:lineRule="exact"/>
        <w:rPr>
          <w:sz w:val="20"/>
          <w:szCs w:val="20"/>
          <w:color w:val="auto"/>
        </w:rPr>
      </w:pPr>
    </w:p>
    <w:p>
      <w:pPr>
        <w:ind w:firstLine="589"/>
        <w:spacing w:after="0" w:line="270" w:lineRule="auto"/>
        <w:rPr>
          <w:sz w:val="20"/>
          <w:szCs w:val="20"/>
          <w:color w:val="auto"/>
        </w:rPr>
      </w:pPr>
      <w:r>
        <w:rPr>
          <w:rFonts w:ascii="Arial" w:cs="Arial" w:eastAsia="Arial" w:hAnsi="Arial"/>
          <w:sz w:val="16"/>
          <w:szCs w:val="16"/>
          <w:color w:val="auto"/>
        </w:rPr>
        <w:t xml:space="preserve">We are a late clinical-stage biopharmaceutical company focused on developing and commercializing novel treatments for GI diseases. Our initial product candidate, vonoprazan, is an oral small molecule P-CAB. P-CABs are a novel class of medicines that block acid secretion in the stomach. Vonoprazan has shown rapid, potent, and durable anti-secretory effects and has demonstrated clinical benefits over the current standard of care as a single agent in the treatment of GERD, and in combination with antibiotics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Takeda developed vonoprazan and has received marketing approval in fourteen countries in Asia and Latin America. Vonoprazan generated approximately $650 million in net sales in its fifth full year on the market since its approval in Japan in late 2014. In May 2019, we in-licensed the U.S., European, and Canadian rights to vonoprazan from Takeda. We initiated two pivotal Phase 3 clinical trials in the fourth quarter of 2019 for vonoprazan: one for the treatment of erosive GERD, also known as erosive esophagitis, and a second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and we completed enrollment in those clinical trials in November 2020 and January 2021, respectively. We believe that the successful completion of our Phase 3 clinical trials, together with the existing clinical data, will support regulatory submissions in 2021 and 2022 for marketing approval for the treatment of </w:t>
      </w:r>
      <w:r>
        <w:rPr>
          <w:rFonts w:ascii="Arial" w:cs="Arial" w:eastAsia="Arial" w:hAnsi="Arial"/>
          <w:sz w:val="16"/>
          <w:szCs w:val="16"/>
          <w:i w:val="1"/>
          <w:iCs w:val="1"/>
          <w:color w:val="auto"/>
        </w:rPr>
        <w: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pylori </w:t>
      </w:r>
      <w:r>
        <w:rPr>
          <w:rFonts w:ascii="Arial" w:cs="Arial" w:eastAsia="Arial" w:hAnsi="Arial"/>
          <w:sz w:val="16"/>
          <w:szCs w:val="16"/>
          <w:color w:val="auto"/>
        </w:rPr>
        <w:t>infection and erosive esophagitis, respectively. In August 2019, we received QIDP and Fast Track designations from the FDA, for vonoprazan tablets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combination with amoxicillin tablets and clarithromycin tablets and with amoxicillin tablets alone for the treatment of </w:t>
      </w:r>
      <w:r>
        <w:rPr>
          <w:rFonts w:ascii="Arial" w:cs="Arial" w:eastAsia="Arial" w:hAnsi="Arial"/>
          <w:sz w:val="16"/>
          <w:szCs w:val="16"/>
          <w:i w:val="1"/>
          <w:iCs w:val="1"/>
          <w:color w:val="auto"/>
        </w:rPr>
        <w:t>H. pylori</w:t>
      </w:r>
      <w:r>
        <w:rPr>
          <w:rFonts w:ascii="Arial" w:cs="Arial" w:eastAsia="Arial" w:hAnsi="Arial"/>
          <w:sz w:val="16"/>
          <w:szCs w:val="16"/>
          <w:color w:val="auto"/>
        </w:rPr>
        <w:t xml:space="preserve"> infection. In November 2020, we requested additional QIDP and Fast Track designations to include amoxicillin capsules in addition to amoxicillin tablets. The FDA granted these additional Fast Track designations and the request for additional QIDP designations remains under review. QIDP designation provides potential eligibility for priority review and extension of any regulatory exclusivity awarded if approved. If approved, we plan to independently commercialize vonoprazan in the United States. We also plan to seek commercial partnerships for vonoprazan in Europe and Canada, expand development of vonoprazan into symptomatic non-erosive GERD, or NERD, and possibly other indications, dosing regimens and alternative formulations and packaging, and in-license or acquire additional clinical or commercial stage product candidates for the treatment of GI diseases in a capital efficient manner.</w:t>
      </w:r>
    </w:p>
    <w:p>
      <w:pPr>
        <w:spacing w:after="0" w:line="143" w:lineRule="exact"/>
        <w:rPr>
          <w:sz w:val="20"/>
          <w:szCs w:val="20"/>
          <w:color w:val="auto"/>
        </w:rPr>
      </w:pPr>
    </w:p>
    <w:p>
      <w:pPr>
        <w:ind w:firstLine="589"/>
        <w:spacing w:after="0" w:line="272" w:lineRule="auto"/>
        <w:rPr>
          <w:sz w:val="20"/>
          <w:szCs w:val="20"/>
          <w:color w:val="auto"/>
        </w:rPr>
      </w:pPr>
      <w:r>
        <w:rPr>
          <w:rFonts w:ascii="Arial" w:cs="Arial" w:eastAsia="Arial" w:hAnsi="Arial"/>
          <w:sz w:val="16"/>
          <w:szCs w:val="16"/>
          <w:color w:val="auto"/>
        </w:rPr>
        <w:t>We commenced our operations in 2018 and have devoted substantially all of our resources to date to organizing and staffing our company, business planning, raising capital, in-licensing our initial product candidate, vonoprazan, meeting with regulatory authorities, preparing for and conducting our planned Phase 3 clinical trials of vonoprazan, and providing other general and administrative support for these operations. Our operations to date have been funded primarily through the issuance of convertible promissory notes, commercial bank debt, the proceeds from our initial public offering and our follow-on public offering. From our inception through December 31, 2020, we have raised aggregate gross proceeds of $90.3 million from the issuance of convertible promissory notes, $50.0 million of commercial bank debt, net proceeds from our initial public offering of $191.5 million from the sale of 10,997,630 shares of common stock, which included the exercise in full by the underwriters of their option to purchase 1,434,473 additional shares at a public offering price of $19.00 per share, after deducting underwriting discounts, commissions and offering costs, and net proceeds of $88.6 million from the sale of 2,250,000 shares of common stock at a public offering price of $39.48 per share after deducting underwriting discounts and commissions, and an additional $0.2 million in offering costs. As of December 31, 2020, we had cash and cash equivalents of $287.5 million. Based on our current operating plan, we believe that our existing cash and cash equivalents will be sufficient to meet our anticipated cash requirements into the fourth quarter of 2022.</w:t>
      </w:r>
    </w:p>
    <w:p>
      <w:pPr>
        <w:spacing w:after="0" w:line="148" w:lineRule="exact"/>
        <w:rPr>
          <w:sz w:val="20"/>
          <w:szCs w:val="20"/>
          <w:color w:val="auto"/>
        </w:rPr>
      </w:pPr>
    </w:p>
    <w:p>
      <w:pPr>
        <w:ind w:right="20" w:firstLine="589"/>
        <w:spacing w:after="0" w:line="261" w:lineRule="auto"/>
        <w:rPr>
          <w:sz w:val="20"/>
          <w:szCs w:val="20"/>
          <w:color w:val="auto"/>
        </w:rPr>
      </w:pPr>
      <w:r>
        <w:rPr>
          <w:rFonts w:ascii="Arial" w:cs="Arial" w:eastAsia="Arial" w:hAnsi="Arial"/>
          <w:sz w:val="17"/>
          <w:szCs w:val="17"/>
          <w:color w:val="auto"/>
        </w:rPr>
        <w:t>We do not have any products approved for sale and have incurred net losses since our inception. Our net losses for the years ended December 31, 2020 and 2019 were $129.1 million and $255.1 million, respectively. As of December 31, 2020, we had an accumulated deficit of $385.5 million. Our net losses may fluctuate significantly from quarter-to-quarter and year-to-year, depending on the timing of our clinical development activities, other research and development activities and pre-commercialization activities. We expect our expenses and operating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ind w:right="60"/>
        <w:spacing w:after="0" w:line="261" w:lineRule="auto"/>
        <w:rPr>
          <w:sz w:val="20"/>
          <w:szCs w:val="20"/>
          <w:color w:val="auto"/>
        </w:rPr>
      </w:pPr>
      <w:r>
        <w:rPr>
          <w:rFonts w:ascii="Arial" w:cs="Arial" w:eastAsia="Arial" w:hAnsi="Arial"/>
          <w:sz w:val="17"/>
          <w:szCs w:val="17"/>
          <w:color w:val="auto"/>
        </w:rPr>
        <w:t>losses will increase substantially as we advance vonoprazan through clinical trials, seek regulatory approval for vonoprazan, expand our clinical, regulatory, quality, manufacturing and commercialization capabilities, incur significant commercialization expenses for marketing, sales, manufacturing and distribution if we obtain marketing approval for vonoprazan, protect our intellectual property, expand our general and administrative support functions, including hiring additional personnel, and incur additional costs associated with operating as a public company.</w:t>
      </w:r>
    </w:p>
    <w:p>
      <w:pPr>
        <w:spacing w:after="0" w:line="152" w:lineRule="exact"/>
        <w:rPr>
          <w:sz w:val="20"/>
          <w:szCs w:val="20"/>
          <w:color w:val="auto"/>
        </w:rPr>
      </w:pPr>
    </w:p>
    <w:p>
      <w:pPr>
        <w:ind w:firstLine="589"/>
        <w:spacing w:after="0" w:line="274" w:lineRule="auto"/>
        <w:rPr>
          <w:sz w:val="20"/>
          <w:szCs w:val="20"/>
          <w:color w:val="auto"/>
        </w:rPr>
      </w:pPr>
      <w:r>
        <w:rPr>
          <w:rFonts w:ascii="Arial" w:cs="Arial" w:eastAsia="Arial" w:hAnsi="Arial"/>
          <w:sz w:val="16"/>
          <w:szCs w:val="16"/>
          <w:color w:val="auto"/>
        </w:rPr>
        <w:t>We have never generated any revenue and do not expect to generate any revenues from product sales unless and until we successfully complete development and obtain regulatory approval for vonoprazan, which will not be for several years, if ever. Accordingly, until such time as we can generate significant revenue from sales of vonoprazan, if ever, we expect to finance our cash needs through equity offerings, our Loan Agreement, debt financings, or other capital sources, including potential collaborations, licenses and other similar arrangements. However, we may be unable to raise additional funds or enter into such other arrangements when needed on favorable terms or at all, and this risk could be exacerbated by the impact of COVID-19 on global economic conditions. Our failure to raise capital or enter into such other arrangements when needed would have a negative impact on our financial condition and could force us to delay, limit, reduce or terminate our product development or future commercialization efforts or grant rights to develop and market product candidates that we would otherwise prefer to develop and market ourselves.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Operations Overview</w:t>
      </w:r>
    </w:p>
    <w:p>
      <w:pPr>
        <w:spacing w:after="0" w:line="177" w:lineRule="exact"/>
        <w:rPr>
          <w:sz w:val="20"/>
          <w:szCs w:val="20"/>
          <w:color w:val="auto"/>
        </w:rPr>
      </w:pPr>
    </w:p>
    <w:p>
      <w:pPr>
        <w:ind w:right="60" w:firstLine="589"/>
        <w:spacing w:after="0" w:line="256" w:lineRule="auto"/>
        <w:rPr>
          <w:sz w:val="20"/>
          <w:szCs w:val="20"/>
          <w:color w:val="auto"/>
        </w:rPr>
      </w:pPr>
      <w:r>
        <w:rPr>
          <w:rFonts w:ascii="Arial" w:cs="Arial" w:eastAsia="Arial" w:hAnsi="Arial"/>
          <w:sz w:val="17"/>
          <w:szCs w:val="17"/>
          <w:color w:val="auto"/>
        </w:rPr>
        <w:t>Our financial statements include our accounts (the receiving entity) and the accounts of YamadaCo IIA, Inc., or YamadaCo, prior to being merged into a single entity effective March 13, 2019. We and YamadaCo were entities under common control of Frazier Life Sciences IX, L.P., or Frazier, as a result of, among other things, Frazier’s: (i) ownership of a majority of the outstanding capital stock of both companies; (ii) financing of both companies; (iii) control of the board of directors of both companies; and (iv) management of both companies. Both Phathom and YamadaCo IIA were formed for the purpose of identifying potential assets around which to form an operating company. As the merged entities were under common control, the financial statements report the financial position, results of operations and cash flows of Phathom and YamadaCo as though the transfer of net assets and equity interests had occurred at the beginning of 2018. All intercompany accounts and transactions have been eliminated.</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Takeda</w:t>
      </w:r>
    </w:p>
    <w:p>
      <w:pPr>
        <w:spacing w:after="0" w:line="177" w:lineRule="exact"/>
        <w:rPr>
          <w:sz w:val="20"/>
          <w:szCs w:val="20"/>
          <w:color w:val="auto"/>
        </w:rPr>
      </w:pPr>
    </w:p>
    <w:p>
      <w:pPr>
        <w:ind w:right="20" w:firstLine="589"/>
        <w:spacing w:after="0" w:line="258" w:lineRule="auto"/>
        <w:rPr>
          <w:sz w:val="20"/>
          <w:szCs w:val="20"/>
          <w:color w:val="auto"/>
        </w:rPr>
      </w:pPr>
      <w:r>
        <w:rPr>
          <w:rFonts w:ascii="Arial" w:cs="Arial" w:eastAsia="Arial" w:hAnsi="Arial"/>
          <w:sz w:val="17"/>
          <w:szCs w:val="17"/>
          <w:color w:val="auto"/>
        </w:rPr>
        <w:t>On May 7, 2019, we and Takeda entered into the Takeda License, pursuant to which we in-licensed the U.S., European, and Canadian rights to vonoprazan fumarate. During the term of the Takeda License, we and our affiliates are not permitted to commercialize any pharmaceutical product, other than vonoprazan, that treats acid-related disorders, except for certain generic and OTC competing products in specified circumstances. We will be responsible at our cost for the development, manufacture and commercialization of vonoprazan products. We are required to use commercially reasonable efforts to develop and commercialize the vonoprazan products in our licensed territory.</w:t>
      </w:r>
    </w:p>
    <w:p>
      <w:pPr>
        <w:spacing w:after="0" w:line="144" w:lineRule="exact"/>
        <w:rPr>
          <w:sz w:val="20"/>
          <w:szCs w:val="20"/>
          <w:color w:val="auto"/>
        </w:rPr>
      </w:pPr>
    </w:p>
    <w:p>
      <w:pPr>
        <w:ind w:firstLine="589"/>
        <w:spacing w:after="0" w:line="265" w:lineRule="auto"/>
        <w:rPr>
          <w:sz w:val="20"/>
          <w:szCs w:val="20"/>
          <w:color w:val="auto"/>
        </w:rPr>
      </w:pPr>
      <w:r>
        <w:rPr>
          <w:rFonts w:ascii="Arial" w:cs="Arial" w:eastAsia="Arial" w:hAnsi="Arial"/>
          <w:sz w:val="17"/>
          <w:szCs w:val="17"/>
          <w:color w:val="auto"/>
        </w:rPr>
        <w:t>Under the Takeda License, Takeda has the sole right and authority, with our input, to prepare, file, prosecute, and maintain all Takeda and joint patents on a worldwide basis at its own cost. We are responsible, at our cost, for preparing, filing, prosecuting, and maintaining patents on inventions made solely by us in connection with vonoprazan, subject to input from Takeda.</w:t>
      </w:r>
    </w:p>
    <w:p>
      <w:pPr>
        <w:spacing w:after="0" w:line="149" w:lineRule="exact"/>
        <w:rPr>
          <w:sz w:val="20"/>
          <w:szCs w:val="20"/>
          <w:color w:val="auto"/>
        </w:rPr>
      </w:pPr>
    </w:p>
    <w:p>
      <w:pPr>
        <w:ind w:right="20" w:firstLine="589"/>
        <w:spacing w:after="0" w:line="273" w:lineRule="auto"/>
        <w:rPr>
          <w:sz w:val="20"/>
          <w:szCs w:val="20"/>
          <w:color w:val="auto"/>
        </w:rPr>
      </w:pPr>
      <w:r>
        <w:rPr>
          <w:rFonts w:ascii="Arial" w:cs="Arial" w:eastAsia="Arial" w:hAnsi="Arial"/>
          <w:sz w:val="16"/>
          <w:szCs w:val="16"/>
          <w:color w:val="auto"/>
        </w:rPr>
        <w:t>We paid Takeda upfront consideration consisting of a cash fee of $25.0 million, 1,084,000 shares of our common stock, the Takeda Warrant to purchase 7,588,000 shares of our common stock at an exercise price of $0.00004613 per share, and issued Takeda a right to receive an additional common stock warrant, or the Takeda Warrant Right, if Takeda’s fully-diluted ownership of the Company represented less than a certain specified percentage of the fully-diluted capitalization, including shares issuable upon conversion of then outstanding convertible promissory notes, calculated immediately prior to the closing of our IPO. The Takeda Warrant Right expired without effect since no fair value had been allocated to it upon completion of our IPO, and no additional warrant was issued. We agreed to make milestone payments to Takeda upon achieving certain tiered aggregate annual net sales of licensed products in the United States, Europe and Canada up to a total maximum milestone amount of $250.0 million. We also agreed to make tiered royalty payments at percentages in the low double digits on net sales of licensed products, subject to specified offsets and reductions. Royalties will be payable, on a product-by-product and country-by-country basis from the first commercial sale of such product in such country, until the</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110" w:name="page111"/>
    <w:bookmarkEnd w:id="110"/>
    <w:p>
      <w:pPr>
        <w:ind w:right="720"/>
        <w:spacing w:after="0" w:line="278" w:lineRule="auto"/>
        <w:rPr>
          <w:sz w:val="20"/>
          <w:szCs w:val="20"/>
          <w:color w:val="auto"/>
        </w:rPr>
      </w:pPr>
      <w:r>
        <w:rPr>
          <w:rFonts w:ascii="Arial" w:cs="Arial" w:eastAsia="Arial" w:hAnsi="Arial"/>
          <w:sz w:val="17"/>
          <w:szCs w:val="17"/>
          <w:color w:val="auto"/>
        </w:rPr>
        <w:t>latest of expiration of the licensed patents covering the applicable product, expiration of regulatory exclusivity in such country, or 15 years following first commercial sale in such country.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90" w:lineRule="exact"/>
        <w:rPr>
          <w:sz w:val="20"/>
          <w:szCs w:val="20"/>
          <w:color w:val="auto"/>
        </w:rPr>
      </w:pPr>
    </w:p>
    <w:p>
      <w:pPr>
        <w:ind w:firstLine="589"/>
        <w:spacing w:after="0" w:line="347" w:lineRule="auto"/>
        <w:rPr>
          <w:sz w:val="20"/>
          <w:szCs w:val="20"/>
          <w:color w:val="auto"/>
        </w:rPr>
      </w:pPr>
      <w:r>
        <w:rPr>
          <w:rFonts w:ascii="Arial" w:cs="Arial" w:eastAsia="Arial" w:hAnsi="Arial"/>
          <w:sz w:val="15"/>
          <w:szCs w:val="15"/>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until the goods or services are received.</w:t>
      </w:r>
    </w:p>
    <w:p>
      <w:pPr>
        <w:spacing w:after="0" w:line="7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Research and development expenses include:</w:t>
      </w:r>
    </w:p>
    <w:p>
      <w:pPr>
        <w:spacing w:after="0" w:line="177" w:lineRule="exact"/>
        <w:rPr>
          <w:sz w:val="20"/>
          <w:szCs w:val="20"/>
          <w:color w:val="auto"/>
        </w:rPr>
      </w:pPr>
    </w:p>
    <w:p>
      <w:pPr>
        <w:ind w:left="1000" w:hanging="419"/>
        <w:spacing w:after="0"/>
        <w:tabs>
          <w:tab w:leader="none" w:pos="1000" w:val="left"/>
        </w:tabs>
        <w:numPr>
          <w:ilvl w:val="0"/>
          <w:numId w:val="62"/>
        </w:numPr>
        <w:rPr>
          <w:rFonts w:ascii="Arial" w:cs="Arial" w:eastAsia="Arial" w:hAnsi="Arial"/>
          <w:sz w:val="15"/>
          <w:szCs w:val="15"/>
          <w:color w:val="auto"/>
        </w:rPr>
      </w:pPr>
      <w:r>
        <w:rPr>
          <w:rFonts w:ascii="Arial" w:cs="Arial" w:eastAsia="Arial" w:hAnsi="Arial"/>
          <w:sz w:val="15"/>
          <w:szCs w:val="15"/>
          <w:color w:val="auto"/>
        </w:rPr>
        <w:t>salaries, payroll taxes, employee benefits, and stock-based compensation charges for those individuals involved in research and development efforts;</w:t>
      </w:r>
    </w:p>
    <w:p>
      <w:pPr>
        <w:spacing w:after="0" w:line="200" w:lineRule="exact"/>
        <w:rPr>
          <w:rFonts w:ascii="Arial" w:cs="Arial" w:eastAsia="Arial" w:hAnsi="Arial"/>
          <w:sz w:val="15"/>
          <w:szCs w:val="15"/>
          <w:color w:val="auto"/>
        </w:rPr>
      </w:pPr>
    </w:p>
    <w:p>
      <w:pPr>
        <w:ind w:left="1000" w:right="340" w:hanging="419"/>
        <w:spacing w:after="0" w:line="278" w:lineRule="auto"/>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external research and development expenses incurred under agreements with CROs, and consultants to conduct and support our ongoing clinical trials of vonoprazan; and</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62"/>
        </w:numPr>
        <w:rPr>
          <w:rFonts w:ascii="Arial" w:cs="Arial" w:eastAsia="Arial" w:hAnsi="Arial"/>
          <w:sz w:val="17"/>
          <w:szCs w:val="17"/>
          <w:color w:val="auto"/>
        </w:rPr>
      </w:pPr>
      <w:r>
        <w:rPr>
          <w:rFonts w:ascii="Arial" w:cs="Arial" w:eastAsia="Arial" w:hAnsi="Arial"/>
          <w:sz w:val="17"/>
          <w:szCs w:val="17"/>
          <w:color w:val="auto"/>
        </w:rPr>
        <w:t>costs related to the manufacturing of vonoprazan for our clinical trials.</w:t>
      </w:r>
    </w:p>
    <w:p>
      <w:pPr>
        <w:spacing w:after="0" w:line="177" w:lineRule="exact"/>
        <w:rPr>
          <w:sz w:val="20"/>
          <w:szCs w:val="20"/>
          <w:color w:val="auto"/>
        </w:rPr>
      </w:pPr>
    </w:p>
    <w:p>
      <w:pPr>
        <w:ind w:firstLine="589"/>
        <w:spacing w:after="0" w:line="257" w:lineRule="auto"/>
        <w:rPr>
          <w:sz w:val="20"/>
          <w:szCs w:val="20"/>
          <w:color w:val="auto"/>
        </w:rPr>
      </w:pPr>
      <w:r>
        <w:rPr>
          <w:rFonts w:ascii="Arial" w:cs="Arial" w:eastAsia="Arial" w:hAnsi="Arial"/>
          <w:sz w:val="17"/>
          <w:szCs w:val="17"/>
          <w:color w:val="auto"/>
        </w:rPr>
        <w:t>We plan to substantially increase our research and development expenses for the foreseeable future as we continue the development of vonoprazan. We cannot determine with certainty the timing of initiation, the duration or the completion costs of current or future clinical trials and nonclinical studies of vonoprazan or any future product candidates due to the inherently unpredictable nature of clinical and preclinical development.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future clinical development costs may vary significantly based on factors such as:</w:t>
      </w:r>
    </w:p>
    <w:p>
      <w:pPr>
        <w:spacing w:after="0" w:line="177" w:lineRule="exact"/>
        <w:rPr>
          <w:sz w:val="20"/>
          <w:szCs w:val="20"/>
          <w:color w:val="auto"/>
        </w:rPr>
      </w:pPr>
    </w:p>
    <w:p>
      <w:pPr>
        <w:ind w:left="1000" w:hanging="419"/>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per patient trial costs;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number of trials required for approval;</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number of sites included in the trials;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countries in which the trials are conducted;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length of time required to enroll eligible patients;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number of patients that participate in the trials;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number of doses evaluated in the trials;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drop-out or discontinuation rates of patients;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potential additional safety monitoring requested by regulatory agencies;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duration of patient participation in the trials and follow-up;</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11" w:name="page112"/>
    <w:bookmarkEnd w:id="111"/>
    <w:p>
      <w:pPr>
        <w:ind w:left="1000" w:hanging="419"/>
        <w:spacing w:after="0"/>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phase of development of the product candidate;</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efficacy and safety profile of the product candidate;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delays and cost increases as a result of COVID-19</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In-Process Research and Development</w:t>
      </w:r>
    </w:p>
    <w:p>
      <w:pPr>
        <w:spacing w:after="0" w:line="190" w:lineRule="exact"/>
        <w:rPr>
          <w:sz w:val="20"/>
          <w:szCs w:val="20"/>
          <w:color w:val="auto"/>
        </w:rPr>
      </w:pPr>
    </w:p>
    <w:p>
      <w:pPr>
        <w:ind w:firstLine="589"/>
        <w:spacing w:after="0" w:line="290" w:lineRule="auto"/>
        <w:rPr>
          <w:sz w:val="20"/>
          <w:szCs w:val="20"/>
          <w:color w:val="auto"/>
        </w:rPr>
      </w:pPr>
      <w:r>
        <w:rPr>
          <w:rFonts w:ascii="Arial" w:cs="Arial" w:eastAsia="Arial" w:hAnsi="Arial"/>
          <w:sz w:val="15"/>
          <w:szCs w:val="15"/>
          <w:color w:val="auto"/>
        </w:rPr>
        <w:t xml:space="preserve">In-process research and development expenses relate to the Takeda License, and include the $78.9 million purchase price of the acquired research and development assets. The purchase price of the Takeda License consisted of the following: (i) $25.0 million in cash; (ii) issuance to Takeda of 1,084,000 shares of our common stock at a fair value of $5.9 million; (iii) issuance of the Takeda Warrant at an initial fair value of $47.9 million; (iv) issuance of the Takeda Warrant Right, with a nominal initial fair value due to the low probability of issuance; and (v) $0.1 million of transaction costs incurred by us. The fair value of the Takeda Warrant and Takeda Warrant Right were derived from the model used to estimate the fair value of our common stock and the fair value of the common stock was determined using methodologies, approaches and assumptions consistent with the American Institute of Certified Public Accountants Accounting and Valuation Guide: </w:t>
      </w:r>
      <w:r>
        <w:rPr>
          <w:rFonts w:ascii="Arial" w:cs="Arial" w:eastAsia="Arial" w:hAnsi="Arial"/>
          <w:sz w:val="15"/>
          <w:szCs w:val="15"/>
          <w:i w:val="1"/>
          <w:iCs w:val="1"/>
          <w:color w:val="auto"/>
        </w:rPr>
        <w:t>Valuation of Privately Held Company Equity Securities Issued as Compensation</w:t>
      </w:r>
      <w:r>
        <w:rPr>
          <w:rFonts w:ascii="Arial" w:cs="Arial" w:eastAsia="Arial" w:hAnsi="Arial"/>
          <w:sz w:val="15"/>
          <w:szCs w:val="15"/>
          <w:color w:val="auto"/>
        </w:rPr>
        <w:t>, or the Practice Aid. The Practice Aid prescribes several valuation approaches for setting the value of an enterprise, such as the cost, income and market approaches, and various methodologies for allocating the value of an enterprise to its common stock. We utilized a scenario-based analysis that estimated the fair value per share based on the probability-weighted present value of expected future investment returns, considering each of the possible outcomes available to us, including various initial public offering, stay private and dissolution scenarios, and applying a discount for lack of marketability. We considered various stay private scenarios using the income approach and allocated the indicated equity value to each class of equity based on the current-value method. We also considered various initial public offering scenarios based on expected equity values in an initial public offering and allocated the indicated equity value to each class of equity on a fully-diluted basis considering the dilutive impacts of the unsecured convertible promissory notes we issued in May 2019, or the May 2019 Notes, and the Lender Warrants.</w:t>
      </w:r>
    </w:p>
    <w:p>
      <w:pPr>
        <w:spacing w:after="0" w:line="127" w:lineRule="exact"/>
        <w:rPr>
          <w:sz w:val="20"/>
          <w:szCs w:val="20"/>
          <w:color w:val="auto"/>
        </w:rPr>
      </w:pPr>
    </w:p>
    <w:p>
      <w:pPr>
        <w:ind w:right="180" w:firstLine="589"/>
        <w:spacing w:after="0" w:line="261" w:lineRule="auto"/>
        <w:rPr>
          <w:sz w:val="20"/>
          <w:szCs w:val="20"/>
          <w:color w:val="auto"/>
        </w:rPr>
      </w:pPr>
      <w:r>
        <w:rPr>
          <w:rFonts w:ascii="Arial" w:cs="Arial" w:eastAsia="Arial" w:hAnsi="Arial"/>
          <w:sz w:val="17"/>
          <w:szCs w:val="17"/>
          <w:color w:val="auto"/>
        </w:rPr>
        <w:t>There were significant judgments and estimates inherent in the determination of the fair value of our common stock prior to our 2019 IPO. These judgments and estimates included assumptions regarding our future operating performance, the time to complete an initial public offering or other liquidity event and the determination of the appropriate valuation methods. If we had made different assumptions, our fair value per share of common stock could have been significantly different.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190"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General and administrative expenses consist of salaries and employee-related costs, including stock-based compensation, for personnel in executive, finance, accounting, legal, human resources and other administrative functions, legal fees relating to intellectual property and corporate matters, and professional fees for accounting and consulting services. We anticipate that our general and administrative expenses will increase in the future to support our continued research and development activities, pre-commercial preparation activities for vonoprazan and, if any future product candidate receives marketing approval, commercialization activities. We also anticipate increased expenses related to audit, legal, regulatory, and tax-related services associated with maintaining compliance with exchange listing and SEC requirements, director and officer insurance premiums, and investor relations costs associated with operating as a public company.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Interest income consists of interest on our money market fund.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177" w:lineRule="exact"/>
        <w:rPr>
          <w:sz w:val="20"/>
          <w:szCs w:val="20"/>
          <w:color w:val="auto"/>
        </w:rPr>
      </w:pPr>
    </w:p>
    <w:p>
      <w:pPr>
        <w:ind w:right="400" w:firstLine="589"/>
        <w:spacing w:after="0" w:line="265" w:lineRule="auto"/>
        <w:rPr>
          <w:sz w:val="20"/>
          <w:szCs w:val="20"/>
          <w:color w:val="auto"/>
        </w:rPr>
      </w:pPr>
      <w:r>
        <w:rPr>
          <w:rFonts w:ascii="Arial" w:cs="Arial" w:eastAsia="Arial" w:hAnsi="Arial"/>
          <w:sz w:val="17"/>
          <w:szCs w:val="17"/>
          <w:color w:val="auto"/>
        </w:rPr>
        <w:t>Interest expense consists of interest on our outstanding commercial bank debt at a floating per annum interest rate (with a floor of 7.25%), which was 7.25% as of December 31, 2020, and amortization of the commercial bank debt discount recorded in connection with the fair value of warrants issued to the lenders, the debt issuance costs incurred and the obligation to make a final payment fee.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b w:val="1"/>
          <w:bCs w:val="1"/>
          <w:i w:val="1"/>
          <w:iCs w:val="1"/>
          <w:color w:val="auto"/>
        </w:rPr>
        <w:t>Change in Fair Value of Warrant Liabilities</w:t>
      </w:r>
    </w:p>
    <w:p>
      <w:pPr>
        <w:spacing w:after="0" w:line="190" w:lineRule="exact"/>
        <w:rPr>
          <w:sz w:val="20"/>
          <w:szCs w:val="20"/>
          <w:color w:val="auto"/>
        </w:rPr>
      </w:pPr>
    </w:p>
    <w:p>
      <w:pPr>
        <w:ind w:right="60" w:firstLine="589"/>
        <w:spacing w:after="0" w:line="256" w:lineRule="auto"/>
        <w:rPr>
          <w:sz w:val="20"/>
          <w:szCs w:val="20"/>
          <w:color w:val="auto"/>
        </w:rPr>
      </w:pPr>
      <w:r>
        <w:rPr>
          <w:rFonts w:ascii="Arial" w:cs="Arial" w:eastAsia="Arial" w:hAnsi="Arial"/>
          <w:sz w:val="17"/>
          <w:szCs w:val="17"/>
          <w:color w:val="auto"/>
        </w:rPr>
        <w:t>In connection with the entry into the Loan Agreement, we issued the lenders warrants to purchase our capital stock, or the Lender Warrants. The Lender Warrants were accounted for as liabilities as they contained a holder put right under which the lenders could have required us to pay cash in exchange for the warrants. We adjusted the carrying value of the Lender Warrants to their estimated fair value at each reporting date, with any change in fair value of the warrant liabilities recorded as an increase or decrease to change in fair value of warrant liabilities in the statements of operations. The Lender Warrants were accounted for at fair value using the Black-Scholes option-pricing model with an expected term equal to the remaining contractual term of the warrants. When we drew down an additional $25.0 million, or the Term Loan B, in March 2020, the Lender put right expired, and we recorded a final fair value adjustment and reclassified the Lender Warrants balance of $0.3 million to additional paid-in-capital.</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Fair Value of Convertible Promissory Notes</w:t>
      </w:r>
    </w:p>
    <w:p>
      <w:pPr>
        <w:spacing w:after="0" w:line="177" w:lineRule="exact"/>
        <w:rPr>
          <w:sz w:val="20"/>
          <w:szCs w:val="20"/>
          <w:color w:val="auto"/>
        </w:rPr>
      </w:pPr>
    </w:p>
    <w:p>
      <w:pPr>
        <w:jc w:val="both"/>
        <w:ind w:right="200" w:firstLine="589"/>
        <w:spacing w:after="0" w:line="265" w:lineRule="auto"/>
        <w:rPr>
          <w:sz w:val="20"/>
          <w:szCs w:val="20"/>
          <w:color w:val="auto"/>
        </w:rPr>
      </w:pPr>
      <w:r>
        <w:rPr>
          <w:rFonts w:ascii="Arial" w:cs="Arial" w:eastAsia="Arial" w:hAnsi="Arial"/>
          <w:sz w:val="17"/>
          <w:szCs w:val="17"/>
          <w:color w:val="auto"/>
        </w:rPr>
        <w:t>We issued convertible promissory notes in 2018 and 2019 for which we elected the fair value option. We adjusted the carrying value of our convertible promissory notes to their estimated fair value at each reporting date, with any change in fair value of the convertible promissory notes recorded as an increase or decrease to change in fair value of convertible promissory notes in our statements of operations.</w:t>
      </w:r>
    </w:p>
    <w:p>
      <w:pPr>
        <w:spacing w:after="0" w:line="149"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Prior to their exchange into convertible promissory notes issued in May 2019, the fair value of convertible promissory notes issued from inception through April 2019 was estimated using a scenario-based analysis that estimated the fair value of the convertible promissory notes based on the probability-weighted present value of expected future investment returns, considering possible outcomes available to the noteholders, including conversions in subsequent equity financings, change of control transactions, settlement and dissolution. The fair value of the convertible promissory notes issued in May 2019 was estimated using a scenario-based analysis that estimated the fair value of the convertible promissory notes based on the probability-weighted present value of expected future investment returns, considering each of the possible outcomes available to the noteholders, including various IPO, settlement, equity financing, corporate transaction and dissolution scenarios.</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notes issued in May 2019 and related accrued interest thereon were converted into 6,107,918 shares immediately prior to the completion of our IPO.</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294" w:right="37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b w:val="1"/>
          <w:bCs w:val="1"/>
          <w:color w:val="auto"/>
        </w:rPr>
        <w:t>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2020 and 2019</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our results of operations for the years ended December 31, 2020 and 2019 (in thousands):</w:t>
      </w:r>
    </w:p>
    <w:p>
      <w:pPr>
        <w:spacing w:after="0" w:line="199"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Years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60" w:type="dxa"/>
            <w:vAlign w:val="bottom"/>
            <w:tcBorders>
              <w:bottom w:val="single" w:sz="8" w:color="CFF0FC"/>
            </w:tcBorders>
          </w:tcPr>
          <w:p>
            <w:pPr>
              <w:spacing w:after="0"/>
              <w:rPr>
                <w:sz w:val="12"/>
                <w:szCs w:val="12"/>
                <w:color w:val="auto"/>
              </w:rPr>
            </w:pPr>
          </w:p>
        </w:tc>
        <w:tc>
          <w:tcPr>
            <w:tcW w:w="11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18"/>
              <w:spacing w:after="0" w:line="147"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6"/>
              <w:spacing w:after="0" w:line="147"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Arial" w:cs="Arial" w:eastAsia="Arial" w:hAnsi="Arial"/>
                <w:sz w:val="17"/>
                <w:szCs w:val="17"/>
                <w:color w:val="auto"/>
              </w:rPr>
              <w:t>Research and development</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98,148</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20,374</w:t>
            </w:r>
          </w:p>
        </w:tc>
        <w:tc>
          <w:tcPr>
            <w:tcW w:w="10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77,774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In-process research and development</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78,897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(78,897)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General and administrative</w:t>
            </w:r>
          </w:p>
        </w:tc>
        <w:tc>
          <w:tcPr>
            <w:tcW w:w="1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27,517</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6,944</w:t>
            </w: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20,573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7"/>
                <w:szCs w:val="17"/>
                <w:color w:val="auto"/>
              </w:rPr>
              <w:t>Total operating expenses</w:t>
            </w:r>
          </w:p>
        </w:tc>
        <w:tc>
          <w:tcPr>
            <w:tcW w:w="1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7"/>
                <w:szCs w:val="17"/>
                <w:color w:val="auto"/>
              </w:rPr>
              <w:t>125,665</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106,215</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19,450</w:t>
            </w:r>
          </w:p>
        </w:tc>
        <w:tc>
          <w:tcPr>
            <w:tcW w:w="0" w:type="dxa"/>
            <w:vAlign w:val="bottom"/>
          </w:tcPr>
          <w:p>
            <w:pPr>
              <w:spacing w:after="0"/>
              <w:rPr>
                <w:sz w:val="1"/>
                <w:szCs w:val="1"/>
                <w:color w:val="auto"/>
              </w:rPr>
            </w:pPr>
          </w:p>
        </w:tc>
      </w:tr>
      <w:tr>
        <w:trPr>
          <w:trHeight w:val="211"/>
        </w:trPr>
        <w:tc>
          <w:tcPr>
            <w:tcW w:w="418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(125,665)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(106,215)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(19,450)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Other income (expense):</w:t>
            </w:r>
          </w:p>
        </w:tc>
        <w:tc>
          <w:tcPr>
            <w:tcW w:w="1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1,091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7"/>
                <w:szCs w:val="17"/>
                <w:color w:val="auto"/>
              </w:rPr>
              <w:t>1,089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Interest expense</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(4,581)</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(4,177)</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tcPr>
          <w:p>
            <w:pPr>
              <w:ind w:left="220"/>
              <w:spacing w:after="0"/>
              <w:rPr>
                <w:sz w:val="20"/>
                <w:szCs w:val="20"/>
                <w:color w:val="auto"/>
              </w:rPr>
            </w:pPr>
            <w:r>
              <w:rPr>
                <w:rFonts w:ascii="Arial" w:cs="Arial" w:eastAsia="Arial" w:hAnsi="Arial"/>
                <w:sz w:val="17"/>
                <w:szCs w:val="17"/>
                <w:color w:val="auto"/>
              </w:rPr>
              <w:t>Change in fair value of warrant liabilities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8"/>
              <w:spacing w:after="0"/>
              <w:rPr>
                <w:sz w:val="20"/>
                <w:szCs w:val="20"/>
                <w:color w:val="auto"/>
              </w:rPr>
            </w:pPr>
            <w:r>
              <w:rPr>
                <w:rFonts w:ascii="Arial" w:cs="Arial" w:eastAsia="Arial" w:hAnsi="Arial"/>
                <w:sz w:val="17"/>
                <w:szCs w:val="17"/>
                <w:color w:val="auto"/>
              </w:rPr>
              <w:t>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(96,272)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96,367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16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Change in fair value of convertible</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promissory notes</w:t>
            </w: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(49,546)</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49,546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Other income (expense)</w:t>
            </w:r>
          </w:p>
        </w:tc>
        <w:tc>
          <w:tcPr>
            <w:tcW w:w="1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7"/>
                <w:szCs w:val="17"/>
                <w:color w:val="auto"/>
              </w:rPr>
              <w:t>Total other income (expense)</w:t>
            </w:r>
          </w:p>
        </w:tc>
        <w:tc>
          <w:tcPr>
            <w:tcW w:w="1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(3,403)</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(148,916)</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145,513</w:t>
            </w:r>
          </w:p>
        </w:tc>
        <w:tc>
          <w:tcPr>
            <w:tcW w:w="0" w:type="dxa"/>
            <w:vAlign w:val="bottom"/>
          </w:tcPr>
          <w:p>
            <w:pPr>
              <w:spacing w:after="0"/>
              <w:rPr>
                <w:sz w:val="1"/>
                <w:szCs w:val="1"/>
                <w:color w:val="auto"/>
              </w:rPr>
            </w:pPr>
          </w:p>
        </w:tc>
      </w:tr>
      <w:tr>
        <w:trPr>
          <w:trHeight w:val="211"/>
        </w:trPr>
        <w:tc>
          <w:tcPr>
            <w:tcW w:w="4180" w:type="dxa"/>
            <w:vAlign w:val="bottom"/>
            <w:gridSpan w:val="2"/>
          </w:tcPr>
          <w:p>
            <w:pPr>
              <w:spacing w:after="0"/>
              <w:rPr>
                <w:sz w:val="20"/>
                <w:szCs w:val="20"/>
                <w:color w:val="auto"/>
              </w:rPr>
            </w:pPr>
            <w:r>
              <w:rPr>
                <w:rFonts w:ascii="Arial" w:cs="Arial" w:eastAsia="Arial" w:hAnsi="Arial"/>
                <w:sz w:val="17"/>
                <w:szCs w:val="17"/>
                <w:color w:val="auto"/>
              </w:rPr>
              <w:t>Net loss</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(129,068)</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(255,131)</w:t>
            </w:r>
          </w:p>
        </w:tc>
        <w:tc>
          <w:tcPr>
            <w:tcW w:w="100" w:type="dxa"/>
            <w:vAlign w:val="bottom"/>
          </w:tcPr>
          <w:p>
            <w:pPr>
              <w:spacing w:after="0"/>
              <w:rPr>
                <w:sz w:val="18"/>
                <w:szCs w:val="18"/>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126,063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40" w:firstLine="589"/>
        <w:spacing w:after="0" w:line="278"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were $98.1 million and $20.4 million for the years ended December 31, 2020</w:t>
      </w:r>
      <w:r>
        <w:rPr>
          <w:rFonts w:ascii="Arial" w:cs="Arial" w:eastAsia="Arial" w:hAnsi="Arial"/>
          <w:sz w:val="16"/>
          <w:szCs w:val="16"/>
          <w:i w:val="1"/>
          <w:iCs w:val="1"/>
          <w:color w:val="auto"/>
        </w:rPr>
        <w:t xml:space="preserve"> </w:t>
      </w:r>
      <w:r>
        <w:rPr>
          <w:rFonts w:ascii="Arial" w:cs="Arial" w:eastAsia="Arial" w:hAnsi="Arial"/>
          <w:sz w:val="16"/>
          <w:szCs w:val="16"/>
          <w:color w:val="auto"/>
        </w:rPr>
        <w:t>and 2019, respectively. The increase of $77.7 million consisted of $63.0 million of clinical trial costs and $5.9 million of chemistry manufacturing and controls (“CMC”) costs related to vonoprazan, $5.6 million of personnel-related expenses, $1.4 million of consulting expenses, $1.2 million of other operating expenses, and $0.6 million of expenses related to regulatory requirements. We expect Research and Development expenses to decrease in 2021 as we complete the PHALCON-EE and PHALCON-HP Phase 3 clinical trials, and our Phase 2 NERD on-demand study commences.</w:t>
      </w:r>
    </w:p>
    <w:p>
      <w:pPr>
        <w:spacing w:after="0" w:line="129" w:lineRule="exact"/>
        <w:rPr>
          <w:sz w:val="20"/>
          <w:szCs w:val="20"/>
          <w:color w:val="auto"/>
        </w:rPr>
      </w:pPr>
    </w:p>
    <w:p>
      <w:pPr>
        <w:ind w:right="220" w:firstLine="589"/>
        <w:spacing w:after="0" w:line="265" w:lineRule="auto"/>
        <w:rPr>
          <w:sz w:val="20"/>
          <w:szCs w:val="20"/>
          <w:color w:val="auto"/>
        </w:rPr>
      </w:pPr>
      <w:r>
        <w:rPr>
          <w:rFonts w:ascii="Arial" w:cs="Arial" w:eastAsia="Arial" w:hAnsi="Arial"/>
          <w:sz w:val="17"/>
          <w:szCs w:val="17"/>
          <w:i w:val="1"/>
          <w:iCs w:val="1"/>
          <w:color w:val="auto"/>
        </w:rPr>
        <w:t xml:space="preserve">In-Process Research and Development Expenses. </w:t>
      </w:r>
      <w:r>
        <w:rPr>
          <w:rFonts w:ascii="Arial" w:cs="Arial" w:eastAsia="Arial" w:hAnsi="Arial"/>
          <w:sz w:val="17"/>
          <w:szCs w:val="17"/>
          <w:color w:val="auto"/>
        </w:rPr>
        <w:t>We had no in-process research and development expenses for the year ended December 31, 2020. The</w:t>
      </w:r>
      <w:r>
        <w:rPr>
          <w:rFonts w:ascii="Arial" w:cs="Arial" w:eastAsia="Arial" w:hAnsi="Arial"/>
          <w:sz w:val="17"/>
          <w:szCs w:val="17"/>
          <w:i w:val="1"/>
          <w:iCs w:val="1"/>
          <w:color w:val="auto"/>
        </w:rPr>
        <w:t xml:space="preserve"> </w:t>
      </w:r>
      <w:r>
        <w:rPr>
          <w:rFonts w:ascii="Arial" w:cs="Arial" w:eastAsia="Arial" w:hAnsi="Arial"/>
          <w:sz w:val="17"/>
          <w:szCs w:val="17"/>
          <w:color w:val="auto"/>
        </w:rPr>
        <w:t>$78.9 million of in-process research and development expenses for the year ended December 31, 2019 consisted of the purchase price for the research and development assets we acquired as part of the Takeda License.</w:t>
      </w:r>
    </w:p>
    <w:p>
      <w:pPr>
        <w:spacing w:after="0" w:line="149" w:lineRule="exact"/>
        <w:rPr>
          <w:sz w:val="20"/>
          <w:szCs w:val="20"/>
          <w:color w:val="auto"/>
        </w:rPr>
      </w:pPr>
    </w:p>
    <w:p>
      <w:pPr>
        <w:ind w:firstLine="589"/>
        <w:spacing w:after="0" w:line="257"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General and administrative expenses were $27.5 million and $6.9 million for the years ended December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and 2019, respectively. The increase of $20.6 million was due to increases of $10.1 million in personnel-related expenses, $6.0 million of professional services expenses related to prelaunch commercial activities, $2.1 million of insurance premiums related to general operating matters, $0.8 million of other operating expenses, $0.7 million in professional services expenses for accounting, audit, tax, valuation and other services, $0.5 million related to legal expenses, and $0.4 million of consulting expenses. Due to the planned continued buildout of administrative and commercial functions, we expect General and Administrative expenses to increase in future periods.</w:t>
      </w:r>
    </w:p>
    <w:p>
      <w:pPr>
        <w:spacing w:after="0" w:line="145" w:lineRule="exact"/>
        <w:rPr>
          <w:sz w:val="20"/>
          <w:szCs w:val="20"/>
          <w:color w:val="auto"/>
        </w:rPr>
      </w:pPr>
    </w:p>
    <w:p>
      <w:pPr>
        <w:ind w:right="20" w:firstLine="589"/>
        <w:spacing w:after="0" w:line="257" w:lineRule="auto"/>
        <w:rPr>
          <w:sz w:val="20"/>
          <w:szCs w:val="20"/>
          <w:color w:val="auto"/>
        </w:rPr>
      </w:pPr>
      <w:r>
        <w:rPr>
          <w:rFonts w:ascii="Arial" w:cs="Arial" w:eastAsia="Arial" w:hAnsi="Arial"/>
          <w:sz w:val="17"/>
          <w:szCs w:val="17"/>
          <w:i w:val="1"/>
          <w:iCs w:val="1"/>
          <w:color w:val="auto"/>
        </w:rPr>
        <w:t xml:space="preserve">Other Income (Expense). </w:t>
      </w:r>
      <w:r>
        <w:rPr>
          <w:rFonts w:ascii="Arial" w:cs="Arial" w:eastAsia="Arial" w:hAnsi="Arial"/>
          <w:sz w:val="17"/>
          <w:szCs w:val="17"/>
          <w:color w:val="auto"/>
        </w:rPr>
        <w:t>Other expense of $3.4 million for the year ended December 31, 2020 consisted of $4.6 million of interest expense on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 bank debt, partially offset by $1.1 million of interest income and $0.1 million of other income related to the decrease in the fair value of warrant liabilities. Other expense of $148.9 million for the year ended December 31, 2019 consisted of $96.3 million of other expense related to the increase in the fair value of warrant liabilities, $49.5 million of other expense related to the increase in the fair value of our convertible promissory notes, $2.6 million of interest expense on our outstanding convertible promissory notes, $1.6 million of interest expense on outstanding commercial bank debt, partially offset by $1.1 million of interest income.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96" w:lineRule="exact"/>
        <w:rPr>
          <w:sz w:val="20"/>
          <w:szCs w:val="20"/>
          <w:color w:val="auto"/>
        </w:rPr>
      </w:pPr>
    </w:p>
    <w:p>
      <w:pPr>
        <w:ind w:right="620" w:firstLine="589"/>
        <w:spacing w:after="0" w:line="278" w:lineRule="auto"/>
        <w:rPr>
          <w:sz w:val="20"/>
          <w:szCs w:val="20"/>
          <w:color w:val="auto"/>
        </w:rPr>
      </w:pPr>
      <w:r>
        <w:rPr>
          <w:rFonts w:ascii="Arial" w:cs="Arial" w:eastAsia="Arial" w:hAnsi="Arial"/>
          <w:sz w:val="17"/>
          <w:szCs w:val="17"/>
          <w:color w:val="auto"/>
        </w:rPr>
        <w:t>We have incurred net losses and negative cash flows from operations since our inception and anticipate we will continue to incur net losses for the foreseeable future. As of December 31, 2020, we had cash and cash equivalents of $287.5 million.</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Bank Debt</w:t>
      </w:r>
    </w:p>
    <w:p>
      <w:pPr>
        <w:spacing w:after="0" w:line="177" w:lineRule="exact"/>
        <w:rPr>
          <w:sz w:val="20"/>
          <w:szCs w:val="20"/>
          <w:color w:val="auto"/>
        </w:rPr>
      </w:pPr>
    </w:p>
    <w:p>
      <w:pPr>
        <w:ind w:right="100" w:firstLine="589"/>
        <w:spacing w:after="0" w:line="261" w:lineRule="auto"/>
        <w:rPr>
          <w:sz w:val="20"/>
          <w:szCs w:val="20"/>
          <w:color w:val="auto"/>
        </w:rPr>
      </w:pPr>
      <w:r>
        <w:rPr>
          <w:rFonts w:ascii="Arial" w:cs="Arial" w:eastAsia="Arial" w:hAnsi="Arial"/>
          <w:sz w:val="17"/>
          <w:szCs w:val="17"/>
          <w:color w:val="231F20"/>
        </w:rPr>
        <w:t>On May 14, 2019, we entered into the Loan Agreement with SVB, as administrative and collateral agent, and lenders SVB and WestRiver Innovation Lending Fund VIII, L.P. We borrowed $25.0 million, Term Loan A, at the inception of the Loan Agreement and an additional $25.0 million, Term Loan B, in March 2020, which we collectively refer to as the Term Loans. As of December 31, 2020, we had outstanding Term Loans of $50.0 million and accrued interest of $0.3 million</w:t>
      </w:r>
      <w:r>
        <w:rPr>
          <w:rFonts w:ascii="Arial" w:cs="Arial" w:eastAsia="Arial" w:hAnsi="Arial"/>
          <w:sz w:val="17"/>
          <w:szCs w:val="17"/>
          <w:color w:val="000000"/>
        </w:rPr>
        <w:t>.</w:t>
      </w:r>
    </w:p>
    <w:p>
      <w:pPr>
        <w:spacing w:after="0" w:line="152" w:lineRule="exact"/>
        <w:rPr>
          <w:sz w:val="20"/>
          <w:szCs w:val="20"/>
          <w:color w:val="auto"/>
        </w:rPr>
      </w:pPr>
    </w:p>
    <w:p>
      <w:pPr>
        <w:ind w:right="80" w:firstLine="589"/>
        <w:spacing w:after="0" w:line="256" w:lineRule="auto"/>
        <w:rPr>
          <w:sz w:val="20"/>
          <w:szCs w:val="20"/>
          <w:color w:val="auto"/>
        </w:rPr>
      </w:pPr>
      <w:r>
        <w:rPr>
          <w:rFonts w:ascii="Arial" w:cs="Arial" w:eastAsia="Arial" w:hAnsi="Arial"/>
          <w:sz w:val="17"/>
          <w:szCs w:val="17"/>
          <w:color w:val="auto"/>
        </w:rPr>
        <w:t xml:space="preserve">The Term Loans bear interest at a floating rate of the higher of the Wall Street Journal Prime rate plus 1.75% (5% at December 31, 2020) or 7.25%. Under the original Loan Agreement, the monthly payments consisted of interest-only through May 31, 2021. Pursuant to the first amendment to the Loan Agreement entered into on March 11, 2020, the interest-only payment period was extended either (i) until December 31, 2021, if we receive positive data from our Phase 3 clinical trial in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sufficient to file an NDA with the FDA; or (ii) until November 30, 2022, if we receive positive data from our Phase 3 clinical trials in both indications for vonoprazan sufficient to file NDAs with the FDA; provided, in each case, that we had drawn down an additional $25.0 million, Term Loan B, pursuant to the Loan Agreement. Subsequent to the interest-only period, the Term Loans will be payable in equal monthly installments of principal, plus accrued and unpaid interest through the maturity date of May 1, 2024.</w:t>
      </w:r>
    </w:p>
    <w:p>
      <w:pPr>
        <w:spacing w:after="0" w:line="147" w:lineRule="exact"/>
        <w:rPr>
          <w:sz w:val="20"/>
          <w:szCs w:val="20"/>
          <w:color w:val="auto"/>
        </w:rPr>
      </w:pPr>
    </w:p>
    <w:p>
      <w:pPr>
        <w:ind w:firstLine="589"/>
        <w:spacing w:after="0" w:line="298" w:lineRule="auto"/>
        <w:rPr>
          <w:sz w:val="20"/>
          <w:szCs w:val="20"/>
          <w:color w:val="auto"/>
        </w:rPr>
      </w:pPr>
      <w:r>
        <w:rPr>
          <w:rFonts w:ascii="Arial" w:cs="Arial" w:eastAsia="Arial" w:hAnsi="Arial"/>
          <w:sz w:val="15"/>
          <w:szCs w:val="15"/>
          <w:color w:val="auto"/>
        </w:rPr>
        <w:t>In addition, we are obligated to pay a final payment fee of 8.25% of the original principal amount of the Term Loans. We may elect to prepay all or a portion of the Term Loans prior to maturity, subject to a prepayment fee of up to 2.0% of the then outstanding principal balance and payment of a pro rata portion of the final payment fee. After repayment, no Term Loan amounts may be borrowed again. The borrowings under the Loan Agreement are collateralized by substantially all of our assets, excluding intellectual property and certain other assets. We have agreed not to encumber our intellectual property assets without SVB’s prior written consent unless a security interest in the underlying intellectual property is necessary to have a security interest in the accounts and proceeds that are part of the assets securing the Term Loans, in which case our intellectual property will automatically be included within the assets securing the Term Loans.</w:t>
      </w:r>
    </w:p>
    <w:p>
      <w:pPr>
        <w:spacing w:after="0" w:line="115" w:lineRule="exact"/>
        <w:rPr>
          <w:sz w:val="20"/>
          <w:szCs w:val="20"/>
          <w:color w:val="auto"/>
        </w:rPr>
      </w:pPr>
    </w:p>
    <w:p>
      <w:pPr>
        <w:ind w:firstLine="589"/>
        <w:spacing w:after="0" w:line="274" w:lineRule="auto"/>
        <w:rPr>
          <w:sz w:val="20"/>
          <w:szCs w:val="20"/>
          <w:color w:val="auto"/>
        </w:rPr>
      </w:pPr>
      <w:r>
        <w:rPr>
          <w:rFonts w:ascii="Arial" w:cs="Arial" w:eastAsia="Arial" w:hAnsi="Arial"/>
          <w:sz w:val="16"/>
          <w:szCs w:val="16"/>
          <w:color w:val="auto"/>
        </w:rPr>
        <w:t>The Loan Agreement contains certain customary affirmative and negative covenants and events of default. The affirmative covenants include, among others, covenants requiring us to maintain our legal existence and governmental approvals, deliver certain financial reports, maintain insurance coverage and satisfy certain requirements regarding our operating accounts. The negative covenants include, among others, limitations on our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Upon the occurrence of an event of default, subject to any specified cure periods, all amounts owed by us would begin to bear interest at a rate that is 4.00% above the rate effective immediately before the event of default and may be declared immediately due and payable by SVB, as collateral agent. As of December 31, 2020, we were in compliance with all applicable covenants under the Loan Agreement.</w:t>
      </w:r>
    </w:p>
    <w:p>
      <w:pPr>
        <w:spacing w:after="0" w:line="144" w:lineRule="exact"/>
        <w:rPr>
          <w:sz w:val="20"/>
          <w:szCs w:val="20"/>
          <w:color w:val="auto"/>
        </w:rPr>
      </w:pPr>
    </w:p>
    <w:p>
      <w:pPr>
        <w:ind w:right="120" w:firstLine="589"/>
        <w:spacing w:after="0" w:line="257" w:lineRule="auto"/>
        <w:rPr>
          <w:sz w:val="20"/>
          <w:szCs w:val="20"/>
          <w:color w:val="auto"/>
        </w:rPr>
      </w:pPr>
      <w:r>
        <w:rPr>
          <w:rFonts w:ascii="Arial" w:cs="Arial" w:eastAsia="Arial" w:hAnsi="Arial"/>
          <w:sz w:val="17"/>
          <w:szCs w:val="17"/>
          <w:color w:val="auto"/>
        </w:rPr>
        <w:t>In connection with the Loan Agreement, we issued the Lender Warrants, which became exercisable when we borrowed Term Loan B in March 2020. The Lender Warrants are exercisable for 16,446 shares of common stock. The Lender Warrants expire ten years from the date of issuance. The Lender Warrants included a put option pursuant to which, in the event that we did not draw down Term Loan B on or before March 31, 2020, the warrant holders could have required us to repurchase the warrants for a total aggregate repurchase price of $0.5 million. Upon the Term Loan B draw in March 2020, the put option related to the Lender Warrants expired, at which time we recorded a final fair value adjustment and reclassified the Lender Warrants balance of $0.3 million to additional paid-in-capital.</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88"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i w:val="1"/>
          <w:iCs w:val="1"/>
          <w:color w:val="auto"/>
        </w:rPr>
        <w:t>Convertible Note Financings</w:t>
      </w:r>
    </w:p>
    <w:p>
      <w:pPr>
        <w:spacing w:after="0" w:line="190" w:lineRule="exact"/>
        <w:rPr>
          <w:sz w:val="20"/>
          <w:szCs w:val="20"/>
          <w:color w:val="auto"/>
        </w:rPr>
      </w:pPr>
    </w:p>
    <w:p>
      <w:pPr>
        <w:jc w:val="both"/>
        <w:ind w:right="60" w:firstLine="589"/>
        <w:spacing w:after="0" w:line="265" w:lineRule="auto"/>
        <w:rPr>
          <w:sz w:val="20"/>
          <w:szCs w:val="20"/>
          <w:color w:val="auto"/>
        </w:rPr>
      </w:pPr>
      <w:r>
        <w:rPr>
          <w:rFonts w:ascii="Arial" w:cs="Arial" w:eastAsia="Arial" w:hAnsi="Arial"/>
          <w:sz w:val="17"/>
          <w:szCs w:val="17"/>
          <w:color w:val="auto"/>
        </w:rPr>
        <w:t>From January 2018 to April 2019, we issued an aggregate of $2.4 million of convertible promissory notes to Frazier, or the Frazier Notes, bearing interest at per annum rates ranging from 1.68% to 2.55%. In May 2019, these notes and related accrued interest were exchanged, at their then fair value of $2.4 million, for the May 2019 convertible promissory notes described below.</w:t>
      </w:r>
    </w:p>
    <w:p>
      <w:pPr>
        <w:spacing w:after="0" w:line="136" w:lineRule="exact"/>
        <w:rPr>
          <w:sz w:val="20"/>
          <w:szCs w:val="20"/>
          <w:color w:val="auto"/>
        </w:rPr>
      </w:pPr>
    </w:p>
    <w:p>
      <w:pPr>
        <w:ind w:right="60" w:firstLine="589"/>
        <w:spacing w:after="0" w:line="301" w:lineRule="auto"/>
        <w:rPr>
          <w:sz w:val="20"/>
          <w:szCs w:val="20"/>
          <w:color w:val="auto"/>
        </w:rPr>
      </w:pPr>
      <w:r>
        <w:rPr>
          <w:rFonts w:ascii="Arial" w:cs="Arial" w:eastAsia="Arial" w:hAnsi="Arial"/>
          <w:sz w:val="15"/>
          <w:szCs w:val="15"/>
          <w:color w:val="auto"/>
        </w:rPr>
        <w:t>On May 7, 2019, we entered into a note purchase agreement under which we issued an aggregate of $90.3 million of unsecured convertible promissory notes, or the May 2019 Notes, resulting in gross proceeds to us of $87.8 million in cash and $2.4 million related to the exchange of the Frazier Notes. Including the conversion of the Frazier Notes, Frazier purchased $20.0 million of the May 2019 Notes. The May 2019 Notes bore interest at a rate of 6% per annum and were subordinated to borrowings under our Loan Agreement. Immediately prior to the completion of our IPO on October 29, 2019, the May 2019 Notes automatically converted into 6,107,918 shares of common stock, representing the outstanding principal and interest of the May 2019 notes at the date of automatic conversion.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At-the-Market-Offering</w:t>
      </w:r>
    </w:p>
    <w:p>
      <w:pPr>
        <w:spacing w:after="0" w:line="189" w:lineRule="exact"/>
        <w:rPr>
          <w:sz w:val="20"/>
          <w:szCs w:val="20"/>
          <w:color w:val="auto"/>
        </w:rPr>
      </w:pPr>
    </w:p>
    <w:p>
      <w:pPr>
        <w:ind w:right="20" w:firstLine="589"/>
        <w:spacing w:after="0" w:line="276" w:lineRule="auto"/>
        <w:rPr>
          <w:sz w:val="20"/>
          <w:szCs w:val="20"/>
          <w:color w:val="auto"/>
        </w:rPr>
      </w:pPr>
      <w:r>
        <w:rPr>
          <w:rFonts w:ascii="Arial" w:cs="Arial" w:eastAsia="Arial" w:hAnsi="Arial"/>
          <w:sz w:val="16"/>
          <w:szCs w:val="16"/>
          <w:color w:val="auto"/>
        </w:rPr>
        <w:t>On November 10, 2020, we entered into an Open Market Sale Agreement</w:t>
      </w:r>
      <w:r>
        <w:rPr>
          <w:rFonts w:ascii="Arial" w:cs="Arial" w:eastAsia="Arial" w:hAnsi="Arial"/>
          <w:sz w:val="13"/>
          <w:szCs w:val="13"/>
          <w:color w:val="auto"/>
        </w:rPr>
        <w:t>SM</w:t>
      </w:r>
      <w:r>
        <w:rPr>
          <w:rFonts w:ascii="Arial" w:cs="Arial" w:eastAsia="Arial" w:hAnsi="Arial"/>
          <w:sz w:val="16"/>
          <w:szCs w:val="16"/>
          <w:color w:val="auto"/>
        </w:rPr>
        <w:t>, or the Sales Agreement, with Jefferies LLC, or the Sales Agent, under which we may, from time to time, sell shares of our common stock having an aggregate offering price of up to $125.0 million through the Sales Agent, or the ATM Offering. Sales of our common stock made pursuant to the Sales Agreement, if any, will be made under our shelf registration statement on Form S-3 which was filed on November 10, 2020 and declared effective by the SEC on November 16, 2020. We are not obligated to, and we cannot provide any assurances that we will, make any sales of the shares under the Sales Agreement. The Sales Agreement may be terminated by the Sales Agent or us at any time. There were no sales of our common stock under the ATM Offering for the year ended December 31, 2020.</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Underwritten Public Offering</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On December 16, 2020, the Company completed an underwritten public offering, in which it sold 2,250,000 shares of its common stock at a price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$42.00 per share for total gross proceeds of $94.5 million. The net purchase price after deducting underwriting discounts and commissions was $39.48 per share,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which generated net proceeds of $88.8 million. We incurred an additional $0.2 million of offering expenses in connection with the public offering.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177"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 xml:space="preserve">Based on our current operating plan, we believe that our existing cash and cash equivalents will be sufficient to meet our anticipated cash requirements into the fourth quarter of 2022. We expect our current cash and cash equivalents will allow us to complete our ongoing Phase 3 clinical trials of vonoprazan for the treatment of erosive esophagitis and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infection and our planned Phase 2 trial of vonoprazan as an on-demand therapy for NERD.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product candidates in clinical trials is costly, and the timing of progress and expenses in these trials is uncertain.</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future capital requirements will depend on many factors, including:</w:t>
      </w:r>
    </w:p>
    <w:p>
      <w:pPr>
        <w:spacing w:after="0" w:line="190" w:lineRule="exact"/>
        <w:rPr>
          <w:sz w:val="20"/>
          <w:szCs w:val="20"/>
          <w:color w:val="auto"/>
        </w:rPr>
      </w:pPr>
    </w:p>
    <w:p>
      <w:pPr>
        <w:ind w:left="1000" w:right="440" w:hanging="419"/>
        <w:spacing w:after="0" w:line="310" w:lineRule="auto"/>
        <w:tabs>
          <w:tab w:leader="none" w:pos="10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initiation, type, number, scope, results, costs and timing of our clinical trials of vonoprazan, and preclinical studies or clinical trials of other potential product candidates we may choose to pursue in the future, including feedback received from regulatory authorities;</w:t>
      </w:r>
    </w:p>
    <w:p>
      <w:pPr>
        <w:spacing w:after="0" w:line="102" w:lineRule="exact"/>
        <w:rPr>
          <w:rFonts w:ascii="Arial" w:cs="Arial" w:eastAsia="Arial" w:hAnsi="Arial"/>
          <w:sz w:val="16"/>
          <w:szCs w:val="16"/>
          <w:color w:val="auto"/>
        </w:rPr>
      </w:pPr>
    </w:p>
    <w:p>
      <w:pPr>
        <w:ind w:left="1000" w:hanging="419"/>
        <w:spacing w:after="0"/>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delays and cost increases as a result of COVID-19;</w:t>
      </w:r>
    </w:p>
    <w:p>
      <w:pPr>
        <w:spacing w:after="0" w:line="177" w:lineRule="exact"/>
        <w:rPr>
          <w:rFonts w:ascii="Arial" w:cs="Arial" w:eastAsia="Arial" w:hAnsi="Arial"/>
          <w:sz w:val="17"/>
          <w:szCs w:val="17"/>
          <w:color w:val="auto"/>
        </w:rPr>
      </w:pPr>
    </w:p>
    <w:p>
      <w:pPr>
        <w:ind w:left="1000" w:right="280" w:hanging="419"/>
        <w:spacing w:after="0" w:line="278" w:lineRule="auto"/>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costs and timing of manufacturing for vonoprazan or any future product candidates, including commercial scale manufacturing if any product candidate is approved;</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vonoprazan or any future product candidates;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16" w:name="page117"/>
    <w:bookmarkEnd w:id="116"/>
    <w:p>
      <w:pPr>
        <w:ind w:left="1000" w:hanging="419"/>
        <w:spacing w:after="0"/>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costs of obtaining, maintaining and enforcing our patents and other intellectual property rights;</w:t>
      </w:r>
    </w:p>
    <w:p>
      <w:pPr>
        <w:spacing w:after="0" w:line="177" w:lineRule="exact"/>
        <w:rPr>
          <w:rFonts w:ascii="Arial" w:cs="Arial" w:eastAsia="Arial" w:hAnsi="Arial"/>
          <w:sz w:val="17"/>
          <w:szCs w:val="17"/>
          <w:color w:val="auto"/>
        </w:rPr>
      </w:pPr>
    </w:p>
    <w:p>
      <w:pPr>
        <w:ind w:left="1000" w:right="100" w:hanging="419"/>
        <w:spacing w:after="0" w:line="278"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efforts to enhance operational systems and hire additional personnel to satisfy our obligations as a public company, including enhanced internal controls over financial reporting;</w:t>
      </w:r>
    </w:p>
    <w:p>
      <w:pPr>
        <w:spacing w:after="0" w:line="125" w:lineRule="exact"/>
        <w:rPr>
          <w:rFonts w:ascii="Arial" w:cs="Arial" w:eastAsia="Arial" w:hAnsi="Arial"/>
          <w:sz w:val="17"/>
          <w:szCs w:val="17"/>
          <w:color w:val="auto"/>
        </w:rPr>
      </w:pPr>
    </w:p>
    <w:p>
      <w:pPr>
        <w:ind w:left="1000" w:right="420" w:hanging="419"/>
        <w:spacing w:after="0" w:line="278"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costs associated with hiring additional personnel and consultants as our business grows, including additional executive officers and clinical development personnel;</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timing and amount of the milestone or other payments we must make to Takeda and any future licensors;</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costs and timing of establishing or securing sales and marketing capabilities for vonoprazan or any future product candidate;</w:t>
      </w:r>
    </w:p>
    <w:p>
      <w:pPr>
        <w:spacing w:after="0" w:line="177" w:lineRule="exact"/>
        <w:rPr>
          <w:rFonts w:ascii="Arial" w:cs="Arial" w:eastAsia="Arial" w:hAnsi="Arial"/>
          <w:sz w:val="17"/>
          <w:szCs w:val="17"/>
          <w:color w:val="auto"/>
        </w:rPr>
      </w:pPr>
    </w:p>
    <w:p>
      <w:pPr>
        <w:ind w:left="1000" w:right="220" w:hanging="419"/>
        <w:spacing w:after="0" w:line="278"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our ability to achieve sufficient market acceptance, coverage and adequate reimbursement from third-party payors and adequate market share and revenue for any approved products;</w:t>
      </w:r>
    </w:p>
    <w:p>
      <w:pPr>
        <w:spacing w:after="0" w:line="125" w:lineRule="exact"/>
        <w:rPr>
          <w:rFonts w:ascii="Arial" w:cs="Arial" w:eastAsia="Arial" w:hAnsi="Arial"/>
          <w:sz w:val="17"/>
          <w:szCs w:val="17"/>
          <w:color w:val="auto"/>
        </w:rPr>
      </w:pPr>
    </w:p>
    <w:p>
      <w:pPr>
        <w:ind w:left="1000" w:right="280" w:hanging="419"/>
        <w:spacing w:after="0" w:line="278" w:lineRule="auto"/>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patients’ willingness to pay out-of-pocket for any approved products in the absence of coverage and/or adequate reimbursement from third-party payors;</w:t>
      </w:r>
    </w:p>
    <w:p>
      <w:pPr>
        <w:spacing w:after="0" w:line="125" w:lineRule="exact"/>
        <w:rPr>
          <w:rFonts w:ascii="Arial" w:cs="Arial" w:eastAsia="Arial" w:hAnsi="Arial"/>
          <w:sz w:val="17"/>
          <w:szCs w:val="17"/>
          <w:color w:val="auto"/>
        </w:rPr>
      </w:pPr>
    </w:p>
    <w:p>
      <w:pPr>
        <w:ind w:left="1000" w:hanging="419"/>
        <w:spacing w:after="0"/>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terms and timing of establishing and maintaining collaborations, licenses and other similar arrangements; and</w:t>
      </w:r>
    </w:p>
    <w:p>
      <w:pPr>
        <w:spacing w:after="0" w:line="177" w:lineRule="exact"/>
        <w:rPr>
          <w:rFonts w:ascii="Arial" w:cs="Arial" w:eastAsia="Arial" w:hAnsi="Arial"/>
          <w:sz w:val="17"/>
          <w:szCs w:val="17"/>
          <w:color w:val="auto"/>
        </w:rPr>
      </w:pPr>
    </w:p>
    <w:p>
      <w:pPr>
        <w:ind w:left="1000" w:hanging="419"/>
        <w:spacing w:after="0"/>
        <w:tabs>
          <w:tab w:leader="none" w:pos="10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costs associated with any products or technologies that we may in-license or acquire.</w:t>
      </w:r>
    </w:p>
    <w:p>
      <w:pPr>
        <w:spacing w:after="0" w:line="177" w:lineRule="exact"/>
        <w:rPr>
          <w:sz w:val="20"/>
          <w:szCs w:val="20"/>
          <w:color w:val="auto"/>
        </w:rPr>
      </w:pPr>
    </w:p>
    <w:p>
      <w:pPr>
        <w:ind w:firstLine="589"/>
        <w:spacing w:after="0" w:line="272" w:lineRule="auto"/>
        <w:rPr>
          <w:sz w:val="20"/>
          <w:szCs w:val="20"/>
          <w:color w:val="auto"/>
        </w:rPr>
      </w:pPr>
      <w:r>
        <w:rPr>
          <w:rFonts w:ascii="Arial" w:cs="Arial" w:eastAsia="Arial" w:hAnsi="Arial"/>
          <w:sz w:val="16"/>
          <w:szCs w:val="16"/>
          <w:color w:val="auto"/>
        </w:rPr>
        <w:t>Until such time, if ever, as we can generate substantial product revenues to support our cost structure, we expect to finance our cash needs through equity offerings, the Loan Agreement, debt financings, or other capital sources, including potential collaborations, licenses and other similar arrangements.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50" w:lineRule="exact"/>
        <w:rPr>
          <w:sz w:val="20"/>
          <w:szCs w:val="20"/>
          <w:color w:val="auto"/>
        </w:rPr>
      </w:pPr>
    </w:p>
    <w:p>
      <w:pPr>
        <w:ind w:right="260" w:firstLine="589"/>
        <w:spacing w:after="0" w:line="258" w:lineRule="auto"/>
        <w:rPr>
          <w:sz w:val="20"/>
          <w:szCs w:val="20"/>
          <w:color w:val="auto"/>
        </w:rPr>
      </w:pPr>
      <w:r>
        <w:rPr>
          <w:rFonts w:ascii="Arial" w:cs="Arial" w:eastAsia="Arial" w:hAnsi="Arial"/>
          <w:sz w:val="17"/>
          <w:szCs w:val="17"/>
          <w:color w:val="auto"/>
        </w:rPr>
        <w:t>Including our existing cash and cash equivalents, we believe that we have sufficient working capital on hand to fund operations such that there is no substantial doubt as to our ability to continue as a going concern at the date the financial statements were issued. There can be no assurance that we will be successful in acquiring additional funding, that our projections of future working capital needs will prove accurate, or that any additional funding would be sufficient to continue operations in future years. Based on our current operating plan, we believe that our existing cash and cash equivalents will be sufficient to meet our anticipated cash requirements into the fourth quarter of 2022.</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sets forth a summary of the net cash flow activity for each of the periods indicated (in thousands):</w:t>
      </w:r>
    </w:p>
    <w:p>
      <w:pPr>
        <w:spacing w:after="0" w:line="199"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Years Ended</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w w:val="95"/>
              </w:rPr>
              <w:t>$ Change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20" w:type="dxa"/>
            <w:vAlign w:val="bottom"/>
            <w:tcBorders>
              <w:bottom w:val="single" w:sz="8" w:color="CFF0FC"/>
            </w:tcBorders>
          </w:tcPr>
          <w:p>
            <w:pPr>
              <w:spacing w:after="0"/>
              <w:rPr>
                <w:sz w:val="12"/>
                <w:szCs w:val="12"/>
                <w:color w:val="auto"/>
              </w:rPr>
            </w:pPr>
          </w:p>
        </w:tc>
        <w:tc>
          <w:tcPr>
            <w:tcW w:w="15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22"/>
              <w:spacing w:after="0" w:line="147"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8"/>
              <w:spacing w:after="0" w:line="147"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7"/>
                <w:szCs w:val="17"/>
                <w:color w:val="auto"/>
              </w:rPr>
              <w:t>Net cash provided by (used in):</w:t>
            </w: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7"/>
                <w:szCs w:val="17"/>
                <w:color w:val="auto"/>
              </w:rPr>
              <w:t>Operating activities</w:t>
            </w:r>
          </w:p>
        </w:tc>
        <w:tc>
          <w:tcPr>
            <w:tcW w:w="1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(69,688)</w:t>
            </w:r>
          </w:p>
        </w:tc>
        <w:tc>
          <w:tcPr>
            <w:tcW w:w="4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(36,510)</w:t>
            </w: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(33,178)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Investing activities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(25,250)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24,210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2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Financing activities</w:t>
            </w:r>
          </w:p>
        </w:tc>
        <w:tc>
          <w:tcPr>
            <w:tcW w:w="15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114,459</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8"/>
              <w:spacing w:after="0"/>
              <w:rPr>
                <w:sz w:val="20"/>
                <w:szCs w:val="20"/>
                <w:color w:val="auto"/>
              </w:rPr>
            </w:pPr>
            <w:r>
              <w:rPr>
                <w:rFonts w:ascii="Arial" w:cs="Arial" w:eastAsia="Arial" w:hAnsi="Arial"/>
                <w:sz w:val="17"/>
                <w:szCs w:val="17"/>
                <w:color w:val="auto"/>
              </w:rPr>
              <w:t>304,646</w:t>
            </w: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(190,187)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7"/>
                <w:szCs w:val="17"/>
                <w:color w:val="auto"/>
              </w:rPr>
              <w:t>Net increase (decrease) in cash</w:t>
            </w: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ind w:right="22"/>
              <w:spacing w:after="0"/>
              <w:rPr>
                <w:sz w:val="20"/>
                <w:szCs w:val="20"/>
                <w:color w:val="auto"/>
              </w:rPr>
            </w:pPr>
            <w:r>
              <w:rPr>
                <w:rFonts w:ascii="Arial" w:cs="Arial" w:eastAsia="Arial" w:hAnsi="Arial"/>
                <w:sz w:val="17"/>
                <w:szCs w:val="17"/>
                <w:color w:val="auto"/>
              </w:rPr>
              <w:t>43,731</w:t>
            </w:r>
          </w:p>
        </w:tc>
        <w:tc>
          <w:tcPr>
            <w:tcW w:w="460" w:type="dxa"/>
            <w:vAlign w:val="bottom"/>
            <w:gridSpan w:val="2"/>
            <w:shd w:val="clear" w:color="auto" w:fill="CFF0FC"/>
          </w:tcPr>
          <w:p>
            <w:pPr>
              <w:jc w:val="right"/>
              <w:ind w:right="260"/>
              <w:spacing w:after="0"/>
              <w:rPr>
                <w:sz w:val="20"/>
                <w:szCs w:val="20"/>
                <w:color w:val="auto"/>
              </w:rPr>
            </w:pPr>
            <w:r>
              <w:rPr>
                <w:rFonts w:ascii="Arial" w:cs="Arial" w:eastAsia="Arial" w:hAnsi="Arial"/>
                <w:sz w:val="17"/>
                <w:szCs w:val="17"/>
                <w:color w:val="auto"/>
              </w:rPr>
              <w:t>$</w:t>
            </w:r>
          </w:p>
        </w:tc>
        <w:tc>
          <w:tcPr>
            <w:tcW w:w="820" w:type="dxa"/>
            <w:vAlign w:val="bottom"/>
            <w:shd w:val="clear" w:color="auto" w:fill="CFF0FC"/>
          </w:tcPr>
          <w:p>
            <w:pPr>
              <w:jc w:val="right"/>
              <w:ind w:right="38"/>
              <w:spacing w:after="0"/>
              <w:rPr>
                <w:sz w:val="20"/>
                <w:szCs w:val="20"/>
                <w:color w:val="auto"/>
              </w:rPr>
            </w:pPr>
            <w:r>
              <w:rPr>
                <w:rFonts w:ascii="Arial" w:cs="Arial" w:eastAsia="Arial" w:hAnsi="Arial"/>
                <w:sz w:val="17"/>
                <w:szCs w:val="17"/>
                <w:color w:val="auto"/>
              </w:rPr>
              <w:t>242,886</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77" w:lineRule="exact"/>
        <w:rPr>
          <w:sz w:val="20"/>
          <w:szCs w:val="20"/>
          <w:color w:val="auto"/>
        </w:rPr>
      </w:pPr>
    </w:p>
    <w:p>
      <w:pPr>
        <w:ind w:firstLine="589"/>
        <w:spacing w:after="0" w:line="255" w:lineRule="auto"/>
        <w:rPr>
          <w:sz w:val="20"/>
          <w:szCs w:val="20"/>
          <w:color w:val="auto"/>
        </w:rPr>
      </w:pPr>
      <w:r>
        <w:rPr>
          <w:rFonts w:ascii="Arial" w:cs="Arial" w:eastAsia="Arial" w:hAnsi="Arial"/>
          <w:sz w:val="17"/>
          <w:szCs w:val="17"/>
          <w:color w:val="auto"/>
        </w:rPr>
        <w:t>Net cash used in operating activities was approximately $69.7 million and $36.5 million for the years ended December 31, 2020 and 2019, respectively. The net cash used in operating activities for the year ended December 31, 2020 was due to approximately $121.4 million spent on ongoing research and development and general and administrative activities, partially offset by a $51.7 million net change in operating assets and liabilities. The net change in operating assets and liabilities primarily related to a $8.0 million decrease in prepaid clinical activities, and a $43.9 million increase in accounts payable and accrued expenses in support of the growth in our operating activities, partially offset by a $0.2 million increase in other long-term assets. The net cash used in operating activities for the year ended December 31, 2019 was due to approximately $27.0 million spent on ongoing research and development and general and administrative expenses and $9.5 million net change in operating assets and liabilities. The net change in operating assets and liabilities related to a $11.8 million increase in prepaid clinical activities and a $0.2 million increase in other long-term assets, partially offset by a $2.5 million decrease in accounts payable and accrued expenses.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90" w:lineRule="exact"/>
        <w:rPr>
          <w:sz w:val="20"/>
          <w:szCs w:val="20"/>
          <w:color w:val="auto"/>
        </w:rPr>
      </w:pPr>
    </w:p>
    <w:p>
      <w:pPr>
        <w:jc w:val="both"/>
        <w:ind w:right="440" w:firstLine="589"/>
        <w:spacing w:after="0" w:line="265" w:lineRule="auto"/>
        <w:rPr>
          <w:sz w:val="20"/>
          <w:szCs w:val="20"/>
          <w:color w:val="auto"/>
        </w:rPr>
      </w:pPr>
      <w:r>
        <w:rPr>
          <w:rFonts w:ascii="Arial" w:cs="Arial" w:eastAsia="Arial" w:hAnsi="Arial"/>
          <w:sz w:val="17"/>
          <w:szCs w:val="17"/>
          <w:color w:val="auto"/>
        </w:rPr>
        <w:t>Net cash used in investing activities for the year ended December 31, 2020 was primarily due to the cash we paid for acquiring property, plant and equipment. Net cash used in investing activities for the year ended December 31, 2019 was primarily due to the cash we paid, including transaction costs, to acquire the Takeda License.</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77" w:lineRule="exact"/>
        <w:rPr>
          <w:sz w:val="20"/>
          <w:szCs w:val="20"/>
          <w:color w:val="auto"/>
        </w:rPr>
      </w:pPr>
    </w:p>
    <w:p>
      <w:pPr>
        <w:ind w:right="120" w:firstLine="589"/>
        <w:spacing w:after="0" w:line="282" w:lineRule="auto"/>
        <w:rPr>
          <w:sz w:val="20"/>
          <w:szCs w:val="20"/>
          <w:color w:val="auto"/>
        </w:rPr>
      </w:pPr>
      <w:r>
        <w:rPr>
          <w:rFonts w:ascii="Arial" w:cs="Arial" w:eastAsia="Arial" w:hAnsi="Arial"/>
          <w:sz w:val="16"/>
          <w:szCs w:val="16"/>
          <w:color w:val="auto"/>
        </w:rPr>
        <w:t>Net cash provided by financing activities for the year ended December 31, 2020 was $114.4 million, due to $88.8 million of proceeds from our underwritten public offering, $25.0 million of proceeds from our commercial bank debt, and $0.6 million of proceeds related to stock option exercises during the year. Net cash provided by financing activities for the year ended December 31, 2019 was $304.6 million, due to $191.5 million of net proceeds from our IPO, $88.3 million of net proceeds from our issuance of convertible promissory notes, and $24.8 million of net proceeds from our commercial bank debt.</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40"/>
          </w:cols>
          <w:pgMar w:left="320" w:top="294" w:right="4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our contractual obligations as of December 31, 2020 (in thousands):</w:t>
      </w:r>
    </w:p>
    <w:p>
      <w:pPr>
        <w:spacing w:after="0" w:line="308" w:lineRule="exact"/>
        <w:rPr>
          <w:sz w:val="20"/>
          <w:szCs w:val="20"/>
          <w:color w:val="auto"/>
        </w:rPr>
      </w:pPr>
    </w:p>
    <w:tbl>
      <w:tblPr>
        <w:tblLayout w:type="fixed"/>
        <w:tblInd w:w="1700" w:type="dxa"/>
        <w:tblCellMar>
          <w:top w:w="0" w:type="dxa"/>
          <w:left w:w="0" w:type="dxa"/>
          <w:bottom w:w="0" w:type="dxa"/>
          <w:right w:w="0" w:type="dxa"/>
        </w:tblCellMar>
      </w:tblPr>
      <w:tr>
        <w:trPr>
          <w:trHeight w:val="164"/>
        </w:trPr>
        <w:tc>
          <w:tcPr>
            <w:tcW w:w="2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center"/>
              <w:ind w:right="141"/>
              <w:spacing w:after="0"/>
              <w:rPr>
                <w:sz w:val="20"/>
                <w:szCs w:val="20"/>
                <w:color w:val="auto"/>
              </w:rPr>
            </w:pPr>
            <w:r>
              <w:rPr>
                <w:rFonts w:ascii="Arial" w:cs="Arial" w:eastAsia="Arial" w:hAnsi="Arial"/>
                <w:sz w:val="14"/>
                <w:szCs w:val="14"/>
                <w:b w:val="1"/>
                <w:bCs w:val="1"/>
                <w:color w:val="auto"/>
                <w:w w:val="87"/>
              </w:rPr>
              <w:t>Payments Due by Period</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1"/>
              <w:spacing w:after="0"/>
              <w:rPr>
                <w:sz w:val="20"/>
                <w:szCs w:val="20"/>
                <w:color w:val="auto"/>
              </w:rPr>
            </w:pPr>
            <w:r>
              <w:rPr>
                <w:rFonts w:ascii="Arial" w:cs="Arial" w:eastAsia="Arial" w:hAnsi="Arial"/>
                <w:sz w:val="14"/>
                <w:szCs w:val="14"/>
                <w:b w:val="1"/>
                <w:bCs w:val="1"/>
                <w:color w:val="auto"/>
                <w:w w:val="94"/>
              </w:rPr>
              <w:t>Less than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141"/>
              <w:spacing w:after="0"/>
              <w:rPr>
                <w:sz w:val="20"/>
                <w:szCs w:val="20"/>
                <w:color w:val="auto"/>
              </w:rPr>
            </w:pPr>
            <w:r>
              <w:rPr>
                <w:rFonts w:ascii="Arial" w:cs="Arial" w:eastAsia="Arial" w:hAnsi="Arial"/>
                <w:sz w:val="14"/>
                <w:szCs w:val="14"/>
                <w:b w:val="1"/>
                <w:bCs w:val="1"/>
                <w:color w:val="auto"/>
                <w:w w:val="88"/>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281"/>
              <w:spacing w:after="0"/>
              <w:rPr>
                <w:sz w:val="20"/>
                <w:szCs w:val="20"/>
                <w:color w:val="auto"/>
              </w:rPr>
            </w:pPr>
            <w:r>
              <w:rPr>
                <w:rFonts w:ascii="Arial" w:cs="Arial" w:eastAsia="Arial" w:hAnsi="Arial"/>
                <w:sz w:val="14"/>
                <w:szCs w:val="14"/>
                <w:b w:val="1"/>
                <w:bCs w:val="1"/>
                <w:color w:val="auto"/>
              </w:rPr>
              <w:t>3-5</w:t>
            </w:r>
          </w:p>
        </w:tc>
        <w:tc>
          <w:tcPr>
            <w:tcW w:w="80" w:type="dxa"/>
            <w:vAlign w:val="bottom"/>
          </w:tcPr>
          <w:p>
            <w:pPr>
              <w:spacing w:after="0"/>
              <w:rPr>
                <w:sz w:val="18"/>
                <w:szCs w:val="18"/>
                <w:color w:val="auto"/>
              </w:rPr>
            </w:pPr>
          </w:p>
        </w:tc>
        <w:tc>
          <w:tcPr>
            <w:tcW w:w="800" w:type="dxa"/>
            <w:vAlign w:val="bottom"/>
            <w:gridSpan w:val="2"/>
          </w:tcPr>
          <w:p>
            <w:pPr>
              <w:jc w:val="center"/>
              <w:ind w:right="19"/>
              <w:spacing w:after="0"/>
              <w:rPr>
                <w:sz w:val="20"/>
                <w:szCs w:val="20"/>
                <w:color w:val="auto"/>
              </w:rPr>
            </w:pPr>
            <w:r>
              <w:rPr>
                <w:rFonts w:ascii="Arial" w:cs="Arial" w:eastAsia="Arial" w:hAnsi="Arial"/>
                <w:sz w:val="14"/>
                <w:szCs w:val="14"/>
                <w:b w:val="1"/>
                <w:bCs w:val="1"/>
                <w:color w:val="auto"/>
                <w:w w:val="92"/>
              </w:rPr>
              <w:t>More than</w:t>
            </w:r>
          </w:p>
        </w:tc>
        <w:tc>
          <w:tcPr>
            <w:tcW w:w="0" w:type="dxa"/>
            <w:vAlign w:val="bottom"/>
          </w:tcPr>
          <w:p>
            <w:pPr>
              <w:spacing w:after="0"/>
              <w:rPr>
                <w:sz w:val="1"/>
                <w:szCs w:val="1"/>
                <w:color w:val="auto"/>
              </w:rPr>
            </w:pPr>
          </w:p>
        </w:tc>
      </w:tr>
      <w:tr>
        <w:trPr>
          <w:trHeight w:val="164"/>
        </w:trPr>
        <w:tc>
          <w:tcPr>
            <w:tcW w:w="2760" w:type="dxa"/>
            <w:vAlign w:val="bottom"/>
            <w:tcBorders>
              <w:bottom w:val="single" w:sz="8" w:color="CFF0FC"/>
            </w:tcBorders>
          </w:tcPr>
          <w:p>
            <w:pPr>
              <w:spacing w:after="0"/>
              <w:rPr>
                <w:sz w:val="14"/>
                <w:szCs w:val="14"/>
                <w:color w:val="auto"/>
              </w:rPr>
            </w:pPr>
          </w:p>
        </w:tc>
        <w:tc>
          <w:tcPr>
            <w:tcW w:w="8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5"/>
              </w:rPr>
              <w:t>1 Year</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3"/>
              </w:rPr>
              <w:t>Years</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w w:val="94"/>
              </w:rPr>
              <w:t>Years</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198"/>
        </w:trPr>
        <w:tc>
          <w:tcPr>
            <w:tcW w:w="2760" w:type="dxa"/>
            <w:vAlign w:val="bottom"/>
            <w:shd w:val="clear" w:color="auto" w:fill="CFF0FC"/>
          </w:tcPr>
          <w:p>
            <w:pPr>
              <w:spacing w:after="0"/>
              <w:rPr>
                <w:sz w:val="20"/>
                <w:szCs w:val="20"/>
                <w:color w:val="auto"/>
              </w:rPr>
            </w:pPr>
            <w:r>
              <w:rPr>
                <w:rFonts w:ascii="Arial" w:cs="Arial" w:eastAsia="Arial" w:hAnsi="Arial"/>
                <w:sz w:val="17"/>
                <w:szCs w:val="17"/>
                <w:color w:val="auto"/>
              </w:rPr>
              <w:t>Total debt, including interest</w:t>
            </w: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FF0FC"/>
          </w:tcPr>
          <w:p>
            <w:pPr>
              <w:ind w:left="120"/>
              <w:spacing w:after="0"/>
              <w:rPr>
                <w:sz w:val="20"/>
                <w:szCs w:val="20"/>
                <w:color w:val="auto"/>
              </w:rPr>
            </w:pPr>
            <w:r>
              <w:rPr>
                <w:rFonts w:ascii="Arial" w:cs="Arial" w:eastAsia="Arial" w:hAnsi="Arial"/>
                <w:sz w:val="17"/>
                <w:szCs w:val="17"/>
                <w:color w:val="auto"/>
              </w:rPr>
              <w:t xml:space="preserve">and final payment fee </w:t>
            </w:r>
            <w:r>
              <w:rPr>
                <w:rFonts w:ascii="Arial" w:cs="Arial" w:eastAsia="Arial" w:hAnsi="Arial"/>
                <w:sz w:val="14"/>
                <w:szCs w:val="14"/>
                <w:color w:val="auto"/>
              </w:rPr>
              <w:t>(1)</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61,628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10,938</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39,076</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ind w:right="1"/>
              <w:spacing w:after="0"/>
              <w:rPr>
                <w:sz w:val="20"/>
                <w:szCs w:val="20"/>
                <w:color w:val="auto"/>
              </w:rPr>
            </w:pPr>
            <w:r>
              <w:rPr>
                <w:rFonts w:ascii="Arial" w:cs="Arial" w:eastAsia="Arial" w:hAnsi="Arial"/>
                <w:sz w:val="17"/>
                <w:szCs w:val="17"/>
                <w:color w:val="auto"/>
              </w:rPr>
              <w:t>11,614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760" w:type="dxa"/>
            <w:vAlign w:val="bottom"/>
          </w:tcPr>
          <w:p>
            <w:pPr>
              <w:spacing w:after="0"/>
              <w:rPr>
                <w:sz w:val="20"/>
                <w:szCs w:val="20"/>
                <w:color w:val="auto"/>
              </w:rPr>
            </w:pPr>
            <w:r>
              <w:rPr>
                <w:rFonts w:ascii="Arial" w:cs="Arial" w:eastAsia="Arial" w:hAnsi="Arial"/>
                <w:sz w:val="17"/>
                <w:szCs w:val="17"/>
                <w:color w:val="auto"/>
              </w:rPr>
              <w:t>Minimum operating lease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60" w:type="dxa"/>
            <w:vAlign w:val="bottom"/>
          </w:tcPr>
          <w:p>
            <w:pPr>
              <w:ind w:left="120"/>
              <w:spacing w:after="0"/>
              <w:rPr>
                <w:sz w:val="20"/>
                <w:szCs w:val="20"/>
                <w:color w:val="auto"/>
              </w:rPr>
            </w:pPr>
            <w:r>
              <w:rPr>
                <w:rFonts w:ascii="Arial" w:cs="Arial" w:eastAsia="Arial" w:hAnsi="Arial"/>
                <w:sz w:val="17"/>
                <w:szCs w:val="17"/>
                <w:color w:val="auto"/>
              </w:rPr>
              <w:t>payments</w:t>
            </w:r>
          </w:p>
        </w:tc>
        <w:tc>
          <w:tcPr>
            <w:tcW w:w="9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2,380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7"/>
                <w:szCs w:val="17"/>
                <w:color w:val="auto"/>
              </w:rPr>
              <w:t>490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21"/>
              <w:spacing w:after="0"/>
              <w:rPr>
                <w:sz w:val="20"/>
                <w:szCs w:val="20"/>
                <w:color w:val="auto"/>
              </w:rPr>
            </w:pPr>
            <w:r>
              <w:rPr>
                <w:rFonts w:ascii="Arial" w:cs="Arial" w:eastAsia="Arial" w:hAnsi="Arial"/>
                <w:sz w:val="17"/>
                <w:szCs w:val="17"/>
                <w:color w:val="auto"/>
              </w:rPr>
              <w:t>1,019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7"/>
                <w:szCs w:val="17"/>
                <w:color w:val="auto"/>
              </w:rPr>
              <w:t>871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76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Total</w:t>
            </w:r>
          </w:p>
        </w:tc>
        <w:tc>
          <w:tcPr>
            <w:tcW w:w="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60" w:type="dxa"/>
            <w:vAlign w:val="bottom"/>
            <w:vMerge w:val="continue"/>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64,008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11,428</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40,095</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ind w:right="1"/>
              <w:spacing w:after="0"/>
              <w:rPr>
                <w:sz w:val="20"/>
                <w:szCs w:val="20"/>
                <w:color w:val="auto"/>
              </w:rPr>
            </w:pPr>
            <w:r>
              <w:rPr>
                <w:rFonts w:ascii="Arial" w:cs="Arial" w:eastAsia="Arial" w:hAnsi="Arial"/>
                <w:sz w:val="17"/>
                <w:szCs w:val="17"/>
                <w:color w:val="auto"/>
              </w:rPr>
              <w:t>12,485</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FF0FC"/>
          </w:tcPr>
          <w:p>
            <w:pPr>
              <w:ind w:left="4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7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1700" w:right="2000" w:hanging="8"/>
        <w:spacing w:after="0" w:line="248" w:lineRule="auto"/>
        <w:tabs>
          <w:tab w:leader="none" w:pos="1906" w:val="left"/>
        </w:tabs>
        <w:numPr>
          <w:ilvl w:val="0"/>
          <w:numId w:val="67"/>
        </w:numPr>
        <w:rPr>
          <w:rFonts w:ascii="Arial" w:cs="Arial" w:eastAsia="Arial" w:hAnsi="Arial"/>
          <w:sz w:val="15"/>
          <w:szCs w:val="15"/>
          <w:color w:val="auto"/>
        </w:rPr>
      </w:pPr>
      <w:r>
        <w:rPr>
          <w:rFonts w:ascii="Arial" w:cs="Arial" w:eastAsia="Arial" w:hAnsi="Arial"/>
          <w:sz w:val="15"/>
          <w:szCs w:val="15"/>
          <w:color w:val="auto"/>
        </w:rPr>
        <w:t>Our outstanding long-term debt bears interest at a variable rate. The interest amounts included herein are based on the interest rate in effect as of December 31, 2020.</w:t>
      </w:r>
    </w:p>
    <w:p>
      <w:pPr>
        <w:spacing w:after="0" w:line="351" w:lineRule="exact"/>
        <w:rPr>
          <w:sz w:val="20"/>
          <w:szCs w:val="20"/>
          <w:color w:val="auto"/>
        </w:rPr>
      </w:pPr>
    </w:p>
    <w:p>
      <w:pPr>
        <w:ind w:right="60" w:firstLine="589"/>
        <w:spacing w:after="0" w:line="258" w:lineRule="auto"/>
        <w:rPr>
          <w:sz w:val="20"/>
          <w:szCs w:val="20"/>
          <w:color w:val="auto"/>
        </w:rPr>
      </w:pPr>
      <w:r>
        <w:rPr>
          <w:rFonts w:ascii="Arial" w:cs="Arial" w:eastAsia="Arial" w:hAnsi="Arial"/>
          <w:sz w:val="17"/>
          <w:szCs w:val="17"/>
          <w:color w:val="auto"/>
        </w:rPr>
        <w:t>In addition to the contractual obligations summarized above, on May 5, 2020, we entered into a Commercial Supply Agreement with Takeda, pursuant to which Takeda will supply commercial quantities of vonoprazan bulk drug product. We incurred $0.3 million of expenses related to the Commercial Supply Agreement during the year ended December 31, 2020. We have an estimated remaining minimum purchase obligation of approximately $2.2 million related to this agreement. As of December 31, 2020, we are unable to estimate the timing of future expenses and, therefore, any related payments are not included in the table above.</w:t>
      </w:r>
    </w:p>
    <w:p>
      <w:pPr>
        <w:spacing w:after="0" w:line="144" w:lineRule="exact"/>
        <w:rPr>
          <w:sz w:val="20"/>
          <w:szCs w:val="20"/>
          <w:color w:val="auto"/>
        </w:rPr>
      </w:pPr>
    </w:p>
    <w:p>
      <w:pPr>
        <w:ind w:right="100" w:firstLine="589"/>
        <w:spacing w:after="0" w:line="257" w:lineRule="auto"/>
        <w:rPr>
          <w:sz w:val="20"/>
          <w:szCs w:val="20"/>
          <w:color w:val="auto"/>
        </w:rPr>
      </w:pPr>
      <w:r>
        <w:rPr>
          <w:rFonts w:ascii="Arial" w:cs="Arial" w:eastAsia="Arial" w:hAnsi="Arial"/>
          <w:sz w:val="17"/>
          <w:szCs w:val="17"/>
          <w:color w:val="auto"/>
        </w:rPr>
        <w:t>Additionally, on December 30, 2020, we entered into a Supply and Packaging Services Agreement with Sandoz, pursuant to which Sandoz has agreed to supply commercial quantities of amoxicillin capsules and clarithromycin tablets, to package these antibiotics with vonoprazan, in finished convenience packs, and to supply us with these convenience packs. The supply agreement commits the Company to a minimum purchase obligation of approximately $3.8 million during the first 24-month period following the launch of the final product. As of December 31, 2020, we are unable to estimate the timing of future expenses and, therefore, any related payments are not included in the table above. We have not incurred any expenses under the agreement during the year ended December 31, 2020.</w:t>
      </w:r>
    </w:p>
    <w:p>
      <w:pPr>
        <w:spacing w:after="0" w:line="157" w:lineRule="exact"/>
        <w:rPr>
          <w:sz w:val="20"/>
          <w:szCs w:val="20"/>
          <w:color w:val="auto"/>
        </w:rPr>
      </w:pPr>
    </w:p>
    <w:p>
      <w:pPr>
        <w:ind w:firstLine="589"/>
        <w:spacing w:after="0" w:line="265" w:lineRule="auto"/>
        <w:rPr>
          <w:sz w:val="20"/>
          <w:szCs w:val="20"/>
          <w:color w:val="auto"/>
        </w:rPr>
      </w:pPr>
      <w:r>
        <w:rPr>
          <w:rFonts w:ascii="Arial" w:cs="Arial" w:eastAsia="Arial" w:hAnsi="Arial"/>
          <w:sz w:val="17"/>
          <w:szCs w:val="17"/>
          <w:color w:val="auto"/>
        </w:rPr>
        <w:t>We enter into contracts in the normal course of business for our contract research services, contract manufacturing services, professional services and other services and products for operating purposes. These contracts generally provide for termination after a notice period, and, therefore, are cancelable contracts and not included in the table above.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Significant Judgments and Estimates</w:t>
      </w:r>
    </w:p>
    <w:p>
      <w:pPr>
        <w:spacing w:after="0" w:line="183" w:lineRule="exact"/>
        <w:rPr>
          <w:sz w:val="20"/>
          <w:szCs w:val="20"/>
          <w:color w:val="auto"/>
        </w:rPr>
      </w:pPr>
    </w:p>
    <w:p>
      <w:pPr>
        <w:ind w:right="80" w:firstLine="589"/>
        <w:spacing w:after="0" w:line="298" w:lineRule="auto"/>
        <w:rPr>
          <w:sz w:val="20"/>
          <w:szCs w:val="20"/>
          <w:color w:val="auto"/>
        </w:rPr>
      </w:pPr>
      <w:r>
        <w:rPr>
          <w:rFonts w:ascii="Arial" w:cs="Arial" w:eastAsia="Arial" w:hAnsi="Arial"/>
          <w:sz w:val="15"/>
          <w:szCs w:val="15"/>
          <w:color w:val="auto"/>
        </w:rPr>
        <w:t>Our management’s discussion and analysis of our financial condition and results of operations is based on our financial statements, which have been prepared in accordance with generally accepted accounting principles in the United States, or GAAP. The preparation of our financial statements requires us to make estimates and assumptions that affect the reported amounts of assets, liabilities and expenses and the disclosure of contingent assets and liabilities in our financial statements and accompanying notes.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28" w:lineRule="exact"/>
        <w:rPr>
          <w:sz w:val="20"/>
          <w:szCs w:val="20"/>
          <w:color w:val="auto"/>
        </w:rPr>
      </w:pPr>
    </w:p>
    <w:p>
      <w:pPr>
        <w:ind w:right="100" w:firstLine="589"/>
        <w:spacing w:after="0" w:line="278" w:lineRule="auto"/>
        <w:rPr>
          <w:sz w:val="20"/>
          <w:szCs w:val="20"/>
          <w:color w:val="auto"/>
        </w:rPr>
      </w:pPr>
      <w:r>
        <w:rPr>
          <w:rFonts w:ascii="Arial" w:cs="Arial" w:eastAsia="Arial" w:hAnsi="Arial"/>
          <w:sz w:val="17"/>
          <w:szCs w:val="17"/>
          <w:color w:val="auto"/>
        </w:rPr>
        <w:t>While our significant accounting policies are more fully described in Note 1 to our financial statements, we believe that the following accounting policies are the most critical for fully understanding and evaluating our financial condition and results of operations.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88" w:right="35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b w:val="1"/>
          <w:bCs w:val="1"/>
          <w:i w:val="1"/>
          <w:iCs w:val="1"/>
          <w:color w:val="auto"/>
        </w:rPr>
        <w:t>Accrued Research and Development Expenses</w:t>
      </w:r>
    </w:p>
    <w:p>
      <w:pPr>
        <w:spacing w:after="0" w:line="190" w:lineRule="exact"/>
        <w:rPr>
          <w:sz w:val="20"/>
          <w:szCs w:val="20"/>
          <w:color w:val="auto"/>
        </w:rPr>
      </w:pPr>
    </w:p>
    <w:p>
      <w:pPr>
        <w:ind w:right="80" w:firstLine="589"/>
        <w:spacing w:after="0" w:line="256" w:lineRule="auto"/>
        <w:rPr>
          <w:sz w:val="20"/>
          <w:szCs w:val="20"/>
          <w:color w:val="auto"/>
        </w:rPr>
      </w:pPr>
      <w:r>
        <w:rPr>
          <w:rFonts w:ascii="Arial" w:cs="Arial" w:eastAsia="Arial" w:hAnsi="Arial"/>
          <w:sz w:val="17"/>
          <w:szCs w:val="17"/>
          <w:color w:val="auto"/>
        </w:rPr>
        <w:t>As part of the process of preparing our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47" w:lineRule="exact"/>
        <w:rPr>
          <w:sz w:val="20"/>
          <w:szCs w:val="20"/>
          <w:color w:val="auto"/>
        </w:rPr>
      </w:pPr>
    </w:p>
    <w:p>
      <w:pPr>
        <w:ind w:right="40" w:firstLine="589"/>
        <w:spacing w:after="0" w:line="275" w:lineRule="auto"/>
        <w:rPr>
          <w:sz w:val="20"/>
          <w:szCs w:val="20"/>
          <w:color w:val="auto"/>
        </w:rPr>
      </w:pPr>
      <w:r>
        <w:rPr>
          <w:rFonts w:ascii="Arial" w:cs="Arial" w:eastAsia="Arial" w:hAnsi="Arial"/>
          <w:sz w:val="16"/>
          <w:szCs w:val="16"/>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30" w:lineRule="exact"/>
        <w:rPr>
          <w:sz w:val="20"/>
          <w:szCs w:val="20"/>
          <w:color w:val="auto"/>
        </w:rPr>
      </w:pPr>
    </w:p>
    <w:p>
      <w:pPr>
        <w:ind w:right="320" w:firstLine="589"/>
        <w:spacing w:after="0" w:line="289" w:lineRule="auto"/>
        <w:rPr>
          <w:sz w:val="20"/>
          <w:szCs w:val="20"/>
          <w:color w:val="auto"/>
        </w:rPr>
      </w:pPr>
      <w:r>
        <w:rPr>
          <w:rFonts w:ascii="Arial" w:cs="Arial" w:eastAsia="Arial" w:hAnsi="Arial"/>
          <w:sz w:val="16"/>
          <w:szCs w:val="16"/>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In-Process Research and Development</w:t>
      </w:r>
    </w:p>
    <w:p>
      <w:pPr>
        <w:spacing w:after="0" w:line="177" w:lineRule="exact"/>
        <w:rPr>
          <w:sz w:val="20"/>
          <w:szCs w:val="20"/>
          <w:color w:val="auto"/>
        </w:rPr>
      </w:pPr>
    </w:p>
    <w:p>
      <w:pPr>
        <w:ind w:firstLine="589"/>
        <w:spacing w:after="0" w:line="306" w:lineRule="auto"/>
        <w:rPr>
          <w:sz w:val="20"/>
          <w:szCs w:val="20"/>
          <w:color w:val="auto"/>
        </w:rPr>
      </w:pPr>
      <w:r>
        <w:rPr>
          <w:rFonts w:ascii="Arial" w:cs="Arial" w:eastAsia="Arial" w:hAnsi="Arial"/>
          <w:sz w:val="15"/>
          <w:szCs w:val="15"/>
          <w:color w:val="auto"/>
        </w:rPr>
        <w:t>We evaluate whether acquired intangible assets are a business under applicable accounting standards. Additionally, we evaluate whether the acquired assets have a future alternative use. Intangible assets that do not have future alternative use, such as the Takeda License,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Warrant Liabilities and Convertible Promissory Notes</w:t>
      </w:r>
    </w:p>
    <w:p>
      <w:pPr>
        <w:spacing w:after="0" w:line="190" w:lineRule="exact"/>
        <w:rPr>
          <w:sz w:val="20"/>
          <w:szCs w:val="20"/>
          <w:color w:val="auto"/>
        </w:rPr>
      </w:pPr>
    </w:p>
    <w:p>
      <w:pPr>
        <w:ind w:right="180" w:firstLine="589"/>
        <w:spacing w:after="0" w:line="258" w:lineRule="auto"/>
        <w:rPr>
          <w:sz w:val="20"/>
          <w:szCs w:val="20"/>
          <w:color w:val="auto"/>
        </w:rPr>
      </w:pPr>
      <w:r>
        <w:rPr>
          <w:rFonts w:ascii="Arial" w:cs="Arial" w:eastAsia="Arial" w:hAnsi="Arial"/>
          <w:sz w:val="17"/>
          <w:szCs w:val="17"/>
          <w:color w:val="auto"/>
        </w:rPr>
        <w:t>As described above, our warrant liabilities and convertible promissory notes are revalued at each reporting period with changes in the fair value of the liabilities recorded as a component of other income (expense) in the statements of operations. There are significant judgments and estimates inherent in the determination of the fair value of these liabilities. If we had made different assumptions including, among others, those related to the timing and probability of various corporate scenarios, discount rates, volatilities and exit valuations, the carrying values of our warrant liabilities and convertible promissory notes, and our net loss and net loss per common share could have been significantly different.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77" w:lineRule="exact"/>
        <w:rPr>
          <w:sz w:val="20"/>
          <w:szCs w:val="20"/>
          <w:color w:val="auto"/>
        </w:rPr>
      </w:pPr>
    </w:p>
    <w:p>
      <w:pPr>
        <w:ind w:right="100" w:firstLine="589"/>
        <w:spacing w:after="0" w:line="256" w:lineRule="auto"/>
        <w:rPr>
          <w:sz w:val="20"/>
          <w:szCs w:val="20"/>
          <w:color w:val="auto"/>
        </w:rPr>
      </w:pPr>
      <w:r>
        <w:rPr>
          <w:rFonts w:ascii="Arial" w:cs="Arial" w:eastAsia="Arial" w:hAnsi="Arial"/>
          <w:sz w:val="17"/>
          <w:szCs w:val="17"/>
          <w:color w:val="auto"/>
        </w:rPr>
        <w:t>At the inception of any contractual arrangements we may enter into, we determine whether the contract contains a lease by assessing whether there is an identified asset and whether the contract conveys the right to control the use of the identified asset in exchange for consideration over a period of time. If both criteria are met, we record the associated lease liability and corresponding right-of-use asset upon commencement of the lease using either the implicit rate or a discount rate based on our credit-adjusted secured borrowing rate commensurate with the term of the lease. Additionally, we evaluate leases at their inception to determine if they are to be accounted for as an operating lease or a finance lease. We assess if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294" w:right="339" w:bottom="1440" w:gutter="0" w:footer="0" w:header="0"/>
        </w:sectPr>
      </w:pPr>
    </w:p>
    <w:bookmarkStart w:id="120" w:name="page121"/>
    <w:bookmarkEnd w:id="120"/>
    <w:p>
      <w:pPr>
        <w:ind w:right="100"/>
        <w:spacing w:after="0" w:line="293" w:lineRule="auto"/>
        <w:rPr>
          <w:sz w:val="20"/>
          <w:szCs w:val="20"/>
          <w:color w:val="auto"/>
        </w:rPr>
      </w:pPr>
      <w:r>
        <w:rPr>
          <w:rFonts w:ascii="Arial" w:cs="Arial" w:eastAsia="Arial" w:hAnsi="Arial"/>
          <w:sz w:val="15"/>
          <w:szCs w:val="15"/>
          <w:color w:val="auto"/>
        </w:rPr>
        <w:t>the end of the lease term, or if the underlying asset is of such a specialized nature that it is expected to have no alternative uses to the lessor at the end of the term. We account for leases that do not meet the finance lease criteria as operating leases, representing our right to use an underlying asset for the lease term. We also recognize operating lease liabilities as our obligation to make lease payments arising from the lease. We recognize operating lease liabilities with a term greater than one year and their corresponding right-of-use assets on the balance sheet at the commencement date of the lease based on the present value of lease payments over the expected lease term. As needed, we make certain adjustments to the right-of-use asset for items such as initial direct costs paid or incentives received. Because our leases do not typically provide an implicit rate, we utilize the rate of interest that we would have to pay to borrow on a collateralized basis over a similar term and in a similar economic environment. We recognize lease costs on a straight-line basis over the lease term and variable lease payments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we lease.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77" w:lineRule="exact"/>
        <w:rPr>
          <w:sz w:val="20"/>
          <w:szCs w:val="20"/>
          <w:color w:val="auto"/>
        </w:rPr>
      </w:pPr>
    </w:p>
    <w:p>
      <w:pPr>
        <w:ind w:right="60" w:firstLine="589"/>
        <w:spacing w:after="0" w:line="282" w:lineRule="auto"/>
        <w:rPr>
          <w:sz w:val="20"/>
          <w:szCs w:val="20"/>
          <w:color w:val="auto"/>
        </w:rPr>
      </w:pPr>
      <w:r>
        <w:rPr>
          <w:rFonts w:ascii="Arial" w:cs="Arial" w:eastAsia="Arial" w:hAnsi="Arial"/>
          <w:sz w:val="16"/>
          <w:szCs w:val="16"/>
          <w:color w:val="auto"/>
        </w:rPr>
        <w:t>Stock-based compensation expense represents the cost of the grant date fair value of equity awards recognized over the requisite service period of the awards (generally the vesting period) on a straight-line basis with forfeitures recognized as they occur. We use the Black-Scholes valuation model to determine the fair value of our stock awards. Through December 31, 2020, our stock-based compensation expense consisted of our issuance of restricted stock awards, for which the fair value is determined based on the fair value of the underlying common stock, stock options, and ESPP awards.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Company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JOBS Act</w:t>
      </w:r>
    </w:p>
    <w:p>
      <w:pPr>
        <w:spacing w:after="0" w:line="177" w:lineRule="exact"/>
        <w:rPr>
          <w:sz w:val="20"/>
          <w:szCs w:val="20"/>
          <w:color w:val="auto"/>
        </w:rPr>
      </w:pPr>
    </w:p>
    <w:p>
      <w:pPr>
        <w:ind w:firstLine="589"/>
        <w:spacing w:after="0" w:line="257" w:lineRule="auto"/>
        <w:rPr>
          <w:sz w:val="20"/>
          <w:szCs w:val="20"/>
          <w:color w:val="auto"/>
        </w:rPr>
      </w:pPr>
      <w:r>
        <w:rPr>
          <w:rFonts w:ascii="Arial" w:cs="Arial" w:eastAsia="Arial" w:hAnsi="Arial"/>
          <w:sz w:val="17"/>
          <w:szCs w:val="17"/>
          <w:color w:val="auto"/>
        </w:rPr>
        <w:t>As an emerging growth company under the Jumpstart Our Business Startups Act of 2012, or the JOBS Act, we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w:t>
      </w:r>
    </w:p>
    <w:p>
      <w:pPr>
        <w:spacing w:after="0" w:line="145" w:lineRule="exact"/>
        <w:rPr>
          <w:sz w:val="20"/>
          <w:szCs w:val="20"/>
          <w:color w:val="auto"/>
        </w:rPr>
      </w:pPr>
    </w:p>
    <w:p>
      <w:pPr>
        <w:ind w:right="120" w:firstLine="589"/>
        <w:spacing w:after="0" w:line="258" w:lineRule="auto"/>
        <w:rPr>
          <w:sz w:val="20"/>
          <w:szCs w:val="20"/>
          <w:color w:val="auto"/>
        </w:rPr>
      </w:pPr>
      <w:r>
        <w:rPr>
          <w:rFonts w:ascii="Arial" w:cs="Arial" w:eastAsia="Arial" w:hAnsi="Arial"/>
          <w:sz w:val="17"/>
          <w:szCs w:val="17"/>
          <w:color w:val="auto"/>
        </w:rPr>
        <w:t>We will remain an emerging growth company until the earliest of (i) the last day of the fiscal year following the fifth anniversary of the consummation of our IPO, (ii) the last day of the fiscal year in which we have total annual gross revenue of at least $1.07 billion,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77" w:lineRule="exact"/>
        <w:rPr>
          <w:sz w:val="20"/>
          <w:szCs w:val="20"/>
          <w:color w:val="auto"/>
        </w:rPr>
      </w:pPr>
    </w:p>
    <w:p>
      <w:pPr>
        <w:ind w:right="40" w:firstLine="589"/>
        <w:spacing w:after="0" w:line="278" w:lineRule="auto"/>
        <w:rPr>
          <w:sz w:val="20"/>
          <w:szCs w:val="20"/>
          <w:color w:val="auto"/>
        </w:rPr>
      </w:pPr>
      <w:r>
        <w:rPr>
          <w:rFonts w:ascii="Arial" w:cs="Arial" w:eastAsia="Arial" w:hAnsi="Arial"/>
          <w:sz w:val="17"/>
          <w:szCs w:val="17"/>
          <w:color w:val="auto"/>
        </w:rPr>
        <w:t>The information required by this item is included in Note 1, Organization, Basis of Presentation and Summary of Significant Accounting Policies included in Item 15 of this annual report.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During the periods presented we did not have, nor do we currently have, any off-balance sheet arrangements as defined under SEC rules.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294" w:right="359" w:bottom="1440" w:gutter="0" w:footer="0" w:header="0"/>
        </w:sectPr>
      </w:pPr>
    </w:p>
    <w:bookmarkStart w:id="121" w:name="page122"/>
    <w:bookmarkEnd w:id="121"/>
    <w:p>
      <w:pPr>
        <w:spacing w:after="0"/>
        <w:tabs>
          <w:tab w:leader="none" w:pos="124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77" w:lineRule="exact"/>
        <w:rPr>
          <w:sz w:val="20"/>
          <w:szCs w:val="20"/>
          <w:color w:val="auto"/>
        </w:rPr>
      </w:pPr>
    </w:p>
    <w:p>
      <w:pPr>
        <w:ind w:right="20" w:firstLine="589"/>
        <w:spacing w:after="0" w:line="265" w:lineRule="auto"/>
        <w:rPr>
          <w:sz w:val="20"/>
          <w:szCs w:val="20"/>
          <w:color w:val="auto"/>
        </w:rPr>
      </w:pPr>
      <w:r>
        <w:rPr>
          <w:rFonts w:ascii="Arial" w:cs="Arial" w:eastAsia="Arial" w:hAnsi="Arial"/>
          <w:sz w:val="17"/>
          <w:szCs w:val="17"/>
          <w:color w:val="auto"/>
        </w:rPr>
        <w:t>Our cash and cash equivalents consist of cash in readily available checking accounts and money market funds. As a result, the fair value of our portfolio is relatively insensitive to interest rate changes. Our long-term debt bears interest at a variable rate. A 10% increase or decrease in the interest rate on our long-term debt would not have a material effect on our financial position, results of operations or cash flows.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Effects of Inflation</w:t>
      </w:r>
    </w:p>
    <w:p>
      <w:pPr>
        <w:spacing w:after="0" w:line="190" w:lineRule="exact"/>
        <w:rPr>
          <w:sz w:val="20"/>
          <w:szCs w:val="20"/>
          <w:color w:val="auto"/>
        </w:rPr>
      </w:pPr>
    </w:p>
    <w:p>
      <w:pPr>
        <w:ind w:right="180" w:firstLine="589"/>
        <w:spacing w:after="0" w:line="278" w:lineRule="auto"/>
        <w:rPr>
          <w:sz w:val="20"/>
          <w:szCs w:val="20"/>
          <w:color w:val="auto"/>
        </w:rPr>
      </w:pPr>
      <w:r>
        <w:rPr>
          <w:rFonts w:ascii="Arial" w:cs="Arial" w:eastAsia="Arial" w:hAnsi="Arial"/>
          <w:sz w:val="17"/>
          <w:szCs w:val="17"/>
          <w:color w:val="auto"/>
        </w:rPr>
        <w:t>Inflation generally affects us by increasing our cost of labor and research and development contract costs. We do not believe inflation has had a material effect on our results of operations during the periods presented.</w:t>
      </w:r>
    </w:p>
    <w:p>
      <w:pPr>
        <w:spacing w:after="0" w:line="119"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183" w:lineRule="exact"/>
        <w:rPr>
          <w:sz w:val="20"/>
          <w:szCs w:val="20"/>
          <w:color w:val="auto"/>
        </w:rPr>
      </w:pPr>
    </w:p>
    <w:p>
      <w:pPr>
        <w:ind w:right="280" w:firstLine="589"/>
        <w:spacing w:after="0" w:line="278" w:lineRule="auto"/>
        <w:rPr>
          <w:sz w:val="20"/>
          <w:szCs w:val="20"/>
          <w:color w:val="auto"/>
        </w:rPr>
      </w:pPr>
      <w:r>
        <w:rPr>
          <w:rFonts w:ascii="Arial" w:cs="Arial" w:eastAsia="Arial" w:hAnsi="Arial"/>
          <w:sz w:val="17"/>
          <w:szCs w:val="17"/>
          <w:color w:val="auto"/>
        </w:rPr>
        <w:t>The financial statements required pursuant to this item are incorporated by reference herein from the applicable information included in Item 15 of this annual report and are presented beginning on page F-1.</w:t>
      </w:r>
    </w:p>
    <w:p>
      <w:pPr>
        <w:spacing w:after="0" w:line="132" w:lineRule="exact"/>
        <w:rPr>
          <w:sz w:val="20"/>
          <w:szCs w:val="20"/>
          <w:color w:val="auto"/>
        </w:rPr>
      </w:pPr>
    </w:p>
    <w:p>
      <w:pPr>
        <w:spacing w:after="0"/>
        <w:tabs>
          <w:tab w:leader="none" w:pos="112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171"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 Regarding the Effectiveness of Disclosure Controls and Procedures</w:t>
      </w:r>
    </w:p>
    <w:p>
      <w:pPr>
        <w:spacing w:after="0" w:line="183" w:lineRule="exact"/>
        <w:rPr>
          <w:sz w:val="20"/>
          <w:szCs w:val="20"/>
          <w:color w:val="auto"/>
        </w:rPr>
      </w:pPr>
    </w:p>
    <w:p>
      <w:pPr>
        <w:ind w:firstLine="589"/>
        <w:spacing w:after="0" w:line="272"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periodic and current reports that we file with the SEC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and not absolute assurance of achieving the desired control objectives. In reaching a reasonable level of assurance, management necessarily was required to apply its judgment in evaluating the cost-benefit relationship of possible controls and procedures. In addition,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38" w:lineRule="exact"/>
        <w:rPr>
          <w:sz w:val="20"/>
          <w:szCs w:val="20"/>
          <w:color w:val="auto"/>
        </w:rPr>
      </w:pPr>
    </w:p>
    <w:p>
      <w:pPr>
        <w:ind w:right="100" w:firstLine="589"/>
        <w:spacing w:after="0" w:line="261"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Based on such evaluation, our principal executive officer and principal financial officer have concluded that as of such date, our disclosure controls and procedures were effective at the reasonable assurance level.</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83" w:lineRule="exact"/>
        <w:rPr>
          <w:sz w:val="20"/>
          <w:szCs w:val="20"/>
          <w:color w:val="auto"/>
        </w:rPr>
      </w:pPr>
    </w:p>
    <w:p>
      <w:pPr>
        <w:ind w:right="40" w:firstLine="589"/>
        <w:spacing w:after="0" w:line="301"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Rules 13a-15(f) and 15d-15(f) of the Exchange Act). Internal control over financial reporting is a process designed under the supervision and with the participation of our management to provide reasonable assurance regarding the reliability of financial reporting and the preparation of financial statements for external purposes in accordance with accounting principles generally accepted in the United States of America. Management conducted an assessment of the effectiveness of our internal control over financial reporting based on the criteria set forth by the Committee of Sponsoring Organizations of the Treadway Commission in Internal</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288" w:right="379" w:bottom="1440" w:gutter="0" w:footer="0" w:header="0"/>
        </w:sectPr>
      </w:pPr>
    </w:p>
    <w:bookmarkStart w:id="122" w:name="page123"/>
    <w:bookmarkEnd w:id="122"/>
    <w:p>
      <w:pPr>
        <w:spacing w:after="0" w:line="278" w:lineRule="auto"/>
        <w:rPr>
          <w:sz w:val="20"/>
          <w:szCs w:val="20"/>
          <w:color w:val="auto"/>
        </w:rPr>
      </w:pPr>
      <w:r>
        <w:rPr>
          <w:rFonts w:ascii="Arial" w:cs="Arial" w:eastAsia="Arial" w:hAnsi="Arial"/>
          <w:sz w:val="17"/>
          <w:szCs w:val="17"/>
          <w:color w:val="auto"/>
        </w:rPr>
        <w:t>Control—Integrated Framework (2013 Framework). Based on this assessment, our management concluded that, as of December 31, 2020, our internal control over financial reporting was effective.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Attestation Report of the Registered Public Accounting Firm</w:t>
      </w:r>
    </w:p>
    <w:p>
      <w:pPr>
        <w:spacing w:after="0" w:line="183" w:lineRule="exact"/>
        <w:rPr>
          <w:sz w:val="20"/>
          <w:szCs w:val="20"/>
          <w:color w:val="auto"/>
        </w:rPr>
      </w:pPr>
    </w:p>
    <w:p>
      <w:pPr>
        <w:ind w:right="480" w:firstLine="589"/>
        <w:spacing w:after="0" w:line="278" w:lineRule="auto"/>
        <w:rPr>
          <w:sz w:val="20"/>
          <w:szCs w:val="20"/>
          <w:color w:val="auto"/>
        </w:rPr>
      </w:pPr>
      <w:r>
        <w:rPr>
          <w:rFonts w:ascii="Arial" w:cs="Arial" w:eastAsia="Arial" w:hAnsi="Arial"/>
          <w:sz w:val="17"/>
          <w:szCs w:val="17"/>
          <w:color w:val="auto"/>
        </w:rPr>
        <w:t>This annual report does not include an attestation report of our registered public accounting firm due to an exemption provided by the JOBS Act for “emerging growth companies.”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96" w:lineRule="exact"/>
        <w:rPr>
          <w:sz w:val="20"/>
          <w:szCs w:val="20"/>
          <w:color w:val="auto"/>
        </w:rPr>
      </w:pPr>
    </w:p>
    <w:p>
      <w:pPr>
        <w:ind w:right="500" w:firstLine="589"/>
        <w:spacing w:after="0" w:line="278" w:lineRule="auto"/>
        <w:rPr>
          <w:sz w:val="20"/>
          <w:szCs w:val="20"/>
          <w:color w:val="auto"/>
        </w:rPr>
      </w:pPr>
      <w:r>
        <w:rPr>
          <w:rFonts w:ascii="Arial" w:cs="Arial" w:eastAsia="Arial" w:hAnsi="Arial"/>
          <w:sz w:val="17"/>
          <w:szCs w:val="17"/>
          <w:color w:val="auto"/>
        </w:rPr>
        <w:t>There have been no changes in our internal control over financial reporting during the fourth quarter ended December 31, 2020 that have materially affected, or are reasonably likely to materially affect, our internal control over financial reporting.</w:t>
      </w:r>
    </w:p>
    <w:p>
      <w:pPr>
        <w:spacing w:after="0" w:line="119" w:lineRule="exact"/>
        <w:rPr>
          <w:sz w:val="20"/>
          <w:szCs w:val="20"/>
          <w:color w:val="auto"/>
        </w:rPr>
      </w:pPr>
    </w:p>
    <w:p>
      <w:pPr>
        <w:spacing w:after="0"/>
        <w:tabs>
          <w:tab w:leader="none" w:pos="122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294" w:right="379" w:bottom="1440" w:gutter="0" w:footer="0" w:header="0"/>
        </w:sectPr>
      </w:pPr>
    </w:p>
    <w:bookmarkStart w:id="123" w:name="page124"/>
    <w:bookmarkEnd w:id="123"/>
    <w:p>
      <w:pPr>
        <w:ind w:left="5280"/>
        <w:spacing w:after="0"/>
        <w:rPr>
          <w:sz w:val="20"/>
          <w:szCs w:val="20"/>
          <w:color w:val="auto"/>
        </w:rPr>
      </w:pPr>
      <w:r>
        <w:rPr>
          <w:rFonts w:ascii="Arial" w:cs="Arial" w:eastAsia="Arial" w:hAnsi="Arial"/>
          <w:sz w:val="17"/>
          <w:szCs w:val="17"/>
          <w:b w:val="1"/>
          <w:bCs w:val="1"/>
          <w:color w:val="auto"/>
        </w:rPr>
        <w:t>PART III</w:t>
      </w:r>
    </w:p>
    <w:p>
      <w:pPr>
        <w:spacing w:after="0" w:line="177"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196" w:lineRule="exact"/>
        <w:rPr>
          <w:sz w:val="20"/>
          <w:szCs w:val="20"/>
          <w:color w:val="auto"/>
        </w:rPr>
      </w:pPr>
    </w:p>
    <w:p>
      <w:pPr>
        <w:ind w:right="120" w:firstLine="589"/>
        <w:spacing w:after="0" w:line="261" w:lineRule="auto"/>
        <w:rPr>
          <w:sz w:val="20"/>
          <w:szCs w:val="20"/>
          <w:color w:val="auto"/>
        </w:rPr>
      </w:pPr>
      <w:r>
        <w:rPr>
          <w:rFonts w:ascii="Arial" w:cs="Arial" w:eastAsia="Arial" w:hAnsi="Arial"/>
          <w:sz w:val="17"/>
          <w:szCs w:val="17"/>
          <w:color w:val="auto"/>
        </w:rPr>
        <w:t>The information required by this item will be contained in our definitive proxy statement to be filed with the SEC in connection with our 2021 Annual Meeting of Stockholders, or the Definitive Proxy Statement, which is expected to be filed not later than 120 days after the end of our fiscal year ended December 31, 2020, under the headings “Election of Directors,” “Executive Officers,” and “Section 16(a) Beneficial Ownership Reporting Compliance,” and is incorporated herein by reference.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Conduct and Ethics</w:t>
      </w:r>
    </w:p>
    <w:p>
      <w:pPr>
        <w:spacing w:after="0" w:line="183" w:lineRule="exact"/>
        <w:rPr>
          <w:sz w:val="20"/>
          <w:szCs w:val="20"/>
          <w:color w:val="auto"/>
        </w:rPr>
      </w:pPr>
    </w:p>
    <w:p>
      <w:pPr>
        <w:ind w:firstLine="589"/>
        <w:spacing w:after="0" w:line="256" w:lineRule="auto"/>
        <w:rPr>
          <w:sz w:val="20"/>
          <w:szCs w:val="20"/>
          <w:color w:val="auto"/>
        </w:rPr>
      </w:pPr>
      <w:r>
        <w:rPr>
          <w:rFonts w:ascii="Arial" w:cs="Arial" w:eastAsia="Arial" w:hAnsi="Arial"/>
          <w:sz w:val="17"/>
          <w:szCs w:val="17"/>
          <w:color w:val="auto"/>
        </w:rPr>
        <w:t>We have adopted a Code of Conduct and Ethics that applies to our officers, directors and employees, which is available on our website at www.phathompharma.com. The Code of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53" w:lineRule="exact"/>
        <w:rPr>
          <w:sz w:val="20"/>
          <w:szCs w:val="20"/>
          <w:color w:val="auto"/>
        </w:rPr>
      </w:pPr>
    </w:p>
    <w:p>
      <w:pPr>
        <w:spacing w:after="0"/>
        <w:tabs>
          <w:tab w:leader="none" w:pos="118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83" w:lineRule="exact"/>
        <w:rPr>
          <w:sz w:val="20"/>
          <w:szCs w:val="20"/>
          <w:color w:val="auto"/>
        </w:rPr>
      </w:pPr>
    </w:p>
    <w:p>
      <w:pPr>
        <w:ind w:right="320" w:firstLine="589"/>
        <w:spacing w:after="0" w:line="278" w:lineRule="auto"/>
        <w:rPr>
          <w:sz w:val="20"/>
          <w:szCs w:val="20"/>
          <w:color w:val="auto"/>
        </w:rPr>
      </w:pPr>
      <w:r>
        <w:rPr>
          <w:rFonts w:ascii="Arial" w:cs="Arial" w:eastAsia="Arial" w:hAnsi="Arial"/>
          <w:sz w:val="17"/>
          <w:szCs w:val="17"/>
          <w:color w:val="auto"/>
        </w:rPr>
        <w:t>The information required by this item will be set forth in the section headed “Executive Compensation and Other Information” in our Definitive Proxy Statement and is incorporated herein by reference.</w:t>
      </w:r>
    </w:p>
    <w:p>
      <w:pPr>
        <w:spacing w:after="0" w:line="119"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196" w:lineRule="exact"/>
        <w:rPr>
          <w:sz w:val="20"/>
          <w:szCs w:val="20"/>
          <w:color w:val="auto"/>
        </w:rPr>
      </w:pPr>
    </w:p>
    <w:p>
      <w:pPr>
        <w:ind w:right="180" w:firstLine="589"/>
        <w:spacing w:after="0" w:line="278" w:lineRule="auto"/>
        <w:rPr>
          <w:sz w:val="20"/>
          <w:szCs w:val="20"/>
          <w:color w:val="auto"/>
        </w:rPr>
      </w:pPr>
      <w:r>
        <w:rPr>
          <w:rFonts w:ascii="Arial" w:cs="Arial" w:eastAsia="Arial" w:hAnsi="Arial"/>
          <w:sz w:val="17"/>
          <w:szCs w:val="17"/>
          <w:color w:val="auto"/>
        </w:rPr>
        <w:t>The information required by this item will be set forth in the section headed “Security Ownership of Certain Beneficial Owners and Management” in our Definitive Proxy Statement and is incorporated herein by reference.</w:t>
      </w:r>
    </w:p>
    <w:p>
      <w:pPr>
        <w:spacing w:after="0" w:line="125" w:lineRule="exact"/>
        <w:rPr>
          <w:sz w:val="20"/>
          <w:szCs w:val="20"/>
          <w:color w:val="auto"/>
        </w:rPr>
      </w:pPr>
    </w:p>
    <w:p>
      <w:pPr>
        <w:ind w:right="400" w:firstLine="589"/>
        <w:spacing w:after="0" w:line="278" w:lineRule="auto"/>
        <w:rPr>
          <w:sz w:val="20"/>
          <w:szCs w:val="20"/>
          <w:color w:val="auto"/>
        </w:rPr>
      </w:pPr>
      <w:r>
        <w:rPr>
          <w:rFonts w:ascii="Arial" w:cs="Arial" w:eastAsia="Arial" w:hAnsi="Arial"/>
          <w:sz w:val="17"/>
          <w:szCs w:val="17"/>
          <w:color w:val="auto"/>
        </w:rPr>
        <w:t>The information required by Item 201(d) of Regulation S-K will be set forth in the section headed “Executive Compensation” in our Definitive Proxy Statement and is incorporated herein by reference.</w:t>
      </w:r>
    </w:p>
    <w:p>
      <w:pPr>
        <w:spacing w:after="0" w:line="119"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196" w:lineRule="exact"/>
        <w:rPr>
          <w:sz w:val="20"/>
          <w:szCs w:val="20"/>
          <w:color w:val="auto"/>
        </w:rPr>
      </w:pPr>
    </w:p>
    <w:p>
      <w:pPr>
        <w:ind w:right="920" w:firstLine="589"/>
        <w:spacing w:after="0" w:line="310" w:lineRule="auto"/>
        <w:rPr>
          <w:sz w:val="20"/>
          <w:szCs w:val="20"/>
          <w:color w:val="auto"/>
        </w:rPr>
      </w:pPr>
      <w:r>
        <w:rPr>
          <w:rFonts w:ascii="Arial" w:cs="Arial" w:eastAsia="Arial" w:hAnsi="Arial"/>
          <w:sz w:val="16"/>
          <w:szCs w:val="16"/>
          <w:color w:val="auto"/>
        </w:rPr>
        <w:t>The information required by this item will be set forth in the section headed “Certain Relationships and Related Person Transactions,” “Board Independence” and “Committees of the Board of Directors” in our Definitive Proxy Statement and is incorporated herein by reference.</w:t>
      </w:r>
    </w:p>
    <w:p>
      <w:pPr>
        <w:spacing w:after="0" w:line="97"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83" w:lineRule="exact"/>
        <w:rPr>
          <w:sz w:val="20"/>
          <w:szCs w:val="20"/>
          <w:color w:val="auto"/>
        </w:rPr>
      </w:pPr>
    </w:p>
    <w:p>
      <w:pPr>
        <w:ind w:right="220" w:firstLine="589"/>
        <w:spacing w:after="0" w:line="278" w:lineRule="auto"/>
        <w:rPr>
          <w:sz w:val="20"/>
          <w:szCs w:val="20"/>
          <w:color w:val="auto"/>
        </w:rPr>
      </w:pPr>
      <w:r>
        <w:rPr>
          <w:rFonts w:ascii="Arial" w:cs="Arial" w:eastAsia="Arial" w:hAnsi="Arial"/>
          <w:sz w:val="17"/>
          <w:szCs w:val="17"/>
          <w:color w:val="auto"/>
        </w:rPr>
        <w:t>The information required by this item will be set forth in the section headed “Independent Registered Public Accountants’ Fees” in our Definitive Proxy Statement and is incorporated herein by reference.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ind w:right="-119"/>
        <w:spacing w:after="0"/>
        <w:rPr>
          <w:sz w:val="20"/>
          <w:szCs w:val="20"/>
          <w:color w:val="auto"/>
        </w:rPr>
      </w:pPr>
      <w:r>
        <w:rPr>
          <w:rFonts w:ascii="Arial" w:cs="Arial" w:eastAsia="Arial" w:hAnsi="Arial"/>
          <w:sz w:val="17"/>
          <w:szCs w:val="17"/>
          <w:b w:val="1"/>
          <w:bCs w:val="1"/>
          <w:color w:val="auto"/>
        </w:rPr>
        <w:t>PART IV</w:t>
      </w:r>
    </w:p>
    <w:p>
      <w:pPr>
        <w:spacing w:after="0" w:line="177"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190" w:lineRule="exact"/>
        <w:rPr>
          <w:sz w:val="20"/>
          <w:szCs w:val="20"/>
          <w:color w:val="auto"/>
        </w:rPr>
      </w:pPr>
    </w:p>
    <w:p>
      <w:pPr>
        <w:ind w:left="580" w:hanging="577"/>
        <w:spacing w:after="0"/>
        <w:tabs>
          <w:tab w:leader="none" w:pos="58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All financial statements.</w:t>
      </w:r>
    </w:p>
    <w:p>
      <w:pPr>
        <w:spacing w:after="0" w:line="183" w:lineRule="exact"/>
        <w:rPr>
          <w:sz w:val="20"/>
          <w:szCs w:val="20"/>
          <w:color w:val="auto"/>
        </w:rPr>
      </w:pPr>
    </w:p>
    <w:p>
      <w:pPr>
        <w:ind w:right="360" w:firstLine="589"/>
        <w:spacing w:after="0" w:line="278" w:lineRule="auto"/>
        <w:rPr>
          <w:sz w:val="20"/>
          <w:szCs w:val="20"/>
          <w:color w:val="auto"/>
        </w:rPr>
      </w:pPr>
      <w:r>
        <w:rPr>
          <w:rFonts w:ascii="Arial" w:cs="Arial" w:eastAsia="Arial" w:hAnsi="Arial"/>
          <w:sz w:val="17"/>
          <w:szCs w:val="17"/>
          <w:color w:val="auto"/>
        </w:rPr>
        <w:t>The financial statements of Phathom Pharmaceuticals, Inc., together with the report thereon of Ernst &amp; Young LLP, an independent registered public accounting firm, are included in this annual report on Form 10-K beginning on page F-1.</w:t>
      </w:r>
    </w:p>
    <w:p>
      <w:pPr>
        <w:spacing w:after="0" w:line="119" w:lineRule="exact"/>
        <w:rPr>
          <w:sz w:val="20"/>
          <w:szCs w:val="20"/>
          <w:color w:val="auto"/>
        </w:rPr>
      </w:pPr>
    </w:p>
    <w:p>
      <w:pPr>
        <w:ind w:left="580" w:hanging="577"/>
        <w:spacing w:after="0"/>
        <w:tabs>
          <w:tab w:leader="none" w:pos="580"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statement schedules.</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All schedules have been omitted because the information required to be set forth therein is not applicable or is shown in the financial statements or notes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thereto.</w:t>
      </w:r>
    </w:p>
    <w:p>
      <w:pPr>
        <w:spacing w:after="0" w:line="160" w:lineRule="exact"/>
        <w:rPr>
          <w:sz w:val="20"/>
          <w:szCs w:val="20"/>
          <w:color w:val="auto"/>
        </w:rPr>
      </w:pPr>
    </w:p>
    <w:p>
      <w:pPr>
        <w:ind w:left="580" w:hanging="577"/>
        <w:spacing w:after="0"/>
        <w:tabs>
          <w:tab w:leader="none" w:pos="58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Exhibits</w:t>
      </w:r>
    </w:p>
    <w:p>
      <w:pPr>
        <w:spacing w:after="0" w:line="183" w:lineRule="exact"/>
        <w:rPr>
          <w:sz w:val="20"/>
          <w:szCs w:val="20"/>
          <w:color w:val="auto"/>
        </w:rPr>
      </w:pPr>
    </w:p>
    <w:p>
      <w:pPr>
        <w:ind w:firstLine="589"/>
        <w:spacing w:after="0" w:line="278" w:lineRule="auto"/>
        <w:rPr>
          <w:sz w:val="20"/>
          <w:szCs w:val="20"/>
          <w:color w:val="auto"/>
        </w:rPr>
      </w:pPr>
      <w:r>
        <w:rPr>
          <w:rFonts w:ascii="Arial" w:cs="Arial" w:eastAsia="Arial" w:hAnsi="Arial"/>
          <w:sz w:val="17"/>
          <w:szCs w:val="17"/>
          <w:color w:val="auto"/>
        </w:rPr>
        <w:t>A list of exhibits is set forth on the Exhibit Index immediately preceding the signature page of this annual report on Form 10-K and is incorporated herein by reference.</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23"/>
        </w:trPr>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40" w:type="dxa"/>
            <w:vAlign w:val="bottom"/>
            <w:gridSpan w:val="3"/>
          </w:tcPr>
          <w:p>
            <w:pPr>
              <w:jc w:val="center"/>
              <w:ind w:right="4260"/>
              <w:spacing w:after="0"/>
              <w:rPr>
                <w:sz w:val="20"/>
                <w:szCs w:val="20"/>
                <w:color w:val="auto"/>
              </w:rPr>
            </w:pPr>
            <w:r>
              <w:rPr>
                <w:rFonts w:ascii="Arial" w:cs="Arial" w:eastAsia="Arial" w:hAnsi="Arial"/>
                <w:sz w:val="17"/>
                <w:szCs w:val="17"/>
                <w:b w:val="1"/>
                <w:bCs w:val="1"/>
                <w:color w:val="auto"/>
                <w:w w:val="91"/>
              </w:rPr>
              <w:t>Phathom Pharmaceuticals, Inc.</w:t>
            </w:r>
          </w:p>
        </w:tc>
      </w:tr>
      <w:tr>
        <w:trPr>
          <w:trHeight w:val="308"/>
        </w:trPr>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40" w:type="dxa"/>
            <w:vAlign w:val="bottom"/>
            <w:gridSpan w:val="3"/>
          </w:tcPr>
          <w:p>
            <w:pPr>
              <w:jc w:val="center"/>
              <w:ind w:right="4260"/>
              <w:spacing w:after="0"/>
              <w:rPr>
                <w:sz w:val="20"/>
                <w:szCs w:val="20"/>
                <w:color w:val="auto"/>
              </w:rPr>
            </w:pPr>
            <w:r>
              <w:rPr>
                <w:rFonts w:ascii="Arial" w:cs="Arial" w:eastAsia="Arial" w:hAnsi="Arial"/>
                <w:sz w:val="17"/>
                <w:szCs w:val="17"/>
                <w:b w:val="1"/>
                <w:bCs w:val="1"/>
                <w:color w:val="auto"/>
                <w:w w:val="90"/>
              </w:rPr>
              <w:t>Index to Financial Statements</w:t>
            </w:r>
          </w:p>
        </w:tc>
      </w:tr>
      <w:tr>
        <w:trPr>
          <w:trHeight w:val="348"/>
        </w:trPr>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237"/>
        </w:trPr>
        <w:tc>
          <w:tcPr>
            <w:tcW w:w="4020" w:type="dxa"/>
            <w:vAlign w:val="bottom"/>
            <w:tcBorders>
              <w:bottom w:val="single" w:sz="8" w:color="0000EE"/>
            </w:tcBorders>
            <w:gridSpan w:val="6"/>
          </w:tcPr>
          <w:p>
            <w:pPr>
              <w:spacing w:after="0"/>
              <w:rPr>
                <w:rFonts w:ascii="Arial" w:cs="Arial" w:eastAsia="Arial" w:hAnsi="Arial"/>
                <w:sz w:val="17"/>
                <w:szCs w:val="17"/>
                <w:color w:val="0000EE"/>
                <w:w w:val="92"/>
              </w:rPr>
            </w:pPr>
            <w:hyperlink w:anchor="page127">
              <w:r>
                <w:rPr>
                  <w:rFonts w:ascii="Arial" w:cs="Arial" w:eastAsia="Arial" w:hAnsi="Arial"/>
                  <w:sz w:val="17"/>
                  <w:szCs w:val="17"/>
                  <w:color w:val="0000EE"/>
                  <w:w w:val="92"/>
                </w:rPr>
                <w:t>Report of Independent Registered Public Accounting Firm</w:t>
              </w:r>
            </w:hyperlink>
          </w:p>
        </w:tc>
        <w:tc>
          <w:tcPr>
            <w:tcW w:w="22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700" w:type="dxa"/>
            <w:vAlign w:val="bottom"/>
            <w:gridSpan w:val="2"/>
          </w:tcPr>
          <w:p>
            <w:pPr>
              <w:ind w:left="420"/>
              <w:spacing w:after="0"/>
              <w:rPr>
                <w:sz w:val="20"/>
                <w:szCs w:val="20"/>
                <w:color w:val="auto"/>
              </w:rPr>
            </w:pPr>
            <w:r>
              <w:rPr>
                <w:rFonts w:ascii="Arial" w:cs="Arial" w:eastAsia="Arial" w:hAnsi="Arial"/>
                <w:sz w:val="17"/>
                <w:szCs w:val="17"/>
                <w:color w:val="auto"/>
              </w:rPr>
              <w:t>F-2</w:t>
            </w:r>
          </w:p>
        </w:tc>
      </w:tr>
      <w:tr>
        <w:trPr>
          <w:trHeight w:val="186"/>
        </w:trPr>
        <w:tc>
          <w:tcPr>
            <w:tcW w:w="4240" w:type="dxa"/>
            <w:vAlign w:val="bottom"/>
            <w:gridSpan w:val="7"/>
          </w:tcPr>
          <w:p>
            <w:pPr>
              <w:spacing w:after="0" w:line="185" w:lineRule="exact"/>
              <w:rPr>
                <w:rFonts w:ascii="Arial" w:cs="Arial" w:eastAsia="Arial" w:hAnsi="Arial"/>
                <w:sz w:val="17"/>
                <w:szCs w:val="17"/>
                <w:color w:val="0000EE"/>
              </w:rPr>
            </w:pPr>
            <w:hyperlink w:anchor="page128">
              <w:r>
                <w:rPr>
                  <w:rFonts w:ascii="Arial" w:cs="Arial" w:eastAsia="Arial" w:hAnsi="Arial"/>
                  <w:sz w:val="17"/>
                  <w:szCs w:val="17"/>
                  <w:color w:val="0000EE"/>
                </w:rPr>
                <w:t>Balance Sheets</w:t>
              </w:r>
            </w:hyperlink>
          </w:p>
        </w:tc>
        <w:tc>
          <w:tcPr>
            <w:tcW w:w="6340" w:type="dxa"/>
            <w:vAlign w:val="bottom"/>
          </w:tcPr>
          <w:p>
            <w:pPr>
              <w:spacing w:after="0"/>
              <w:rPr>
                <w:sz w:val="16"/>
                <w:szCs w:val="16"/>
                <w:color w:val="auto"/>
              </w:rPr>
            </w:pPr>
          </w:p>
        </w:tc>
        <w:tc>
          <w:tcPr>
            <w:tcW w:w="700" w:type="dxa"/>
            <w:vAlign w:val="bottom"/>
            <w:gridSpan w:val="2"/>
          </w:tcPr>
          <w:p>
            <w:pPr>
              <w:ind w:left="420"/>
              <w:spacing w:after="0" w:line="185" w:lineRule="exact"/>
              <w:rPr>
                <w:sz w:val="20"/>
                <w:szCs w:val="20"/>
                <w:color w:val="auto"/>
              </w:rPr>
            </w:pPr>
            <w:r>
              <w:rPr>
                <w:rFonts w:ascii="Arial" w:cs="Arial" w:eastAsia="Arial" w:hAnsi="Arial"/>
                <w:sz w:val="17"/>
                <w:szCs w:val="17"/>
                <w:color w:val="auto"/>
              </w:rPr>
              <w:t>F-3</w:t>
            </w:r>
          </w:p>
        </w:tc>
      </w:tr>
      <w:tr>
        <w:trPr>
          <w:trHeight w:val="20"/>
        </w:trPr>
        <w:tc>
          <w:tcPr>
            <w:tcW w:w="104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6"/>
        </w:trPr>
        <w:tc>
          <w:tcPr>
            <w:tcW w:w="4240" w:type="dxa"/>
            <w:vAlign w:val="bottom"/>
            <w:gridSpan w:val="7"/>
          </w:tcPr>
          <w:p>
            <w:pPr>
              <w:spacing w:after="0" w:line="185" w:lineRule="exact"/>
              <w:rPr>
                <w:rFonts w:ascii="Arial" w:cs="Arial" w:eastAsia="Arial" w:hAnsi="Arial"/>
                <w:sz w:val="17"/>
                <w:szCs w:val="17"/>
                <w:color w:val="0000EE"/>
              </w:rPr>
            </w:pPr>
            <w:hyperlink w:anchor="page129">
              <w:r>
                <w:rPr>
                  <w:rFonts w:ascii="Arial" w:cs="Arial" w:eastAsia="Arial" w:hAnsi="Arial"/>
                  <w:sz w:val="17"/>
                  <w:szCs w:val="17"/>
                  <w:color w:val="0000EE"/>
                </w:rPr>
                <w:t>Statements of Operations and Comprehensive Loss</w:t>
              </w:r>
            </w:hyperlink>
          </w:p>
        </w:tc>
        <w:tc>
          <w:tcPr>
            <w:tcW w:w="6340" w:type="dxa"/>
            <w:vAlign w:val="bottom"/>
          </w:tcPr>
          <w:p>
            <w:pPr>
              <w:spacing w:after="0"/>
              <w:rPr>
                <w:sz w:val="16"/>
                <w:szCs w:val="16"/>
                <w:color w:val="auto"/>
              </w:rPr>
            </w:pPr>
          </w:p>
        </w:tc>
        <w:tc>
          <w:tcPr>
            <w:tcW w:w="700" w:type="dxa"/>
            <w:vAlign w:val="bottom"/>
            <w:gridSpan w:val="2"/>
          </w:tcPr>
          <w:p>
            <w:pPr>
              <w:ind w:left="420"/>
              <w:spacing w:after="0" w:line="185" w:lineRule="exact"/>
              <w:rPr>
                <w:sz w:val="20"/>
                <w:szCs w:val="20"/>
                <w:color w:val="auto"/>
              </w:rPr>
            </w:pPr>
            <w:r>
              <w:rPr>
                <w:rFonts w:ascii="Arial" w:cs="Arial" w:eastAsia="Arial" w:hAnsi="Arial"/>
                <w:sz w:val="17"/>
                <w:szCs w:val="17"/>
                <w:color w:val="auto"/>
              </w:rPr>
              <w:t>F-4</w:t>
            </w:r>
          </w:p>
        </w:tc>
      </w:tr>
      <w:tr>
        <w:trPr>
          <w:trHeight w:val="186"/>
        </w:trPr>
        <w:tc>
          <w:tcPr>
            <w:tcW w:w="3500" w:type="dxa"/>
            <w:vAlign w:val="bottom"/>
            <w:tcBorders>
              <w:top w:val="single" w:sz="8" w:color="0000EE"/>
            </w:tcBorders>
            <w:gridSpan w:val="5"/>
          </w:tcPr>
          <w:p>
            <w:pPr>
              <w:spacing w:after="0" w:line="185" w:lineRule="exact"/>
              <w:rPr>
                <w:rFonts w:ascii="Arial" w:cs="Arial" w:eastAsia="Arial" w:hAnsi="Arial"/>
                <w:sz w:val="17"/>
                <w:szCs w:val="17"/>
                <w:color w:val="0000EE"/>
              </w:rPr>
            </w:pPr>
            <w:hyperlink w:anchor="page130">
              <w:r>
                <w:rPr>
                  <w:rFonts w:ascii="Arial" w:cs="Arial" w:eastAsia="Arial" w:hAnsi="Arial"/>
                  <w:sz w:val="17"/>
                  <w:szCs w:val="17"/>
                  <w:color w:val="0000EE"/>
                </w:rPr>
                <w:t>Statements of Stockholders’ Equity (Deficit)</w:t>
              </w:r>
            </w:hyperlink>
          </w:p>
        </w:tc>
        <w:tc>
          <w:tcPr>
            <w:tcW w:w="740" w:type="dxa"/>
            <w:vAlign w:val="bottom"/>
            <w:gridSpan w:val="2"/>
          </w:tcPr>
          <w:p>
            <w:pPr>
              <w:spacing w:after="0"/>
              <w:rPr>
                <w:sz w:val="16"/>
                <w:szCs w:val="16"/>
                <w:color w:val="auto"/>
              </w:rPr>
            </w:pPr>
          </w:p>
        </w:tc>
        <w:tc>
          <w:tcPr>
            <w:tcW w:w="6340" w:type="dxa"/>
            <w:vAlign w:val="bottom"/>
          </w:tcPr>
          <w:p>
            <w:pPr>
              <w:spacing w:after="0"/>
              <w:rPr>
                <w:sz w:val="16"/>
                <w:szCs w:val="16"/>
                <w:color w:val="auto"/>
              </w:rPr>
            </w:pPr>
          </w:p>
        </w:tc>
        <w:tc>
          <w:tcPr>
            <w:tcW w:w="700" w:type="dxa"/>
            <w:vAlign w:val="bottom"/>
            <w:gridSpan w:val="2"/>
          </w:tcPr>
          <w:p>
            <w:pPr>
              <w:ind w:left="420"/>
              <w:spacing w:after="0" w:line="185" w:lineRule="exact"/>
              <w:rPr>
                <w:sz w:val="20"/>
                <w:szCs w:val="20"/>
                <w:color w:val="auto"/>
              </w:rPr>
            </w:pPr>
            <w:r>
              <w:rPr>
                <w:rFonts w:ascii="Arial" w:cs="Arial" w:eastAsia="Arial" w:hAnsi="Arial"/>
                <w:sz w:val="17"/>
                <w:szCs w:val="17"/>
                <w:color w:val="auto"/>
              </w:rPr>
              <w:t>F-5</w:t>
            </w:r>
          </w:p>
        </w:tc>
      </w:tr>
      <w:tr>
        <w:trPr>
          <w:trHeight w:val="186"/>
        </w:trPr>
        <w:tc>
          <w:tcPr>
            <w:tcW w:w="3060" w:type="dxa"/>
            <w:vAlign w:val="bottom"/>
            <w:tcBorders>
              <w:top w:val="single" w:sz="8" w:color="0000EE"/>
            </w:tcBorders>
            <w:gridSpan w:val="4"/>
          </w:tcPr>
          <w:p>
            <w:pPr>
              <w:spacing w:after="0" w:line="185" w:lineRule="exact"/>
              <w:rPr>
                <w:rFonts w:ascii="Arial" w:cs="Arial" w:eastAsia="Arial" w:hAnsi="Arial"/>
                <w:sz w:val="17"/>
                <w:szCs w:val="17"/>
                <w:color w:val="0000EE"/>
              </w:rPr>
            </w:pPr>
            <w:hyperlink w:anchor="page131">
              <w:r>
                <w:rPr>
                  <w:rFonts w:ascii="Arial" w:cs="Arial" w:eastAsia="Arial" w:hAnsi="Arial"/>
                  <w:sz w:val="17"/>
                  <w:szCs w:val="17"/>
                  <w:color w:val="0000EE"/>
                </w:rPr>
                <w:t>Statements of Cash Flows</w:t>
              </w:r>
            </w:hyperlink>
          </w:p>
        </w:tc>
        <w:tc>
          <w:tcPr>
            <w:tcW w:w="1180" w:type="dxa"/>
            <w:vAlign w:val="bottom"/>
            <w:gridSpan w:val="3"/>
          </w:tcPr>
          <w:p>
            <w:pPr>
              <w:spacing w:after="0"/>
              <w:rPr>
                <w:sz w:val="16"/>
                <w:szCs w:val="16"/>
                <w:color w:val="auto"/>
              </w:rPr>
            </w:pPr>
          </w:p>
        </w:tc>
        <w:tc>
          <w:tcPr>
            <w:tcW w:w="6340" w:type="dxa"/>
            <w:vAlign w:val="bottom"/>
          </w:tcPr>
          <w:p>
            <w:pPr>
              <w:spacing w:after="0"/>
              <w:rPr>
                <w:sz w:val="16"/>
                <w:szCs w:val="16"/>
                <w:color w:val="auto"/>
              </w:rPr>
            </w:pPr>
          </w:p>
        </w:tc>
        <w:tc>
          <w:tcPr>
            <w:tcW w:w="700" w:type="dxa"/>
            <w:vAlign w:val="bottom"/>
            <w:gridSpan w:val="2"/>
          </w:tcPr>
          <w:p>
            <w:pPr>
              <w:ind w:left="420"/>
              <w:spacing w:after="0" w:line="185" w:lineRule="exact"/>
              <w:rPr>
                <w:sz w:val="20"/>
                <w:szCs w:val="20"/>
                <w:color w:val="auto"/>
              </w:rPr>
            </w:pPr>
            <w:r>
              <w:rPr>
                <w:rFonts w:ascii="Arial" w:cs="Arial" w:eastAsia="Arial" w:hAnsi="Arial"/>
                <w:sz w:val="17"/>
                <w:szCs w:val="17"/>
                <w:color w:val="auto"/>
              </w:rPr>
              <w:t>F-6</w:t>
            </w:r>
          </w:p>
        </w:tc>
      </w:tr>
      <w:tr>
        <w:trPr>
          <w:trHeight w:val="20"/>
        </w:trPr>
        <w:tc>
          <w:tcPr>
            <w:tcW w:w="17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186"/>
        </w:trPr>
        <w:tc>
          <w:tcPr>
            <w:tcW w:w="4240" w:type="dxa"/>
            <w:vAlign w:val="bottom"/>
            <w:gridSpan w:val="7"/>
          </w:tcPr>
          <w:p>
            <w:pPr>
              <w:spacing w:after="0" w:line="185" w:lineRule="exact"/>
              <w:rPr>
                <w:rFonts w:ascii="Arial" w:cs="Arial" w:eastAsia="Arial" w:hAnsi="Arial"/>
                <w:sz w:val="17"/>
                <w:szCs w:val="17"/>
                <w:color w:val="0000EE"/>
              </w:rPr>
            </w:pPr>
            <w:hyperlink w:anchor="page132">
              <w:r>
                <w:rPr>
                  <w:rFonts w:ascii="Arial" w:cs="Arial" w:eastAsia="Arial" w:hAnsi="Arial"/>
                  <w:sz w:val="17"/>
                  <w:szCs w:val="17"/>
                  <w:color w:val="0000EE"/>
                </w:rPr>
                <w:t>Notes to Financial Statements</w:t>
              </w:r>
            </w:hyperlink>
          </w:p>
        </w:tc>
        <w:tc>
          <w:tcPr>
            <w:tcW w:w="6340" w:type="dxa"/>
            <w:vAlign w:val="bottom"/>
          </w:tcPr>
          <w:p>
            <w:pPr>
              <w:spacing w:after="0"/>
              <w:rPr>
                <w:sz w:val="16"/>
                <w:szCs w:val="16"/>
                <w:color w:val="auto"/>
              </w:rPr>
            </w:pPr>
          </w:p>
        </w:tc>
        <w:tc>
          <w:tcPr>
            <w:tcW w:w="700" w:type="dxa"/>
            <w:vAlign w:val="bottom"/>
            <w:gridSpan w:val="2"/>
          </w:tcPr>
          <w:p>
            <w:pPr>
              <w:ind w:left="420"/>
              <w:spacing w:after="0" w:line="185" w:lineRule="exact"/>
              <w:rPr>
                <w:sz w:val="20"/>
                <w:szCs w:val="20"/>
                <w:color w:val="auto"/>
              </w:rPr>
            </w:pPr>
            <w:r>
              <w:rPr>
                <w:rFonts w:ascii="Arial" w:cs="Arial" w:eastAsia="Arial" w:hAnsi="Arial"/>
                <w:sz w:val="17"/>
                <w:szCs w:val="17"/>
                <w:color w:val="auto"/>
              </w:rPr>
              <w:t>F-7</w:t>
            </w:r>
          </w:p>
        </w:tc>
      </w:tr>
      <w:tr>
        <w:trPr>
          <w:trHeight w:val="839"/>
        </w:trPr>
        <w:tc>
          <w:tcPr>
            <w:tcW w:w="104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40" w:type="dxa"/>
            <w:vAlign w:val="bottom"/>
            <w:gridSpan w:val="3"/>
          </w:tcPr>
          <w:p>
            <w:pPr>
              <w:jc w:val="center"/>
              <w:ind w:right="4260"/>
              <w:spacing w:after="0"/>
              <w:rPr>
                <w:sz w:val="20"/>
                <w:szCs w:val="20"/>
                <w:color w:val="auto"/>
              </w:rPr>
            </w:pPr>
            <w:r>
              <w:rPr>
                <w:rFonts w:ascii="Arial" w:cs="Arial" w:eastAsia="Arial" w:hAnsi="Arial"/>
                <w:sz w:val="17"/>
                <w:szCs w:val="17"/>
                <w:color w:val="auto"/>
                <w:w w:val="86"/>
              </w:rPr>
              <w:t>F-1</w:t>
            </w:r>
          </w:p>
        </w:tc>
      </w:tr>
      <w:tr>
        <w:trPr>
          <w:trHeight w:val="315"/>
        </w:trPr>
        <w:tc>
          <w:tcPr>
            <w:tcW w:w="10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126" w:name="page127"/>
    <w:bookmarkEnd w:id="126"/>
    <w:p>
      <w:pPr>
        <w:jc w:val="center"/>
        <w:ind w:right="-9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030303"/>
        </w:rPr>
        <w:t>To the Stockholders and Board of Directors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030303"/>
        </w:rPr>
        <w:t>Phathom Pharmaceuticals, Inc.</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030303"/>
        </w:rPr>
        <w:t>Opinion on the Financial Statements</w:t>
      </w:r>
    </w:p>
    <w:p>
      <w:pPr>
        <w:spacing w:after="0" w:line="222"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We have audited the accompanying balance sheets of Phathom Pharmaceuticals, Inc. (the Company) as of December 31, 2020 and 2019, the related statements of operations and comprehensive loss, stockholders' equity (deficit) and cash flows for the years then ended, and the related notes (collectively referred to as the “ financial statements”). In our opinion, the financial statements present fairly, in all material respects, the financial position of the Company at December 31, 2020 and 2019, and the results of its operations and its cash flows for the years then ended, in conformity with U.S. generally accepted accounting principles.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0"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 xml:space="preserve">We conducted our audits in accordance with the standards of the PCAOB. Those standards require that we plan and perform the audit to obtain reasonable assurance about whether the financial statements are free of material misstatement, whether due to error or fraud. </w:t>
      </w:r>
      <w:r>
        <w:rPr>
          <w:rFonts w:ascii="Arial" w:cs="Arial" w:eastAsia="Arial" w:hAnsi="Arial"/>
          <w:sz w:val="17"/>
          <w:szCs w:val="17"/>
          <w:color w:val="030303"/>
        </w:rPr>
        <w:t>The Company is not required to have, nor were</w:t>
      </w:r>
      <w:r>
        <w:rPr>
          <w:rFonts w:ascii="Arial" w:cs="Arial" w:eastAsia="Arial" w:hAnsi="Arial"/>
          <w:sz w:val="17"/>
          <w:szCs w:val="17"/>
          <w:color w:val="auto"/>
        </w:rPr>
        <w:t xml:space="preserve"> </w:t>
      </w:r>
      <w:r>
        <w:rPr>
          <w:rFonts w:ascii="Arial" w:cs="Arial" w:eastAsia="Arial" w:hAnsi="Arial"/>
          <w:sz w:val="17"/>
          <w:szCs w:val="17"/>
          <w:color w:val="030303"/>
        </w:rPr>
        <w:t>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120"/>
        <w:spacing w:after="0" w:line="28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63" w:lineRule="exact"/>
        <w:rPr>
          <w:sz w:val="20"/>
          <w:szCs w:val="20"/>
          <w:color w:val="auto"/>
        </w:rPr>
      </w:pPr>
    </w:p>
    <w:p>
      <w:pPr>
        <w:ind w:left="5580"/>
        <w:spacing w:after="0"/>
        <w:rPr>
          <w:sz w:val="20"/>
          <w:szCs w:val="20"/>
          <w:color w:val="auto"/>
        </w:rPr>
      </w:pPr>
      <w:r>
        <w:rPr>
          <w:rFonts w:ascii="Arial" w:cs="Arial" w:eastAsia="Arial" w:hAnsi="Arial"/>
          <w:sz w:val="17"/>
          <w:szCs w:val="17"/>
          <w:color w:val="030303"/>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2019.</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7"/>
          <w:szCs w:val="17"/>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Balance Sheets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par value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2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w:t>
            </w:r>
          </w:p>
        </w:tc>
      </w:tr>
      <w:tr>
        <w:trPr>
          <w:trHeight w:val="164"/>
        </w:trPr>
        <w:tc>
          <w:tcPr>
            <w:tcW w:w="75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2019</w:t>
            </w:r>
          </w:p>
        </w:tc>
      </w:tr>
      <w:tr>
        <w:trPr>
          <w:trHeight w:val="211"/>
        </w:trPr>
        <w:tc>
          <w:tcPr>
            <w:tcW w:w="75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8"/>
        </w:trPr>
        <w:tc>
          <w:tcPr>
            <w:tcW w:w="7580" w:type="dxa"/>
            <w:vAlign w:val="bottom"/>
          </w:tcPr>
          <w:p>
            <w:pPr>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Cash and cash equivalents</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287,496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243,765</w:t>
            </w:r>
          </w:p>
        </w:tc>
      </w:tr>
      <w:tr>
        <w:trPr>
          <w:trHeight w:val="206"/>
        </w:trPr>
        <w:tc>
          <w:tcPr>
            <w:tcW w:w="7580" w:type="dxa"/>
            <w:vAlign w:val="bottom"/>
          </w:tcPr>
          <w:p>
            <w:pPr>
              <w:ind w:left="240"/>
              <w:spacing w:after="0"/>
              <w:rPr>
                <w:sz w:val="20"/>
                <w:szCs w:val="20"/>
                <w:color w:val="auto"/>
              </w:rPr>
            </w:pPr>
            <w:r>
              <w:rPr>
                <w:rFonts w:ascii="Arial" w:cs="Arial" w:eastAsia="Arial" w:hAnsi="Arial"/>
                <w:sz w:val="17"/>
                <w:szCs w:val="17"/>
                <w:color w:val="auto"/>
              </w:rPr>
              <w:t>Prepaid expenses and other current assets (including related party amounts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7"/>
        </w:trPr>
        <w:tc>
          <w:tcPr>
            <w:tcW w:w="7580" w:type="dxa"/>
            <w:vAlign w:val="bottom"/>
            <w:tcBorders>
              <w:bottom w:val="single" w:sz="8" w:color="CFF0FC"/>
            </w:tcBorders>
          </w:tcPr>
          <w:p>
            <w:pPr>
              <w:ind w:left="360"/>
              <w:spacing w:after="0"/>
              <w:rPr>
                <w:sz w:val="20"/>
                <w:szCs w:val="20"/>
                <w:color w:val="auto"/>
              </w:rPr>
            </w:pPr>
            <w:r>
              <w:rPr>
                <w:rFonts w:ascii="Arial" w:cs="Arial" w:eastAsia="Arial" w:hAnsi="Arial"/>
                <w:sz w:val="17"/>
                <w:szCs w:val="17"/>
                <w:color w:val="auto"/>
              </w:rPr>
              <w:t>of $82 and $0, respectively)</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3,872</w:t>
            </w: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11,836</w:t>
            </w:r>
          </w:p>
        </w:tc>
      </w:tr>
      <w:tr>
        <w:trPr>
          <w:trHeight w:val="212"/>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Total current assets</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291,368</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255,601</w:t>
            </w:r>
          </w:p>
        </w:tc>
      </w:tr>
      <w:tr>
        <w:trPr>
          <w:trHeight w:val="218"/>
        </w:trPr>
        <w:tc>
          <w:tcPr>
            <w:tcW w:w="758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986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463</w:t>
            </w:r>
          </w:p>
        </w:tc>
      </w:tr>
      <w:tr>
        <w:trPr>
          <w:trHeight w:val="219"/>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right-of-use assets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2,373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933</w:t>
            </w:r>
          </w:p>
        </w:tc>
      </w:tr>
      <w:tr>
        <w:trPr>
          <w:trHeight w:val="218"/>
        </w:trPr>
        <w:tc>
          <w:tcPr>
            <w:tcW w:w="7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long-term assets</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384</w:t>
            </w: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181</w:t>
            </w:r>
          </w:p>
        </w:tc>
      </w:tr>
      <w:tr>
        <w:trPr>
          <w:trHeight w:val="211"/>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Total assets</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295,111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257,178</w:t>
            </w:r>
          </w:p>
        </w:tc>
      </w:tr>
      <w:tr>
        <w:trPr>
          <w:trHeight w:val="20"/>
        </w:trPr>
        <w:tc>
          <w:tcPr>
            <w:tcW w:w="75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7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8"/>
        </w:trPr>
        <w:tc>
          <w:tcPr>
            <w:tcW w:w="75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8"/>
        </w:trPr>
        <w:tc>
          <w:tcPr>
            <w:tcW w:w="7580" w:type="dxa"/>
            <w:vAlign w:val="bottom"/>
          </w:tcPr>
          <w:p>
            <w:pPr>
              <w:spacing w:after="0"/>
              <w:rPr>
                <w:sz w:val="20"/>
                <w:szCs w:val="20"/>
                <w:color w:val="auto"/>
              </w:rPr>
            </w:pPr>
            <w:r>
              <w:rPr>
                <w:rFonts w:ascii="Arial" w:cs="Arial" w:eastAsia="Arial" w:hAnsi="Arial"/>
                <w:sz w:val="17"/>
                <w:szCs w:val="17"/>
                <w:color w:val="auto"/>
              </w:rPr>
              <w:t>Current liabilities: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7"/>
        </w:trPr>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Accounts payable (including related party amounts of $173 and $200,</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18"/>
        </w:trPr>
        <w:tc>
          <w:tcPr>
            <w:tcW w:w="75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respectively)</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16,782</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699</w:t>
            </w:r>
          </w:p>
        </w:tc>
      </w:tr>
      <w:tr>
        <w:trPr>
          <w:trHeight w:val="218"/>
        </w:trPr>
        <w:tc>
          <w:tcPr>
            <w:tcW w:w="7580" w:type="dxa"/>
            <w:vAlign w:val="bottom"/>
          </w:tcPr>
          <w:p>
            <w:pPr>
              <w:ind w:left="240"/>
              <w:spacing w:after="0"/>
              <w:rPr>
                <w:sz w:val="20"/>
                <w:szCs w:val="20"/>
                <w:color w:val="auto"/>
              </w:rPr>
            </w:pPr>
            <w:r>
              <w:rPr>
                <w:rFonts w:ascii="Arial" w:cs="Arial" w:eastAsia="Arial" w:hAnsi="Arial"/>
                <w:sz w:val="17"/>
                <w:szCs w:val="17"/>
                <w:color w:val="auto"/>
              </w:rPr>
              <w:t>Accrued clinical trial expenses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19,997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w:t>
            </w:r>
          </w:p>
        </w:tc>
      </w:tr>
      <w:tr>
        <w:trPr>
          <w:trHeight w:val="207"/>
        </w:trPr>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Accrued expenses (including related party amounts of $734 and $308,</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18"/>
        </w:trPr>
        <w:tc>
          <w:tcPr>
            <w:tcW w:w="75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respectively)</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10,606</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2,319</w:t>
            </w:r>
          </w:p>
        </w:tc>
      </w:tr>
      <w:tr>
        <w:trPr>
          <w:trHeight w:val="218"/>
        </w:trPr>
        <w:tc>
          <w:tcPr>
            <w:tcW w:w="7580" w:type="dxa"/>
            <w:vAlign w:val="bottom"/>
          </w:tcPr>
          <w:p>
            <w:pPr>
              <w:ind w:left="240"/>
              <w:spacing w:after="0"/>
              <w:rPr>
                <w:sz w:val="20"/>
                <w:szCs w:val="20"/>
                <w:color w:val="auto"/>
              </w:rPr>
            </w:pPr>
            <w:r>
              <w:rPr>
                <w:rFonts w:ascii="Arial" w:cs="Arial" w:eastAsia="Arial" w:hAnsi="Arial"/>
                <w:sz w:val="17"/>
                <w:szCs w:val="17"/>
                <w:color w:val="auto"/>
              </w:rPr>
              <w:t>Accrued interest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312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156</w:t>
            </w:r>
          </w:p>
        </w:tc>
      </w:tr>
      <w:tr>
        <w:trPr>
          <w:trHeight w:val="219"/>
        </w:trPr>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Current portion of long-term debt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7,353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w:t>
            </w:r>
          </w:p>
        </w:tc>
      </w:tr>
      <w:tr>
        <w:trPr>
          <w:trHeight w:val="218"/>
        </w:trPr>
        <w:tc>
          <w:tcPr>
            <w:tcW w:w="7580" w:type="dxa"/>
            <w:vAlign w:val="bottom"/>
          </w:tcPr>
          <w:p>
            <w:pPr>
              <w:ind w:left="240"/>
              <w:spacing w:after="0"/>
              <w:rPr>
                <w:sz w:val="20"/>
                <w:szCs w:val="20"/>
                <w:color w:val="auto"/>
              </w:rPr>
            </w:pPr>
            <w:r>
              <w:rPr>
                <w:rFonts w:ascii="Arial" w:cs="Arial" w:eastAsia="Arial" w:hAnsi="Arial"/>
                <w:sz w:val="17"/>
                <w:szCs w:val="17"/>
                <w:color w:val="auto"/>
              </w:rPr>
              <w:t>Operating lease liabilities, current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474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161</w:t>
            </w:r>
          </w:p>
        </w:tc>
      </w:tr>
      <w:tr>
        <w:trPr>
          <w:trHeight w:val="219"/>
        </w:trPr>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Warrant liabilities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413</w:t>
            </w:r>
          </w:p>
        </w:tc>
      </w:tr>
      <w:tr>
        <w:trPr>
          <w:trHeight w:val="211"/>
        </w:trPr>
        <w:tc>
          <w:tcPr>
            <w:tcW w:w="758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55,524</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3,748</w:t>
            </w:r>
          </w:p>
        </w:tc>
      </w:tr>
      <w:tr>
        <w:trPr>
          <w:trHeight w:val="219"/>
        </w:trPr>
        <w:tc>
          <w:tcPr>
            <w:tcW w:w="7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18"/>
        </w:trPr>
        <w:tc>
          <w:tcPr>
            <w:tcW w:w="7580" w:type="dxa"/>
            <w:vAlign w:val="bottom"/>
          </w:tcPr>
          <w:p>
            <w:pPr>
              <w:spacing w:after="0"/>
              <w:rPr>
                <w:sz w:val="20"/>
                <w:szCs w:val="20"/>
                <w:color w:val="auto"/>
              </w:rPr>
            </w:pPr>
            <w:r>
              <w:rPr>
                <w:rFonts w:ascii="Arial" w:cs="Arial" w:eastAsia="Arial" w:hAnsi="Arial"/>
                <w:sz w:val="17"/>
                <w:szCs w:val="17"/>
                <w:color w:val="auto"/>
              </w:rPr>
              <w:t>Long-term debt, net of discount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39,634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22,777</w:t>
            </w:r>
          </w:p>
        </w:tc>
      </w:tr>
      <w:tr>
        <w:trPr>
          <w:trHeight w:val="219"/>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Operating lease liabilities</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1,557</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635</w:t>
            </w:r>
          </w:p>
        </w:tc>
      </w:tr>
      <w:tr>
        <w:trPr>
          <w:trHeight w:val="218"/>
        </w:trPr>
        <w:tc>
          <w:tcPr>
            <w:tcW w:w="7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Other long-term liabilities</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4,125</w:t>
            </w: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2,063</w:t>
            </w:r>
          </w:p>
        </w:tc>
      </w:tr>
      <w:tr>
        <w:trPr>
          <w:trHeight w:val="211"/>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w:t>
            </w:r>
          </w:p>
        </w:tc>
        <w:tc>
          <w:tcPr>
            <w:tcW w:w="1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100,840</w:t>
            </w:r>
          </w:p>
        </w:tc>
        <w:tc>
          <w:tcPr>
            <w:tcW w:w="1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29,223</w:t>
            </w:r>
          </w:p>
        </w:tc>
      </w:tr>
      <w:tr>
        <w:trPr>
          <w:trHeight w:val="212"/>
        </w:trPr>
        <w:tc>
          <w:tcPr>
            <w:tcW w:w="7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Commitments and contingencies (Note 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8"/>
        </w:trPr>
        <w:tc>
          <w:tcPr>
            <w:tcW w:w="7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Stockholders’ equity:</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06"/>
        </w:trPr>
        <w:tc>
          <w:tcPr>
            <w:tcW w:w="7580" w:type="dxa"/>
            <w:vAlign w:val="bottom"/>
          </w:tcPr>
          <w:p>
            <w:pPr>
              <w:ind w:left="240"/>
              <w:spacing w:after="0"/>
              <w:rPr>
                <w:sz w:val="20"/>
                <w:szCs w:val="20"/>
                <w:color w:val="auto"/>
              </w:rPr>
            </w:pPr>
            <w:r>
              <w:rPr>
                <w:rFonts w:ascii="Arial" w:cs="Arial" w:eastAsia="Arial" w:hAnsi="Arial"/>
                <w:sz w:val="17"/>
                <w:szCs w:val="17"/>
                <w:color w:val="auto"/>
                <w:w w:val="92"/>
              </w:rPr>
              <w:t>Preferred stock, $0.0001 par value; authorized shares — 40,000,000 at December 31, 2020 and 2019; no</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6"/>
        </w:trPr>
        <w:tc>
          <w:tcPr>
            <w:tcW w:w="7580" w:type="dxa"/>
            <w:vAlign w:val="bottom"/>
          </w:tcPr>
          <w:p>
            <w:pPr>
              <w:ind w:left="240"/>
              <w:spacing w:after="0"/>
              <w:rPr>
                <w:sz w:val="20"/>
                <w:szCs w:val="20"/>
                <w:color w:val="auto"/>
              </w:rPr>
            </w:pPr>
            <w:r>
              <w:rPr>
                <w:rFonts w:ascii="Arial" w:cs="Arial" w:eastAsia="Arial" w:hAnsi="Arial"/>
                <w:sz w:val="17"/>
                <w:szCs w:val="17"/>
                <w:color w:val="auto"/>
              </w:rPr>
              <w:t>shares issued and outstanding at</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7"/>
        </w:trPr>
        <w:tc>
          <w:tcPr>
            <w:tcW w:w="7580" w:type="dxa"/>
            <w:vAlign w:val="bottom"/>
          </w:tcPr>
          <w:p>
            <w:pPr>
              <w:ind w:left="240"/>
              <w:spacing w:after="0"/>
              <w:rPr>
                <w:sz w:val="20"/>
                <w:szCs w:val="20"/>
                <w:color w:val="auto"/>
              </w:rPr>
            </w:pPr>
            <w:r>
              <w:rPr>
                <w:rFonts w:ascii="Arial" w:cs="Arial" w:eastAsia="Arial" w:hAnsi="Arial"/>
                <w:sz w:val="17"/>
                <w:szCs w:val="17"/>
                <w:color w:val="auto"/>
              </w:rPr>
              <w:t>December 31, 2020 and 2019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w:t>
            </w:r>
          </w:p>
        </w:tc>
      </w:tr>
      <w:tr>
        <w:trPr>
          <w:trHeight w:val="207"/>
        </w:trPr>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Common stock, $0.0001 par value; authorized shares</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6"/>
        </w:trPr>
        <w:tc>
          <w:tcPr>
            <w:tcW w:w="75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—400,000,000 at December 31, 2020 and 2019; issued shares—</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6"/>
        </w:trPr>
        <w:tc>
          <w:tcPr>
            <w:tcW w:w="7580" w:type="dxa"/>
            <w:vAlign w:val="bottom"/>
            <w:shd w:val="clear" w:color="auto" w:fill="CFF0FC"/>
          </w:tcPr>
          <w:p>
            <w:pPr>
              <w:ind w:left="360"/>
              <w:spacing w:after="0"/>
              <w:rPr>
                <w:sz w:val="20"/>
                <w:szCs w:val="20"/>
                <w:color w:val="auto"/>
              </w:rPr>
            </w:pPr>
            <w:r>
              <w:rPr>
                <w:rFonts w:ascii="Arial" w:cs="Arial" w:eastAsia="Arial" w:hAnsi="Arial"/>
                <w:sz w:val="17"/>
                <w:szCs w:val="17"/>
                <w:color w:val="auto"/>
              </w:rPr>
              <w:t>31,262,769 and 28,964,506 at December 31, 2020 and 2019,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6"/>
        </w:trPr>
        <w:tc>
          <w:tcPr>
            <w:tcW w:w="7580" w:type="dxa"/>
            <w:vAlign w:val="bottom"/>
            <w:shd w:val="clear" w:color="auto" w:fill="CFF0FC"/>
          </w:tcPr>
          <w:p>
            <w:pPr>
              <w:ind w:left="320"/>
              <w:spacing w:after="0"/>
              <w:rPr>
                <w:sz w:val="20"/>
                <w:szCs w:val="20"/>
                <w:color w:val="auto"/>
              </w:rPr>
            </w:pPr>
            <w:r>
              <w:rPr>
                <w:rFonts w:ascii="Arial" w:cs="Arial" w:eastAsia="Arial" w:hAnsi="Arial"/>
                <w:sz w:val="17"/>
                <w:szCs w:val="17"/>
                <w:color w:val="auto"/>
              </w:rPr>
              <w:t>respectively; outstanding shares— 28,516,010 and 24,728,258</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18"/>
        </w:trPr>
        <w:tc>
          <w:tcPr>
            <w:tcW w:w="7580" w:type="dxa"/>
            <w:vAlign w:val="bottom"/>
            <w:shd w:val="clear" w:color="auto" w:fill="CFF0FC"/>
          </w:tcPr>
          <w:p>
            <w:pPr>
              <w:ind w:left="320"/>
              <w:spacing w:after="0"/>
              <w:rPr>
                <w:sz w:val="20"/>
                <w:szCs w:val="20"/>
                <w:color w:val="auto"/>
              </w:rPr>
            </w:pPr>
            <w:r>
              <w:rPr>
                <w:rFonts w:ascii="Arial" w:cs="Arial" w:eastAsia="Arial" w:hAnsi="Arial"/>
                <w:sz w:val="17"/>
                <w:szCs w:val="17"/>
                <w:color w:val="auto"/>
              </w:rPr>
              <w:t>at December 31, 2020 and 2019, respectively</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3</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w:t>
            </w:r>
          </w:p>
        </w:tc>
      </w:tr>
      <w:tr>
        <w:trPr>
          <w:trHeight w:val="218"/>
        </w:trPr>
        <w:tc>
          <w:tcPr>
            <w:tcW w:w="7580" w:type="dxa"/>
            <w:vAlign w:val="bottom"/>
          </w:tcPr>
          <w:p>
            <w:pPr>
              <w:ind w:left="240"/>
              <w:spacing w:after="0"/>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579,755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36"/>
              <w:spacing w:after="0"/>
              <w:rPr>
                <w:sz w:val="20"/>
                <w:szCs w:val="20"/>
                <w:color w:val="auto"/>
              </w:rPr>
            </w:pPr>
            <w:r>
              <w:rPr>
                <w:rFonts w:ascii="Arial" w:cs="Arial" w:eastAsia="Arial" w:hAnsi="Arial"/>
                <w:sz w:val="17"/>
                <w:szCs w:val="17"/>
                <w:color w:val="auto"/>
              </w:rPr>
              <w:t>484,372</w:t>
            </w:r>
          </w:p>
        </w:tc>
      </w:tr>
      <w:tr>
        <w:trPr>
          <w:trHeight w:val="219"/>
        </w:trPr>
        <w:tc>
          <w:tcPr>
            <w:tcW w:w="75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Accumulated deficit</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(385,487)</w:t>
            </w: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(256,419)</w:t>
            </w:r>
          </w:p>
        </w:tc>
      </w:tr>
      <w:tr>
        <w:trPr>
          <w:trHeight w:val="211"/>
        </w:trPr>
        <w:tc>
          <w:tcPr>
            <w:tcW w:w="7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stockholders’ equity</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194,271</w:t>
            </w:r>
          </w:p>
        </w:tc>
        <w:tc>
          <w:tcPr>
            <w:tcW w:w="1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227,955</w:t>
            </w:r>
          </w:p>
        </w:tc>
      </w:tr>
      <w:tr>
        <w:trPr>
          <w:trHeight w:val="211"/>
        </w:trPr>
        <w:tc>
          <w:tcPr>
            <w:tcW w:w="7580" w:type="dxa"/>
            <w:vAlign w:val="bottom"/>
            <w:shd w:val="clear" w:color="auto" w:fill="CFF0FC"/>
          </w:tcPr>
          <w:p>
            <w:pPr>
              <w:spacing w:after="0"/>
              <w:rPr>
                <w:sz w:val="20"/>
                <w:szCs w:val="20"/>
                <w:color w:val="auto"/>
              </w:rPr>
            </w:pPr>
            <w:r>
              <w:rPr>
                <w:rFonts w:ascii="Arial" w:cs="Arial" w:eastAsia="Arial" w:hAnsi="Arial"/>
                <w:sz w:val="17"/>
                <w:szCs w:val="17"/>
                <w:color w:val="auto"/>
              </w:rPr>
              <w:t>Total liabilities and stockholders’ equity</w:t>
            </w:r>
          </w:p>
        </w:tc>
        <w:tc>
          <w:tcPr>
            <w:tcW w:w="42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295,111</w:t>
            </w: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257,178</w:t>
            </w:r>
          </w:p>
        </w:tc>
      </w:tr>
      <w:tr>
        <w:trPr>
          <w:trHeight w:val="20"/>
        </w:trPr>
        <w:tc>
          <w:tcPr>
            <w:tcW w:w="75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7"/>
          <w:szCs w:val="17"/>
          <w:b w:val="1"/>
          <w:bCs w:val="1"/>
          <w:color w:val="auto"/>
        </w:rPr>
        <w:t>PHATHOM PHARMACEUTICALS, INC.</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Statements of Operations and Comprehensive Loss</w:t>
      </w:r>
    </w:p>
    <w:p>
      <w:pPr>
        <w:spacing w:after="0" w:line="10"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(in thousands, except share and per share amounts)</w:t>
      </w:r>
    </w:p>
    <w:p>
      <w:pPr>
        <w:spacing w:after="0" w:line="204"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auto"/>
        </w:rPr>
        <w:t>Years Ended</w:t>
      </w:r>
    </w:p>
    <w:p>
      <w:pPr>
        <w:ind w:left="904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7"/>
        </w:trPr>
        <w:tc>
          <w:tcPr>
            <w:tcW w:w="7260" w:type="dxa"/>
            <w:vAlign w:val="bottom"/>
            <w:tcBorders>
              <w:bottom w:val="single" w:sz="8" w:color="CFF0FC"/>
            </w:tcBorders>
          </w:tcPr>
          <w:p>
            <w:pPr>
              <w:spacing w:after="0"/>
              <w:rPr>
                <w:sz w:val="12"/>
                <w:szCs w:val="12"/>
                <w:color w:val="auto"/>
              </w:rPr>
            </w:pPr>
          </w:p>
        </w:tc>
        <w:tc>
          <w:tcPr>
            <w:tcW w:w="500" w:type="dxa"/>
            <w:vAlign w:val="bottom"/>
            <w:tcBorders>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6"/>
              <w:spacing w:after="0" w:line="147"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6"/>
              <w:spacing w:after="0" w:line="147"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26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60" w:type="dxa"/>
            <w:vAlign w:val="bottom"/>
          </w:tcPr>
          <w:p>
            <w:pPr>
              <w:ind w:left="240"/>
              <w:spacing w:after="0"/>
              <w:rPr>
                <w:sz w:val="20"/>
                <w:szCs w:val="20"/>
                <w:color w:val="auto"/>
              </w:rPr>
            </w:pPr>
            <w:r>
              <w:rPr>
                <w:rFonts w:ascii="Arial" w:cs="Arial" w:eastAsia="Arial" w:hAnsi="Arial"/>
                <w:sz w:val="17"/>
                <w:szCs w:val="17"/>
                <w:color w:val="auto"/>
                <w:w w:val="97"/>
              </w:rPr>
              <w:t>Research and development (includes related party amounts of $2,812 and $1,243, respectively)</w:t>
            </w:r>
          </w:p>
        </w:tc>
        <w:tc>
          <w:tcPr>
            <w:tcW w:w="860" w:type="dxa"/>
            <w:vAlign w:val="bottom"/>
            <w:gridSpan w:val="2"/>
          </w:tcPr>
          <w:p>
            <w:pPr>
              <w:jc w:val="right"/>
              <w:ind w:right="205"/>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98,148</w:t>
            </w:r>
          </w:p>
        </w:tc>
        <w:tc>
          <w:tcPr>
            <w:tcW w:w="16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20,374</w:t>
            </w:r>
          </w:p>
        </w:tc>
        <w:tc>
          <w:tcPr>
            <w:tcW w:w="0" w:type="dxa"/>
            <w:vAlign w:val="bottom"/>
          </w:tcPr>
          <w:p>
            <w:pPr>
              <w:spacing w:after="0"/>
              <w:rPr>
                <w:sz w:val="1"/>
                <w:szCs w:val="1"/>
                <w:color w:val="auto"/>
              </w:rPr>
            </w:pPr>
          </w:p>
        </w:tc>
      </w:tr>
      <w:tr>
        <w:trPr>
          <w:trHeight w:val="219"/>
        </w:trPr>
        <w:tc>
          <w:tcPr>
            <w:tcW w:w="7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In-process research and development</w:t>
            </w:r>
          </w:p>
        </w:tc>
        <w:tc>
          <w:tcPr>
            <w:tcW w:w="5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78,897</w:t>
            </w:r>
          </w:p>
        </w:tc>
        <w:tc>
          <w:tcPr>
            <w:tcW w:w="0" w:type="dxa"/>
            <w:vAlign w:val="bottom"/>
          </w:tcPr>
          <w:p>
            <w:pPr>
              <w:spacing w:after="0"/>
              <w:rPr>
                <w:sz w:val="1"/>
                <w:szCs w:val="1"/>
                <w:color w:val="auto"/>
              </w:rPr>
            </w:pPr>
          </w:p>
        </w:tc>
      </w:tr>
      <w:tr>
        <w:trPr>
          <w:trHeight w:val="206"/>
        </w:trPr>
        <w:tc>
          <w:tcPr>
            <w:tcW w:w="7260" w:type="dxa"/>
            <w:vAlign w:val="bottom"/>
          </w:tcPr>
          <w:p>
            <w:pPr>
              <w:ind w:left="240"/>
              <w:spacing w:after="0"/>
              <w:rPr>
                <w:sz w:val="20"/>
                <w:szCs w:val="20"/>
                <w:color w:val="auto"/>
              </w:rPr>
            </w:pPr>
            <w:r>
              <w:rPr>
                <w:rFonts w:ascii="Arial" w:cs="Arial" w:eastAsia="Arial" w:hAnsi="Arial"/>
                <w:sz w:val="17"/>
                <w:szCs w:val="17"/>
                <w:color w:val="auto"/>
              </w:rPr>
              <w:t>General and administrative (includes related party amounts of $157 and $312,</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respectively)</w:t>
            </w:r>
          </w:p>
        </w:tc>
        <w:tc>
          <w:tcPr>
            <w:tcW w:w="5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27,517</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6,944</w:t>
            </w:r>
          </w:p>
        </w:tc>
        <w:tc>
          <w:tcPr>
            <w:tcW w:w="0" w:type="dxa"/>
            <w:vAlign w:val="bottom"/>
          </w:tcPr>
          <w:p>
            <w:pPr>
              <w:spacing w:after="0"/>
              <w:rPr>
                <w:sz w:val="1"/>
                <w:szCs w:val="1"/>
                <w:color w:val="auto"/>
              </w:rPr>
            </w:pPr>
          </w:p>
        </w:tc>
      </w:tr>
      <w:tr>
        <w:trPr>
          <w:trHeight w:val="211"/>
        </w:trPr>
        <w:tc>
          <w:tcPr>
            <w:tcW w:w="7260" w:type="dxa"/>
            <w:vAlign w:val="bottom"/>
            <w:shd w:val="clear" w:color="auto" w:fill="CFF0FC"/>
          </w:tcPr>
          <w:p>
            <w:pPr>
              <w:spacing w:after="0"/>
              <w:rPr>
                <w:sz w:val="20"/>
                <w:szCs w:val="20"/>
                <w:color w:val="auto"/>
              </w:rPr>
            </w:pPr>
            <w:r>
              <w:rPr>
                <w:rFonts w:ascii="Arial" w:cs="Arial" w:eastAsia="Arial" w:hAnsi="Arial"/>
                <w:sz w:val="17"/>
                <w:szCs w:val="17"/>
                <w:color w:val="auto"/>
              </w:rPr>
              <w:t>Total operating expenses</w:t>
            </w:r>
          </w:p>
        </w:tc>
        <w:tc>
          <w:tcPr>
            <w:tcW w:w="5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125,665</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106,215</w:t>
            </w:r>
          </w:p>
        </w:tc>
        <w:tc>
          <w:tcPr>
            <w:tcW w:w="0" w:type="dxa"/>
            <w:vAlign w:val="bottom"/>
          </w:tcPr>
          <w:p>
            <w:pPr>
              <w:spacing w:after="0"/>
              <w:rPr>
                <w:sz w:val="1"/>
                <w:szCs w:val="1"/>
                <w:color w:val="auto"/>
              </w:rPr>
            </w:pPr>
          </w:p>
        </w:tc>
      </w:tr>
      <w:tr>
        <w:trPr>
          <w:trHeight w:val="212"/>
        </w:trPr>
        <w:tc>
          <w:tcPr>
            <w:tcW w:w="7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60" w:type="dxa"/>
            <w:vAlign w:val="bottom"/>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5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(125,665)</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(106,215)</w:t>
            </w:r>
          </w:p>
        </w:tc>
        <w:tc>
          <w:tcPr>
            <w:tcW w:w="0" w:type="dxa"/>
            <w:vAlign w:val="bottom"/>
          </w:tcPr>
          <w:p>
            <w:pPr>
              <w:spacing w:after="0"/>
              <w:rPr>
                <w:sz w:val="1"/>
                <w:szCs w:val="1"/>
                <w:color w:val="auto"/>
              </w:rPr>
            </w:pPr>
          </w:p>
        </w:tc>
      </w:tr>
      <w:tr>
        <w:trPr>
          <w:trHeight w:val="212"/>
        </w:trPr>
        <w:tc>
          <w:tcPr>
            <w:tcW w:w="7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60" w:type="dxa"/>
            <w:vAlign w:val="bottom"/>
            <w:shd w:val="clear" w:color="auto" w:fill="CFF0FC"/>
          </w:tcPr>
          <w:p>
            <w:pPr>
              <w:spacing w:after="0"/>
              <w:rPr>
                <w:sz w:val="20"/>
                <w:szCs w:val="20"/>
                <w:color w:val="auto"/>
              </w:rPr>
            </w:pPr>
            <w:r>
              <w:rPr>
                <w:rFonts w:ascii="Arial" w:cs="Arial" w:eastAsia="Arial" w:hAnsi="Arial"/>
                <w:sz w:val="17"/>
                <w:szCs w:val="17"/>
                <w:color w:val="auto"/>
              </w:rPr>
              <w:t>Other income (expense):</w:t>
            </w: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260" w:type="dxa"/>
            <w:vAlign w:val="bottom"/>
          </w:tcPr>
          <w:p>
            <w:pPr>
              <w:ind w:left="240"/>
              <w:spacing w:after="0"/>
              <w:rPr>
                <w:sz w:val="20"/>
                <w:szCs w:val="20"/>
                <w:color w:val="auto"/>
              </w:rPr>
            </w:pPr>
            <w:r>
              <w:rPr>
                <w:rFonts w:ascii="Arial" w:cs="Arial" w:eastAsia="Arial" w:hAnsi="Arial"/>
                <w:sz w:val="17"/>
                <w:szCs w:val="17"/>
                <w:color w:val="auto"/>
              </w:rPr>
              <w:t>Interest income</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1,091</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1,089</w:t>
            </w:r>
          </w:p>
        </w:tc>
        <w:tc>
          <w:tcPr>
            <w:tcW w:w="0" w:type="dxa"/>
            <w:vAlign w:val="bottom"/>
          </w:tcPr>
          <w:p>
            <w:pPr>
              <w:spacing w:after="0"/>
              <w:rPr>
                <w:sz w:val="1"/>
                <w:szCs w:val="1"/>
                <w:color w:val="auto"/>
              </w:rPr>
            </w:pPr>
          </w:p>
        </w:tc>
      </w:tr>
      <w:tr>
        <w:trPr>
          <w:trHeight w:val="207"/>
        </w:trPr>
        <w:tc>
          <w:tcPr>
            <w:tcW w:w="7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Interest expense (includes related party amounts of $0 and $(590),</w:t>
            </w:r>
          </w:p>
        </w:tc>
        <w:tc>
          <w:tcPr>
            <w:tcW w:w="5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2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respectively)</w:t>
            </w: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(4,581)</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(4,177)</w:t>
            </w:r>
          </w:p>
        </w:tc>
        <w:tc>
          <w:tcPr>
            <w:tcW w:w="0" w:type="dxa"/>
            <w:vAlign w:val="bottom"/>
          </w:tcPr>
          <w:p>
            <w:pPr>
              <w:spacing w:after="0"/>
              <w:rPr>
                <w:sz w:val="1"/>
                <w:szCs w:val="1"/>
                <w:color w:val="auto"/>
              </w:rPr>
            </w:pPr>
          </w:p>
        </w:tc>
      </w:tr>
      <w:tr>
        <w:trPr>
          <w:trHeight w:val="206"/>
        </w:trPr>
        <w:tc>
          <w:tcPr>
            <w:tcW w:w="7260" w:type="dxa"/>
            <w:vAlign w:val="bottom"/>
          </w:tcPr>
          <w:p>
            <w:pPr>
              <w:ind w:left="240"/>
              <w:spacing w:after="0"/>
              <w:rPr>
                <w:sz w:val="20"/>
                <w:szCs w:val="20"/>
                <w:color w:val="auto"/>
              </w:rPr>
            </w:pPr>
            <w:r>
              <w:rPr>
                <w:rFonts w:ascii="Arial" w:cs="Arial" w:eastAsia="Arial" w:hAnsi="Arial"/>
                <w:sz w:val="17"/>
                <w:szCs w:val="17"/>
                <w:color w:val="auto"/>
              </w:rPr>
              <w:t>Change in fair value of warrant liabilities (includes related party</w:t>
            </w: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7260" w:type="dxa"/>
            <w:vAlign w:val="bottom"/>
          </w:tcPr>
          <w:p>
            <w:pPr>
              <w:ind w:left="360"/>
              <w:spacing w:after="0"/>
              <w:rPr>
                <w:sz w:val="20"/>
                <w:szCs w:val="20"/>
                <w:color w:val="auto"/>
              </w:rPr>
            </w:pPr>
            <w:r>
              <w:rPr>
                <w:rFonts w:ascii="Arial" w:cs="Arial" w:eastAsia="Arial" w:hAnsi="Arial"/>
                <w:sz w:val="17"/>
                <w:szCs w:val="17"/>
                <w:color w:val="auto"/>
              </w:rPr>
              <w:t>amounts of $0 and $(96,278), respectively)</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6"/>
              <w:spacing w:after="0"/>
              <w:rPr>
                <w:sz w:val="20"/>
                <w:szCs w:val="20"/>
                <w:color w:val="auto"/>
              </w:rPr>
            </w:pPr>
            <w:r>
              <w:rPr>
                <w:rFonts w:ascii="Arial" w:cs="Arial" w:eastAsia="Arial" w:hAnsi="Arial"/>
                <w:sz w:val="17"/>
                <w:szCs w:val="17"/>
                <w:color w:val="auto"/>
              </w:rPr>
              <w:t>95</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(96,272)</w:t>
            </w:r>
          </w:p>
        </w:tc>
        <w:tc>
          <w:tcPr>
            <w:tcW w:w="0" w:type="dxa"/>
            <w:vAlign w:val="bottom"/>
          </w:tcPr>
          <w:p>
            <w:pPr>
              <w:spacing w:after="0"/>
              <w:rPr>
                <w:sz w:val="1"/>
                <w:szCs w:val="1"/>
                <w:color w:val="auto"/>
              </w:rPr>
            </w:pPr>
          </w:p>
        </w:tc>
      </w:tr>
      <w:tr>
        <w:trPr>
          <w:trHeight w:val="207"/>
        </w:trPr>
        <w:tc>
          <w:tcPr>
            <w:tcW w:w="7260" w:type="dxa"/>
            <w:vAlign w:val="bottom"/>
            <w:shd w:val="clear" w:color="auto" w:fill="CFF0FC"/>
          </w:tcPr>
          <w:p>
            <w:pPr>
              <w:ind w:left="240"/>
              <w:spacing w:after="0"/>
              <w:rPr>
                <w:sz w:val="20"/>
                <w:szCs w:val="20"/>
                <w:color w:val="auto"/>
              </w:rPr>
            </w:pPr>
            <w:r>
              <w:rPr>
                <w:rFonts w:ascii="Arial" w:cs="Arial" w:eastAsia="Arial" w:hAnsi="Arial"/>
                <w:sz w:val="17"/>
                <w:szCs w:val="17"/>
                <w:color w:val="auto"/>
              </w:rPr>
              <w:t>Change in fair value of convertible promissory notes (includes related</w:t>
            </w:r>
          </w:p>
        </w:tc>
        <w:tc>
          <w:tcPr>
            <w:tcW w:w="5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260" w:type="dxa"/>
            <w:vAlign w:val="bottom"/>
            <w:shd w:val="clear" w:color="auto" w:fill="CFF0FC"/>
          </w:tcPr>
          <w:p>
            <w:pPr>
              <w:ind w:left="360"/>
              <w:spacing w:after="0"/>
              <w:rPr>
                <w:sz w:val="20"/>
                <w:szCs w:val="20"/>
                <w:color w:val="auto"/>
              </w:rPr>
            </w:pPr>
            <w:r>
              <w:rPr>
                <w:rFonts w:ascii="Arial" w:cs="Arial" w:eastAsia="Arial" w:hAnsi="Arial"/>
                <w:sz w:val="17"/>
                <w:szCs w:val="17"/>
                <w:color w:val="auto"/>
              </w:rPr>
              <w:t>party amounts of $0 and $(10,941), respectively)</w:t>
            </w: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(49,546)</w:t>
            </w:r>
          </w:p>
        </w:tc>
        <w:tc>
          <w:tcPr>
            <w:tcW w:w="0" w:type="dxa"/>
            <w:vAlign w:val="bottom"/>
          </w:tcPr>
          <w:p>
            <w:pPr>
              <w:spacing w:after="0"/>
              <w:rPr>
                <w:sz w:val="1"/>
                <w:szCs w:val="1"/>
                <w:color w:val="auto"/>
              </w:rPr>
            </w:pPr>
          </w:p>
        </w:tc>
      </w:tr>
      <w:tr>
        <w:trPr>
          <w:trHeight w:val="218"/>
        </w:trPr>
        <w:tc>
          <w:tcPr>
            <w:tcW w:w="726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Other income (expense)</w:t>
            </w:r>
          </w:p>
        </w:tc>
        <w:tc>
          <w:tcPr>
            <w:tcW w:w="5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2"/>
        </w:trPr>
        <w:tc>
          <w:tcPr>
            <w:tcW w:w="7260" w:type="dxa"/>
            <w:vAlign w:val="bottom"/>
            <w:shd w:val="clear" w:color="auto" w:fill="CFF0FC"/>
          </w:tcPr>
          <w:p>
            <w:pPr>
              <w:spacing w:after="0"/>
              <w:rPr>
                <w:sz w:val="20"/>
                <w:szCs w:val="20"/>
                <w:color w:val="auto"/>
              </w:rPr>
            </w:pPr>
            <w:r>
              <w:rPr>
                <w:rFonts w:ascii="Arial" w:cs="Arial" w:eastAsia="Arial" w:hAnsi="Arial"/>
                <w:sz w:val="17"/>
                <w:szCs w:val="17"/>
                <w:color w:val="auto"/>
              </w:rPr>
              <w:t>Total other income (expense)</w:t>
            </w:r>
          </w:p>
        </w:tc>
        <w:tc>
          <w:tcPr>
            <w:tcW w:w="5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(3,403)</w:t>
            </w:r>
          </w:p>
        </w:tc>
        <w:tc>
          <w:tcPr>
            <w:tcW w:w="16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(148,916)</w:t>
            </w:r>
          </w:p>
        </w:tc>
        <w:tc>
          <w:tcPr>
            <w:tcW w:w="0" w:type="dxa"/>
            <w:vAlign w:val="bottom"/>
          </w:tcPr>
          <w:p>
            <w:pPr>
              <w:spacing w:after="0"/>
              <w:rPr>
                <w:sz w:val="1"/>
                <w:szCs w:val="1"/>
                <w:color w:val="auto"/>
              </w:rPr>
            </w:pPr>
          </w:p>
        </w:tc>
      </w:tr>
      <w:tr>
        <w:trPr>
          <w:trHeight w:val="251"/>
        </w:trPr>
        <w:tc>
          <w:tcPr>
            <w:tcW w:w="72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Net loss and comprehensive loss</w:t>
            </w:r>
          </w:p>
        </w:tc>
        <w:tc>
          <w:tcPr>
            <w:tcW w:w="50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(129,068)</w:t>
            </w:r>
          </w:p>
        </w:tc>
        <w:tc>
          <w:tcPr>
            <w:tcW w:w="16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(255,131)</w:t>
            </w:r>
          </w:p>
        </w:tc>
        <w:tc>
          <w:tcPr>
            <w:tcW w:w="0" w:type="dxa"/>
            <w:vAlign w:val="bottom"/>
          </w:tcPr>
          <w:p>
            <w:pPr>
              <w:spacing w:after="0"/>
              <w:rPr>
                <w:sz w:val="1"/>
                <w:szCs w:val="1"/>
                <w:color w:val="auto"/>
              </w:rPr>
            </w:pPr>
          </w:p>
        </w:tc>
      </w:tr>
      <w:tr>
        <w:trPr>
          <w:trHeight w:val="197"/>
        </w:trPr>
        <w:tc>
          <w:tcPr>
            <w:tcW w:w="7260" w:type="dxa"/>
            <w:vAlign w:val="bottom"/>
            <w:shd w:val="clear" w:color="auto" w:fill="CFF0FC"/>
          </w:tcPr>
          <w:p>
            <w:pPr>
              <w:spacing w:after="0"/>
              <w:rPr>
                <w:sz w:val="20"/>
                <w:szCs w:val="20"/>
                <w:color w:val="auto"/>
              </w:rPr>
            </w:pPr>
            <w:r>
              <w:rPr>
                <w:rFonts w:ascii="Arial" w:cs="Arial" w:eastAsia="Arial" w:hAnsi="Arial"/>
                <w:sz w:val="17"/>
                <w:szCs w:val="17"/>
                <w:color w:val="auto"/>
              </w:rPr>
              <w:t>Net loss per share, basic and diluted</w:t>
            </w:r>
          </w:p>
        </w:tc>
        <w:tc>
          <w:tcPr>
            <w:tcW w:w="860" w:type="dxa"/>
            <w:vAlign w:val="bottom"/>
            <w:gridSpan w:val="2"/>
            <w:shd w:val="clear" w:color="auto" w:fill="CFF0FC"/>
          </w:tcPr>
          <w:p>
            <w:pPr>
              <w:jc w:val="right"/>
              <w:ind w:right="20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(3.88)</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(22.45)</w:t>
            </w:r>
          </w:p>
        </w:tc>
        <w:tc>
          <w:tcPr>
            <w:tcW w:w="0" w:type="dxa"/>
            <w:vAlign w:val="bottom"/>
          </w:tcPr>
          <w:p>
            <w:pPr>
              <w:spacing w:after="0"/>
              <w:rPr>
                <w:sz w:val="1"/>
                <w:szCs w:val="1"/>
                <w:color w:val="auto"/>
              </w:rPr>
            </w:pPr>
          </w:p>
        </w:tc>
      </w:tr>
      <w:tr>
        <w:trPr>
          <w:trHeight w:val="20"/>
        </w:trPr>
        <w:tc>
          <w:tcPr>
            <w:tcW w:w="72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Weighted-average shares of common stock outstanding, basic and diluted</w:t>
            </w:r>
          </w:p>
        </w:tc>
        <w:tc>
          <w:tcPr>
            <w:tcW w:w="5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33,228,158</w:t>
            </w: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11,366,916</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ind w:left="4060"/>
        <w:spacing w:after="0"/>
        <w:rPr>
          <w:sz w:val="20"/>
          <w:szCs w:val="20"/>
          <w:color w:val="auto"/>
        </w:rPr>
      </w:pPr>
      <w:r>
        <w:rPr>
          <w:rFonts w:ascii="Arial" w:cs="Arial" w:eastAsia="Arial" w:hAnsi="Arial"/>
          <w:sz w:val="17"/>
          <w:szCs w:val="17"/>
          <w:b w:val="1"/>
          <w:bCs w:val="1"/>
          <w:color w:val="auto"/>
        </w:rPr>
        <w:t>PHATHOM PHARMACEUTICALS, INC.</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Statements of Stockholders’ Equity (Deficit)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980" w:type="dxa"/>
            <w:vAlign w:val="bottom"/>
            <w:gridSpan w:val="3"/>
            <w:vMerge w:val="restart"/>
          </w:tcPr>
          <w:p>
            <w:pPr>
              <w:jc w:val="right"/>
              <w:ind w:right="367"/>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4"/>
                <w:szCs w:val="14"/>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4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64"/>
        </w:trPr>
        <w:tc>
          <w:tcPr>
            <w:tcW w:w="5240" w:type="dxa"/>
            <w:vAlign w:val="bottom"/>
          </w:tcPr>
          <w:p>
            <w:pPr>
              <w:spacing w:after="0"/>
              <w:rPr>
                <w:sz w:val="14"/>
                <w:szCs w:val="14"/>
                <w:color w:val="auto"/>
              </w:rPr>
            </w:pPr>
          </w:p>
        </w:tc>
        <w:tc>
          <w:tcPr>
            <w:tcW w:w="1980" w:type="dxa"/>
            <w:vAlign w:val="bottom"/>
            <w:tcBorders>
              <w:bottom w:val="single" w:sz="8" w:color="auto"/>
            </w:tcBorders>
            <w:gridSpan w:val="3"/>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Paid-in</w:t>
            </w: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116"/>
              <w:spacing w:after="0"/>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47"/>
        </w:trPr>
        <w:tc>
          <w:tcPr>
            <w:tcW w:w="5240" w:type="dxa"/>
            <w:vAlign w:val="bottom"/>
            <w:vMerge w:val="restart"/>
          </w:tcPr>
          <w:p>
            <w:pPr>
              <w:spacing w:after="0"/>
              <w:rPr>
                <w:sz w:val="20"/>
                <w:szCs w:val="20"/>
                <w:color w:val="auto"/>
              </w:rPr>
            </w:pPr>
            <w:r>
              <w:rPr>
                <w:rFonts w:ascii="Arial" w:cs="Arial" w:eastAsia="Arial" w:hAnsi="Arial"/>
                <w:sz w:val="17"/>
                <w:szCs w:val="17"/>
                <w:color w:val="auto"/>
              </w:rPr>
              <w:t>Balance at December 31, 2018</w:t>
            </w:r>
          </w:p>
        </w:tc>
        <w:tc>
          <w:tcPr>
            <w:tcW w:w="1100" w:type="dxa"/>
            <w:vAlign w:val="bottom"/>
            <w:tcBorders>
              <w:bottom w:val="single" w:sz="8" w:color="auto"/>
            </w:tcBorders>
          </w:tcPr>
          <w:p>
            <w:pPr>
              <w:jc w:val="right"/>
              <w:ind w:right="336"/>
              <w:spacing w:after="0" w:line="147" w:lineRule="exact"/>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157"/>
              <w:spacing w:after="0" w:line="147" w:lineRule="exact"/>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36"/>
              <w:spacing w:after="0" w:line="147" w:lineRule="exact"/>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2"/>
                <w:szCs w:val="12"/>
                <w:color w:val="auto"/>
              </w:rPr>
            </w:pPr>
          </w:p>
        </w:tc>
        <w:tc>
          <w:tcPr>
            <w:tcW w:w="1120" w:type="dxa"/>
            <w:vAlign w:val="bottom"/>
            <w:tcBorders>
              <w:bottom w:val="single" w:sz="8" w:color="auto"/>
            </w:tcBorders>
            <w:gridSpan w:val="2"/>
          </w:tcPr>
          <w:p>
            <w:pPr>
              <w:jc w:val="center"/>
              <w:ind w:right="36"/>
              <w:spacing w:after="0" w:line="147" w:lineRule="exact"/>
              <w:rPr>
                <w:sz w:val="20"/>
                <w:szCs w:val="20"/>
                <w:color w:val="auto"/>
              </w:rPr>
            </w:pPr>
            <w:r>
              <w:rPr>
                <w:rFonts w:ascii="Arial" w:cs="Arial" w:eastAsia="Arial" w:hAnsi="Arial"/>
                <w:sz w:val="14"/>
                <w:szCs w:val="14"/>
                <w:b w:val="1"/>
                <w:bCs w:val="1"/>
                <w:color w:val="auto"/>
                <w:w w:val="93"/>
              </w:rPr>
              <w:t>Equity (Deficit)</w:t>
            </w:r>
          </w:p>
        </w:tc>
        <w:tc>
          <w:tcPr>
            <w:tcW w:w="0" w:type="dxa"/>
            <w:vAlign w:val="bottom"/>
          </w:tcPr>
          <w:p>
            <w:pPr>
              <w:spacing w:after="0"/>
              <w:rPr>
                <w:sz w:val="1"/>
                <w:szCs w:val="1"/>
                <w:color w:val="auto"/>
              </w:rPr>
            </w:pPr>
          </w:p>
        </w:tc>
      </w:tr>
      <w:tr>
        <w:trPr>
          <w:trHeight w:val="211"/>
        </w:trPr>
        <w:tc>
          <w:tcPr>
            <w:tcW w:w="5240" w:type="dxa"/>
            <w:vAlign w:val="bottom"/>
            <w:vMerge w:val="continue"/>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607"/>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(1,288)</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(1,286)</w:t>
            </w:r>
          </w:p>
        </w:tc>
        <w:tc>
          <w:tcPr>
            <w:tcW w:w="0" w:type="dxa"/>
            <w:vAlign w:val="bottom"/>
          </w:tcPr>
          <w:p>
            <w:pPr>
              <w:spacing w:after="0"/>
              <w:rPr>
                <w:sz w:val="1"/>
                <w:szCs w:val="1"/>
                <w:color w:val="auto"/>
              </w:rPr>
            </w:pPr>
          </w:p>
        </w:tc>
      </w:tr>
      <w:tr>
        <w:trPr>
          <w:trHeight w:val="200"/>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Merger of entities under common control into</w:t>
            </w: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2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the Company</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6,760,334</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7"/>
                <w:szCs w:val="17"/>
                <w:color w:val="auto"/>
              </w:rPr>
              <w:t>Vesting restrictions placed on previously issued</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7"/>
                <w:szCs w:val="17"/>
                <w:color w:val="auto"/>
              </w:rPr>
              <w:t>and outstanding common stock</w:t>
            </w:r>
          </w:p>
        </w:tc>
        <w:tc>
          <w:tcPr>
            <w:tcW w:w="1100" w:type="dxa"/>
            <w:vAlign w:val="bottom"/>
          </w:tcPr>
          <w:p>
            <w:pPr>
              <w:jc w:val="right"/>
              <w:spacing w:after="0"/>
              <w:rPr>
                <w:sz w:val="20"/>
                <w:szCs w:val="20"/>
                <w:color w:val="auto"/>
              </w:rPr>
            </w:pPr>
            <w:r>
              <w:rPr>
                <w:rFonts w:ascii="Arial" w:cs="Arial" w:eastAsia="Arial" w:hAnsi="Arial"/>
                <w:sz w:val="17"/>
                <w:szCs w:val="17"/>
                <w:color w:val="auto"/>
              </w:rPr>
              <w:t>(3,373,408)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stock</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1,491,072</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7"/>
                <w:szCs w:val="17"/>
                <w:color w:val="auto"/>
              </w:rPr>
              <w:t>Issuance of common stock in connection with</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7"/>
                <w:szCs w:val="17"/>
                <w:color w:val="auto"/>
              </w:rPr>
              <w:t>license agreement</w:t>
            </w:r>
          </w:p>
        </w:tc>
        <w:tc>
          <w:tcPr>
            <w:tcW w:w="1100" w:type="dxa"/>
            <w:vAlign w:val="bottom"/>
          </w:tcPr>
          <w:p>
            <w:pPr>
              <w:jc w:val="right"/>
              <w:ind w:right="36"/>
              <w:spacing w:after="0"/>
              <w:rPr>
                <w:sz w:val="20"/>
                <w:szCs w:val="20"/>
                <w:color w:val="auto"/>
              </w:rPr>
            </w:pPr>
            <w:r>
              <w:rPr>
                <w:rFonts w:ascii="Arial" w:cs="Arial" w:eastAsia="Arial" w:hAnsi="Arial"/>
                <w:sz w:val="17"/>
                <w:szCs w:val="17"/>
                <w:color w:val="auto"/>
              </w:rPr>
              <w:t>1,084,000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5,885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5,885</w:t>
            </w:r>
          </w:p>
        </w:tc>
        <w:tc>
          <w:tcPr>
            <w:tcW w:w="0" w:type="dxa"/>
            <w:vAlign w:val="bottom"/>
          </w:tcPr>
          <w:p>
            <w:pPr>
              <w:spacing w:after="0"/>
              <w:rPr>
                <w:sz w:val="1"/>
                <w:szCs w:val="1"/>
                <w:color w:val="auto"/>
              </w:rPr>
            </w:pPr>
          </w:p>
        </w:tc>
      </w:tr>
      <w:tr>
        <w:trPr>
          <w:trHeight w:val="219"/>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Conversion of Takeda warrant liability into equity</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144,172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144,172</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7"/>
                <w:szCs w:val="17"/>
                <w:color w:val="auto"/>
              </w:rPr>
              <w:t>Issuance of common stock in connection with</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7"/>
                <w:szCs w:val="17"/>
                <w:color w:val="auto"/>
              </w:rPr>
              <w:t>initial public offering (IPO), net of issuance costs</w:t>
            </w:r>
          </w:p>
        </w:tc>
        <w:tc>
          <w:tcPr>
            <w:tcW w:w="1100" w:type="dxa"/>
            <w:vAlign w:val="bottom"/>
          </w:tcPr>
          <w:p>
            <w:pPr>
              <w:jc w:val="right"/>
              <w:ind w:right="36"/>
              <w:spacing w:after="0"/>
              <w:rPr>
                <w:sz w:val="20"/>
                <w:szCs w:val="20"/>
                <w:color w:val="auto"/>
              </w:rPr>
            </w:pPr>
            <w:r>
              <w:rPr>
                <w:rFonts w:ascii="Arial" w:cs="Arial" w:eastAsia="Arial" w:hAnsi="Arial"/>
                <w:sz w:val="17"/>
                <w:szCs w:val="17"/>
                <w:color w:val="auto"/>
              </w:rPr>
              <w:t>10,997,630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jc w:val="right"/>
              <w:ind w:right="34"/>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191,471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191,472</w:t>
            </w:r>
          </w:p>
        </w:tc>
        <w:tc>
          <w:tcPr>
            <w:tcW w:w="0" w:type="dxa"/>
            <w:vAlign w:val="bottom"/>
          </w:tcPr>
          <w:p>
            <w:pPr>
              <w:spacing w:after="0"/>
              <w:rPr>
                <w:sz w:val="1"/>
                <w:szCs w:val="1"/>
                <w:color w:val="auto"/>
              </w:rPr>
            </w:pPr>
          </w:p>
        </w:tc>
      </w:tr>
      <w:tr>
        <w:trPr>
          <w:trHeight w:val="207"/>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Conversion of May 2019 Notes and accrued</w:t>
            </w: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24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interest into common shares</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6,107,918</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142,436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142,437</w:t>
            </w:r>
          </w:p>
        </w:tc>
        <w:tc>
          <w:tcPr>
            <w:tcW w:w="0" w:type="dxa"/>
            <w:vAlign w:val="bottom"/>
          </w:tcPr>
          <w:p>
            <w:pPr>
              <w:spacing w:after="0"/>
              <w:rPr>
                <w:sz w:val="1"/>
                <w:szCs w:val="1"/>
                <w:color w:val="auto"/>
              </w:rPr>
            </w:pPr>
          </w:p>
        </w:tc>
      </w:tr>
      <w:tr>
        <w:trPr>
          <w:trHeight w:val="218"/>
        </w:trPr>
        <w:tc>
          <w:tcPr>
            <w:tcW w:w="5240" w:type="dxa"/>
            <w:vAlign w:val="bottom"/>
          </w:tcPr>
          <w:p>
            <w:pPr>
              <w:spacing w:after="0"/>
              <w:rPr>
                <w:sz w:val="20"/>
                <w:szCs w:val="20"/>
                <w:color w:val="auto"/>
              </w:rPr>
            </w:pPr>
            <w:r>
              <w:rPr>
                <w:rFonts w:ascii="Arial" w:cs="Arial" w:eastAsia="Arial" w:hAnsi="Arial"/>
                <w:sz w:val="17"/>
                <w:szCs w:val="17"/>
                <w:color w:val="auto"/>
              </w:rPr>
              <w:t>Vesting of restricted shares</w:t>
            </w:r>
          </w:p>
        </w:tc>
        <w:tc>
          <w:tcPr>
            <w:tcW w:w="1100" w:type="dxa"/>
            <w:vAlign w:val="bottom"/>
          </w:tcPr>
          <w:p>
            <w:pPr>
              <w:jc w:val="right"/>
              <w:ind w:right="36"/>
              <w:spacing w:after="0"/>
              <w:rPr>
                <w:sz w:val="20"/>
                <w:szCs w:val="20"/>
                <w:color w:val="auto"/>
              </w:rPr>
            </w:pPr>
            <w:r>
              <w:rPr>
                <w:rFonts w:ascii="Arial" w:cs="Arial" w:eastAsia="Arial" w:hAnsi="Arial"/>
                <w:sz w:val="17"/>
                <w:szCs w:val="17"/>
                <w:color w:val="auto"/>
              </w:rPr>
              <w:t>1,660,712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406</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18"/>
        </w:trPr>
        <w:tc>
          <w:tcPr>
            <w:tcW w:w="5240" w:type="dxa"/>
            <w:vAlign w:val="bottom"/>
          </w:tcPr>
          <w:p>
            <w:pPr>
              <w:spacing w:after="0"/>
              <w:rPr>
                <w:sz w:val="20"/>
                <w:szCs w:val="20"/>
                <w:color w:val="auto"/>
              </w:rPr>
            </w:pPr>
            <w:r>
              <w:rPr>
                <w:rFonts w:ascii="Arial" w:cs="Arial" w:eastAsia="Arial" w:hAnsi="Arial"/>
                <w:sz w:val="17"/>
                <w:szCs w:val="17"/>
                <w:color w:val="auto"/>
              </w:rPr>
              <w:t>Net loss</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(255,131)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(255,131)</w:t>
            </w:r>
          </w:p>
        </w:tc>
        <w:tc>
          <w:tcPr>
            <w:tcW w:w="0" w:type="dxa"/>
            <w:vAlign w:val="bottom"/>
          </w:tcPr>
          <w:p>
            <w:pPr>
              <w:spacing w:after="0"/>
              <w:rPr>
                <w:sz w:val="1"/>
                <w:szCs w:val="1"/>
                <w:color w:val="auto"/>
              </w:rPr>
            </w:pPr>
          </w:p>
        </w:tc>
      </w:tr>
      <w:tr>
        <w:trPr>
          <w:trHeight w:val="212"/>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December 31, 2019</w:t>
            </w:r>
          </w:p>
        </w:tc>
        <w:tc>
          <w:tcPr>
            <w:tcW w:w="11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24,728,258</w:t>
            </w:r>
          </w:p>
        </w:tc>
        <w:tc>
          <w:tcPr>
            <w:tcW w:w="120" w:type="dxa"/>
            <w:vAlign w:val="bottom"/>
            <w:tcBorders>
              <w:top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2</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484,372</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(256,419)</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7"/>
                <w:szCs w:val="17"/>
                <w:color w:val="auto"/>
              </w:rPr>
              <w:t>227,955</w:t>
            </w:r>
          </w:p>
        </w:tc>
        <w:tc>
          <w:tcPr>
            <w:tcW w:w="0" w:type="dxa"/>
            <w:vAlign w:val="bottom"/>
          </w:tcPr>
          <w:p>
            <w:pPr>
              <w:spacing w:after="0"/>
              <w:rPr>
                <w:sz w:val="1"/>
                <w:szCs w:val="1"/>
                <w:color w:val="auto"/>
              </w:rPr>
            </w:pPr>
          </w:p>
        </w:tc>
      </w:tr>
      <w:tr>
        <w:trPr>
          <w:trHeight w:val="211"/>
        </w:trPr>
        <w:tc>
          <w:tcPr>
            <w:tcW w:w="5240" w:type="dxa"/>
            <w:vAlign w:val="bottom"/>
          </w:tcPr>
          <w:p>
            <w:pPr>
              <w:spacing w:after="0"/>
              <w:rPr>
                <w:sz w:val="20"/>
                <w:szCs w:val="20"/>
                <w:color w:val="auto"/>
              </w:rPr>
            </w:pPr>
            <w:r>
              <w:rPr>
                <w:rFonts w:ascii="Arial" w:cs="Arial" w:eastAsia="Arial" w:hAnsi="Arial"/>
                <w:sz w:val="17"/>
                <w:szCs w:val="17"/>
                <w:color w:val="auto"/>
              </w:rPr>
              <w:t>Conversion of Lender Warrants into equity</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318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318</w:t>
            </w:r>
          </w:p>
        </w:tc>
        <w:tc>
          <w:tcPr>
            <w:tcW w:w="0" w:type="dxa"/>
            <w:vAlign w:val="bottom"/>
          </w:tcPr>
          <w:p>
            <w:pPr>
              <w:spacing w:after="0"/>
              <w:rPr>
                <w:sz w:val="1"/>
                <w:szCs w:val="1"/>
                <w:color w:val="auto"/>
              </w:rPr>
            </w:pPr>
          </w:p>
        </w:tc>
      </w:tr>
      <w:tr>
        <w:trPr>
          <w:trHeight w:val="207"/>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Issuance of common stock in connection with</w:t>
            </w: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240" w:type="dxa"/>
            <w:vAlign w:val="bottom"/>
            <w:shd w:val="clear" w:color="auto" w:fill="CFF0FC"/>
          </w:tcPr>
          <w:p>
            <w:pPr>
              <w:ind w:left="80"/>
              <w:spacing w:after="0"/>
              <w:rPr>
                <w:sz w:val="20"/>
                <w:szCs w:val="20"/>
                <w:color w:val="auto"/>
              </w:rPr>
            </w:pPr>
            <w:r>
              <w:rPr>
                <w:rFonts w:ascii="Arial" w:cs="Arial" w:eastAsia="Arial" w:hAnsi="Arial"/>
                <w:sz w:val="17"/>
                <w:szCs w:val="17"/>
                <w:color w:val="auto"/>
              </w:rPr>
              <w:t>underwritten public offering, net</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2,250,000</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88,596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88,596</w:t>
            </w:r>
          </w:p>
        </w:tc>
        <w:tc>
          <w:tcPr>
            <w:tcW w:w="0" w:type="dxa"/>
            <w:vAlign w:val="bottom"/>
          </w:tcPr>
          <w:p>
            <w:pPr>
              <w:spacing w:after="0"/>
              <w:rPr>
                <w:sz w:val="1"/>
                <w:szCs w:val="1"/>
                <w:color w:val="auto"/>
              </w:rPr>
            </w:pPr>
          </w:p>
        </w:tc>
      </w:tr>
      <w:tr>
        <w:trPr>
          <w:trHeight w:val="206"/>
        </w:trPr>
        <w:tc>
          <w:tcPr>
            <w:tcW w:w="5240" w:type="dxa"/>
            <w:vAlign w:val="bottom"/>
          </w:tcPr>
          <w:p>
            <w:pPr>
              <w:spacing w:after="0"/>
              <w:rPr>
                <w:sz w:val="20"/>
                <w:szCs w:val="20"/>
                <w:color w:val="auto"/>
              </w:rPr>
            </w:pPr>
            <w:r>
              <w:rPr>
                <w:rFonts w:ascii="Arial" w:cs="Arial" w:eastAsia="Arial" w:hAnsi="Arial"/>
                <w:sz w:val="17"/>
                <w:szCs w:val="17"/>
                <w:color w:val="auto"/>
              </w:rPr>
              <w:t>Issuance of common stock from exercise of</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40" w:type="dxa"/>
            <w:vAlign w:val="bottom"/>
          </w:tcPr>
          <w:p>
            <w:pPr>
              <w:ind w:left="140"/>
              <w:spacing w:after="0"/>
              <w:rPr>
                <w:sz w:val="20"/>
                <w:szCs w:val="20"/>
                <w:color w:val="auto"/>
              </w:rPr>
            </w:pPr>
            <w:r>
              <w:rPr>
                <w:rFonts w:ascii="Arial" w:cs="Arial" w:eastAsia="Arial" w:hAnsi="Arial"/>
                <w:sz w:val="17"/>
                <w:szCs w:val="17"/>
                <w:color w:val="auto"/>
              </w:rPr>
              <w:t>stock options</w:t>
            </w:r>
          </w:p>
        </w:tc>
        <w:tc>
          <w:tcPr>
            <w:tcW w:w="1100" w:type="dxa"/>
            <w:vAlign w:val="bottom"/>
          </w:tcPr>
          <w:p>
            <w:pPr>
              <w:jc w:val="right"/>
              <w:ind w:right="36"/>
              <w:spacing w:after="0"/>
              <w:rPr>
                <w:sz w:val="20"/>
                <w:szCs w:val="20"/>
                <w:color w:val="auto"/>
              </w:rPr>
            </w:pPr>
            <w:r>
              <w:rPr>
                <w:rFonts w:ascii="Arial" w:cs="Arial" w:eastAsia="Arial" w:hAnsi="Arial"/>
                <w:sz w:val="17"/>
                <w:szCs w:val="17"/>
                <w:color w:val="auto"/>
              </w:rPr>
              <w:t>48,263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629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219"/>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Vesting of restricted shares</w:t>
            </w:r>
          </w:p>
        </w:tc>
        <w:tc>
          <w:tcPr>
            <w:tcW w:w="110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1,489,489</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34"/>
              <w:spacing w:after="0"/>
              <w:rPr>
                <w:sz w:val="20"/>
                <w:szCs w:val="20"/>
                <w:color w:val="auto"/>
              </w:rPr>
            </w:pPr>
            <w:r>
              <w:rPr>
                <w:rFonts w:ascii="Arial" w:cs="Arial" w:eastAsia="Arial" w:hAnsi="Arial"/>
                <w:sz w:val="17"/>
                <w:szCs w:val="17"/>
                <w:color w:val="auto"/>
              </w:rPr>
              <w:t>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6"/>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8"/>
        </w:trPr>
        <w:tc>
          <w:tcPr>
            <w:tcW w:w="524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80" w:type="dxa"/>
            <w:vAlign w:val="bottom"/>
          </w:tcPr>
          <w:p>
            <w:pPr>
              <w:jc w:val="right"/>
              <w:ind w:right="37"/>
              <w:spacing w:after="0"/>
              <w:rPr>
                <w:sz w:val="20"/>
                <w:szCs w:val="20"/>
                <w:color w:val="auto"/>
              </w:rPr>
            </w:pPr>
            <w:r>
              <w:rPr>
                <w:rFonts w:ascii="Arial" w:cs="Arial" w:eastAsia="Arial" w:hAnsi="Arial"/>
                <w:sz w:val="17"/>
                <w:szCs w:val="17"/>
                <w:color w:val="auto"/>
              </w:rPr>
              <w:t>5,840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40" w:type="dxa"/>
            <w:vAlign w:val="bottom"/>
          </w:tcPr>
          <w:p>
            <w:pPr>
              <w:jc w:val="right"/>
              <w:ind w:right="36"/>
              <w:spacing w:after="0"/>
              <w:rPr>
                <w:sz w:val="20"/>
                <w:szCs w:val="20"/>
                <w:color w:val="auto"/>
              </w:rPr>
            </w:pPr>
            <w:r>
              <w:rPr>
                <w:rFonts w:ascii="Arial" w:cs="Arial" w:eastAsia="Arial" w:hAnsi="Arial"/>
                <w:sz w:val="17"/>
                <w:szCs w:val="17"/>
                <w:color w:val="auto"/>
              </w:rPr>
              <w:t>5,840</w:t>
            </w:r>
          </w:p>
        </w:tc>
        <w:tc>
          <w:tcPr>
            <w:tcW w:w="0" w:type="dxa"/>
            <w:vAlign w:val="bottom"/>
          </w:tcPr>
          <w:p>
            <w:pPr>
              <w:spacing w:after="0"/>
              <w:rPr>
                <w:sz w:val="1"/>
                <w:szCs w:val="1"/>
                <w:color w:val="auto"/>
              </w:rPr>
            </w:pPr>
          </w:p>
        </w:tc>
      </w:tr>
      <w:tr>
        <w:trPr>
          <w:trHeight w:val="219"/>
        </w:trPr>
        <w:tc>
          <w:tcPr>
            <w:tcW w:w="5240" w:type="dxa"/>
            <w:vAlign w:val="bottom"/>
            <w:shd w:val="clear" w:color="auto" w:fill="CFF0FC"/>
          </w:tcPr>
          <w:p>
            <w:pPr>
              <w:spacing w:after="0"/>
              <w:rPr>
                <w:sz w:val="20"/>
                <w:szCs w:val="20"/>
                <w:color w:val="auto"/>
              </w:rPr>
            </w:pPr>
            <w:r>
              <w:rPr>
                <w:rFonts w:ascii="Arial" w:cs="Arial" w:eastAsia="Arial" w:hAnsi="Arial"/>
                <w:sz w:val="17"/>
                <w:szCs w:val="17"/>
                <w:color w:val="auto"/>
              </w:rPr>
              <w:t>Net loss</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(129,068)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(129,068)</w:t>
            </w:r>
          </w:p>
        </w:tc>
        <w:tc>
          <w:tcPr>
            <w:tcW w:w="0" w:type="dxa"/>
            <w:vAlign w:val="bottom"/>
          </w:tcPr>
          <w:p>
            <w:pPr>
              <w:spacing w:after="0"/>
              <w:rPr>
                <w:sz w:val="1"/>
                <w:szCs w:val="1"/>
                <w:color w:val="auto"/>
              </w:rPr>
            </w:pPr>
          </w:p>
        </w:tc>
      </w:tr>
      <w:tr>
        <w:trPr>
          <w:trHeight w:val="211"/>
        </w:trPr>
        <w:tc>
          <w:tcPr>
            <w:tcW w:w="5240" w:type="dxa"/>
            <w:vAlign w:val="bottom"/>
          </w:tcPr>
          <w:p>
            <w:pPr>
              <w:spacing w:after="0"/>
              <w:rPr>
                <w:sz w:val="20"/>
                <w:szCs w:val="20"/>
                <w:color w:val="auto"/>
              </w:rPr>
            </w:pPr>
            <w:r>
              <w:rPr>
                <w:rFonts w:ascii="Arial" w:cs="Arial" w:eastAsia="Arial" w:hAnsi="Arial"/>
                <w:sz w:val="17"/>
                <w:szCs w:val="17"/>
                <w:color w:val="auto"/>
              </w:rPr>
              <w:t>Balance at December 31, 2020</w:t>
            </w: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28,516,010</w:t>
            </w:r>
          </w:p>
        </w:tc>
        <w:tc>
          <w:tcPr>
            <w:tcW w:w="12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color w:val="auto"/>
              </w:rPr>
              <w:t>579,755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(385,487)</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7"/>
                <w:szCs w:val="17"/>
                <w:color w:val="auto"/>
              </w:rPr>
              <w:t>194,271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7"/>
          <w:szCs w:val="17"/>
          <w:b w:val="1"/>
          <w:bCs w:val="1"/>
          <w:color w:val="auto"/>
        </w:rPr>
        <w:t>PHATHOM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Cash Flows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12" w:lineRule="exact"/>
        <w:rPr>
          <w:sz w:val="20"/>
          <w:szCs w:val="20"/>
          <w:color w:val="auto"/>
        </w:rPr>
      </w:pPr>
    </w:p>
    <w:p>
      <w:pPr>
        <w:ind w:left="9120"/>
        <w:spacing w:after="0"/>
        <w:rPr>
          <w:sz w:val="20"/>
          <w:szCs w:val="20"/>
          <w:color w:val="auto"/>
        </w:rPr>
      </w:pPr>
      <w:r>
        <w:rPr>
          <w:rFonts w:ascii="Arial" w:cs="Arial" w:eastAsia="Arial" w:hAnsi="Arial"/>
          <w:sz w:val="12"/>
          <w:szCs w:val="12"/>
          <w:b w:val="1"/>
          <w:bCs w:val="1"/>
          <w:color w:val="auto"/>
        </w:rPr>
        <w:t>Years Ended</w:t>
      </w:r>
    </w:p>
    <w:p>
      <w:pPr>
        <w:ind w:left="9100"/>
        <w:spacing w:after="0"/>
        <w:rPr>
          <w:sz w:val="20"/>
          <w:szCs w:val="20"/>
          <w:color w:val="auto"/>
        </w:rPr>
      </w:pPr>
      <w:r>
        <w:rPr>
          <w:rFonts w:ascii="Arial" w:cs="Arial" w:eastAsia="Arial" w:hAnsi="Arial"/>
          <w:sz w:val="12"/>
          <w:szCs w:val="12"/>
          <w:b w:val="1"/>
          <w:bCs w:val="1"/>
          <w:color w:val="auto"/>
        </w:rPr>
        <w:t>December 31,</w:t>
      </w:r>
    </w:p>
    <w:tbl>
      <w:tblPr>
        <w:tblLayout w:type="fixed"/>
        <w:tblInd w:w="0" w:type="dxa"/>
        <w:tblCellMar>
          <w:top w:w="0" w:type="dxa"/>
          <w:left w:w="0" w:type="dxa"/>
          <w:bottom w:w="0" w:type="dxa"/>
          <w:right w:w="0" w:type="dxa"/>
        </w:tblCellMar>
      </w:tblPr>
      <w:tr>
        <w:trPr>
          <w:trHeight w:val="133"/>
        </w:trPr>
        <w:tc>
          <w:tcPr>
            <w:tcW w:w="7780" w:type="dxa"/>
            <w:vAlign w:val="bottom"/>
            <w:tcBorders>
              <w:bottom w:val="single" w:sz="8" w:color="CFF0FC"/>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51"/>
              <w:spacing w:after="0" w:line="133" w:lineRule="exact"/>
              <w:rPr>
                <w:sz w:val="20"/>
                <w:szCs w:val="20"/>
                <w:color w:val="auto"/>
              </w:rPr>
            </w:pPr>
            <w:r>
              <w:rPr>
                <w:rFonts w:ascii="Arial" w:cs="Arial" w:eastAsia="Arial" w:hAnsi="Arial"/>
                <w:sz w:val="12"/>
                <w:szCs w:val="12"/>
                <w:b w:val="1"/>
                <w:bCs w:val="1"/>
                <w:color w:val="auto"/>
              </w:rPr>
              <w:t>2020</w:t>
            </w:r>
          </w:p>
        </w:tc>
        <w:tc>
          <w:tcPr>
            <w:tcW w:w="6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CFF0FC"/>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300" w:type="dxa"/>
            <w:vAlign w:val="bottom"/>
            <w:tcBorders>
              <w:top w:val="single" w:sz="8" w:color="auto"/>
              <w:bottom w:val="single" w:sz="8" w:color="auto"/>
            </w:tcBorders>
          </w:tcPr>
          <w:p>
            <w:pPr>
              <w:jc w:val="right"/>
              <w:ind w:right="695"/>
              <w:spacing w:after="0" w:line="133" w:lineRule="exact"/>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47"/>
        </w:trPr>
        <w:tc>
          <w:tcPr>
            <w:tcW w:w="7780" w:type="dxa"/>
            <w:vAlign w:val="bottom"/>
            <w:shd w:val="clear" w:color="auto" w:fill="CFF0FC"/>
          </w:tcPr>
          <w:p>
            <w:pPr>
              <w:spacing w:after="0" w:line="148" w:lineRule="exact"/>
              <w:rPr>
                <w:sz w:val="20"/>
                <w:szCs w:val="20"/>
                <w:color w:val="auto"/>
              </w:rPr>
            </w:pPr>
            <w:r>
              <w:rPr>
                <w:rFonts w:ascii="Arial" w:cs="Arial" w:eastAsia="Arial" w:hAnsi="Arial"/>
                <w:sz w:val="13"/>
                <w:szCs w:val="13"/>
                <w:b w:val="1"/>
                <w:bCs w:val="1"/>
                <w:color w:val="auto"/>
              </w:rPr>
              <w:t>Cash flows from operating activities</w:t>
            </w:r>
          </w:p>
        </w:tc>
        <w:tc>
          <w:tcPr>
            <w:tcW w:w="9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80" w:type="dxa"/>
            <w:vAlign w:val="bottom"/>
          </w:tcPr>
          <w:p>
            <w:pPr>
              <w:spacing w:after="0"/>
              <w:rPr>
                <w:sz w:val="20"/>
                <w:szCs w:val="20"/>
                <w:color w:val="auto"/>
              </w:rPr>
            </w:pPr>
            <w:r>
              <w:rPr>
                <w:rFonts w:ascii="Arial" w:cs="Arial" w:eastAsia="Arial" w:hAnsi="Arial"/>
                <w:sz w:val="13"/>
                <w:szCs w:val="13"/>
                <w:color w:val="auto"/>
              </w:rPr>
              <w:t>Net loss</w:t>
            </w:r>
          </w:p>
        </w:tc>
        <w:tc>
          <w:tcPr>
            <w:tcW w:w="980" w:type="dxa"/>
            <w:vAlign w:val="bottom"/>
          </w:tcPr>
          <w:p>
            <w:pPr>
              <w:jc w:val="right"/>
              <w:ind w:right="871"/>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(129,068)</w:t>
            </w:r>
          </w:p>
        </w:tc>
        <w:tc>
          <w:tcPr>
            <w:tcW w:w="140" w:type="dxa"/>
            <w:vAlign w:val="bottom"/>
          </w:tcPr>
          <w:p>
            <w:pPr>
              <w:spacing w:after="0"/>
              <w:rPr>
                <w:sz w:val="13"/>
                <w:szCs w:val="13"/>
                <w:color w:val="auto"/>
              </w:rPr>
            </w:pPr>
          </w:p>
        </w:tc>
        <w:tc>
          <w:tcPr>
            <w:tcW w:w="360" w:type="dxa"/>
            <w:vAlign w:val="bottom"/>
          </w:tcPr>
          <w:p>
            <w:pPr>
              <w:jc w:val="right"/>
              <w:ind w:right="215"/>
              <w:spacing w:after="0"/>
              <w:rPr>
                <w:sz w:val="20"/>
                <w:szCs w:val="20"/>
                <w:color w:val="auto"/>
              </w:rPr>
            </w:pPr>
            <w:r>
              <w:rPr>
                <w:rFonts w:ascii="Arial" w:cs="Arial" w:eastAsia="Arial" w:hAnsi="Arial"/>
                <w:sz w:val="13"/>
                <w:szCs w:val="13"/>
                <w:color w:val="auto"/>
                <w:w w:val="82"/>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(255,131)</w:t>
            </w:r>
          </w:p>
        </w:tc>
        <w:tc>
          <w:tcPr>
            <w:tcW w:w="0" w:type="dxa"/>
            <w:vAlign w:val="bottom"/>
          </w:tcPr>
          <w:p>
            <w:pPr>
              <w:spacing w:after="0"/>
              <w:rPr>
                <w:sz w:val="1"/>
                <w:szCs w:val="1"/>
                <w:color w:val="auto"/>
              </w:rPr>
            </w:pPr>
          </w:p>
        </w:tc>
      </w:tr>
      <w:tr>
        <w:trPr>
          <w:trHeight w:val="154"/>
        </w:trPr>
        <w:tc>
          <w:tcPr>
            <w:tcW w:w="7780" w:type="dxa"/>
            <w:vAlign w:val="bottom"/>
            <w:shd w:val="clear" w:color="auto" w:fill="CFF0FC"/>
          </w:tcPr>
          <w:p>
            <w:pPr>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80" w:type="dxa"/>
            <w:vAlign w:val="bottom"/>
          </w:tcPr>
          <w:p>
            <w:pPr>
              <w:ind w:left="240"/>
              <w:spacing w:after="0"/>
              <w:rPr>
                <w:sz w:val="20"/>
                <w:szCs w:val="20"/>
                <w:color w:val="auto"/>
              </w:rPr>
            </w:pPr>
            <w:r>
              <w:rPr>
                <w:rFonts w:ascii="Arial" w:cs="Arial" w:eastAsia="Arial" w:hAnsi="Arial"/>
                <w:sz w:val="13"/>
                <w:szCs w:val="13"/>
                <w:color w:val="auto"/>
              </w:rPr>
              <w:t>Depreciation and amortization</w:t>
            </w:r>
          </w:p>
        </w:tc>
        <w:tc>
          <w:tcPr>
            <w:tcW w:w="980" w:type="dxa"/>
            <w:vAlign w:val="bottom"/>
          </w:tcPr>
          <w:p>
            <w:pPr>
              <w:spacing w:after="0"/>
              <w:rPr>
                <w:sz w:val="13"/>
                <w:szCs w:val="13"/>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color w:val="auto"/>
              </w:rPr>
              <w:t>323</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right"/>
              <w:ind w:right="5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4"/>
        </w:trPr>
        <w:tc>
          <w:tcPr>
            <w:tcW w:w="77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Stock-based compensation</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5,840</w:t>
            </w: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55"/>
              <w:spacing w:after="0"/>
              <w:rPr>
                <w:sz w:val="20"/>
                <w:szCs w:val="20"/>
                <w:color w:val="auto"/>
              </w:rPr>
            </w:pPr>
            <w:r>
              <w:rPr>
                <w:rFonts w:ascii="Arial" w:cs="Arial" w:eastAsia="Arial" w:hAnsi="Arial"/>
                <w:sz w:val="13"/>
                <w:szCs w:val="13"/>
                <w:color w:val="auto"/>
              </w:rPr>
              <w:t>406</w:t>
            </w:r>
          </w:p>
        </w:tc>
        <w:tc>
          <w:tcPr>
            <w:tcW w:w="0" w:type="dxa"/>
            <w:vAlign w:val="bottom"/>
          </w:tcPr>
          <w:p>
            <w:pPr>
              <w:spacing w:after="0"/>
              <w:rPr>
                <w:sz w:val="1"/>
                <w:szCs w:val="1"/>
                <w:color w:val="auto"/>
              </w:rPr>
            </w:pPr>
          </w:p>
        </w:tc>
      </w:tr>
      <w:tr>
        <w:trPr>
          <w:trHeight w:val="154"/>
        </w:trPr>
        <w:tc>
          <w:tcPr>
            <w:tcW w:w="7780" w:type="dxa"/>
            <w:vAlign w:val="bottom"/>
          </w:tcPr>
          <w:p>
            <w:pPr>
              <w:ind w:left="240"/>
              <w:spacing w:after="0"/>
              <w:rPr>
                <w:sz w:val="20"/>
                <w:szCs w:val="20"/>
                <w:color w:val="auto"/>
              </w:rPr>
            </w:pPr>
            <w:r>
              <w:rPr>
                <w:rFonts w:ascii="Arial" w:cs="Arial" w:eastAsia="Arial" w:hAnsi="Arial"/>
                <w:sz w:val="13"/>
                <w:szCs w:val="13"/>
                <w:color w:val="auto"/>
              </w:rPr>
              <w:t>Amortization of debt discount</w:t>
            </w:r>
          </w:p>
        </w:tc>
        <w:tc>
          <w:tcPr>
            <w:tcW w:w="980" w:type="dxa"/>
            <w:vAlign w:val="bottom"/>
          </w:tcPr>
          <w:p>
            <w:pPr>
              <w:spacing w:after="0"/>
              <w:rPr>
                <w:sz w:val="13"/>
                <w:szCs w:val="13"/>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color w:val="auto"/>
              </w:rPr>
              <w:t>1,273</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right"/>
              <w:ind w:right="55"/>
              <w:spacing w:after="0"/>
              <w:rPr>
                <w:sz w:val="20"/>
                <w:szCs w:val="20"/>
                <w:color w:val="auto"/>
              </w:rPr>
            </w:pPr>
            <w:r>
              <w:rPr>
                <w:rFonts w:ascii="Arial" w:cs="Arial" w:eastAsia="Arial" w:hAnsi="Arial"/>
                <w:sz w:val="13"/>
                <w:szCs w:val="13"/>
                <w:color w:val="auto"/>
              </w:rPr>
              <w:t>409</w:t>
            </w:r>
          </w:p>
        </w:tc>
        <w:tc>
          <w:tcPr>
            <w:tcW w:w="0" w:type="dxa"/>
            <w:vAlign w:val="bottom"/>
          </w:tcPr>
          <w:p>
            <w:pPr>
              <w:spacing w:after="0"/>
              <w:rPr>
                <w:sz w:val="1"/>
                <w:szCs w:val="1"/>
                <w:color w:val="auto"/>
              </w:rPr>
            </w:pPr>
          </w:p>
        </w:tc>
      </w:tr>
      <w:tr>
        <w:trPr>
          <w:trHeight w:val="154"/>
        </w:trPr>
        <w:tc>
          <w:tcPr>
            <w:tcW w:w="77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Acquired in-process research and development</w:t>
            </w:r>
          </w:p>
        </w:tc>
        <w:tc>
          <w:tcPr>
            <w:tcW w:w="9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55"/>
              <w:spacing w:after="0"/>
              <w:rPr>
                <w:sz w:val="20"/>
                <w:szCs w:val="20"/>
                <w:color w:val="auto"/>
              </w:rPr>
            </w:pPr>
            <w:r>
              <w:rPr>
                <w:rFonts w:ascii="Arial" w:cs="Arial" w:eastAsia="Arial" w:hAnsi="Arial"/>
                <w:sz w:val="13"/>
                <w:szCs w:val="13"/>
                <w:color w:val="auto"/>
              </w:rPr>
              <w:t>78,897</w:t>
            </w:r>
          </w:p>
        </w:tc>
        <w:tc>
          <w:tcPr>
            <w:tcW w:w="0" w:type="dxa"/>
            <w:vAlign w:val="bottom"/>
          </w:tcPr>
          <w:p>
            <w:pPr>
              <w:spacing w:after="0"/>
              <w:rPr>
                <w:sz w:val="1"/>
                <w:szCs w:val="1"/>
                <w:color w:val="auto"/>
              </w:rPr>
            </w:pPr>
          </w:p>
        </w:tc>
      </w:tr>
      <w:tr>
        <w:trPr>
          <w:trHeight w:val="154"/>
        </w:trPr>
        <w:tc>
          <w:tcPr>
            <w:tcW w:w="7780" w:type="dxa"/>
            <w:vAlign w:val="bottom"/>
          </w:tcPr>
          <w:p>
            <w:pPr>
              <w:ind w:left="240"/>
              <w:spacing w:after="0"/>
              <w:rPr>
                <w:sz w:val="20"/>
                <w:szCs w:val="20"/>
                <w:color w:val="auto"/>
              </w:rPr>
            </w:pPr>
            <w:r>
              <w:rPr>
                <w:rFonts w:ascii="Arial" w:cs="Arial" w:eastAsia="Arial" w:hAnsi="Arial"/>
                <w:sz w:val="13"/>
                <w:szCs w:val="13"/>
                <w:color w:val="auto"/>
              </w:rPr>
              <w:t>Non-cash interest expense (includes related party amounts of $0 and $590, respectively)</w:t>
            </w:r>
          </w:p>
        </w:tc>
        <w:tc>
          <w:tcPr>
            <w:tcW w:w="98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300" w:type="dxa"/>
            <w:vAlign w:val="bottom"/>
          </w:tcPr>
          <w:p>
            <w:pPr>
              <w:jc w:val="right"/>
              <w:ind w:right="55"/>
              <w:spacing w:after="0"/>
              <w:rPr>
                <w:sz w:val="20"/>
                <w:szCs w:val="20"/>
                <w:color w:val="auto"/>
              </w:rPr>
            </w:pPr>
            <w:r>
              <w:rPr>
                <w:rFonts w:ascii="Arial" w:cs="Arial" w:eastAsia="Arial" w:hAnsi="Arial"/>
                <w:sz w:val="13"/>
                <w:szCs w:val="13"/>
                <w:color w:val="auto"/>
              </w:rPr>
              <w:t>2,605</w:t>
            </w:r>
          </w:p>
        </w:tc>
        <w:tc>
          <w:tcPr>
            <w:tcW w:w="0" w:type="dxa"/>
            <w:vAlign w:val="bottom"/>
          </w:tcPr>
          <w:p>
            <w:pPr>
              <w:spacing w:after="0"/>
              <w:rPr>
                <w:sz w:val="1"/>
                <w:szCs w:val="1"/>
                <w:color w:val="auto"/>
              </w:rPr>
            </w:pPr>
          </w:p>
        </w:tc>
      </w:tr>
      <w:tr>
        <w:trPr>
          <w:trHeight w:val="145"/>
        </w:trPr>
        <w:tc>
          <w:tcPr>
            <w:tcW w:w="7780" w:type="dxa"/>
            <w:vAlign w:val="bottom"/>
            <w:shd w:val="clear" w:color="auto" w:fill="CFF0FC"/>
          </w:tcPr>
          <w:p>
            <w:pPr>
              <w:ind w:left="240"/>
              <w:spacing w:after="0" w:line="146" w:lineRule="exact"/>
              <w:rPr>
                <w:sz w:val="20"/>
                <w:szCs w:val="20"/>
                <w:color w:val="auto"/>
              </w:rPr>
            </w:pPr>
            <w:r>
              <w:rPr>
                <w:rFonts w:ascii="Arial" w:cs="Arial" w:eastAsia="Arial" w:hAnsi="Arial"/>
                <w:sz w:val="13"/>
                <w:szCs w:val="13"/>
                <w:color w:val="auto"/>
              </w:rPr>
              <w:t>Change in fair value of warrant liabilities (includes related party amounts</w:t>
            </w:r>
          </w:p>
        </w:tc>
        <w:tc>
          <w:tcPr>
            <w:tcW w:w="9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7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 $0 and $96,278, respectively)</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55"/>
              <w:spacing w:after="0"/>
              <w:rPr>
                <w:sz w:val="20"/>
                <w:szCs w:val="20"/>
                <w:color w:val="auto"/>
              </w:rPr>
            </w:pPr>
            <w:r>
              <w:rPr>
                <w:rFonts w:ascii="Arial" w:cs="Arial" w:eastAsia="Arial" w:hAnsi="Arial"/>
                <w:sz w:val="13"/>
                <w:szCs w:val="13"/>
                <w:color w:val="auto"/>
              </w:rPr>
              <w:t>96,272</w:t>
            </w:r>
          </w:p>
        </w:tc>
        <w:tc>
          <w:tcPr>
            <w:tcW w:w="0" w:type="dxa"/>
            <w:vAlign w:val="bottom"/>
          </w:tcPr>
          <w:p>
            <w:pPr>
              <w:spacing w:after="0"/>
              <w:rPr>
                <w:sz w:val="1"/>
                <w:szCs w:val="1"/>
                <w:color w:val="auto"/>
              </w:rPr>
            </w:pPr>
          </w:p>
        </w:tc>
      </w:tr>
      <w:tr>
        <w:trPr>
          <w:trHeight w:val="145"/>
        </w:trPr>
        <w:tc>
          <w:tcPr>
            <w:tcW w:w="7780" w:type="dxa"/>
            <w:vAlign w:val="bottom"/>
          </w:tcPr>
          <w:p>
            <w:pPr>
              <w:ind w:left="240"/>
              <w:spacing w:after="0" w:line="146" w:lineRule="exact"/>
              <w:rPr>
                <w:sz w:val="20"/>
                <w:szCs w:val="20"/>
                <w:color w:val="auto"/>
              </w:rPr>
            </w:pPr>
            <w:r>
              <w:rPr>
                <w:rFonts w:ascii="Arial" w:cs="Arial" w:eastAsia="Arial" w:hAnsi="Arial"/>
                <w:sz w:val="13"/>
                <w:szCs w:val="13"/>
                <w:color w:val="auto"/>
              </w:rPr>
              <w:t>Change in fair value of convertible promissory notes (includes related party</w:t>
            </w: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780" w:type="dxa"/>
            <w:vAlign w:val="bottom"/>
          </w:tcPr>
          <w:p>
            <w:pPr>
              <w:ind w:left="340"/>
              <w:spacing w:after="0"/>
              <w:rPr>
                <w:sz w:val="20"/>
                <w:szCs w:val="20"/>
                <w:color w:val="auto"/>
              </w:rPr>
            </w:pPr>
            <w:r>
              <w:rPr>
                <w:rFonts w:ascii="Arial" w:cs="Arial" w:eastAsia="Arial" w:hAnsi="Arial"/>
                <w:sz w:val="13"/>
                <w:szCs w:val="13"/>
                <w:color w:val="auto"/>
              </w:rPr>
              <w:t>amounts of $0 and $10,941, respectively)</w:t>
            </w:r>
          </w:p>
        </w:tc>
        <w:tc>
          <w:tcPr>
            <w:tcW w:w="98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300" w:type="dxa"/>
            <w:vAlign w:val="bottom"/>
          </w:tcPr>
          <w:p>
            <w:pPr>
              <w:jc w:val="right"/>
              <w:ind w:right="55"/>
              <w:spacing w:after="0"/>
              <w:rPr>
                <w:sz w:val="20"/>
                <w:szCs w:val="20"/>
                <w:color w:val="auto"/>
              </w:rPr>
            </w:pPr>
            <w:r>
              <w:rPr>
                <w:rFonts w:ascii="Arial" w:cs="Arial" w:eastAsia="Arial" w:hAnsi="Arial"/>
                <w:sz w:val="13"/>
                <w:szCs w:val="13"/>
                <w:color w:val="auto"/>
              </w:rPr>
              <w:t>49,546</w:t>
            </w:r>
          </w:p>
        </w:tc>
        <w:tc>
          <w:tcPr>
            <w:tcW w:w="0" w:type="dxa"/>
            <w:vAlign w:val="bottom"/>
          </w:tcPr>
          <w:p>
            <w:pPr>
              <w:spacing w:after="0"/>
              <w:rPr>
                <w:sz w:val="1"/>
                <w:szCs w:val="1"/>
                <w:color w:val="auto"/>
              </w:rPr>
            </w:pPr>
          </w:p>
        </w:tc>
      </w:tr>
      <w:tr>
        <w:trPr>
          <w:trHeight w:val="154"/>
        </w:trPr>
        <w:tc>
          <w:tcPr>
            <w:tcW w:w="7780" w:type="dxa"/>
            <w:vAlign w:val="bottom"/>
            <w:shd w:val="clear" w:color="auto" w:fill="CFF0FC"/>
          </w:tcPr>
          <w:p>
            <w:pPr>
              <w:ind w:left="240"/>
              <w:spacing w:after="0"/>
              <w:rPr>
                <w:sz w:val="20"/>
                <w:szCs w:val="20"/>
                <w:color w:val="auto"/>
              </w:rPr>
            </w:pPr>
            <w:r>
              <w:rPr>
                <w:rFonts w:ascii="Arial" w:cs="Arial" w:eastAsia="Arial" w:hAnsi="Arial"/>
                <w:sz w:val="13"/>
                <w:szCs w:val="13"/>
                <w:color w:val="auto"/>
              </w:rPr>
              <w:t>Other</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322</w:t>
            </w: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7780" w:type="dxa"/>
            <w:vAlign w:val="bottom"/>
          </w:tcPr>
          <w:p>
            <w:pPr>
              <w:ind w:left="240"/>
              <w:spacing w:after="0"/>
              <w:rPr>
                <w:sz w:val="20"/>
                <w:szCs w:val="20"/>
                <w:color w:val="auto"/>
              </w:rPr>
            </w:pPr>
            <w:r>
              <w:rPr>
                <w:rFonts w:ascii="Arial" w:cs="Arial" w:eastAsia="Arial" w:hAnsi="Arial"/>
                <w:sz w:val="13"/>
                <w:szCs w:val="13"/>
                <w:color w:val="auto"/>
              </w:rPr>
              <w:t>Changes in operating assets and liabilities:</w:t>
            </w: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7780" w:type="dxa"/>
            <w:vAlign w:val="bottom"/>
            <w:shd w:val="clear" w:color="auto" w:fill="CFF0FC"/>
          </w:tcPr>
          <w:p>
            <w:pPr>
              <w:ind w:left="480"/>
              <w:spacing w:after="0" w:line="146" w:lineRule="exact"/>
              <w:rPr>
                <w:sz w:val="20"/>
                <w:szCs w:val="20"/>
                <w:color w:val="auto"/>
              </w:rPr>
            </w:pPr>
            <w:r>
              <w:rPr>
                <w:rFonts w:ascii="Arial" w:cs="Arial" w:eastAsia="Arial" w:hAnsi="Arial"/>
                <w:sz w:val="13"/>
                <w:szCs w:val="13"/>
                <w:color w:val="auto"/>
              </w:rPr>
              <w:t>Prepaid expenses and other current assets (includes related party amounts</w:t>
            </w:r>
          </w:p>
        </w:tc>
        <w:tc>
          <w:tcPr>
            <w:tcW w:w="9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780" w:type="dxa"/>
            <w:vAlign w:val="bottom"/>
            <w:shd w:val="clear" w:color="auto" w:fill="CFF0FC"/>
          </w:tcPr>
          <w:p>
            <w:pPr>
              <w:ind w:left="560"/>
              <w:spacing w:after="0"/>
              <w:rPr>
                <w:sz w:val="20"/>
                <w:szCs w:val="20"/>
                <w:color w:val="auto"/>
              </w:rPr>
            </w:pPr>
            <w:r>
              <w:rPr>
                <w:rFonts w:ascii="Arial" w:cs="Arial" w:eastAsia="Arial" w:hAnsi="Arial"/>
                <w:sz w:val="13"/>
                <w:szCs w:val="13"/>
                <w:color w:val="auto"/>
              </w:rPr>
              <w:t>of $(82) and $19, respectively)</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7,963</w:t>
            </w: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(11,813)</w:t>
            </w:r>
          </w:p>
        </w:tc>
        <w:tc>
          <w:tcPr>
            <w:tcW w:w="0" w:type="dxa"/>
            <w:vAlign w:val="bottom"/>
          </w:tcPr>
          <w:p>
            <w:pPr>
              <w:spacing w:after="0"/>
              <w:rPr>
                <w:sz w:val="1"/>
                <w:szCs w:val="1"/>
                <w:color w:val="auto"/>
              </w:rPr>
            </w:pPr>
          </w:p>
        </w:tc>
      </w:tr>
      <w:tr>
        <w:trPr>
          <w:trHeight w:val="145"/>
        </w:trPr>
        <w:tc>
          <w:tcPr>
            <w:tcW w:w="7780" w:type="dxa"/>
            <w:vAlign w:val="bottom"/>
          </w:tcPr>
          <w:p>
            <w:pPr>
              <w:ind w:left="480"/>
              <w:spacing w:after="0" w:line="146" w:lineRule="exact"/>
              <w:rPr>
                <w:sz w:val="20"/>
                <w:szCs w:val="20"/>
                <w:color w:val="auto"/>
              </w:rPr>
            </w:pPr>
            <w:r>
              <w:rPr>
                <w:rFonts w:ascii="Arial" w:cs="Arial" w:eastAsia="Arial" w:hAnsi="Arial"/>
                <w:sz w:val="13"/>
                <w:szCs w:val="13"/>
                <w:color w:val="auto"/>
              </w:rPr>
              <w:t>Accounts payable and accrued expenses (includes related party amounts of</w:t>
            </w: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vMerge w:val="restart"/>
          </w:tcPr>
          <w:p>
            <w:pPr>
              <w:jc w:val="right"/>
              <w:ind w:right="55"/>
              <w:spacing w:after="0"/>
              <w:rPr>
                <w:sz w:val="20"/>
                <w:szCs w:val="20"/>
                <w:color w:val="auto"/>
              </w:rPr>
            </w:pPr>
            <w:r>
              <w:rPr>
                <w:rFonts w:ascii="Arial" w:cs="Arial" w:eastAsia="Arial" w:hAnsi="Arial"/>
                <w:sz w:val="14"/>
                <w:szCs w:val="14"/>
                <w:color w:val="auto"/>
              </w:rPr>
              <w:t>2,265</w:t>
            </w:r>
          </w:p>
        </w:tc>
        <w:tc>
          <w:tcPr>
            <w:tcW w:w="0" w:type="dxa"/>
            <w:vAlign w:val="bottom"/>
          </w:tcPr>
          <w:p>
            <w:pPr>
              <w:spacing w:after="0"/>
              <w:rPr>
                <w:sz w:val="1"/>
                <w:szCs w:val="1"/>
                <w:color w:val="auto"/>
              </w:rPr>
            </w:pPr>
          </w:p>
        </w:tc>
      </w:tr>
      <w:tr>
        <w:trPr>
          <w:trHeight w:val="150"/>
        </w:trPr>
        <w:tc>
          <w:tcPr>
            <w:tcW w:w="7780" w:type="dxa"/>
            <w:vAlign w:val="bottom"/>
          </w:tcPr>
          <w:p>
            <w:pPr>
              <w:ind w:left="560"/>
              <w:spacing w:after="0"/>
              <w:rPr>
                <w:sz w:val="20"/>
                <w:szCs w:val="20"/>
                <w:color w:val="auto"/>
              </w:rPr>
            </w:pPr>
            <w:r>
              <w:rPr>
                <w:rFonts w:ascii="Arial" w:cs="Arial" w:eastAsia="Arial" w:hAnsi="Arial"/>
                <w:sz w:val="13"/>
                <w:szCs w:val="13"/>
                <w:color w:val="auto"/>
              </w:rPr>
              <w:t>$399 and $460, respectively)</w:t>
            </w:r>
          </w:p>
        </w:tc>
        <w:tc>
          <w:tcPr>
            <w:tcW w:w="980" w:type="dxa"/>
            <w:vAlign w:val="bottom"/>
          </w:tcPr>
          <w:p>
            <w:pPr>
              <w:spacing w:after="0"/>
              <w:rPr>
                <w:sz w:val="13"/>
                <w:szCs w:val="13"/>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color w:val="auto"/>
              </w:rPr>
              <w:t>24,009</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80" w:type="dxa"/>
            <w:vAlign w:val="bottom"/>
            <w:shd w:val="clear" w:color="auto" w:fill="CFF0FC"/>
          </w:tcPr>
          <w:p>
            <w:pPr>
              <w:ind w:left="480"/>
              <w:spacing w:after="0"/>
              <w:rPr>
                <w:sz w:val="20"/>
                <w:szCs w:val="20"/>
                <w:color w:val="auto"/>
              </w:rPr>
            </w:pPr>
            <w:r>
              <w:rPr>
                <w:rFonts w:ascii="Arial" w:cs="Arial" w:eastAsia="Arial" w:hAnsi="Arial"/>
                <w:sz w:val="13"/>
                <w:szCs w:val="13"/>
                <w:color w:val="auto"/>
              </w:rPr>
              <w:t>Accrued clinical trial expenses</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19,997</w:t>
            </w: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7780" w:type="dxa"/>
            <w:vAlign w:val="bottom"/>
          </w:tcPr>
          <w:p>
            <w:pPr>
              <w:ind w:left="480"/>
              <w:spacing w:after="0"/>
              <w:rPr>
                <w:sz w:val="20"/>
                <w:szCs w:val="20"/>
                <w:color w:val="auto"/>
              </w:rPr>
            </w:pPr>
            <w:r>
              <w:rPr>
                <w:rFonts w:ascii="Arial" w:cs="Arial" w:eastAsia="Arial" w:hAnsi="Arial"/>
                <w:sz w:val="13"/>
                <w:szCs w:val="13"/>
                <w:color w:val="auto"/>
              </w:rPr>
              <w:t>Accrued interest</w:t>
            </w:r>
          </w:p>
        </w:tc>
        <w:tc>
          <w:tcPr>
            <w:tcW w:w="980" w:type="dxa"/>
            <w:vAlign w:val="bottom"/>
          </w:tcPr>
          <w:p>
            <w:pPr>
              <w:spacing w:after="0"/>
              <w:rPr>
                <w:sz w:val="13"/>
                <w:szCs w:val="13"/>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color w:val="auto"/>
              </w:rPr>
              <w:t>156</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right"/>
              <w:ind w:right="55"/>
              <w:spacing w:after="0" w:line="154" w:lineRule="exact"/>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154"/>
        </w:trPr>
        <w:tc>
          <w:tcPr>
            <w:tcW w:w="7780" w:type="dxa"/>
            <w:vAlign w:val="bottom"/>
            <w:shd w:val="clear" w:color="auto" w:fill="CFF0FC"/>
          </w:tcPr>
          <w:p>
            <w:pPr>
              <w:ind w:left="480"/>
              <w:spacing w:after="0"/>
              <w:rPr>
                <w:sz w:val="20"/>
                <w:szCs w:val="20"/>
                <w:color w:val="auto"/>
              </w:rPr>
            </w:pPr>
            <w:r>
              <w:rPr>
                <w:rFonts w:ascii="Arial" w:cs="Arial" w:eastAsia="Arial" w:hAnsi="Arial"/>
                <w:sz w:val="13"/>
                <w:szCs w:val="13"/>
                <w:color w:val="auto"/>
              </w:rPr>
              <w:t>Operating right-of-use asset and lease liabilities</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w:t>
            </w: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55"/>
              <w:spacing w:after="0" w:line="154"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54"/>
        </w:trPr>
        <w:tc>
          <w:tcPr>
            <w:tcW w:w="7780" w:type="dxa"/>
            <w:vAlign w:val="bottom"/>
            <w:tcBorders>
              <w:bottom w:val="single" w:sz="8" w:color="CFF0FC"/>
            </w:tcBorders>
          </w:tcPr>
          <w:p>
            <w:pPr>
              <w:ind w:left="480"/>
              <w:spacing w:after="0"/>
              <w:rPr>
                <w:sz w:val="20"/>
                <w:szCs w:val="20"/>
                <w:color w:val="auto"/>
              </w:rPr>
            </w:pPr>
            <w:r>
              <w:rPr>
                <w:rFonts w:ascii="Arial" w:cs="Arial" w:eastAsia="Arial" w:hAnsi="Arial"/>
                <w:sz w:val="13"/>
                <w:szCs w:val="13"/>
                <w:color w:val="auto"/>
              </w:rPr>
              <w:t>Other long-term assets</w:t>
            </w: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47"/>
        </w:trPr>
        <w:tc>
          <w:tcPr>
            <w:tcW w:w="7780" w:type="dxa"/>
            <w:vAlign w:val="bottom"/>
            <w:shd w:val="clear" w:color="auto" w:fill="CFF0FC"/>
          </w:tcPr>
          <w:p>
            <w:pPr>
              <w:spacing w:after="0" w:line="148" w:lineRule="exact"/>
              <w:rPr>
                <w:sz w:val="20"/>
                <w:szCs w:val="20"/>
                <w:color w:val="auto"/>
              </w:rPr>
            </w:pPr>
            <w:r>
              <w:rPr>
                <w:rFonts w:ascii="Arial" w:cs="Arial" w:eastAsia="Arial" w:hAnsi="Arial"/>
                <w:sz w:val="13"/>
                <w:szCs w:val="13"/>
                <w:color w:val="auto"/>
              </w:rPr>
              <w:t>Net cash used in operating activities</w:t>
            </w:r>
          </w:p>
        </w:tc>
        <w:tc>
          <w:tcPr>
            <w:tcW w:w="98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(69,688)</w:t>
            </w:r>
          </w:p>
        </w:tc>
        <w:tc>
          <w:tcPr>
            <w:tcW w:w="140" w:type="dxa"/>
            <w:vAlign w:val="bottom"/>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spacing w:after="0" w:line="148" w:lineRule="exact"/>
              <w:rPr>
                <w:sz w:val="20"/>
                <w:szCs w:val="20"/>
                <w:color w:val="auto"/>
              </w:rPr>
            </w:pPr>
            <w:r>
              <w:rPr>
                <w:rFonts w:ascii="Arial" w:cs="Arial" w:eastAsia="Arial" w:hAnsi="Arial"/>
                <w:sz w:val="13"/>
                <w:szCs w:val="13"/>
                <w:color w:val="auto"/>
              </w:rPr>
              <w:t>(36,510)</w:t>
            </w:r>
          </w:p>
        </w:tc>
        <w:tc>
          <w:tcPr>
            <w:tcW w:w="0" w:type="dxa"/>
            <w:vAlign w:val="bottom"/>
          </w:tcPr>
          <w:p>
            <w:pPr>
              <w:spacing w:after="0"/>
              <w:rPr>
                <w:sz w:val="1"/>
                <w:szCs w:val="1"/>
                <w:color w:val="auto"/>
              </w:rPr>
            </w:pPr>
          </w:p>
        </w:tc>
      </w:tr>
      <w:tr>
        <w:trPr>
          <w:trHeight w:val="147"/>
        </w:trPr>
        <w:tc>
          <w:tcPr>
            <w:tcW w:w="7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80" w:type="dxa"/>
            <w:vAlign w:val="bottom"/>
          </w:tcPr>
          <w:p>
            <w:pPr>
              <w:spacing w:after="0"/>
              <w:rPr>
                <w:sz w:val="20"/>
                <w:szCs w:val="20"/>
                <w:color w:val="auto"/>
              </w:rPr>
            </w:pPr>
            <w:r>
              <w:rPr>
                <w:rFonts w:ascii="Arial" w:cs="Arial" w:eastAsia="Arial" w:hAnsi="Arial"/>
                <w:sz w:val="13"/>
                <w:szCs w:val="13"/>
                <w:color w:val="auto"/>
              </w:rPr>
              <w:t>Cash paid for purchased in-process research and development</w:t>
            </w:r>
          </w:p>
        </w:tc>
        <w:tc>
          <w:tcPr>
            <w:tcW w:w="98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(25,118)</w:t>
            </w:r>
          </w:p>
        </w:tc>
        <w:tc>
          <w:tcPr>
            <w:tcW w:w="0" w:type="dxa"/>
            <w:vAlign w:val="bottom"/>
          </w:tcPr>
          <w:p>
            <w:pPr>
              <w:spacing w:after="0"/>
              <w:rPr>
                <w:sz w:val="1"/>
                <w:szCs w:val="1"/>
                <w:color w:val="auto"/>
              </w:rPr>
            </w:pPr>
          </w:p>
        </w:tc>
      </w:tr>
      <w:tr>
        <w:trPr>
          <w:trHeight w:val="154"/>
        </w:trPr>
        <w:tc>
          <w:tcPr>
            <w:tcW w:w="7780" w:type="dxa"/>
            <w:vAlign w:val="bottom"/>
            <w:shd w:val="clear" w:color="auto" w:fill="CFF0FC"/>
          </w:tcPr>
          <w:p>
            <w:pPr>
              <w:spacing w:after="0"/>
              <w:rPr>
                <w:sz w:val="20"/>
                <w:szCs w:val="20"/>
                <w:color w:val="auto"/>
              </w:rPr>
            </w:pPr>
            <w:r>
              <w:rPr>
                <w:rFonts w:ascii="Arial" w:cs="Arial" w:eastAsia="Arial" w:hAnsi="Arial"/>
                <w:sz w:val="13"/>
                <w:szCs w:val="13"/>
                <w:color w:val="auto"/>
              </w:rPr>
              <w:t>Cash paid for property, plant and equipment</w:t>
            </w:r>
          </w:p>
        </w:tc>
        <w:tc>
          <w:tcPr>
            <w:tcW w:w="9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(1,040)</w:t>
            </w:r>
          </w:p>
        </w:tc>
        <w:tc>
          <w:tcPr>
            <w:tcW w:w="14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147"/>
        </w:trPr>
        <w:tc>
          <w:tcPr>
            <w:tcW w:w="7780" w:type="dxa"/>
            <w:vAlign w:val="bottom"/>
            <w:tcBorders>
              <w:bottom w:val="single" w:sz="8" w:color="CFF0FC"/>
            </w:tcBorders>
          </w:tcPr>
          <w:p>
            <w:pPr>
              <w:spacing w:after="0" w:line="148" w:lineRule="exact"/>
              <w:rPr>
                <w:sz w:val="20"/>
                <w:szCs w:val="20"/>
                <w:color w:val="auto"/>
              </w:rPr>
            </w:pPr>
            <w:r>
              <w:rPr>
                <w:rFonts w:ascii="Arial" w:cs="Arial" w:eastAsia="Arial" w:hAnsi="Arial"/>
                <w:sz w:val="13"/>
                <w:szCs w:val="13"/>
                <w:color w:val="auto"/>
              </w:rPr>
              <w:t>Net cash used in investing activities</w:t>
            </w:r>
          </w:p>
        </w:tc>
        <w:tc>
          <w:tcPr>
            <w:tcW w:w="9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(1,040)</w:t>
            </w:r>
          </w:p>
        </w:tc>
        <w:tc>
          <w:tcPr>
            <w:tcW w:w="1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3"/>
                <w:szCs w:val="13"/>
                <w:color w:val="auto"/>
              </w:rPr>
              <w:t>(25,250)</w:t>
            </w:r>
          </w:p>
        </w:tc>
        <w:tc>
          <w:tcPr>
            <w:tcW w:w="0" w:type="dxa"/>
            <w:vAlign w:val="bottom"/>
          </w:tcPr>
          <w:p>
            <w:pPr>
              <w:spacing w:after="0"/>
              <w:rPr>
                <w:sz w:val="1"/>
                <w:szCs w:val="1"/>
                <w:color w:val="auto"/>
              </w:rPr>
            </w:pPr>
          </w:p>
        </w:tc>
      </w:tr>
      <w:tr>
        <w:trPr>
          <w:trHeight w:val="147"/>
        </w:trPr>
        <w:tc>
          <w:tcPr>
            <w:tcW w:w="77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778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780" w:type="dxa"/>
            <w:vAlign w:val="bottom"/>
            <w:shd w:val="clear" w:color="auto" w:fill="CFF0FC"/>
          </w:tcPr>
          <w:p>
            <w:pPr>
              <w:spacing w:after="0"/>
              <w:rPr>
                <w:sz w:val="20"/>
                <w:szCs w:val="20"/>
                <w:color w:val="auto"/>
              </w:rPr>
            </w:pPr>
            <w:r>
              <w:rPr>
                <w:rFonts w:ascii="Arial" w:cs="Arial" w:eastAsia="Arial" w:hAnsi="Arial"/>
                <w:sz w:val="13"/>
                <w:szCs w:val="13"/>
                <w:color w:val="auto"/>
              </w:rPr>
              <w:t>Proceeds from initial public offering, net of issuance costs</w:t>
            </w:r>
          </w:p>
        </w:tc>
        <w:tc>
          <w:tcPr>
            <w:tcW w:w="98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55"/>
              <w:spacing w:after="0"/>
              <w:rPr>
                <w:sz w:val="20"/>
                <w:szCs w:val="20"/>
                <w:color w:val="auto"/>
              </w:rPr>
            </w:pPr>
            <w:r>
              <w:rPr>
                <w:rFonts w:ascii="Arial" w:cs="Arial" w:eastAsia="Arial" w:hAnsi="Arial"/>
                <w:sz w:val="13"/>
                <w:szCs w:val="13"/>
                <w:color w:val="auto"/>
              </w:rPr>
              <w:t>191,472</w:t>
            </w:r>
          </w:p>
        </w:tc>
        <w:tc>
          <w:tcPr>
            <w:tcW w:w="0" w:type="dxa"/>
            <w:vAlign w:val="bottom"/>
          </w:tcPr>
          <w:p>
            <w:pPr>
              <w:spacing w:after="0"/>
              <w:rPr>
                <w:sz w:val="1"/>
                <w:szCs w:val="1"/>
                <w:color w:val="auto"/>
              </w:rPr>
            </w:pPr>
          </w:p>
        </w:tc>
      </w:tr>
      <w:tr>
        <w:trPr>
          <w:trHeight w:val="154"/>
        </w:trPr>
        <w:tc>
          <w:tcPr>
            <w:tcW w:w="7780" w:type="dxa"/>
            <w:vAlign w:val="bottom"/>
          </w:tcPr>
          <w:p>
            <w:pPr>
              <w:spacing w:after="0"/>
              <w:rPr>
                <w:sz w:val="20"/>
                <w:szCs w:val="20"/>
                <w:color w:val="auto"/>
              </w:rPr>
            </w:pPr>
            <w:r>
              <w:rPr>
                <w:rFonts w:ascii="Arial" w:cs="Arial" w:eastAsia="Arial" w:hAnsi="Arial"/>
                <w:sz w:val="13"/>
                <w:szCs w:val="13"/>
                <w:color w:val="auto"/>
              </w:rPr>
              <w:t>Proceeds from underwritten public offering, net</w:t>
            </w:r>
          </w:p>
        </w:tc>
        <w:tc>
          <w:tcPr>
            <w:tcW w:w="980" w:type="dxa"/>
            <w:vAlign w:val="bottom"/>
          </w:tcPr>
          <w:p>
            <w:pPr>
              <w:spacing w:after="0"/>
              <w:rPr>
                <w:sz w:val="13"/>
                <w:szCs w:val="13"/>
                <w:color w:val="auto"/>
              </w:rPr>
            </w:pPr>
          </w:p>
        </w:tc>
        <w:tc>
          <w:tcPr>
            <w:tcW w:w="680" w:type="dxa"/>
            <w:vAlign w:val="bottom"/>
          </w:tcPr>
          <w:p>
            <w:pPr>
              <w:jc w:val="right"/>
              <w:ind w:right="56"/>
              <w:spacing w:after="0"/>
              <w:rPr>
                <w:sz w:val="20"/>
                <w:szCs w:val="20"/>
                <w:color w:val="auto"/>
              </w:rPr>
            </w:pPr>
            <w:r>
              <w:rPr>
                <w:rFonts w:ascii="Arial" w:cs="Arial" w:eastAsia="Arial" w:hAnsi="Arial"/>
                <w:sz w:val="13"/>
                <w:szCs w:val="13"/>
                <w:color w:val="auto"/>
              </w:rPr>
              <w:t>88,830</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7780" w:type="dxa"/>
            <w:vAlign w:val="bottom"/>
            <w:shd w:val="clear" w:color="auto" w:fill="CFF0FC"/>
          </w:tcPr>
          <w:p>
            <w:pPr>
              <w:spacing w:after="0" w:line="154" w:lineRule="exact"/>
              <w:rPr>
                <w:sz w:val="20"/>
                <w:szCs w:val="20"/>
                <w:color w:val="auto"/>
              </w:rPr>
            </w:pPr>
            <w:r>
              <w:rPr>
                <w:rFonts w:ascii="Arial" w:cs="Arial" w:eastAsia="Arial" w:hAnsi="Arial"/>
                <w:sz w:val="14"/>
                <w:szCs w:val="14"/>
                <w:color w:val="auto"/>
              </w:rPr>
              <w:t>Proceeds from issuance of common stock from exercise of stock options</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jc w:val="right"/>
              <w:ind w:right="56"/>
              <w:spacing w:after="0"/>
              <w:rPr>
                <w:sz w:val="20"/>
                <w:szCs w:val="20"/>
                <w:color w:val="auto"/>
              </w:rPr>
            </w:pPr>
            <w:r>
              <w:rPr>
                <w:rFonts w:ascii="Arial" w:cs="Arial" w:eastAsia="Arial" w:hAnsi="Arial"/>
                <w:sz w:val="13"/>
                <w:szCs w:val="13"/>
                <w:color w:val="auto"/>
              </w:rPr>
              <w:t>629</w:t>
            </w: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jc w:val="right"/>
              <w:ind w:right="5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7780" w:type="dxa"/>
            <w:vAlign w:val="bottom"/>
          </w:tcPr>
          <w:p>
            <w:pPr>
              <w:spacing w:after="0"/>
              <w:rPr>
                <w:sz w:val="20"/>
                <w:szCs w:val="20"/>
                <w:color w:val="auto"/>
              </w:rPr>
            </w:pPr>
            <w:r>
              <w:rPr>
                <w:rFonts w:ascii="Arial" w:cs="Arial" w:eastAsia="Arial" w:hAnsi="Arial"/>
                <w:sz w:val="13"/>
                <w:szCs w:val="13"/>
                <w:color w:val="auto"/>
              </w:rPr>
              <w:t>Proceeds from issuance of convertible promissory notes</w:t>
            </w:r>
          </w:p>
        </w:tc>
        <w:tc>
          <w:tcPr>
            <w:tcW w:w="980" w:type="dxa"/>
            <w:vAlign w:val="bottom"/>
          </w:tcPr>
          <w:p>
            <w:pPr>
              <w:spacing w:after="0"/>
              <w:rPr>
                <w:sz w:val="13"/>
                <w:szCs w:val="13"/>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3"/>
                <w:szCs w:val="13"/>
                <w:color w:val="auto"/>
              </w:rPr>
            </w:pPr>
          </w:p>
        </w:tc>
        <w:tc>
          <w:tcPr>
            <w:tcW w:w="1300" w:type="dxa"/>
            <w:vAlign w:val="bottom"/>
          </w:tcPr>
          <w:p>
            <w:pPr>
              <w:jc w:val="right"/>
              <w:ind w:right="55"/>
              <w:spacing w:after="0"/>
              <w:rPr>
                <w:sz w:val="20"/>
                <w:szCs w:val="20"/>
                <w:color w:val="auto"/>
              </w:rPr>
            </w:pPr>
            <w:r>
              <w:rPr>
                <w:rFonts w:ascii="Arial" w:cs="Arial" w:eastAsia="Arial" w:hAnsi="Arial"/>
                <w:sz w:val="13"/>
                <w:szCs w:val="13"/>
                <w:color w:val="auto"/>
              </w:rPr>
              <w:t>88,324</w:t>
            </w:r>
          </w:p>
        </w:tc>
        <w:tc>
          <w:tcPr>
            <w:tcW w:w="0" w:type="dxa"/>
            <w:vAlign w:val="bottom"/>
          </w:tcPr>
          <w:p>
            <w:pPr>
              <w:spacing w:after="0"/>
              <w:rPr>
                <w:sz w:val="1"/>
                <w:szCs w:val="1"/>
                <w:color w:val="auto"/>
              </w:rPr>
            </w:pPr>
          </w:p>
        </w:tc>
      </w:tr>
      <w:tr>
        <w:trPr>
          <w:trHeight w:val="154"/>
        </w:trPr>
        <w:tc>
          <w:tcPr>
            <w:tcW w:w="7780" w:type="dxa"/>
            <w:vAlign w:val="bottom"/>
            <w:shd w:val="clear" w:color="auto" w:fill="CFF0FC"/>
          </w:tcPr>
          <w:p>
            <w:pPr>
              <w:spacing w:after="0"/>
              <w:rPr>
                <w:sz w:val="20"/>
                <w:szCs w:val="20"/>
                <w:color w:val="auto"/>
              </w:rPr>
            </w:pPr>
            <w:r>
              <w:rPr>
                <w:rFonts w:ascii="Arial" w:cs="Arial" w:eastAsia="Arial" w:hAnsi="Arial"/>
                <w:sz w:val="13"/>
                <w:szCs w:val="13"/>
                <w:color w:val="auto"/>
              </w:rPr>
              <w:t>Net proceeds from issuance of long-term debt</w:t>
            </w:r>
          </w:p>
        </w:tc>
        <w:tc>
          <w:tcPr>
            <w:tcW w:w="980" w:type="dxa"/>
            <w:vAlign w:val="bottom"/>
            <w:tcBorders>
              <w:bottom w:val="single" w:sz="8" w:color="auto"/>
            </w:tcBorders>
            <w:shd w:val="clear" w:color="auto" w:fill="CFF0FC"/>
          </w:tcPr>
          <w:p>
            <w:pPr>
              <w:spacing w:after="0"/>
              <w:rPr>
                <w:sz w:val="13"/>
                <w:szCs w:val="13"/>
                <w:color w:val="auto"/>
              </w:rPr>
            </w:pPr>
          </w:p>
        </w:tc>
        <w:tc>
          <w:tcPr>
            <w:tcW w:w="68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3"/>
                <w:szCs w:val="13"/>
                <w:color w:val="auto"/>
              </w:rPr>
              <w:t>25,000</w:t>
            </w:r>
          </w:p>
        </w:tc>
        <w:tc>
          <w:tcPr>
            <w:tcW w:w="140" w:type="dxa"/>
            <w:vAlign w:val="bottom"/>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3"/>
                <w:szCs w:val="13"/>
                <w:color w:val="auto"/>
              </w:rPr>
              <w:t>24,850</w:t>
            </w:r>
          </w:p>
        </w:tc>
        <w:tc>
          <w:tcPr>
            <w:tcW w:w="0" w:type="dxa"/>
            <w:vAlign w:val="bottom"/>
          </w:tcPr>
          <w:p>
            <w:pPr>
              <w:spacing w:after="0"/>
              <w:rPr>
                <w:sz w:val="1"/>
                <w:szCs w:val="1"/>
                <w:color w:val="auto"/>
              </w:rPr>
            </w:pPr>
          </w:p>
        </w:tc>
      </w:tr>
      <w:tr>
        <w:trPr>
          <w:trHeight w:val="147"/>
        </w:trPr>
        <w:tc>
          <w:tcPr>
            <w:tcW w:w="7780" w:type="dxa"/>
            <w:vAlign w:val="bottom"/>
            <w:tcBorders>
              <w:bottom w:val="single" w:sz="8" w:color="CFF0FC"/>
            </w:tcBorders>
          </w:tcPr>
          <w:p>
            <w:pPr>
              <w:spacing w:after="0" w:line="148" w:lineRule="exact"/>
              <w:rPr>
                <w:sz w:val="20"/>
                <w:szCs w:val="20"/>
                <w:color w:val="auto"/>
              </w:rPr>
            </w:pPr>
            <w:r>
              <w:rPr>
                <w:rFonts w:ascii="Arial" w:cs="Arial" w:eastAsia="Arial" w:hAnsi="Arial"/>
                <w:sz w:val="13"/>
                <w:szCs w:val="13"/>
                <w:color w:val="auto"/>
              </w:rPr>
              <w:t>Net cash provided by financing activities</w:t>
            </w:r>
          </w:p>
        </w:tc>
        <w:tc>
          <w:tcPr>
            <w:tcW w:w="9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56"/>
              <w:spacing w:after="0" w:line="148" w:lineRule="exact"/>
              <w:rPr>
                <w:sz w:val="20"/>
                <w:szCs w:val="20"/>
                <w:color w:val="auto"/>
              </w:rPr>
            </w:pPr>
            <w:r>
              <w:rPr>
                <w:rFonts w:ascii="Arial" w:cs="Arial" w:eastAsia="Arial" w:hAnsi="Arial"/>
                <w:sz w:val="13"/>
                <w:szCs w:val="13"/>
                <w:color w:val="auto"/>
              </w:rPr>
              <w:t>114,459</w:t>
            </w:r>
          </w:p>
        </w:tc>
        <w:tc>
          <w:tcPr>
            <w:tcW w:w="14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5"/>
              <w:spacing w:after="0" w:line="148" w:lineRule="exact"/>
              <w:rPr>
                <w:sz w:val="20"/>
                <w:szCs w:val="20"/>
                <w:color w:val="auto"/>
              </w:rPr>
            </w:pPr>
            <w:r>
              <w:rPr>
                <w:rFonts w:ascii="Arial" w:cs="Arial" w:eastAsia="Arial" w:hAnsi="Arial"/>
                <w:sz w:val="13"/>
                <w:szCs w:val="13"/>
                <w:color w:val="auto"/>
              </w:rPr>
              <w:t>304,646</w:t>
            </w:r>
          </w:p>
        </w:tc>
        <w:tc>
          <w:tcPr>
            <w:tcW w:w="0" w:type="dxa"/>
            <w:vAlign w:val="bottom"/>
          </w:tcPr>
          <w:p>
            <w:pPr>
              <w:spacing w:after="0"/>
              <w:rPr>
                <w:sz w:val="1"/>
                <w:szCs w:val="1"/>
                <w:color w:val="auto"/>
              </w:rPr>
            </w:pPr>
          </w:p>
        </w:tc>
      </w:tr>
      <w:tr>
        <w:trPr>
          <w:trHeight w:val="147"/>
        </w:trPr>
        <w:tc>
          <w:tcPr>
            <w:tcW w:w="7780" w:type="dxa"/>
            <w:vAlign w:val="bottom"/>
            <w:shd w:val="clear" w:color="auto" w:fill="CFF0FC"/>
          </w:tcPr>
          <w:p>
            <w:pPr>
              <w:spacing w:after="0" w:line="148" w:lineRule="exact"/>
              <w:rPr>
                <w:sz w:val="20"/>
                <w:szCs w:val="20"/>
                <w:color w:val="auto"/>
              </w:rPr>
            </w:pPr>
            <w:r>
              <w:rPr>
                <w:rFonts w:ascii="Arial" w:cs="Arial" w:eastAsia="Arial" w:hAnsi="Arial"/>
                <w:sz w:val="13"/>
                <w:szCs w:val="13"/>
                <w:color w:val="auto"/>
              </w:rPr>
              <w:t>Net increase in cash and cash equivalents</w:t>
            </w:r>
          </w:p>
        </w:tc>
        <w:tc>
          <w:tcPr>
            <w:tcW w:w="98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56"/>
              <w:spacing w:after="0" w:line="148" w:lineRule="exact"/>
              <w:rPr>
                <w:sz w:val="20"/>
                <w:szCs w:val="20"/>
                <w:color w:val="auto"/>
              </w:rPr>
            </w:pPr>
            <w:r>
              <w:rPr>
                <w:rFonts w:ascii="Arial" w:cs="Arial" w:eastAsia="Arial" w:hAnsi="Arial"/>
                <w:sz w:val="13"/>
                <w:szCs w:val="13"/>
                <w:color w:val="auto"/>
              </w:rPr>
              <w:t>43,731</w:t>
            </w:r>
          </w:p>
        </w:tc>
        <w:tc>
          <w:tcPr>
            <w:tcW w:w="1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300" w:type="dxa"/>
            <w:vAlign w:val="bottom"/>
            <w:shd w:val="clear" w:color="auto" w:fill="CFF0FC"/>
          </w:tcPr>
          <w:p>
            <w:pPr>
              <w:jc w:val="right"/>
              <w:ind w:right="55"/>
              <w:spacing w:after="0" w:line="148" w:lineRule="exact"/>
              <w:rPr>
                <w:sz w:val="20"/>
                <w:szCs w:val="20"/>
                <w:color w:val="auto"/>
              </w:rPr>
            </w:pPr>
            <w:r>
              <w:rPr>
                <w:rFonts w:ascii="Arial" w:cs="Arial" w:eastAsia="Arial" w:hAnsi="Arial"/>
                <w:sz w:val="13"/>
                <w:szCs w:val="13"/>
                <w:color w:val="auto"/>
              </w:rPr>
              <w:t>242,886</w:t>
            </w:r>
          </w:p>
        </w:tc>
        <w:tc>
          <w:tcPr>
            <w:tcW w:w="0" w:type="dxa"/>
            <w:vAlign w:val="bottom"/>
          </w:tcPr>
          <w:p>
            <w:pPr>
              <w:spacing w:after="0"/>
              <w:rPr>
                <w:sz w:val="1"/>
                <w:szCs w:val="1"/>
                <w:color w:val="auto"/>
              </w:rPr>
            </w:pPr>
          </w:p>
        </w:tc>
      </w:tr>
      <w:tr>
        <w:trPr>
          <w:trHeight w:val="154"/>
        </w:trPr>
        <w:tc>
          <w:tcPr>
            <w:tcW w:w="77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and cash equivalents – beginning of period</w:t>
            </w:r>
          </w:p>
        </w:tc>
        <w:tc>
          <w:tcPr>
            <w:tcW w:w="9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243,765</w:t>
            </w: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r>
        <w:trPr>
          <w:trHeight w:val="147"/>
        </w:trPr>
        <w:tc>
          <w:tcPr>
            <w:tcW w:w="7780" w:type="dxa"/>
            <w:vAlign w:val="bottom"/>
            <w:tcBorders>
              <w:bottom w:val="single" w:sz="8" w:color="CFF0FC"/>
            </w:tcBorders>
            <w:shd w:val="clear" w:color="auto" w:fill="CFF0FC"/>
          </w:tcPr>
          <w:p>
            <w:pPr>
              <w:spacing w:after="0" w:line="148" w:lineRule="exact"/>
              <w:rPr>
                <w:sz w:val="20"/>
                <w:szCs w:val="20"/>
                <w:color w:val="auto"/>
              </w:rPr>
            </w:pPr>
            <w:r>
              <w:rPr>
                <w:rFonts w:ascii="Arial" w:cs="Arial" w:eastAsia="Arial" w:hAnsi="Arial"/>
                <w:sz w:val="13"/>
                <w:szCs w:val="13"/>
                <w:color w:val="auto"/>
              </w:rPr>
              <w:t>Cash and cash equivalents – end of period</w:t>
            </w:r>
          </w:p>
        </w:tc>
        <w:tc>
          <w:tcPr>
            <w:tcW w:w="980" w:type="dxa"/>
            <w:vAlign w:val="bottom"/>
            <w:tcBorders>
              <w:bottom w:val="single" w:sz="8" w:color="auto"/>
            </w:tcBorders>
            <w:shd w:val="clear" w:color="auto" w:fill="CFF0FC"/>
          </w:tcPr>
          <w:p>
            <w:pPr>
              <w:jc w:val="right"/>
              <w:ind w:right="87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ind w:right="56"/>
              <w:spacing w:after="0" w:line="148" w:lineRule="exact"/>
              <w:rPr>
                <w:sz w:val="20"/>
                <w:szCs w:val="20"/>
                <w:color w:val="auto"/>
              </w:rPr>
            </w:pPr>
            <w:r>
              <w:rPr>
                <w:rFonts w:ascii="Arial" w:cs="Arial" w:eastAsia="Arial" w:hAnsi="Arial"/>
                <w:sz w:val="13"/>
                <w:szCs w:val="13"/>
                <w:color w:val="auto"/>
              </w:rPr>
              <w:t>287,496</w:t>
            </w:r>
          </w:p>
        </w:tc>
        <w:tc>
          <w:tcPr>
            <w:tcW w:w="14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jc w:val="right"/>
              <w:ind w:right="215"/>
              <w:spacing w:after="0" w:line="148" w:lineRule="exact"/>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FF0FC"/>
          </w:tcPr>
          <w:p>
            <w:pPr>
              <w:jc w:val="right"/>
              <w:ind w:right="55"/>
              <w:spacing w:after="0" w:line="148" w:lineRule="exact"/>
              <w:rPr>
                <w:sz w:val="20"/>
                <w:szCs w:val="20"/>
                <w:color w:val="auto"/>
              </w:rPr>
            </w:pPr>
            <w:r>
              <w:rPr>
                <w:rFonts w:ascii="Arial" w:cs="Arial" w:eastAsia="Arial" w:hAnsi="Arial"/>
                <w:sz w:val="13"/>
                <w:szCs w:val="13"/>
                <w:color w:val="auto"/>
              </w:rPr>
              <w:t>243,765</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7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Supplemental disclosure of cash flow information</w:t>
            </w:r>
          </w:p>
        </w:tc>
        <w:tc>
          <w:tcPr>
            <w:tcW w:w="9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77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Interest paid</w:t>
            </w:r>
          </w:p>
        </w:tc>
        <w:tc>
          <w:tcPr>
            <w:tcW w:w="980" w:type="dxa"/>
            <w:vAlign w:val="bottom"/>
            <w:tcBorders>
              <w:bottom w:val="single" w:sz="8" w:color="auto"/>
            </w:tcBorders>
          </w:tcPr>
          <w:p>
            <w:pPr>
              <w:jc w:val="right"/>
              <w:ind w:right="87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3,464</w:t>
            </w:r>
          </w:p>
        </w:tc>
        <w:tc>
          <w:tcPr>
            <w:tcW w:w="1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1,007</w:t>
            </w:r>
          </w:p>
        </w:tc>
        <w:tc>
          <w:tcPr>
            <w:tcW w:w="0" w:type="dxa"/>
            <w:vAlign w:val="bottom"/>
          </w:tcPr>
          <w:p>
            <w:pPr>
              <w:spacing w:after="0"/>
              <w:rPr>
                <w:sz w:val="1"/>
                <w:szCs w:val="1"/>
                <w:color w:val="auto"/>
              </w:rPr>
            </w:pPr>
          </w:p>
        </w:tc>
      </w:tr>
      <w:tr>
        <w:trPr>
          <w:trHeight w:val="133"/>
        </w:trPr>
        <w:tc>
          <w:tcPr>
            <w:tcW w:w="7780" w:type="dxa"/>
            <w:vAlign w:val="bottom"/>
            <w:shd w:val="clear" w:color="auto" w:fill="CFF0FC"/>
          </w:tcPr>
          <w:p>
            <w:pPr>
              <w:spacing w:after="0" w:line="133" w:lineRule="exact"/>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98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778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Exchange of accrued interest for convertible promissory notes</w:t>
            </w:r>
          </w:p>
        </w:tc>
        <w:tc>
          <w:tcPr>
            <w:tcW w:w="980" w:type="dxa"/>
            <w:vAlign w:val="bottom"/>
            <w:tcBorders>
              <w:bottom w:val="single" w:sz="8" w:color="auto"/>
            </w:tcBorders>
          </w:tcPr>
          <w:p>
            <w:pPr>
              <w:jc w:val="right"/>
              <w:ind w:right="87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33"/>
        </w:trPr>
        <w:tc>
          <w:tcPr>
            <w:tcW w:w="7780" w:type="dxa"/>
            <w:vAlign w:val="bottom"/>
            <w:tcBorders>
              <w:bottom w:val="single" w:sz="8" w:color="CFF0FC"/>
            </w:tcBorders>
            <w:shd w:val="clear" w:color="auto" w:fill="CFF0FC"/>
          </w:tcPr>
          <w:p>
            <w:pPr>
              <w:spacing w:after="0" w:line="133" w:lineRule="exact"/>
              <w:rPr>
                <w:sz w:val="20"/>
                <w:szCs w:val="20"/>
                <w:color w:val="auto"/>
              </w:rPr>
            </w:pPr>
            <w:r>
              <w:rPr>
                <w:rFonts w:ascii="Arial" w:cs="Arial" w:eastAsia="Arial" w:hAnsi="Arial"/>
                <w:sz w:val="13"/>
                <w:szCs w:val="13"/>
                <w:color w:val="auto"/>
              </w:rPr>
              <w:t>Issuance of Takeda Warrants in connection with Takeda License</w:t>
            </w:r>
          </w:p>
        </w:tc>
        <w:tc>
          <w:tcPr>
            <w:tcW w:w="980" w:type="dxa"/>
            <w:vAlign w:val="bottom"/>
            <w:tcBorders>
              <w:bottom w:val="single" w:sz="8" w:color="auto"/>
            </w:tcBorders>
            <w:shd w:val="clear" w:color="auto" w:fill="CFF0FC"/>
          </w:tcPr>
          <w:p>
            <w:pPr>
              <w:jc w:val="right"/>
              <w:ind w:right="87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ind w:right="56"/>
              <w:spacing w:after="0" w:line="133"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jc w:val="right"/>
              <w:ind w:right="215"/>
              <w:spacing w:after="0" w:line="133" w:lineRule="exact"/>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FF0FC"/>
          </w:tcPr>
          <w:p>
            <w:pPr>
              <w:jc w:val="right"/>
              <w:ind w:right="55"/>
              <w:spacing w:after="0" w:line="133" w:lineRule="exact"/>
              <w:rPr>
                <w:sz w:val="20"/>
                <w:szCs w:val="20"/>
                <w:color w:val="auto"/>
              </w:rPr>
            </w:pPr>
            <w:r>
              <w:rPr>
                <w:rFonts w:ascii="Arial" w:cs="Arial" w:eastAsia="Arial" w:hAnsi="Arial"/>
                <w:sz w:val="13"/>
                <w:szCs w:val="13"/>
                <w:color w:val="auto"/>
              </w:rPr>
              <w:t>47,894</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3"/>
                <w:szCs w:val="13"/>
                <w:color w:val="auto"/>
              </w:rPr>
              <w:t>Issuance of common stock in connection with Takeda License</w:t>
            </w: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tcBorders>
              <w:bottom w:val="single" w:sz="8" w:color="CFF0FC"/>
            </w:tcBorders>
            <w:vMerge w:val="continue"/>
          </w:tcPr>
          <w:p>
            <w:pPr>
              <w:spacing w:after="0"/>
              <w:rPr>
                <w:sz w:val="15"/>
                <w:szCs w:val="15"/>
                <w:color w:val="auto"/>
              </w:rPr>
            </w:pPr>
          </w:p>
        </w:tc>
        <w:tc>
          <w:tcPr>
            <w:tcW w:w="980" w:type="dxa"/>
            <w:vAlign w:val="bottom"/>
            <w:tcBorders>
              <w:bottom w:val="single" w:sz="8" w:color="auto"/>
            </w:tcBorders>
          </w:tcPr>
          <w:p>
            <w:pPr>
              <w:jc w:val="right"/>
              <w:ind w:right="87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56"/>
              <w:spacing w:after="0" w:line="133"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15"/>
              <w:spacing w:after="0" w:line="133" w:lineRule="exact"/>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ind w:right="55"/>
              <w:spacing w:after="0" w:line="133" w:lineRule="exact"/>
              <w:rPr>
                <w:sz w:val="20"/>
                <w:szCs w:val="20"/>
                <w:color w:val="auto"/>
              </w:rPr>
            </w:pPr>
            <w:r>
              <w:rPr>
                <w:rFonts w:ascii="Arial" w:cs="Arial" w:eastAsia="Arial" w:hAnsi="Arial"/>
                <w:sz w:val="13"/>
                <w:szCs w:val="13"/>
                <w:color w:val="auto"/>
              </w:rPr>
              <w:t>5,885</w:t>
            </w:r>
          </w:p>
        </w:tc>
        <w:tc>
          <w:tcPr>
            <w:tcW w:w="0" w:type="dxa"/>
            <w:vAlign w:val="bottom"/>
          </w:tcPr>
          <w:p>
            <w:pPr>
              <w:spacing w:after="0"/>
              <w:rPr>
                <w:sz w:val="1"/>
                <w:szCs w:val="1"/>
                <w:color w:val="auto"/>
              </w:rPr>
            </w:pPr>
          </w:p>
        </w:tc>
      </w:tr>
      <w:tr>
        <w:trPr>
          <w:trHeight w:val="133"/>
        </w:trPr>
        <w:tc>
          <w:tcPr>
            <w:tcW w:w="778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Issuance of common stock warrants in connection with long-term debt</w:t>
            </w:r>
          </w:p>
        </w:tc>
        <w:tc>
          <w:tcPr>
            <w:tcW w:w="980" w:type="dxa"/>
            <w:vAlign w:val="bottom"/>
            <w:shd w:val="clear" w:color="auto" w:fill="CFF0FC"/>
          </w:tcPr>
          <w:p>
            <w:pPr>
              <w:jc w:val="right"/>
              <w:ind w:right="87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60"/>
              <w:spacing w:after="0" w:line="133" w:lineRule="exact"/>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ind w:right="215"/>
              <w:spacing w:after="0" w:line="133" w:lineRule="exact"/>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ind w:right="55"/>
              <w:spacing w:after="0" w:line="133" w:lineRule="exact"/>
              <w:rPr>
                <w:sz w:val="20"/>
                <w:szCs w:val="20"/>
                <w:color w:val="auto"/>
              </w:rPr>
            </w:pPr>
            <w:r>
              <w:rPr>
                <w:rFonts w:ascii="Arial" w:cs="Arial" w:eastAsia="Arial" w:hAnsi="Arial"/>
                <w:sz w:val="13"/>
                <w:szCs w:val="13"/>
                <w:color w:val="auto"/>
              </w:rPr>
              <w:t>419</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3"/>
                <w:szCs w:val="13"/>
                <w:color w:val="auto"/>
              </w:rPr>
              <w:t>Property and equipment purchases included in accounts payable and accrued expenses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tcBorders>
              <w:bottom w:val="single" w:sz="8" w:color="CFF0FC"/>
            </w:tcBorders>
            <w:vMerge w:val="continue"/>
          </w:tcPr>
          <w:p>
            <w:pPr>
              <w:spacing w:after="0"/>
              <w:rPr>
                <w:sz w:val="15"/>
                <w:szCs w:val="15"/>
                <w:color w:val="auto"/>
              </w:rPr>
            </w:pPr>
          </w:p>
        </w:tc>
        <w:tc>
          <w:tcPr>
            <w:tcW w:w="980" w:type="dxa"/>
            <w:vAlign w:val="bottom"/>
            <w:tcBorders>
              <w:bottom w:val="single" w:sz="8" w:color="auto"/>
            </w:tcBorders>
          </w:tcPr>
          <w:p>
            <w:pPr>
              <w:jc w:val="right"/>
              <w:ind w:right="87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56"/>
              <w:spacing w:after="0" w:line="133" w:lineRule="exact"/>
              <w:rPr>
                <w:sz w:val="20"/>
                <w:szCs w:val="20"/>
                <w:color w:val="auto"/>
              </w:rPr>
            </w:pPr>
            <w:r>
              <w:rPr>
                <w:rFonts w:ascii="Arial" w:cs="Arial" w:eastAsia="Arial" w:hAnsi="Arial"/>
                <w:sz w:val="13"/>
                <w:szCs w:val="13"/>
                <w:color w:val="auto"/>
              </w:rPr>
              <w:t>145</w:t>
            </w:r>
          </w:p>
        </w:tc>
        <w:tc>
          <w:tcPr>
            <w:tcW w:w="14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15"/>
              <w:spacing w:after="0" w:line="133" w:lineRule="exact"/>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ind w:right="55"/>
              <w:spacing w:after="0" w:line="133" w:lineRule="exact"/>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33"/>
        </w:trPr>
        <w:tc>
          <w:tcPr>
            <w:tcW w:w="7780" w:type="dxa"/>
            <w:vAlign w:val="bottom"/>
            <w:tcBorders>
              <w:bottom w:val="single" w:sz="8" w:color="CFF0FC"/>
            </w:tcBorders>
            <w:shd w:val="clear" w:color="auto" w:fill="CFF0FC"/>
          </w:tcPr>
          <w:p>
            <w:pPr>
              <w:spacing w:after="0" w:line="133" w:lineRule="exact"/>
              <w:rPr>
                <w:sz w:val="20"/>
                <w:szCs w:val="20"/>
                <w:color w:val="auto"/>
              </w:rPr>
            </w:pPr>
            <w:r>
              <w:rPr>
                <w:rFonts w:ascii="Arial" w:cs="Arial" w:eastAsia="Arial" w:hAnsi="Arial"/>
                <w:sz w:val="13"/>
                <w:szCs w:val="13"/>
                <w:color w:val="auto"/>
              </w:rPr>
              <w:t>Final interest payment fee</w:t>
            </w:r>
          </w:p>
        </w:tc>
        <w:tc>
          <w:tcPr>
            <w:tcW w:w="980" w:type="dxa"/>
            <w:vAlign w:val="bottom"/>
            <w:tcBorders>
              <w:bottom w:val="single" w:sz="8" w:color="auto"/>
            </w:tcBorders>
            <w:shd w:val="clear" w:color="auto" w:fill="CFF0FC"/>
          </w:tcPr>
          <w:p>
            <w:pPr>
              <w:jc w:val="right"/>
              <w:ind w:right="87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ind w:right="56"/>
              <w:spacing w:after="0" w:line="133" w:lineRule="exact"/>
              <w:rPr>
                <w:sz w:val="20"/>
                <w:szCs w:val="20"/>
                <w:color w:val="auto"/>
              </w:rPr>
            </w:pPr>
            <w:r>
              <w:rPr>
                <w:rFonts w:ascii="Arial" w:cs="Arial" w:eastAsia="Arial" w:hAnsi="Arial"/>
                <w:sz w:val="13"/>
                <w:szCs w:val="13"/>
                <w:color w:val="auto"/>
              </w:rPr>
              <w:t>2,063</w:t>
            </w:r>
          </w:p>
        </w:tc>
        <w:tc>
          <w:tcPr>
            <w:tcW w:w="14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jc w:val="right"/>
              <w:ind w:right="215"/>
              <w:spacing w:after="0" w:line="133" w:lineRule="exact"/>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FF0FC"/>
          </w:tcPr>
          <w:p>
            <w:pPr>
              <w:jc w:val="right"/>
              <w:ind w:right="55"/>
              <w:spacing w:after="0" w:line="133" w:lineRule="exact"/>
              <w:rPr>
                <w:sz w:val="20"/>
                <w:szCs w:val="20"/>
                <w:color w:val="auto"/>
              </w:rPr>
            </w:pPr>
            <w:r>
              <w:rPr>
                <w:rFonts w:ascii="Arial" w:cs="Arial" w:eastAsia="Arial" w:hAnsi="Arial"/>
                <w:sz w:val="13"/>
                <w:szCs w:val="13"/>
                <w:color w:val="auto"/>
              </w:rPr>
              <w:t>2,063</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3"/>
                <w:szCs w:val="13"/>
                <w:color w:val="auto"/>
              </w:rPr>
              <w:t>Operating lease liabilities arising from obtaining right-of-use assets</w:t>
            </w: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tcBorders>
              <w:bottom w:val="single" w:sz="8" w:color="CFF0FC"/>
            </w:tcBorders>
            <w:vMerge w:val="continue"/>
          </w:tcPr>
          <w:p>
            <w:pPr>
              <w:spacing w:after="0"/>
              <w:rPr>
                <w:sz w:val="15"/>
                <w:szCs w:val="15"/>
                <w:color w:val="auto"/>
              </w:rPr>
            </w:pPr>
          </w:p>
        </w:tc>
        <w:tc>
          <w:tcPr>
            <w:tcW w:w="980" w:type="dxa"/>
            <w:vAlign w:val="bottom"/>
            <w:tcBorders>
              <w:bottom w:val="single" w:sz="8" w:color="auto"/>
            </w:tcBorders>
          </w:tcPr>
          <w:p>
            <w:pPr>
              <w:jc w:val="right"/>
              <w:ind w:right="87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56"/>
              <w:spacing w:after="0" w:line="133" w:lineRule="exact"/>
              <w:rPr>
                <w:sz w:val="20"/>
                <w:szCs w:val="20"/>
                <w:color w:val="auto"/>
              </w:rPr>
            </w:pPr>
            <w:r>
              <w:rPr>
                <w:rFonts w:ascii="Arial" w:cs="Arial" w:eastAsia="Arial" w:hAnsi="Arial"/>
                <w:sz w:val="13"/>
                <w:szCs w:val="13"/>
                <w:color w:val="auto"/>
              </w:rPr>
              <w:t>1,396</w:t>
            </w:r>
          </w:p>
        </w:tc>
        <w:tc>
          <w:tcPr>
            <w:tcW w:w="14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15"/>
              <w:spacing w:after="0" w:line="133" w:lineRule="exact"/>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ind w:right="55"/>
              <w:spacing w:after="0" w:line="133" w:lineRule="exact"/>
              <w:rPr>
                <w:sz w:val="20"/>
                <w:szCs w:val="20"/>
                <w:color w:val="auto"/>
              </w:rPr>
            </w:pPr>
            <w:r>
              <w:rPr>
                <w:rFonts w:ascii="Arial" w:cs="Arial" w:eastAsia="Arial" w:hAnsi="Arial"/>
                <w:sz w:val="13"/>
                <w:szCs w:val="13"/>
                <w:color w:val="auto"/>
              </w:rPr>
              <w:t>796</w:t>
            </w:r>
          </w:p>
        </w:tc>
        <w:tc>
          <w:tcPr>
            <w:tcW w:w="0" w:type="dxa"/>
            <w:vAlign w:val="bottom"/>
          </w:tcPr>
          <w:p>
            <w:pPr>
              <w:spacing w:after="0"/>
              <w:rPr>
                <w:sz w:val="1"/>
                <w:szCs w:val="1"/>
                <w:color w:val="auto"/>
              </w:rPr>
            </w:pPr>
          </w:p>
        </w:tc>
      </w:tr>
      <w:tr>
        <w:trPr>
          <w:trHeight w:val="133"/>
        </w:trPr>
        <w:tc>
          <w:tcPr>
            <w:tcW w:w="7780" w:type="dxa"/>
            <w:vAlign w:val="bottom"/>
            <w:tcBorders>
              <w:bottom w:val="single" w:sz="8" w:color="CFF0FC"/>
            </w:tcBorders>
            <w:shd w:val="clear" w:color="auto" w:fill="CFF0FC"/>
          </w:tcPr>
          <w:p>
            <w:pPr>
              <w:spacing w:after="0" w:line="133" w:lineRule="exact"/>
              <w:rPr>
                <w:sz w:val="20"/>
                <w:szCs w:val="20"/>
                <w:color w:val="auto"/>
              </w:rPr>
            </w:pPr>
            <w:r>
              <w:rPr>
                <w:rFonts w:ascii="Arial" w:cs="Arial" w:eastAsia="Arial" w:hAnsi="Arial"/>
                <w:sz w:val="13"/>
                <w:szCs w:val="13"/>
                <w:color w:val="auto"/>
              </w:rPr>
              <w:t>Conversion of Lender Warrants into Equity</w:t>
            </w:r>
          </w:p>
        </w:tc>
        <w:tc>
          <w:tcPr>
            <w:tcW w:w="980" w:type="dxa"/>
            <w:vAlign w:val="bottom"/>
            <w:tcBorders>
              <w:bottom w:val="single" w:sz="8" w:color="auto"/>
            </w:tcBorders>
            <w:shd w:val="clear" w:color="auto" w:fill="CFF0FC"/>
          </w:tcPr>
          <w:p>
            <w:pPr>
              <w:jc w:val="right"/>
              <w:ind w:right="87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FF0FC"/>
          </w:tcPr>
          <w:p>
            <w:pPr>
              <w:jc w:val="right"/>
              <w:ind w:right="56"/>
              <w:spacing w:after="0" w:line="133" w:lineRule="exact"/>
              <w:rPr>
                <w:sz w:val="20"/>
                <w:szCs w:val="20"/>
                <w:color w:val="auto"/>
              </w:rPr>
            </w:pPr>
            <w:r>
              <w:rPr>
                <w:rFonts w:ascii="Arial" w:cs="Arial" w:eastAsia="Arial" w:hAnsi="Arial"/>
                <w:sz w:val="13"/>
                <w:szCs w:val="13"/>
                <w:color w:val="auto"/>
              </w:rPr>
              <w:t>318</w:t>
            </w:r>
          </w:p>
        </w:tc>
        <w:tc>
          <w:tcPr>
            <w:tcW w:w="140" w:type="dxa"/>
            <w:vAlign w:val="bottom"/>
            <w:tcBorders>
              <w:bottom w:val="single" w:sz="8" w:color="CFF0FC"/>
            </w:tcBorders>
            <w:shd w:val="clear" w:color="auto" w:fill="CFF0FC"/>
          </w:tcPr>
          <w:p>
            <w:pPr>
              <w:spacing w:after="0"/>
              <w:rPr>
                <w:sz w:val="11"/>
                <w:szCs w:val="11"/>
                <w:color w:val="auto"/>
              </w:rPr>
            </w:pPr>
          </w:p>
        </w:tc>
        <w:tc>
          <w:tcPr>
            <w:tcW w:w="360" w:type="dxa"/>
            <w:vAlign w:val="bottom"/>
            <w:tcBorders>
              <w:bottom w:val="single" w:sz="8" w:color="auto"/>
            </w:tcBorders>
            <w:shd w:val="clear" w:color="auto" w:fill="CFF0FC"/>
          </w:tcPr>
          <w:p>
            <w:pPr>
              <w:jc w:val="right"/>
              <w:ind w:right="215"/>
              <w:spacing w:after="0" w:line="133" w:lineRule="exact"/>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shd w:val="clear" w:color="auto" w:fill="CFF0FC"/>
          </w:tcPr>
          <w:p>
            <w:pPr>
              <w:jc w:val="right"/>
              <w:ind w:right="55"/>
              <w:spacing w:after="0" w:line="13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3"/>
                <w:szCs w:val="13"/>
                <w:color w:val="auto"/>
              </w:rPr>
              <w:t>Conversion of Takeda Warrants into Equity</w:t>
            </w: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780" w:type="dxa"/>
            <w:vAlign w:val="bottom"/>
            <w:tcBorders>
              <w:bottom w:val="single" w:sz="8" w:color="CFF0FC"/>
            </w:tcBorders>
            <w:vMerge w:val="continue"/>
          </w:tcPr>
          <w:p>
            <w:pPr>
              <w:spacing w:after="0"/>
              <w:rPr>
                <w:sz w:val="15"/>
                <w:szCs w:val="15"/>
                <w:color w:val="auto"/>
              </w:rPr>
            </w:pPr>
          </w:p>
        </w:tc>
        <w:tc>
          <w:tcPr>
            <w:tcW w:w="980" w:type="dxa"/>
            <w:vAlign w:val="bottom"/>
            <w:tcBorders>
              <w:bottom w:val="single" w:sz="8" w:color="auto"/>
            </w:tcBorders>
          </w:tcPr>
          <w:p>
            <w:pPr>
              <w:jc w:val="right"/>
              <w:ind w:right="87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56"/>
              <w:spacing w:after="0" w:line="133"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jc w:val="right"/>
              <w:ind w:right="215"/>
              <w:spacing w:after="0" w:line="133" w:lineRule="exact"/>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tcBorders>
          </w:tcPr>
          <w:p>
            <w:pPr>
              <w:jc w:val="right"/>
              <w:ind w:right="55"/>
              <w:spacing w:after="0" w:line="133" w:lineRule="exact"/>
              <w:rPr>
                <w:sz w:val="20"/>
                <w:szCs w:val="20"/>
                <w:color w:val="auto"/>
              </w:rPr>
            </w:pPr>
            <w:r>
              <w:rPr>
                <w:rFonts w:ascii="Arial" w:cs="Arial" w:eastAsia="Arial" w:hAnsi="Arial"/>
                <w:sz w:val="13"/>
                <w:szCs w:val="13"/>
                <w:color w:val="auto"/>
              </w:rPr>
              <w:t>144,172</w:t>
            </w:r>
          </w:p>
        </w:tc>
        <w:tc>
          <w:tcPr>
            <w:tcW w:w="0" w:type="dxa"/>
            <w:vAlign w:val="bottom"/>
          </w:tcPr>
          <w:p>
            <w:pPr>
              <w:spacing w:after="0"/>
              <w:rPr>
                <w:sz w:val="1"/>
                <w:szCs w:val="1"/>
                <w:color w:val="auto"/>
              </w:rPr>
            </w:pPr>
          </w:p>
        </w:tc>
      </w:tr>
      <w:tr>
        <w:trPr>
          <w:trHeight w:val="133"/>
        </w:trPr>
        <w:tc>
          <w:tcPr>
            <w:tcW w:w="7780" w:type="dxa"/>
            <w:vAlign w:val="bottom"/>
            <w:shd w:val="clear" w:color="auto" w:fill="CFF0FC"/>
          </w:tcPr>
          <w:p>
            <w:pPr>
              <w:spacing w:after="0" w:line="133" w:lineRule="exact"/>
              <w:rPr>
                <w:sz w:val="20"/>
                <w:szCs w:val="20"/>
                <w:color w:val="auto"/>
              </w:rPr>
            </w:pPr>
            <w:r>
              <w:rPr>
                <w:rFonts w:ascii="Arial" w:cs="Arial" w:eastAsia="Arial" w:hAnsi="Arial"/>
                <w:sz w:val="13"/>
                <w:szCs w:val="13"/>
                <w:color w:val="auto"/>
              </w:rPr>
              <w:t>Conversion of convertible promissory notes and accrued interest into common shares</w:t>
            </w:r>
          </w:p>
        </w:tc>
        <w:tc>
          <w:tcPr>
            <w:tcW w:w="980" w:type="dxa"/>
            <w:vAlign w:val="bottom"/>
            <w:shd w:val="clear" w:color="auto" w:fill="CFF0FC"/>
          </w:tcPr>
          <w:p>
            <w:pPr>
              <w:jc w:val="right"/>
              <w:ind w:right="871"/>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260"/>
              <w:spacing w:after="0" w:line="133" w:lineRule="exact"/>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jc w:val="right"/>
              <w:ind w:right="215"/>
              <w:spacing w:after="0" w:line="133" w:lineRule="exact"/>
              <w:rPr>
                <w:sz w:val="20"/>
                <w:szCs w:val="20"/>
                <w:color w:val="auto"/>
              </w:rPr>
            </w:pPr>
            <w:r>
              <w:rPr>
                <w:rFonts w:ascii="Arial" w:cs="Arial" w:eastAsia="Arial" w:hAnsi="Arial"/>
                <w:sz w:val="13"/>
                <w:szCs w:val="13"/>
                <w:color w:val="auto"/>
                <w:w w:val="82"/>
              </w:rPr>
              <w:t>$</w:t>
            </w:r>
          </w:p>
        </w:tc>
        <w:tc>
          <w:tcPr>
            <w:tcW w:w="1300" w:type="dxa"/>
            <w:vAlign w:val="bottom"/>
            <w:shd w:val="clear" w:color="auto" w:fill="CFF0FC"/>
          </w:tcPr>
          <w:p>
            <w:pPr>
              <w:jc w:val="right"/>
              <w:ind w:right="55"/>
              <w:spacing w:after="0" w:line="133" w:lineRule="exact"/>
              <w:rPr>
                <w:sz w:val="20"/>
                <w:szCs w:val="20"/>
                <w:color w:val="auto"/>
              </w:rPr>
            </w:pPr>
            <w:r>
              <w:rPr>
                <w:rFonts w:ascii="Arial" w:cs="Arial" w:eastAsia="Arial" w:hAnsi="Arial"/>
                <w:sz w:val="13"/>
                <w:szCs w:val="13"/>
                <w:color w:val="auto"/>
              </w:rPr>
              <w:t>142,437</w:t>
            </w:r>
          </w:p>
        </w:tc>
        <w:tc>
          <w:tcPr>
            <w:tcW w:w="0" w:type="dxa"/>
            <w:vAlign w:val="bottom"/>
          </w:tcPr>
          <w:p>
            <w:pPr>
              <w:spacing w:after="0"/>
              <w:rPr>
                <w:sz w:val="1"/>
                <w:szCs w:val="1"/>
                <w:color w:val="auto"/>
              </w:rPr>
            </w:pPr>
          </w:p>
        </w:tc>
      </w:tr>
      <w:tr>
        <w:trPr>
          <w:trHeight w:val="20"/>
        </w:trPr>
        <w:tc>
          <w:tcPr>
            <w:tcW w:w="77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Underwritten public offering costs included in accounts payable and accrued expenses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780" w:type="dxa"/>
            <w:vAlign w:val="bottom"/>
            <w:vMerge w:val="continue"/>
          </w:tcPr>
          <w:p>
            <w:pPr>
              <w:spacing w:after="0"/>
              <w:rPr>
                <w:sz w:val="11"/>
                <w:szCs w:val="11"/>
                <w:color w:val="auto"/>
              </w:rPr>
            </w:pPr>
          </w:p>
        </w:tc>
        <w:tc>
          <w:tcPr>
            <w:tcW w:w="980" w:type="dxa"/>
            <w:vAlign w:val="bottom"/>
            <w:tcBorders>
              <w:bottom w:val="single" w:sz="8" w:color="auto"/>
            </w:tcBorders>
          </w:tcPr>
          <w:p>
            <w:pPr>
              <w:jc w:val="right"/>
              <w:ind w:right="871"/>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56"/>
              <w:spacing w:after="0" w:line="133" w:lineRule="exact"/>
              <w:rPr>
                <w:sz w:val="20"/>
                <w:szCs w:val="20"/>
                <w:color w:val="auto"/>
              </w:rPr>
            </w:pPr>
            <w:r>
              <w:rPr>
                <w:rFonts w:ascii="Arial" w:cs="Arial" w:eastAsia="Arial" w:hAnsi="Arial"/>
                <w:sz w:val="14"/>
                <w:szCs w:val="14"/>
                <w:color w:val="auto"/>
              </w:rPr>
              <w:t>234</w:t>
            </w:r>
          </w:p>
        </w:tc>
        <w:tc>
          <w:tcPr>
            <w:tcW w:w="140" w:type="dxa"/>
            <w:vAlign w:val="bottom"/>
          </w:tcPr>
          <w:p>
            <w:pPr>
              <w:spacing w:after="0"/>
              <w:rPr>
                <w:sz w:val="11"/>
                <w:szCs w:val="11"/>
                <w:color w:val="auto"/>
              </w:rPr>
            </w:pPr>
          </w:p>
        </w:tc>
        <w:tc>
          <w:tcPr>
            <w:tcW w:w="360" w:type="dxa"/>
            <w:vAlign w:val="bottom"/>
            <w:tcBorders>
              <w:bottom w:val="single" w:sz="8" w:color="auto"/>
            </w:tcBorders>
          </w:tcPr>
          <w:p>
            <w:pPr>
              <w:jc w:val="right"/>
              <w:ind w:right="215"/>
              <w:spacing w:after="0" w:line="133"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ind w:right="55"/>
              <w:spacing w:after="0" w:line="13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7"/>
          <w:szCs w:val="17"/>
          <w:b w:val="1"/>
          <w:bCs w:val="1"/>
          <w:color w:val="auto"/>
        </w:rPr>
        <w:t>PHATHOM PHARMACEUTICALS,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w:t>
      </w:r>
    </w:p>
    <w:p>
      <w:pPr>
        <w:spacing w:after="0" w:line="216" w:lineRule="exact"/>
        <w:rPr>
          <w:sz w:val="20"/>
          <w:szCs w:val="20"/>
          <w:color w:val="auto"/>
        </w:rPr>
      </w:pPr>
    </w:p>
    <w:p>
      <w:pPr>
        <w:ind w:right="4900"/>
        <w:spacing w:after="0" w:line="469" w:lineRule="auto"/>
        <w:rPr>
          <w:sz w:val="20"/>
          <w:szCs w:val="20"/>
          <w:color w:val="auto"/>
        </w:rPr>
      </w:pPr>
      <w:r>
        <w:rPr>
          <w:rFonts w:ascii="Arial" w:cs="Arial" w:eastAsia="Arial" w:hAnsi="Arial"/>
          <w:sz w:val="17"/>
          <w:szCs w:val="17"/>
          <w:b w:val="1"/>
          <w:bCs w:val="1"/>
          <w:color w:val="auto"/>
        </w:rPr>
        <w:t xml:space="preserve">1. Organization, Basis of Presentation and Summary of Significant Accounting Policies </w:t>
      </w:r>
      <w:r>
        <w:rPr>
          <w:rFonts w:ascii="Arial" w:cs="Arial" w:eastAsia="Arial" w:hAnsi="Arial"/>
          <w:sz w:val="17"/>
          <w:szCs w:val="17"/>
          <w:b w:val="1"/>
          <w:bCs w:val="1"/>
          <w:i w:val="1"/>
          <w:iCs w:val="1"/>
          <w:color w:val="auto"/>
        </w:rPr>
        <w:t>Organization</w:t>
      </w:r>
    </w:p>
    <w:p>
      <w:pPr>
        <w:ind w:firstLine="589"/>
        <w:spacing w:after="0" w:line="266" w:lineRule="auto"/>
        <w:rPr>
          <w:sz w:val="20"/>
          <w:szCs w:val="20"/>
          <w:color w:val="auto"/>
        </w:rPr>
      </w:pPr>
      <w:r>
        <w:rPr>
          <w:rFonts w:ascii="Arial" w:cs="Arial" w:eastAsia="Arial" w:hAnsi="Arial"/>
          <w:sz w:val="17"/>
          <w:szCs w:val="17"/>
          <w:color w:val="auto"/>
        </w:rPr>
        <w:t>Phathom Pharmaceuticals, Inc. (the “Company” or “Phathom”) was incorporated in the state of Delaware in January 2018 under the name North Bridge IV, Inc. On March 13, 2019, the Company changed its name to Phathom Pharmaceuticals, Inc. and merged with YamadaCo IIA, Inc. (“YamadaCo”), a Delaware corporation formed in September 2017, with Phathom being the surviving entity (the “Merger”). All activities of YamadaCo prior to 2018 related to formation and were insignificant. The Company is a late clinical-stage biopharmaceutical company focused on developing and commercializing novel treatments for gastrointestinal diseases.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77" w:lineRule="exact"/>
        <w:rPr>
          <w:sz w:val="20"/>
          <w:szCs w:val="20"/>
          <w:color w:val="auto"/>
        </w:rPr>
      </w:pPr>
    </w:p>
    <w:p>
      <w:pPr>
        <w:ind w:firstLine="589"/>
        <w:spacing w:after="0" w:line="296" w:lineRule="auto"/>
        <w:rPr>
          <w:sz w:val="20"/>
          <w:szCs w:val="20"/>
          <w:color w:val="auto"/>
        </w:rPr>
      </w:pPr>
      <w:r>
        <w:rPr>
          <w:rFonts w:ascii="Arial" w:cs="Arial" w:eastAsia="Arial" w:hAnsi="Arial"/>
          <w:sz w:val="15"/>
          <w:szCs w:val="15"/>
          <w:color w:val="auto"/>
        </w:rPr>
        <w:t>The Company’s financial statements are prepared in accordance with U.S. generally accepted accounting principles (“GAAP”). The accompanying financial statements include the accounts of the Company (the receiving entity) and YamadaCo, prior to the Merger. The Company and YamadaCo were entities under the common control of Frazier Life Sciences IX, L.P. (“Frazier”) as a result of, among other things, Frazier’s; (i) ownership of a majority of the outstanding capital stock of both companies, (ii) financing of both companies, (iii) control of the board of directors of both companies, and (iv) management of both companies. Both the Company and YamadaCo were formed for the purpose of identifying potential assets around which to form an operating company. As the merged entities were under common control, the financial statements report the financial position, results of operations and cash flows of the Company and YamadaCo as though the transfer of net assets and equity interests had occurred at the beginning of 2018. All intercompany accounts and transactions have been eliminated.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77" w:lineRule="exact"/>
        <w:rPr>
          <w:sz w:val="20"/>
          <w:szCs w:val="20"/>
          <w:color w:val="auto"/>
        </w:rPr>
      </w:pPr>
    </w:p>
    <w:p>
      <w:pPr>
        <w:ind w:right="80" w:firstLine="589"/>
        <w:spacing w:after="0" w:line="273" w:lineRule="auto"/>
        <w:rPr>
          <w:sz w:val="20"/>
          <w:szCs w:val="20"/>
          <w:color w:val="auto"/>
        </w:rPr>
      </w:pPr>
      <w:r>
        <w:rPr>
          <w:rFonts w:ascii="Arial" w:cs="Arial" w:eastAsia="Arial" w:hAnsi="Arial"/>
          <w:sz w:val="16"/>
          <w:szCs w:val="16"/>
          <w:color w:val="auto"/>
        </w:rPr>
        <w:t>From inception to December 31, 2020, the Company has devoted substantially all of its efforts to organizing and staffing the Company, business planning, raising capital, in-licensing its initial product candidate, vonoprazan, meeting with regulatory authorities, managing the Phase 3 clinical trials of vonoprazan, and providing other general and administrative support for these operations. The Company has a limited operating history, has never generated any revenue, and the sales and income potential of its business is unproven. The Company has incurred net losses and negative cash flows from operating activities since its inception and expects to continue to incur net losses into the foreseeable future as it continues the development and preparation for commercialization of vonoprazan. From inception to December 31, 2020, the Company has funded its operations through the issuance of convertible promissory notes, commercial bank debt, and the sale of 10,997,630 shares of common stock for net proceeds of approximately $191.5 million in its 2019 IPO. Additionally, in December 2020, the Company raised net proceeds of $88.6 million from the sale of 2,250,000 shares of common stock at a public offering price of $39.48 per share after deducting underwriting discounts and commissions, and an additional $0.2 million in offering costs.</w:t>
      </w:r>
    </w:p>
    <w:p>
      <w:pPr>
        <w:spacing w:after="0" w:line="147" w:lineRule="exact"/>
        <w:rPr>
          <w:sz w:val="20"/>
          <w:szCs w:val="20"/>
          <w:color w:val="auto"/>
        </w:rPr>
      </w:pPr>
    </w:p>
    <w:p>
      <w:pPr>
        <w:ind w:right="60" w:firstLine="589"/>
        <w:spacing w:after="0" w:line="257"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Management is required to perform a two-step analysis over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w:t>
      </w:r>
    </w:p>
    <w:p>
      <w:pPr>
        <w:spacing w:after="0" w:line="145" w:lineRule="exact"/>
        <w:rPr>
          <w:sz w:val="20"/>
          <w:szCs w:val="20"/>
          <w:color w:val="auto"/>
        </w:rPr>
      </w:pPr>
    </w:p>
    <w:p>
      <w:pPr>
        <w:ind w:right="40" w:firstLine="589"/>
        <w:spacing w:after="0" w:line="261" w:lineRule="auto"/>
        <w:rPr>
          <w:sz w:val="20"/>
          <w:szCs w:val="20"/>
          <w:color w:val="auto"/>
        </w:rPr>
      </w:pPr>
      <w:r>
        <w:rPr>
          <w:rFonts w:ascii="Arial" w:cs="Arial" w:eastAsia="Arial" w:hAnsi="Arial"/>
          <w:sz w:val="17"/>
          <w:szCs w:val="17"/>
          <w:color w:val="auto"/>
        </w:rPr>
        <w:t>Management believes that it has sufficient working capital on hand to fund operations through at least the next twelve months from the date these financial statements were available to be issued. There can be no assurance that the Company will be successful in acquiring additional funding, (if needed), that the Company’s projections of its future working capital needs will prove accurate, or that any additional funding would be sufficient to continue operations in future years.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32" w:name="page133"/>
    <w:bookmarkEnd w:id="132"/>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90" w:lineRule="exact"/>
        <w:rPr>
          <w:sz w:val="20"/>
          <w:szCs w:val="20"/>
          <w:color w:val="auto"/>
        </w:rPr>
      </w:pPr>
    </w:p>
    <w:p>
      <w:pPr>
        <w:ind w:right="40" w:firstLine="589"/>
        <w:spacing w:after="0" w:line="278" w:lineRule="auto"/>
        <w:rPr>
          <w:sz w:val="20"/>
          <w:szCs w:val="20"/>
          <w:color w:val="auto"/>
        </w:rPr>
      </w:pPr>
      <w:r>
        <w:rPr>
          <w:rFonts w:ascii="Arial" w:cs="Arial" w:eastAsia="Arial" w:hAnsi="Arial"/>
          <w:sz w:val="16"/>
          <w:szCs w:val="16"/>
          <w:color w:val="auto"/>
        </w:rPr>
        <w:t>The preparation of the Company’s financial statements requires it to make estimates and assumptions that impact the reported amounts of assets, liabilities and expenses and the disclosure of contingent assets and liabilities in the Company’s financial statements and accompanying notes. The most significant estimates in the Company’s financial statements relate to accruals for research and development expenses, and the valuation of convertible promissory notes, warrant liabilities and various other equity instruments. Although these estimates are based on the Company’s knowledge of current events and actions it may undertake in the future, actual results could differ materially from those estimates and assumptions.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Option</w:t>
      </w:r>
    </w:p>
    <w:p>
      <w:pPr>
        <w:spacing w:after="0" w:line="177" w:lineRule="exact"/>
        <w:rPr>
          <w:sz w:val="20"/>
          <w:szCs w:val="20"/>
          <w:color w:val="auto"/>
        </w:rPr>
      </w:pPr>
    </w:p>
    <w:p>
      <w:pPr>
        <w:ind w:firstLine="589"/>
        <w:spacing w:after="0" w:line="261" w:lineRule="auto"/>
        <w:rPr>
          <w:sz w:val="20"/>
          <w:szCs w:val="20"/>
          <w:color w:val="auto"/>
        </w:rPr>
      </w:pPr>
      <w:r>
        <w:rPr>
          <w:rFonts w:ascii="Arial" w:cs="Arial" w:eastAsia="Arial" w:hAnsi="Arial"/>
          <w:sz w:val="17"/>
          <w:szCs w:val="17"/>
          <w:color w:val="auto"/>
        </w:rPr>
        <w:t xml:space="preserve">As permitted under Accounting Standards Codification (“ASC”) 825, </w:t>
      </w:r>
      <w:r>
        <w:rPr>
          <w:rFonts w:ascii="Arial" w:cs="Arial" w:eastAsia="Arial" w:hAnsi="Arial"/>
          <w:sz w:val="17"/>
          <w:szCs w:val="17"/>
          <w:i w:val="1"/>
          <w:iCs w:val="1"/>
          <w:color w:val="auto"/>
        </w:rPr>
        <w:t>Financial Instruments</w:t>
      </w:r>
      <w:r>
        <w:rPr>
          <w:rFonts w:ascii="Arial" w:cs="Arial" w:eastAsia="Arial" w:hAnsi="Arial"/>
          <w:sz w:val="17"/>
          <w:szCs w:val="17"/>
          <w:color w:val="auto"/>
        </w:rPr>
        <w:t>, (“ASC 825”), the Company has elected the fair value option to account for its convertible promissory notes issued since inception. In accordance with ASC 825, the Company records these convertible promissory notes at fair value with changes in fair value recorded in the statements of operations. As a result of applying the fair value option, direct costs and fees related to the convertible promissory notes were recognized in earnings as incurred and not deferred.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77" w:lineRule="exact"/>
        <w:rPr>
          <w:sz w:val="20"/>
          <w:szCs w:val="20"/>
          <w:color w:val="auto"/>
        </w:rPr>
      </w:pPr>
    </w:p>
    <w:p>
      <w:pPr>
        <w:ind w:right="100" w:firstLine="589"/>
        <w:spacing w:after="0" w:line="301" w:lineRule="auto"/>
        <w:rPr>
          <w:sz w:val="20"/>
          <w:szCs w:val="20"/>
          <w:color w:val="auto"/>
        </w:rPr>
      </w:pPr>
      <w:r>
        <w:rPr>
          <w:rFonts w:ascii="Arial" w:cs="Arial" w:eastAsia="Arial" w:hAnsi="Arial"/>
          <w:sz w:val="15"/>
          <w:szCs w:val="15"/>
          <w:color w:val="auto"/>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spacing w:after="0" w:line="113" w:lineRule="exact"/>
        <w:rPr>
          <w:sz w:val="20"/>
          <w:szCs w:val="20"/>
          <w:color w:val="auto"/>
        </w:rPr>
      </w:pPr>
    </w:p>
    <w:p>
      <w:pPr>
        <w:ind w:left="580"/>
        <w:spacing w:after="0"/>
        <w:tabs>
          <w:tab w:leader="none" w:pos="1420" w:val="left"/>
        </w:tabs>
        <w:rPr>
          <w:sz w:val="20"/>
          <w:szCs w:val="20"/>
          <w:color w:val="auto"/>
        </w:rPr>
      </w:pPr>
      <w:r>
        <w:rPr>
          <w:rFonts w:ascii="Arial" w:cs="Arial" w:eastAsia="Arial" w:hAnsi="Arial"/>
          <w:sz w:val="17"/>
          <w:szCs w:val="17"/>
          <w:color w:val="auto"/>
        </w:rPr>
        <w:t>Level 1:</w:t>
      </w:r>
      <w:r>
        <w:rPr>
          <w:sz w:val="20"/>
          <w:szCs w:val="20"/>
          <w:color w:val="auto"/>
        </w:rPr>
        <w:tab/>
      </w:r>
      <w:r>
        <w:rPr>
          <w:rFonts w:ascii="Arial" w:cs="Arial" w:eastAsia="Arial" w:hAnsi="Arial"/>
          <w:sz w:val="15"/>
          <w:szCs w:val="15"/>
          <w:color w:val="auto"/>
        </w:rPr>
        <w:t>Observable inputs such as quoted prices in active markets.</w:t>
      </w:r>
    </w:p>
    <w:p>
      <w:pPr>
        <w:spacing w:after="0" w:line="177" w:lineRule="exact"/>
        <w:rPr>
          <w:sz w:val="20"/>
          <w:szCs w:val="20"/>
          <w:color w:val="auto"/>
        </w:rPr>
      </w:pPr>
    </w:p>
    <w:p>
      <w:pPr>
        <w:ind w:left="580"/>
        <w:spacing w:after="0"/>
        <w:tabs>
          <w:tab w:leader="none" w:pos="1420" w:val="left"/>
        </w:tabs>
        <w:rPr>
          <w:sz w:val="20"/>
          <w:szCs w:val="20"/>
          <w:color w:val="auto"/>
        </w:rPr>
      </w:pPr>
      <w:r>
        <w:rPr>
          <w:rFonts w:ascii="Arial" w:cs="Arial" w:eastAsia="Arial" w:hAnsi="Arial"/>
          <w:sz w:val="17"/>
          <w:szCs w:val="17"/>
          <w:color w:val="auto"/>
        </w:rPr>
        <w:t>Level 2:</w:t>
      </w:r>
      <w:r>
        <w:rPr>
          <w:sz w:val="20"/>
          <w:szCs w:val="20"/>
          <w:color w:val="auto"/>
        </w:rPr>
        <w:tab/>
      </w:r>
      <w:r>
        <w:rPr>
          <w:rFonts w:ascii="Arial" w:cs="Arial" w:eastAsia="Arial" w:hAnsi="Arial"/>
          <w:sz w:val="15"/>
          <w:szCs w:val="15"/>
          <w:color w:val="auto"/>
        </w:rPr>
        <w:t>Inputs, other than the quoted prices in active markets that are observable either directly or indirectly.</w:t>
      </w:r>
    </w:p>
    <w:p>
      <w:pPr>
        <w:spacing w:after="0" w:line="177" w:lineRule="exact"/>
        <w:rPr>
          <w:sz w:val="20"/>
          <w:szCs w:val="20"/>
          <w:color w:val="auto"/>
        </w:rPr>
      </w:pPr>
    </w:p>
    <w:p>
      <w:pPr>
        <w:ind w:left="580"/>
        <w:spacing w:after="0"/>
        <w:tabs>
          <w:tab w:leader="none" w:pos="1420" w:val="left"/>
        </w:tabs>
        <w:rPr>
          <w:sz w:val="20"/>
          <w:szCs w:val="20"/>
          <w:color w:val="auto"/>
        </w:rPr>
      </w:pPr>
      <w:r>
        <w:rPr>
          <w:rFonts w:ascii="Arial" w:cs="Arial" w:eastAsia="Arial" w:hAnsi="Arial"/>
          <w:sz w:val="17"/>
          <w:szCs w:val="17"/>
          <w:color w:val="auto"/>
        </w:rPr>
        <w:t>Level 3:</w:t>
      </w:r>
      <w:r>
        <w:rPr>
          <w:sz w:val="20"/>
          <w:szCs w:val="20"/>
          <w:color w:val="auto"/>
        </w:rPr>
        <w:tab/>
      </w:r>
      <w:r>
        <w:rPr>
          <w:rFonts w:ascii="Arial" w:cs="Arial" w:eastAsia="Arial" w:hAnsi="Arial"/>
          <w:sz w:val="15"/>
          <w:szCs w:val="15"/>
          <w:color w:val="auto"/>
        </w:rPr>
        <w:t>Unobservable inputs in which there is little or no market data, which require the reporting entity to develop its own assumptions.</w:t>
      </w:r>
    </w:p>
    <w:p>
      <w:pPr>
        <w:spacing w:after="0" w:line="177" w:lineRule="exact"/>
        <w:rPr>
          <w:sz w:val="20"/>
          <w:szCs w:val="20"/>
          <w:color w:val="auto"/>
        </w:rPr>
      </w:pPr>
    </w:p>
    <w:p>
      <w:pPr>
        <w:jc w:val="both"/>
        <w:ind w:right="40" w:firstLine="589"/>
        <w:spacing w:after="0" w:line="265" w:lineRule="auto"/>
        <w:rPr>
          <w:sz w:val="20"/>
          <w:szCs w:val="20"/>
          <w:color w:val="auto"/>
        </w:rPr>
      </w:pPr>
      <w:r>
        <w:rPr>
          <w:rFonts w:ascii="Arial" w:cs="Arial" w:eastAsia="Arial" w:hAnsi="Arial"/>
          <w:sz w:val="17"/>
          <w:szCs w:val="17"/>
          <w:color w:val="auto"/>
        </w:rPr>
        <w:t>The carrying amounts of the Company’s financial instruments, including cash and cash equivalents, are classified within the Level 1 designation discussed above, while prepaid and other current assets, accounts payable, and accrued liabilities, approximate fair value due to their short maturities. Warrant liabilities and convertible promissory notes are recorded at fair value on a recurring basis.</w:t>
      </w:r>
    </w:p>
    <w:p>
      <w:pPr>
        <w:spacing w:after="0" w:line="149" w:lineRule="exact"/>
        <w:rPr>
          <w:sz w:val="20"/>
          <w:szCs w:val="20"/>
          <w:color w:val="auto"/>
        </w:rPr>
      </w:pPr>
    </w:p>
    <w:p>
      <w:pPr>
        <w:ind w:right="100" w:firstLine="589"/>
        <w:spacing w:after="0" w:line="278" w:lineRule="auto"/>
        <w:rPr>
          <w:sz w:val="20"/>
          <w:szCs w:val="20"/>
          <w:color w:val="auto"/>
        </w:rPr>
      </w:pPr>
      <w:r>
        <w:rPr>
          <w:rFonts w:ascii="Arial" w:cs="Arial" w:eastAsia="Arial" w:hAnsi="Arial"/>
          <w:sz w:val="17"/>
          <w:szCs w:val="17"/>
          <w:color w:val="auto"/>
        </w:rPr>
        <w:t>The Company has no financial assets measured at fair value on a recurring basis. None of the Company’s non-financial assets or liabilities are recorded at fair value on a non-recurring basis. No transfers between levels have occurred during the periods presented.</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Liabilities measured at fair value on a recurring basis are as follows (in thousands):</w:t>
      </w:r>
    </w:p>
    <w:p>
      <w:pPr>
        <w:spacing w:after="0" w:line="190" w:lineRule="exact"/>
        <w:rPr>
          <w:sz w:val="20"/>
          <w:szCs w:val="20"/>
          <w:color w:val="auto"/>
        </w:rPr>
      </w:pPr>
    </w:p>
    <w:p>
      <w:pPr>
        <w:ind w:right="60" w:firstLine="589"/>
        <w:spacing w:after="0" w:line="276" w:lineRule="auto"/>
        <w:rPr>
          <w:sz w:val="20"/>
          <w:szCs w:val="20"/>
          <w:color w:val="auto"/>
        </w:rPr>
      </w:pPr>
      <w:r>
        <w:rPr>
          <w:rFonts w:ascii="Arial" w:cs="Arial" w:eastAsia="Arial" w:hAnsi="Arial"/>
          <w:sz w:val="16"/>
          <w:szCs w:val="16"/>
          <w:color w:val="auto"/>
        </w:rPr>
        <w:t>The warrant liabilities consist of warrants (the “Lender Warrants”) issued in connection with a loan and security agreement (the “Loan Agreement”) for commercial bank debt (see Note 7). The Lender Warrants were accounted for as liabilities as they contained a holder put right under which the lenders could have required the Company to pay cash in exchange for the Lender Warrants. The fair value of the Lender Warrants was estimated on the date of grant using the Black-Scholes option-pricing model with an expected term equal to the remaining contractual term of the warrants. The Company estimates its expected stock volatility based on the historical volatility of a set of peer companies, which are publicly traded, and expects to continue to do so until it has adequate historical data regarding the volatility of its own publicly-traded stock price. The risk-free interest rate is determined by reference to the U.S. Treasury yield curve in effect at the time of grant of the award for time periods approximately equal to the expected term of the award. The Company uses an expected dividend yield of zero based on the fact that the Company has never paid cash dividends and does not expect to pay cash dividends in the foreseeable future. When the Company drew down the Term Loan B under the Loan Agreement in March 2020, (see Note 7), the Lenders’ put right expired, and the Company recorded a final fair value adjustment and reclassified the Lender Warrants balance of $0.4 million to additional paid-in-capital.</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500" w:right="359" w:bottom="1440" w:gutter="0" w:footer="0" w:header="0"/>
        </w:sectPr>
      </w:pPr>
    </w:p>
    <w:bookmarkStart w:id="133" w:name="page134"/>
    <w:bookmarkEnd w:id="133"/>
    <w:p>
      <w:pPr>
        <w:ind w:left="600"/>
        <w:spacing w:after="0"/>
        <w:rPr>
          <w:sz w:val="20"/>
          <w:szCs w:val="20"/>
          <w:color w:val="auto"/>
        </w:rPr>
      </w:pPr>
      <w:r>
        <w:rPr>
          <w:rFonts w:ascii="Arial" w:cs="Arial" w:eastAsia="Arial" w:hAnsi="Arial"/>
          <w:sz w:val="16"/>
          <w:szCs w:val="16"/>
          <w:color w:val="auto"/>
        </w:rPr>
        <w:t>The following table provides a reconciliation of all liabilities measured at fair value using Level 3 significant unobservable inputs (in thousands):</w:t>
      </w:r>
    </w:p>
    <w:p>
      <w:pPr>
        <w:spacing w:after="0" w:line="21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vMerge w:val="restart"/>
          </w:tcPr>
          <w:p>
            <w:pPr>
              <w:jc w:val="right"/>
              <w:ind w:right="517"/>
              <w:spacing w:after="0"/>
              <w:rPr>
                <w:sz w:val="20"/>
                <w:szCs w:val="20"/>
                <w:color w:val="auto"/>
              </w:rPr>
            </w:pPr>
            <w:r>
              <w:rPr>
                <w:rFonts w:ascii="Arial" w:cs="Arial" w:eastAsia="Arial" w:hAnsi="Arial"/>
                <w:sz w:val="14"/>
                <w:szCs w:val="14"/>
                <w:b w:val="1"/>
                <w:bCs w:val="1"/>
                <w:color w:val="auto"/>
              </w:rPr>
              <w:t>Warrant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center"/>
              <w:ind w:right="258"/>
              <w:spacing w:after="0"/>
              <w:rPr>
                <w:sz w:val="20"/>
                <w:szCs w:val="20"/>
                <w:color w:val="auto"/>
              </w:rPr>
            </w:pPr>
            <w:r>
              <w:rPr>
                <w:rFonts w:ascii="Arial" w:cs="Arial" w:eastAsia="Arial" w:hAnsi="Arial"/>
                <w:sz w:val="14"/>
                <w:szCs w:val="14"/>
                <w:b w:val="1"/>
                <w:bCs w:val="1"/>
                <w:color w:val="auto"/>
                <w:w w:val="88"/>
              </w:rPr>
              <w:t>Convertible</w:t>
            </w:r>
          </w:p>
        </w:tc>
        <w:tc>
          <w:tcPr>
            <w:tcW w:w="0" w:type="dxa"/>
            <w:vAlign w:val="bottom"/>
          </w:tcPr>
          <w:p>
            <w:pPr>
              <w:spacing w:after="0"/>
              <w:rPr>
                <w:sz w:val="1"/>
                <w:szCs w:val="1"/>
                <w:color w:val="auto"/>
              </w:rPr>
            </w:pPr>
          </w:p>
        </w:tc>
      </w:tr>
      <w:tr>
        <w:trPr>
          <w:trHeight w:val="141"/>
        </w:trPr>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ind w:right="258"/>
              <w:spacing w:after="0" w:line="141" w:lineRule="exact"/>
              <w:rPr>
                <w:sz w:val="20"/>
                <w:szCs w:val="20"/>
                <w:color w:val="auto"/>
              </w:rPr>
            </w:pPr>
            <w:r>
              <w:rPr>
                <w:rFonts w:ascii="Arial" w:cs="Arial" w:eastAsia="Arial" w:hAnsi="Arial"/>
                <w:sz w:val="14"/>
                <w:szCs w:val="14"/>
                <w:b w:val="1"/>
                <w:bCs w:val="1"/>
                <w:color w:val="auto"/>
                <w:w w:val="88"/>
              </w:rPr>
              <w:t>Promissory</w:t>
            </w:r>
          </w:p>
        </w:tc>
        <w:tc>
          <w:tcPr>
            <w:tcW w:w="0" w:type="dxa"/>
            <w:vAlign w:val="bottom"/>
          </w:tcPr>
          <w:p>
            <w:pPr>
              <w:spacing w:after="0"/>
              <w:rPr>
                <w:sz w:val="1"/>
                <w:szCs w:val="1"/>
                <w:color w:val="auto"/>
              </w:rPr>
            </w:pPr>
          </w:p>
        </w:tc>
      </w:tr>
      <w:tr>
        <w:trPr>
          <w:trHeight w:val="164"/>
        </w:trPr>
        <w:tc>
          <w:tcPr>
            <w:tcW w:w="43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Liabilities</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211"/>
        </w:trPr>
        <w:tc>
          <w:tcPr>
            <w:tcW w:w="4340" w:type="dxa"/>
            <w:vAlign w:val="bottom"/>
            <w:shd w:val="clear" w:color="auto" w:fill="CFF0FC"/>
          </w:tcPr>
          <w:p>
            <w:pPr>
              <w:spacing w:after="0"/>
              <w:rPr>
                <w:sz w:val="20"/>
                <w:szCs w:val="20"/>
                <w:color w:val="auto"/>
              </w:rPr>
            </w:pPr>
            <w:r>
              <w:rPr>
                <w:rFonts w:ascii="Arial" w:cs="Arial" w:eastAsia="Arial" w:hAnsi="Arial"/>
                <w:sz w:val="17"/>
                <w:szCs w:val="17"/>
                <w:color w:val="auto"/>
              </w:rPr>
              <w:t>Balance at December 31, 2018</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1,950</w:t>
            </w:r>
          </w:p>
        </w:tc>
        <w:tc>
          <w:tcPr>
            <w:tcW w:w="0" w:type="dxa"/>
            <w:vAlign w:val="bottom"/>
          </w:tcPr>
          <w:p>
            <w:pPr>
              <w:spacing w:after="0"/>
              <w:rPr>
                <w:sz w:val="1"/>
                <w:szCs w:val="1"/>
                <w:color w:val="auto"/>
              </w:rPr>
            </w:pPr>
          </w:p>
        </w:tc>
      </w:tr>
      <w:tr>
        <w:trPr>
          <w:trHeight w:val="218"/>
        </w:trPr>
        <w:tc>
          <w:tcPr>
            <w:tcW w:w="4340" w:type="dxa"/>
            <w:vAlign w:val="bottom"/>
          </w:tcPr>
          <w:p>
            <w:pPr>
              <w:ind w:left="220"/>
              <w:spacing w:after="0"/>
              <w:rPr>
                <w:sz w:val="20"/>
                <w:szCs w:val="20"/>
                <w:color w:val="auto"/>
              </w:rPr>
            </w:pPr>
            <w:r>
              <w:rPr>
                <w:rFonts w:ascii="Arial" w:cs="Arial" w:eastAsia="Arial" w:hAnsi="Arial"/>
                <w:sz w:val="17"/>
                <w:szCs w:val="17"/>
                <w:color w:val="auto"/>
              </w:rPr>
              <w:t>Issuance of convertible promissory notes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8"/>
              <w:spacing w:after="0"/>
              <w:rPr>
                <w:sz w:val="20"/>
                <w:szCs w:val="20"/>
                <w:color w:val="auto"/>
              </w:rPr>
            </w:pPr>
            <w:r>
              <w:rPr>
                <w:rFonts w:ascii="Arial" w:cs="Arial" w:eastAsia="Arial" w:hAnsi="Arial"/>
                <w:sz w:val="17"/>
                <w:szCs w:val="17"/>
                <w:color w:val="auto"/>
              </w:rPr>
              <w:t>90,750</w:t>
            </w:r>
          </w:p>
        </w:tc>
        <w:tc>
          <w:tcPr>
            <w:tcW w:w="0" w:type="dxa"/>
            <w:vAlign w:val="bottom"/>
          </w:tcPr>
          <w:p>
            <w:pPr>
              <w:spacing w:after="0"/>
              <w:rPr>
                <w:sz w:val="1"/>
                <w:szCs w:val="1"/>
                <w:color w:val="auto"/>
              </w:rPr>
            </w:pPr>
          </w:p>
        </w:tc>
      </w:tr>
      <w:tr>
        <w:trPr>
          <w:trHeight w:val="219"/>
        </w:trPr>
        <w:tc>
          <w:tcPr>
            <w:tcW w:w="4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Exchange of convertible promissory notes (Note 4)</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(2,399)</w:t>
            </w:r>
          </w:p>
        </w:tc>
        <w:tc>
          <w:tcPr>
            <w:tcW w:w="0" w:type="dxa"/>
            <w:vAlign w:val="bottom"/>
          </w:tcPr>
          <w:p>
            <w:pPr>
              <w:spacing w:after="0"/>
              <w:rPr>
                <w:sz w:val="1"/>
                <w:szCs w:val="1"/>
                <w:color w:val="auto"/>
              </w:rPr>
            </w:pPr>
          </w:p>
        </w:tc>
      </w:tr>
      <w:tr>
        <w:trPr>
          <w:trHeight w:val="218"/>
        </w:trPr>
        <w:tc>
          <w:tcPr>
            <w:tcW w:w="4340" w:type="dxa"/>
            <w:vAlign w:val="bottom"/>
          </w:tcPr>
          <w:p>
            <w:pPr>
              <w:ind w:left="220"/>
              <w:spacing w:after="0"/>
              <w:rPr>
                <w:sz w:val="20"/>
                <w:szCs w:val="20"/>
                <w:color w:val="auto"/>
              </w:rPr>
            </w:pPr>
            <w:r>
              <w:rPr>
                <w:rFonts w:ascii="Arial" w:cs="Arial" w:eastAsia="Arial" w:hAnsi="Arial"/>
                <w:sz w:val="17"/>
                <w:szCs w:val="17"/>
                <w:color w:val="auto"/>
              </w:rPr>
              <w:t>Issuance of warrants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48,313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Change in fair value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96,272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49,546</w:t>
            </w:r>
          </w:p>
        </w:tc>
        <w:tc>
          <w:tcPr>
            <w:tcW w:w="0" w:type="dxa"/>
            <w:vAlign w:val="bottom"/>
          </w:tcPr>
          <w:p>
            <w:pPr>
              <w:spacing w:after="0"/>
              <w:rPr>
                <w:sz w:val="1"/>
                <w:szCs w:val="1"/>
                <w:color w:val="auto"/>
              </w:rPr>
            </w:pPr>
          </w:p>
        </w:tc>
      </w:tr>
      <w:tr>
        <w:trPr>
          <w:trHeight w:val="218"/>
        </w:trPr>
        <w:tc>
          <w:tcPr>
            <w:tcW w:w="4340" w:type="dxa"/>
            <w:vAlign w:val="bottom"/>
          </w:tcPr>
          <w:p>
            <w:pPr>
              <w:ind w:left="220"/>
              <w:spacing w:after="0"/>
              <w:rPr>
                <w:sz w:val="20"/>
                <w:szCs w:val="20"/>
                <w:color w:val="auto"/>
              </w:rPr>
            </w:pPr>
            <w:r>
              <w:rPr>
                <w:rFonts w:ascii="Arial" w:cs="Arial" w:eastAsia="Arial" w:hAnsi="Arial"/>
                <w:sz w:val="17"/>
                <w:szCs w:val="17"/>
                <w:color w:val="auto"/>
                <w:w w:val="97"/>
              </w:rPr>
              <w:t>Reclassification of Takeda Warrants into Equity (Note 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(144,172)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4340" w:type="dxa"/>
            <w:vAlign w:val="bottom"/>
            <w:shd w:val="clear" w:color="auto" w:fill="CFF0FC"/>
          </w:tcPr>
          <w:p>
            <w:pPr>
              <w:ind w:left="220"/>
              <w:spacing w:after="0"/>
              <w:rPr>
                <w:sz w:val="20"/>
                <w:szCs w:val="20"/>
                <w:color w:val="auto"/>
              </w:rPr>
            </w:pPr>
            <w:r>
              <w:rPr>
                <w:rFonts w:ascii="Arial" w:cs="Arial" w:eastAsia="Arial" w:hAnsi="Arial"/>
                <w:sz w:val="17"/>
                <w:szCs w:val="17"/>
                <w:color w:val="auto"/>
                <w:w w:val="94"/>
              </w:rPr>
              <w:t>Conversion of May 2019 Notes into common shares upon</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IPO (Note 5)</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(139,847)</w:t>
            </w:r>
          </w:p>
        </w:tc>
        <w:tc>
          <w:tcPr>
            <w:tcW w:w="0" w:type="dxa"/>
            <w:vAlign w:val="bottom"/>
          </w:tcPr>
          <w:p>
            <w:pPr>
              <w:spacing w:after="0"/>
              <w:rPr>
                <w:sz w:val="1"/>
                <w:szCs w:val="1"/>
                <w:color w:val="auto"/>
              </w:rPr>
            </w:pPr>
          </w:p>
        </w:tc>
      </w:tr>
      <w:tr>
        <w:trPr>
          <w:trHeight w:val="211"/>
        </w:trPr>
        <w:tc>
          <w:tcPr>
            <w:tcW w:w="4340" w:type="dxa"/>
            <w:vAlign w:val="bottom"/>
          </w:tcPr>
          <w:p>
            <w:pPr>
              <w:spacing w:after="0"/>
              <w:rPr>
                <w:sz w:val="20"/>
                <w:szCs w:val="20"/>
                <w:color w:val="auto"/>
              </w:rPr>
            </w:pPr>
            <w:r>
              <w:rPr>
                <w:rFonts w:ascii="Arial" w:cs="Arial" w:eastAsia="Arial" w:hAnsi="Arial"/>
                <w:sz w:val="17"/>
                <w:szCs w:val="17"/>
                <w:color w:val="auto"/>
              </w:rPr>
              <w:t>Balance at December 31, 2019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17"/>
              <w:spacing w:after="0"/>
              <w:rPr>
                <w:sz w:val="20"/>
                <w:szCs w:val="20"/>
                <w:color w:val="auto"/>
              </w:rPr>
            </w:pPr>
            <w:r>
              <w:rPr>
                <w:rFonts w:ascii="Arial" w:cs="Arial" w:eastAsia="Arial" w:hAnsi="Arial"/>
                <w:sz w:val="17"/>
                <w:szCs w:val="17"/>
                <w:color w:val="auto"/>
              </w:rPr>
              <w:t>413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43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Change in fair value</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(95)</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434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w w:val="98"/>
              </w:rPr>
              <w:t>Reclassification of Lender Warrants into equity (Note 7)</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4340" w:type="dxa"/>
            <w:vAlign w:val="bottom"/>
            <w:shd w:val="clear" w:color="auto" w:fill="CFF0FC"/>
          </w:tcPr>
          <w:p>
            <w:pPr>
              <w:spacing w:after="0"/>
              <w:rPr>
                <w:sz w:val="20"/>
                <w:szCs w:val="20"/>
                <w:color w:val="auto"/>
              </w:rPr>
            </w:pPr>
            <w:r>
              <w:rPr>
                <w:rFonts w:ascii="Arial" w:cs="Arial" w:eastAsia="Arial" w:hAnsi="Arial"/>
                <w:sz w:val="17"/>
                <w:szCs w:val="17"/>
                <w:color w:val="auto"/>
              </w:rPr>
              <w:t>Balance at December 31, 2020</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90" w:lineRule="exact"/>
        <w:rPr>
          <w:sz w:val="20"/>
          <w:szCs w:val="20"/>
          <w:color w:val="auto"/>
        </w:rPr>
      </w:pPr>
    </w:p>
    <w:p>
      <w:pPr>
        <w:ind w:right="280" w:firstLine="589"/>
        <w:spacing w:after="0" w:line="278" w:lineRule="auto"/>
        <w:rPr>
          <w:sz w:val="20"/>
          <w:szCs w:val="20"/>
          <w:color w:val="auto"/>
        </w:rPr>
      </w:pPr>
      <w:r>
        <w:rPr>
          <w:rFonts w:ascii="Arial" w:cs="Arial" w:eastAsia="Arial" w:hAnsi="Arial"/>
          <w:sz w:val="17"/>
          <w:szCs w:val="17"/>
          <w:color w:val="auto"/>
        </w:rPr>
        <w:t>The Company considers all highly liquid investments with original maturities of three months or less when purchased to be cash equivalents. Cash and cash equivalents include cash in readily available checking accounts and money market funds.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77" w:lineRule="exact"/>
        <w:rPr>
          <w:sz w:val="20"/>
          <w:szCs w:val="20"/>
          <w:color w:val="auto"/>
        </w:rPr>
      </w:pPr>
    </w:p>
    <w:p>
      <w:pPr>
        <w:ind w:right="120" w:firstLine="589"/>
        <w:spacing w:after="0" w:line="261"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The Company has not experienced any losses in such accounts and management believes that the Company is not exposed to significant credit risk due to the financial position of the depository institutions in which those deposits are held.</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 Net</w:t>
      </w:r>
    </w:p>
    <w:p>
      <w:pPr>
        <w:spacing w:after="0" w:line="177" w:lineRule="exact"/>
        <w:rPr>
          <w:sz w:val="20"/>
          <w:szCs w:val="20"/>
          <w:color w:val="auto"/>
        </w:rPr>
      </w:pPr>
    </w:p>
    <w:p>
      <w:pPr>
        <w:ind w:right="40" w:firstLine="589"/>
        <w:spacing w:after="0" w:line="278" w:lineRule="auto"/>
        <w:rPr>
          <w:sz w:val="20"/>
          <w:szCs w:val="20"/>
          <w:color w:val="auto"/>
        </w:rPr>
      </w:pPr>
      <w:r>
        <w:rPr>
          <w:rFonts w:ascii="Arial" w:cs="Arial" w:eastAsia="Arial" w:hAnsi="Arial"/>
          <w:sz w:val="16"/>
          <w:szCs w:val="16"/>
          <w:color w:val="auto"/>
        </w:rPr>
        <w:t>Property, plant and equipment are recorded at cost, less accumulated depreciation. Depreciation expense is recognized using the straight-line method over the useful life of the asset. Computer equipment and related software are depreciated over two to three years. Furniture and fixtures are depreciated over three years. Leasehold improvements are amortized over the lesser of the lease term or the estimated useful lives of the related assets. Expenditures for repairs and maintenance of assets are charged to expense as incurred. Upon retirement or sale, the cost and related accumulated depreciation of assets disposed of are removed from the accounts and any resulting gain or loss is included in loss from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90" w:lineRule="exact"/>
        <w:rPr>
          <w:sz w:val="20"/>
          <w:szCs w:val="20"/>
          <w:color w:val="auto"/>
        </w:rPr>
      </w:pPr>
    </w:p>
    <w:p>
      <w:pPr>
        <w:ind w:firstLine="589"/>
        <w:spacing w:after="0" w:line="306" w:lineRule="auto"/>
        <w:rPr>
          <w:sz w:val="20"/>
          <w:szCs w:val="20"/>
          <w:color w:val="auto"/>
        </w:rPr>
      </w:pPr>
      <w:r>
        <w:rPr>
          <w:rFonts w:ascii="Arial" w:cs="Arial" w:eastAsia="Arial" w:hAnsi="Arial"/>
          <w:sz w:val="15"/>
          <w:szCs w:val="15"/>
          <w:color w:val="auto"/>
        </w:rPr>
        <w:t>The Company reviews long-lived assets, including property, plant and equipment, for impairment whenever events or changes in business circumstances indicate that the carrying amount of the assets may not be fully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No impairment losses have been recorded through December 31, 2020.</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77" w:lineRule="exact"/>
        <w:rPr>
          <w:sz w:val="20"/>
          <w:szCs w:val="20"/>
          <w:color w:val="auto"/>
        </w:rPr>
      </w:pPr>
    </w:p>
    <w:p>
      <w:pPr>
        <w:jc w:val="both"/>
        <w:ind w:right="200" w:firstLine="589"/>
        <w:spacing w:after="0" w:line="265" w:lineRule="auto"/>
        <w:rPr>
          <w:sz w:val="20"/>
          <w:szCs w:val="20"/>
          <w:color w:val="auto"/>
        </w:rPr>
      </w:pPr>
      <w:r>
        <w:rPr>
          <w:rFonts w:ascii="Arial" w:cs="Arial" w:eastAsia="Arial" w:hAnsi="Arial"/>
          <w:sz w:val="17"/>
          <w:szCs w:val="17"/>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500" w:right="379" w:bottom="1440" w:gutter="0" w:footer="0" w:header="0"/>
        </w:sectPr>
      </w:pPr>
    </w:p>
    <w:bookmarkStart w:id="134" w:name="page135"/>
    <w:bookmarkEnd w:id="134"/>
    <w:p>
      <w:pPr>
        <w:ind w:right="20"/>
        <w:spacing w:after="0" w:line="270" w:lineRule="auto"/>
        <w:rPr>
          <w:sz w:val="20"/>
          <w:szCs w:val="20"/>
          <w:color w:val="auto"/>
        </w:rPr>
      </w:pPr>
      <w:r>
        <w:rPr>
          <w:rFonts w:ascii="Arial" w:cs="Arial" w:eastAsia="Arial" w:hAnsi="Arial"/>
          <w:sz w:val="16"/>
          <w:szCs w:val="16"/>
          <w:color w:val="auto"/>
        </w:rPr>
        <w:t>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 and Accruals</w:t>
      </w:r>
    </w:p>
    <w:p>
      <w:pPr>
        <w:spacing w:after="0" w:line="190" w:lineRule="exact"/>
        <w:rPr>
          <w:sz w:val="20"/>
          <w:szCs w:val="20"/>
          <w:color w:val="auto"/>
        </w:rPr>
      </w:pPr>
    </w:p>
    <w:p>
      <w:pPr>
        <w:ind w:right="40" w:firstLine="589"/>
        <w:spacing w:after="0" w:line="261" w:lineRule="auto"/>
        <w:rPr>
          <w:sz w:val="20"/>
          <w:szCs w:val="20"/>
          <w:color w:val="auto"/>
        </w:rPr>
      </w:pPr>
      <w:r>
        <w:rPr>
          <w:rFonts w:ascii="Arial" w:cs="Arial" w:eastAsia="Arial" w:hAnsi="Arial"/>
          <w:sz w:val="17"/>
          <w:szCs w:val="17"/>
          <w:color w:val="auto"/>
        </w:rPr>
        <w:t>All research and development costs are expensed in the period incurred and consist primarily of salaries, payroll taxes, employee benefits, stock-based compensation charges for those individuals involved in research and development efforts, external research and development costs incurred under agreements with contract research organizations and consultants to conduct and support the Company’s ongoing clinical trials of vonoprazan, and costs related to manufacturing vonoprazan for clinical trials.</w:t>
      </w:r>
    </w:p>
    <w:p>
      <w:pPr>
        <w:spacing w:after="0" w:line="139" w:lineRule="exact"/>
        <w:rPr>
          <w:sz w:val="20"/>
          <w:szCs w:val="20"/>
          <w:color w:val="auto"/>
        </w:rPr>
      </w:pPr>
    </w:p>
    <w:p>
      <w:pPr>
        <w:ind w:firstLine="589"/>
        <w:spacing w:after="0" w:line="298" w:lineRule="auto"/>
        <w:rPr>
          <w:sz w:val="20"/>
          <w:szCs w:val="20"/>
          <w:color w:val="auto"/>
        </w:rPr>
      </w:pPr>
      <w:r>
        <w:rPr>
          <w:rFonts w:ascii="Arial" w:cs="Arial" w:eastAsia="Arial" w:hAnsi="Arial"/>
          <w:sz w:val="15"/>
          <w:szCs w:val="15"/>
          <w:color w:val="auto"/>
        </w:rPr>
        <w:t>The Company has entered into various research and development contracts with clinical research organizations, clinical manufacturing organizations and other companies. Payments for these activities are based on the terms of the individual agreements, which may differ from the pattern of costs incurred, and payments made in advance of or after performance are reflected in the accompanying balance sheets as prepaid expenses or accrued liabilities, respectively. The Company records accruals for estimated costs incurred for ongoing research and development activities. When evaluating the adequacy of the accrued liabilities, the Company analyzes progress of the services, including the phase or completion of events, invoices received and contracted costs. Significant judgments and estimates may be made in determining the prepaid or accrued balances at the end of any reporting period. Actual results could differ from the Company’s estimates.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In-Process Research and Development</w:t>
      </w:r>
    </w:p>
    <w:p>
      <w:pPr>
        <w:spacing w:after="0" w:line="190" w:lineRule="exact"/>
        <w:rPr>
          <w:sz w:val="20"/>
          <w:szCs w:val="20"/>
          <w:color w:val="auto"/>
        </w:rPr>
      </w:pPr>
    </w:p>
    <w:p>
      <w:pPr>
        <w:ind w:firstLine="589"/>
        <w:spacing w:after="0" w:line="306" w:lineRule="auto"/>
        <w:rPr>
          <w:sz w:val="20"/>
          <w:szCs w:val="20"/>
          <w:color w:val="auto"/>
        </w:rPr>
      </w:pPr>
      <w:r>
        <w:rPr>
          <w:rFonts w:ascii="Arial" w:cs="Arial" w:eastAsia="Arial" w:hAnsi="Arial"/>
          <w:sz w:val="15"/>
          <w:szCs w:val="15"/>
          <w:color w:val="auto"/>
        </w:rPr>
        <w:t>The Company evaluates whether acquired intangible assets are a business under applicable accounting standards. Additionally, the Company evaluates whether the acquired assets have a future alternative use. Intangible assets that do not have future alternative use are considered acquired in-process research and development. When the acquired in-process research and development assets are not part of a business combination, the value of the consideration paid is expensed on the acquisition date. Future costs to develop these assets are recorded to research and development expense as they are incurred.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77" w:lineRule="exact"/>
        <w:rPr>
          <w:sz w:val="20"/>
          <w:szCs w:val="20"/>
          <w:color w:val="auto"/>
        </w:rPr>
      </w:pPr>
    </w:p>
    <w:p>
      <w:pPr>
        <w:ind w:right="420" w:firstLine="589"/>
        <w:spacing w:after="0" w:line="347" w:lineRule="auto"/>
        <w:rPr>
          <w:sz w:val="20"/>
          <w:szCs w:val="20"/>
          <w:color w:val="auto"/>
        </w:rPr>
      </w:pPr>
      <w:r>
        <w:rPr>
          <w:rFonts w:ascii="Arial" w:cs="Arial" w:eastAsia="Arial" w:hAnsi="Arial"/>
          <w:sz w:val="15"/>
          <w:szCs w:val="15"/>
          <w:color w:val="auto"/>
        </w:rPr>
        <w:t>General and administrative expenses consist of salaries, stock-based compensation, facilities and third-party expenses. General and administrative expenses are associated with the activities of the executive, finance, accounting, information technology, legal, medical affairs and human resource functions.</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500" w:right="35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90" w:lineRule="exact"/>
        <w:rPr>
          <w:sz w:val="20"/>
          <w:szCs w:val="20"/>
          <w:color w:val="auto"/>
        </w:rPr>
      </w:pPr>
    </w:p>
    <w:p>
      <w:pPr>
        <w:ind w:right="400" w:firstLine="589"/>
        <w:spacing w:after="0" w:line="278" w:lineRule="auto"/>
        <w:rPr>
          <w:sz w:val="20"/>
          <w:szCs w:val="20"/>
          <w:color w:val="auto"/>
        </w:rPr>
      </w:pPr>
      <w:r>
        <w:rPr>
          <w:rFonts w:ascii="Arial" w:cs="Arial" w:eastAsia="Arial" w:hAnsi="Arial"/>
          <w:sz w:val="17"/>
          <w:szCs w:val="17"/>
          <w:color w:val="auto"/>
        </w:rPr>
        <w:t>Stock-based compensation expense represents the cost of the grant date fair value of equity awards recognized over the requisite service period of the awards (generally the vesting period) on a straight-line basis with forfeitures recognized as they occur.</w:t>
      </w:r>
    </w:p>
    <w:p>
      <w:pPr>
        <w:spacing w:after="0" w:line="125" w:lineRule="exact"/>
        <w:rPr>
          <w:sz w:val="20"/>
          <w:szCs w:val="20"/>
          <w:color w:val="auto"/>
        </w:rPr>
      </w:pPr>
    </w:p>
    <w:p>
      <w:pPr>
        <w:ind w:right="260" w:firstLine="589"/>
        <w:spacing w:after="0" w:line="316" w:lineRule="auto"/>
        <w:rPr>
          <w:sz w:val="20"/>
          <w:szCs w:val="20"/>
          <w:color w:val="auto"/>
        </w:rPr>
      </w:pPr>
      <w:r>
        <w:rPr>
          <w:rFonts w:ascii="Arial" w:cs="Arial" w:eastAsia="Arial" w:hAnsi="Arial"/>
          <w:sz w:val="15"/>
          <w:szCs w:val="15"/>
          <w:color w:val="auto"/>
        </w:rPr>
        <w:t>The Company also maintains an employee stock purchase program ("ESPP") under which it may issue shares. The Company estimates the fair value of stock options and shares that will be issued under the ESPP using the Black-Scholes valuation model, which requires the use of estimates. The Company recognizes stock-based compensation cost for shares that it will issue under the ESPP on a straight-line basis over the requisite service period of the award.</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90" w:lineRule="exact"/>
        <w:rPr>
          <w:sz w:val="20"/>
          <w:szCs w:val="20"/>
          <w:color w:val="auto"/>
        </w:rPr>
      </w:pPr>
    </w:p>
    <w:p>
      <w:pPr>
        <w:ind w:right="20" w:firstLine="589"/>
        <w:spacing w:after="0" w:line="258"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the statement of operations in the period that includes the enactment date.</w:t>
      </w:r>
    </w:p>
    <w:p>
      <w:pPr>
        <w:spacing w:after="0" w:line="144" w:lineRule="exact"/>
        <w:rPr>
          <w:sz w:val="20"/>
          <w:szCs w:val="20"/>
          <w:color w:val="auto"/>
        </w:rPr>
      </w:pPr>
    </w:p>
    <w:p>
      <w:pPr>
        <w:ind w:firstLine="589"/>
        <w:spacing w:after="0" w:line="258" w:lineRule="auto"/>
        <w:rPr>
          <w:sz w:val="20"/>
          <w:szCs w:val="20"/>
          <w:color w:val="auto"/>
        </w:rPr>
      </w:pPr>
      <w:r>
        <w:rPr>
          <w:rFonts w:ascii="Arial" w:cs="Arial" w:eastAsia="Arial" w:hAnsi="Arial"/>
          <w:sz w:val="17"/>
          <w:szCs w:val="17"/>
          <w:color w:val="auto"/>
        </w:rPr>
        <w:t>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w:t>
      </w:r>
    </w:p>
    <w:p>
      <w:pPr>
        <w:spacing w:after="0" w:line="144" w:lineRule="exact"/>
        <w:rPr>
          <w:sz w:val="20"/>
          <w:szCs w:val="20"/>
          <w:color w:val="auto"/>
        </w:rPr>
      </w:pPr>
    </w:p>
    <w:p>
      <w:pPr>
        <w:ind w:right="20" w:firstLine="589"/>
        <w:spacing w:after="0" w:line="258" w:lineRule="auto"/>
        <w:rPr>
          <w:sz w:val="20"/>
          <w:szCs w:val="20"/>
          <w:color w:val="auto"/>
        </w:rPr>
      </w:pPr>
      <w:r>
        <w:rPr>
          <w:rFonts w:ascii="Arial" w:cs="Arial" w:eastAsia="Arial" w:hAnsi="Arial"/>
          <w:sz w:val="17"/>
          <w:szCs w:val="17"/>
          <w:color w:val="auto"/>
        </w:rPr>
        <w:t>The Company records uncertain tax positions on the basis of a two-step process whereby (i) management determines whether it is more likely than not that the tax positions will be sustained on the basis of the technical merits of the position and (ii) for those tax positions that meet the more-likely-than-not recognition threshold, management recognizes the largest amount of tax benefit that is more than 50 percent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177" w:lineRule="exact"/>
        <w:rPr>
          <w:sz w:val="20"/>
          <w:szCs w:val="20"/>
          <w:color w:val="auto"/>
        </w:rPr>
      </w:pPr>
    </w:p>
    <w:p>
      <w:pPr>
        <w:ind w:right="200" w:firstLine="589"/>
        <w:spacing w:after="0" w:line="278" w:lineRule="auto"/>
        <w:rPr>
          <w:sz w:val="20"/>
          <w:szCs w:val="20"/>
          <w:color w:val="auto"/>
        </w:rPr>
      </w:pPr>
      <w:r>
        <w:rPr>
          <w:rFonts w:ascii="Arial" w:cs="Arial" w:eastAsia="Arial" w:hAnsi="Arial"/>
          <w:sz w:val="17"/>
          <w:szCs w:val="17"/>
          <w:color w:val="auto"/>
        </w:rPr>
        <w:t>Comprehensive loss is defined as a change in equity during a period from transactions and other events and circumstances from non-owner sources. The Company’s comprehensive loss was the same as its reported net loss for all periods presented.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190" w:lineRule="exact"/>
        <w:rPr>
          <w:sz w:val="20"/>
          <w:szCs w:val="20"/>
          <w:color w:val="auto"/>
        </w:rPr>
      </w:pPr>
    </w:p>
    <w:p>
      <w:pPr>
        <w:ind w:right="320" w:firstLine="589"/>
        <w:spacing w:after="0" w:line="265"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in making decisions on how to allocate resources and assess performance. The Company views its operations and manages its business as one operating segment.</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 Per Share</w:t>
      </w:r>
    </w:p>
    <w:p>
      <w:pPr>
        <w:spacing w:after="0" w:line="177" w:lineRule="exact"/>
        <w:rPr>
          <w:sz w:val="20"/>
          <w:szCs w:val="20"/>
          <w:color w:val="auto"/>
        </w:rPr>
      </w:pPr>
    </w:p>
    <w:p>
      <w:pPr>
        <w:ind w:right="60" w:firstLine="589"/>
        <w:spacing w:after="0" w:line="261" w:lineRule="auto"/>
        <w:rPr>
          <w:sz w:val="20"/>
          <w:szCs w:val="20"/>
          <w:color w:val="auto"/>
        </w:rPr>
      </w:pPr>
      <w:r>
        <w:rPr>
          <w:rFonts w:ascii="Arial" w:cs="Arial" w:eastAsia="Arial" w:hAnsi="Arial"/>
          <w:sz w:val="17"/>
          <w:szCs w:val="17"/>
          <w:color w:val="auto"/>
        </w:rPr>
        <w:t>For the year ended December 31, 2019, the net loss per share was recast to include in the numerator the net losses of both the Company and YamadaCo and include in the denominator the weighted-average outstanding shares of both the Company and YamadaCo. Basic net loss per share is computed by dividing the net loss by the weighted-average number of common shares outstanding for the period, without consideration for potentially dilutive securities. The Company included 7,588,000 shares of common stock under its warrant (the “Takeda Warrant”)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136" w:name="page137"/>
    <w:bookmarkEnd w:id="136"/>
    <w:p>
      <w:pPr>
        <w:ind w:right="40"/>
        <w:spacing w:after="0" w:line="274" w:lineRule="auto"/>
        <w:rPr>
          <w:sz w:val="20"/>
          <w:szCs w:val="20"/>
          <w:color w:val="auto"/>
        </w:rPr>
      </w:pPr>
      <w:r>
        <w:rPr>
          <w:rFonts w:ascii="Arial" w:cs="Arial" w:eastAsia="Arial" w:hAnsi="Arial"/>
          <w:sz w:val="16"/>
          <w:szCs w:val="16"/>
          <w:color w:val="auto"/>
        </w:rPr>
        <w:t>issued to Takeda Pharmaceutical Company Limited (“Takeda”) in connection with a May 2019 license agreement (see Note 4) in the calculation of basic weighted-average common shares outstanding from the time it became exercisable at the Company’s IPO because the Takeda Warrant is exercisable for little consideration. For the years ended December 31, 2020 and 2019, the Company has excluded weighted-average unvested shares of 3,424,676 and 3,593,034, respectively, from the weighted-average number of common shares outstanding. Diluted net loss per share is computed by dividing the net loss by the weighted-average number of common shares and dilutive common stock equivalents outstanding for the period determined using the treasury-stock and if-converted methods. Dilutive common stock equivalents are comprised of unvested common stock, options, warrants and convertible promissory notes. For the periods presented, there is no difference in the number of shares used to calculate basic and diluted shares outstanding as inclusion of the potentially dilutive securities (warrants, stock options, and common shares subject to repurchase) would be antidilutive.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Standards</w:t>
      </w:r>
    </w:p>
    <w:p>
      <w:pPr>
        <w:spacing w:after="0" w:line="196" w:lineRule="exact"/>
        <w:rPr>
          <w:sz w:val="20"/>
          <w:szCs w:val="20"/>
          <w:color w:val="auto"/>
        </w:rPr>
      </w:pPr>
    </w:p>
    <w:p>
      <w:pPr>
        <w:jc w:val="both"/>
        <w:ind w:right="100" w:firstLine="589"/>
        <w:spacing w:after="0" w:line="301" w:lineRule="auto"/>
        <w:rPr>
          <w:sz w:val="20"/>
          <w:szCs w:val="20"/>
          <w:color w:val="auto"/>
        </w:rPr>
      </w:pPr>
      <w:r>
        <w:rPr>
          <w:rFonts w:ascii="Arial" w:cs="Arial" w:eastAsia="Arial" w:hAnsi="Arial"/>
          <w:sz w:val="15"/>
          <w:szCs w:val="15"/>
          <w:color w:val="212529"/>
        </w:rPr>
        <w:t xml:space="preserve">In June 2016, the </w:t>
      </w:r>
      <w:r>
        <w:rPr>
          <w:rFonts w:ascii="Arial" w:cs="Arial" w:eastAsia="Arial" w:hAnsi="Arial"/>
          <w:sz w:val="15"/>
          <w:szCs w:val="15"/>
          <w:color w:val="000000"/>
        </w:rPr>
        <w:t>Financial Accounting Standards Board (“FASB”)</w:t>
      </w:r>
      <w:r>
        <w:rPr>
          <w:rFonts w:ascii="Arial" w:cs="Arial" w:eastAsia="Arial" w:hAnsi="Arial"/>
          <w:sz w:val="15"/>
          <w:szCs w:val="15"/>
          <w:color w:val="212529"/>
        </w:rPr>
        <w:t xml:space="preserve"> issued Accounting Standards Update (“ASU”) No. 2016-13, </w:t>
      </w:r>
      <w:r>
        <w:rPr>
          <w:rFonts w:ascii="Arial" w:cs="Arial" w:eastAsia="Arial" w:hAnsi="Arial"/>
          <w:sz w:val="15"/>
          <w:szCs w:val="15"/>
          <w:i w:val="1"/>
          <w:iCs w:val="1"/>
          <w:color w:val="212529"/>
        </w:rPr>
        <w:t>Financial Instruments -</w:t>
      </w:r>
      <w:r>
        <w:rPr>
          <w:rFonts w:ascii="Arial" w:cs="Arial" w:eastAsia="Arial" w:hAnsi="Arial"/>
          <w:sz w:val="15"/>
          <w:szCs w:val="15"/>
          <w:color w:val="212529"/>
        </w:rPr>
        <w:t xml:space="preserve"> </w:t>
      </w:r>
      <w:r>
        <w:rPr>
          <w:rFonts w:ascii="Arial" w:cs="Arial" w:eastAsia="Arial" w:hAnsi="Arial"/>
          <w:sz w:val="15"/>
          <w:szCs w:val="15"/>
          <w:i w:val="1"/>
          <w:iCs w:val="1"/>
          <w:color w:val="212529"/>
        </w:rPr>
        <w:t xml:space="preserve">Credit Losses (Topic 326): Measurement of Credit Losses on Financial Instruments </w:t>
      </w:r>
      <w:r>
        <w:rPr>
          <w:rFonts w:ascii="Arial" w:cs="Arial" w:eastAsia="Arial" w:hAnsi="Arial"/>
          <w:sz w:val="15"/>
          <w:szCs w:val="15"/>
          <w:color w:val="212529"/>
        </w:rPr>
        <w:t>(“ASU 2016-13”). ASU 2016-13 implements an impairment model, known as</w:t>
      </w:r>
      <w:r>
        <w:rPr>
          <w:rFonts w:ascii="Arial" w:cs="Arial" w:eastAsia="Arial" w:hAnsi="Arial"/>
          <w:sz w:val="15"/>
          <w:szCs w:val="15"/>
          <w:i w:val="1"/>
          <w:iCs w:val="1"/>
          <w:color w:val="212529"/>
        </w:rPr>
        <w:t xml:space="preserve"> </w:t>
      </w:r>
      <w:r>
        <w:rPr>
          <w:rFonts w:ascii="Arial" w:cs="Arial" w:eastAsia="Arial" w:hAnsi="Arial"/>
          <w:sz w:val="15"/>
          <w:szCs w:val="15"/>
          <w:color w:val="212529"/>
        </w:rPr>
        <w:t xml:space="preserve">the current expected credit loss model, based on expected losses rather than incurred losses. Under the new guidance, an entity will recognize, as an allowance, its estimate of expected credit losses. ASU 2016-13 is effective for interim and annual periods beginning after December 15, 2019, with early adoption permitted. </w:t>
      </w:r>
      <w:r>
        <w:rPr>
          <w:rFonts w:ascii="Arial" w:cs="Arial" w:eastAsia="Arial" w:hAnsi="Arial"/>
          <w:sz w:val="15"/>
          <w:szCs w:val="15"/>
          <w:color w:val="000000"/>
        </w:rPr>
        <w:t>The</w:t>
      </w:r>
      <w:r>
        <w:rPr>
          <w:rFonts w:ascii="Arial" w:cs="Arial" w:eastAsia="Arial" w:hAnsi="Arial"/>
          <w:sz w:val="15"/>
          <w:szCs w:val="15"/>
          <w:color w:val="212529"/>
        </w:rPr>
        <w:t xml:space="preserve"> </w:t>
      </w:r>
      <w:r>
        <w:rPr>
          <w:rFonts w:ascii="Arial" w:cs="Arial" w:eastAsia="Arial" w:hAnsi="Arial"/>
          <w:sz w:val="15"/>
          <w:szCs w:val="15"/>
          <w:color w:val="000000"/>
        </w:rPr>
        <w:t>Company adopted this guidance effective January 1, 2020, and the adoption did not have a material impact on the Company's financial statements.</w:t>
      </w:r>
    </w:p>
    <w:p>
      <w:pPr>
        <w:spacing w:after="0" w:line="139" w:lineRule="exact"/>
        <w:rPr>
          <w:sz w:val="20"/>
          <w:szCs w:val="20"/>
          <w:color w:val="auto"/>
        </w:rPr>
      </w:pPr>
    </w:p>
    <w:p>
      <w:pPr>
        <w:ind w:right="120" w:firstLine="735"/>
        <w:spacing w:after="0" w:line="282"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Requirements for Fair Value Measurement, </w:t>
      </w:r>
      <w:r>
        <w:rPr>
          <w:rFonts w:ascii="Arial" w:cs="Arial" w:eastAsia="Arial" w:hAnsi="Arial"/>
          <w:sz w:val="16"/>
          <w:szCs w:val="16"/>
          <w:color w:val="auto"/>
        </w:rPr>
        <w:t>which eliminates, modifies and adds disclosure requirements on fair value measurements. The standard is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periods beginning after December 15, 2019, including interim periods within those fiscal years, and early adoption is permitted. The Company adopted this guidance effective January 1, 2020, and the adoption did not have a material impact on the Company’s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96" w:lineRule="exact"/>
        <w:rPr>
          <w:sz w:val="20"/>
          <w:szCs w:val="20"/>
          <w:color w:val="auto"/>
        </w:rPr>
      </w:pPr>
    </w:p>
    <w:p>
      <w:pPr>
        <w:ind w:right="100" w:firstLine="589"/>
        <w:spacing w:after="0" w:line="261"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simplifies the accounting for income taxes. ASU 2019-12 is effective for annual reporting periods, and interim periods within those annual periods, beginning after December 15, 2020 on a prospective basis, and early adoption is permitted. The Company does not expect the adoption of ASU 2019-12 will have a significant impact on its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Balance Sheet Details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 net</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Property, plant and equipment, net, consist of the following (in thousands):</w:t>
      </w:r>
    </w:p>
    <w:p>
      <w:pPr>
        <w:spacing w:after="0" w:line="215"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Years Ended</w:t>
      </w:r>
    </w:p>
    <w:p>
      <w:pPr>
        <w:ind w:left="724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7"/>
        </w:trPr>
        <w:tc>
          <w:tcPr>
            <w:tcW w:w="1700" w:type="dxa"/>
            <w:vAlign w:val="bottom"/>
          </w:tcPr>
          <w:p>
            <w:pPr>
              <w:spacing w:after="0"/>
              <w:rPr>
                <w:sz w:val="12"/>
                <w:szCs w:val="12"/>
                <w:color w:val="auto"/>
              </w:rPr>
            </w:pPr>
          </w:p>
        </w:tc>
        <w:tc>
          <w:tcPr>
            <w:tcW w:w="3260" w:type="dxa"/>
            <w:vAlign w:val="bottom"/>
            <w:tcBorders>
              <w:bottom w:val="single" w:sz="8" w:color="CFF0FC"/>
            </w:tcBorders>
          </w:tcPr>
          <w:p>
            <w:pPr>
              <w:spacing w:after="0"/>
              <w:rPr>
                <w:sz w:val="12"/>
                <w:szCs w:val="12"/>
                <w:color w:val="auto"/>
              </w:rPr>
            </w:pPr>
          </w:p>
        </w:tc>
        <w:tc>
          <w:tcPr>
            <w:tcW w:w="860" w:type="dxa"/>
            <w:vAlign w:val="bottom"/>
            <w:tcBorders>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737"/>
              <w:spacing w:after="0" w:line="147"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737"/>
              <w:spacing w:after="0" w:line="147" w:lineRule="exact"/>
              <w:rPr>
                <w:sz w:val="20"/>
                <w:szCs w:val="20"/>
                <w:color w:val="auto"/>
              </w:rPr>
            </w:pPr>
            <w:r>
              <w:rPr>
                <w:rFonts w:ascii="Arial" w:cs="Arial" w:eastAsia="Arial" w:hAnsi="Arial"/>
                <w:sz w:val="14"/>
                <w:szCs w:val="14"/>
                <w:b w:val="1"/>
                <w:bCs w:val="1"/>
                <w:color w:val="auto"/>
              </w:rPr>
              <w:t>2019</w:t>
            </w:r>
          </w:p>
        </w:tc>
        <w:tc>
          <w:tcPr>
            <w:tcW w:w="1720" w:type="dxa"/>
            <w:vAlign w:val="bottom"/>
          </w:tcPr>
          <w:p>
            <w:pPr>
              <w:spacing w:after="0"/>
              <w:rPr>
                <w:sz w:val="12"/>
                <w:szCs w:val="12"/>
                <w:color w:val="auto"/>
              </w:rPr>
            </w:pPr>
          </w:p>
        </w:tc>
      </w:tr>
      <w:tr>
        <w:trPr>
          <w:trHeight w:val="211"/>
        </w:trPr>
        <w:tc>
          <w:tcPr>
            <w:tcW w:w="170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7"/>
                <w:szCs w:val="17"/>
                <w:color w:val="auto"/>
              </w:rPr>
              <w:t>Computer equipment and software</w:t>
            </w:r>
          </w:p>
        </w:tc>
        <w:tc>
          <w:tcPr>
            <w:tcW w:w="124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516</w:t>
            </w: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152</w:t>
            </w:r>
          </w:p>
        </w:tc>
        <w:tc>
          <w:tcPr>
            <w:tcW w:w="1720" w:type="dxa"/>
            <w:vAlign w:val="bottom"/>
          </w:tcPr>
          <w:p>
            <w:pPr>
              <w:spacing w:after="0"/>
              <w:rPr>
                <w:sz w:val="18"/>
                <w:szCs w:val="18"/>
                <w:color w:val="auto"/>
              </w:rPr>
            </w:pPr>
          </w:p>
        </w:tc>
      </w:tr>
      <w:tr>
        <w:trPr>
          <w:trHeight w:val="218"/>
        </w:trPr>
        <w:tc>
          <w:tcPr>
            <w:tcW w:w="4960" w:type="dxa"/>
            <w:vAlign w:val="bottom"/>
            <w:gridSpan w:val="2"/>
          </w:tcPr>
          <w:p>
            <w:pPr>
              <w:ind w:left="1700"/>
              <w:spacing w:after="0"/>
              <w:rPr>
                <w:sz w:val="20"/>
                <w:szCs w:val="20"/>
                <w:color w:val="auto"/>
              </w:rPr>
            </w:pPr>
            <w:r>
              <w:rPr>
                <w:rFonts w:ascii="Arial" w:cs="Arial" w:eastAsia="Arial" w:hAnsi="Arial"/>
                <w:sz w:val="17"/>
                <w:szCs w:val="17"/>
                <w:color w:val="auto"/>
              </w:rPr>
              <w:t>Furniture and fixtures</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7"/>
              <w:spacing w:after="0"/>
              <w:rPr>
                <w:sz w:val="20"/>
                <w:szCs w:val="20"/>
                <w:color w:val="auto"/>
              </w:rPr>
            </w:pPr>
            <w:r>
              <w:rPr>
                <w:rFonts w:ascii="Arial" w:cs="Arial" w:eastAsia="Arial" w:hAnsi="Arial"/>
                <w:sz w:val="17"/>
                <w:szCs w:val="17"/>
                <w:color w:val="auto"/>
              </w:rPr>
              <w:t>747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7"/>
              <w:spacing w:after="0"/>
              <w:rPr>
                <w:sz w:val="20"/>
                <w:szCs w:val="20"/>
                <w:color w:val="auto"/>
              </w:rPr>
            </w:pPr>
            <w:r>
              <w:rPr>
                <w:rFonts w:ascii="Arial" w:cs="Arial" w:eastAsia="Arial" w:hAnsi="Arial"/>
                <w:sz w:val="17"/>
                <w:szCs w:val="17"/>
                <w:color w:val="auto"/>
              </w:rPr>
              <w:t>306</w:t>
            </w:r>
          </w:p>
        </w:tc>
        <w:tc>
          <w:tcPr>
            <w:tcW w:w="1720" w:type="dxa"/>
            <w:vAlign w:val="bottom"/>
          </w:tcPr>
          <w:p>
            <w:pPr>
              <w:spacing w:after="0"/>
              <w:rPr>
                <w:sz w:val="18"/>
                <w:szCs w:val="18"/>
                <w:color w:val="auto"/>
              </w:rPr>
            </w:pPr>
          </w:p>
        </w:tc>
      </w:tr>
      <w:tr>
        <w:trPr>
          <w:trHeight w:val="218"/>
        </w:trPr>
        <w:tc>
          <w:tcPr>
            <w:tcW w:w="170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7"/>
                <w:szCs w:val="17"/>
                <w:color w:val="auto"/>
              </w:rPr>
              <w:t>Leasehold improvements</w:t>
            </w:r>
          </w:p>
        </w:tc>
        <w:tc>
          <w:tcPr>
            <w:tcW w:w="86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54</w:t>
            </w:r>
          </w:p>
        </w:tc>
        <w:tc>
          <w:tcPr>
            <w:tcW w:w="1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13</w:t>
            </w:r>
          </w:p>
        </w:tc>
        <w:tc>
          <w:tcPr>
            <w:tcW w:w="1720" w:type="dxa"/>
            <w:vAlign w:val="bottom"/>
          </w:tcPr>
          <w:p>
            <w:pPr>
              <w:spacing w:after="0"/>
              <w:rPr>
                <w:sz w:val="18"/>
                <w:szCs w:val="18"/>
                <w:color w:val="auto"/>
              </w:rPr>
            </w:pPr>
          </w:p>
        </w:tc>
      </w:tr>
      <w:tr>
        <w:trPr>
          <w:trHeight w:val="211"/>
        </w:trPr>
        <w:tc>
          <w:tcPr>
            <w:tcW w:w="17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7"/>
              <w:spacing w:after="0"/>
              <w:rPr>
                <w:sz w:val="20"/>
                <w:szCs w:val="20"/>
                <w:color w:val="auto"/>
              </w:rPr>
            </w:pPr>
            <w:r>
              <w:rPr>
                <w:rFonts w:ascii="Arial" w:cs="Arial" w:eastAsia="Arial" w:hAnsi="Arial"/>
                <w:sz w:val="17"/>
                <w:szCs w:val="17"/>
                <w:color w:val="auto"/>
              </w:rPr>
              <w:t>1,317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7"/>
              <w:spacing w:after="0"/>
              <w:rPr>
                <w:sz w:val="20"/>
                <w:szCs w:val="20"/>
                <w:color w:val="auto"/>
              </w:rPr>
            </w:pPr>
            <w:r>
              <w:rPr>
                <w:rFonts w:ascii="Arial" w:cs="Arial" w:eastAsia="Arial" w:hAnsi="Arial"/>
                <w:sz w:val="17"/>
                <w:szCs w:val="17"/>
                <w:color w:val="auto"/>
              </w:rPr>
              <w:t>471</w:t>
            </w:r>
          </w:p>
        </w:tc>
        <w:tc>
          <w:tcPr>
            <w:tcW w:w="1720" w:type="dxa"/>
            <w:vAlign w:val="bottom"/>
          </w:tcPr>
          <w:p>
            <w:pPr>
              <w:spacing w:after="0"/>
              <w:rPr>
                <w:sz w:val="18"/>
                <w:szCs w:val="18"/>
                <w:color w:val="auto"/>
              </w:rPr>
            </w:pPr>
          </w:p>
        </w:tc>
      </w:tr>
      <w:tr>
        <w:trPr>
          <w:trHeight w:val="219"/>
        </w:trPr>
        <w:tc>
          <w:tcPr>
            <w:tcW w:w="1700" w:type="dxa"/>
            <w:vAlign w:val="bottom"/>
          </w:tcPr>
          <w:p>
            <w:pPr>
              <w:spacing w:after="0"/>
              <w:rPr>
                <w:sz w:val="19"/>
                <w:szCs w:val="19"/>
                <w:color w:val="auto"/>
              </w:rPr>
            </w:pPr>
          </w:p>
        </w:tc>
        <w:tc>
          <w:tcPr>
            <w:tcW w:w="3260" w:type="dxa"/>
            <w:vAlign w:val="bottom"/>
            <w:shd w:val="clear" w:color="auto" w:fill="CFF0FC"/>
          </w:tcPr>
          <w:p>
            <w:pPr>
              <w:spacing w:after="0"/>
              <w:rPr>
                <w:sz w:val="20"/>
                <w:szCs w:val="20"/>
                <w:color w:val="auto"/>
              </w:rPr>
            </w:pPr>
            <w:r>
              <w:rPr>
                <w:rFonts w:ascii="Arial" w:cs="Arial" w:eastAsia="Arial" w:hAnsi="Arial"/>
                <w:sz w:val="17"/>
                <w:szCs w:val="17"/>
                <w:color w:val="auto"/>
              </w:rPr>
              <w:t>Less: accumulated depreciation</w:t>
            </w:r>
          </w:p>
        </w:tc>
        <w:tc>
          <w:tcPr>
            <w:tcW w:w="86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(331)</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720" w:type="dxa"/>
            <w:vAlign w:val="bottom"/>
          </w:tcPr>
          <w:p>
            <w:pPr>
              <w:spacing w:after="0"/>
              <w:rPr>
                <w:sz w:val="19"/>
                <w:szCs w:val="19"/>
                <w:color w:val="auto"/>
              </w:rPr>
            </w:pPr>
          </w:p>
        </w:tc>
      </w:tr>
      <w:tr>
        <w:trPr>
          <w:trHeight w:val="211"/>
        </w:trPr>
        <w:tc>
          <w:tcPr>
            <w:tcW w:w="4960" w:type="dxa"/>
            <w:vAlign w:val="bottom"/>
            <w:gridSpan w:val="2"/>
          </w:tcPr>
          <w:p>
            <w:pPr>
              <w:ind w:left="1700"/>
              <w:spacing w:after="0"/>
              <w:rPr>
                <w:sz w:val="20"/>
                <w:szCs w:val="20"/>
                <w:color w:val="auto"/>
              </w:rPr>
            </w:pPr>
            <w:r>
              <w:rPr>
                <w:rFonts w:ascii="Arial" w:cs="Arial" w:eastAsia="Arial" w:hAnsi="Arial"/>
                <w:sz w:val="17"/>
                <w:szCs w:val="17"/>
                <w:color w:val="auto"/>
              </w:rPr>
              <w:t>Total property, plant and equipment, net</w:t>
            </w:r>
          </w:p>
        </w:tc>
        <w:tc>
          <w:tcPr>
            <w:tcW w:w="12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7"/>
              <w:spacing w:after="0"/>
              <w:rPr>
                <w:sz w:val="20"/>
                <w:szCs w:val="20"/>
                <w:color w:val="auto"/>
              </w:rPr>
            </w:pPr>
            <w:r>
              <w:rPr>
                <w:rFonts w:ascii="Arial" w:cs="Arial" w:eastAsia="Arial" w:hAnsi="Arial"/>
                <w:sz w:val="17"/>
                <w:szCs w:val="17"/>
                <w:color w:val="auto"/>
              </w:rPr>
              <w:t>986</w:t>
            </w:r>
          </w:p>
        </w:tc>
        <w:tc>
          <w:tcPr>
            <w:tcW w:w="5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7"/>
              <w:spacing w:after="0"/>
              <w:rPr>
                <w:sz w:val="20"/>
                <w:szCs w:val="20"/>
                <w:color w:val="auto"/>
              </w:rPr>
            </w:pPr>
            <w:r>
              <w:rPr>
                <w:rFonts w:ascii="Arial" w:cs="Arial" w:eastAsia="Arial" w:hAnsi="Arial"/>
                <w:sz w:val="17"/>
                <w:szCs w:val="17"/>
                <w:color w:val="auto"/>
              </w:rPr>
              <w:t>463</w:t>
            </w:r>
          </w:p>
        </w:tc>
        <w:tc>
          <w:tcPr>
            <w:tcW w:w="172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595"/>
        </w:trPr>
        <w:tc>
          <w:tcPr>
            <w:tcW w:w="1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7"/>
                <w:szCs w:val="17"/>
                <w:color w:val="auto"/>
              </w:rPr>
              <w:t>F-12</w:t>
            </w: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5"/>
        </w:trPr>
        <w:tc>
          <w:tcPr>
            <w:tcW w:w="17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500" w:right="299" w:bottom="1440" w:gutter="0" w:footer="0" w:header="0"/>
        </w:sectPr>
      </w:pPr>
    </w:p>
    <w:bookmarkStart w:id="137" w:name="page138"/>
    <w:bookmarkEnd w:id="137"/>
    <w:p>
      <w:pPr>
        <w:ind w:right="240" w:firstLine="589"/>
        <w:spacing w:after="0" w:line="278" w:lineRule="auto"/>
        <w:rPr>
          <w:sz w:val="20"/>
          <w:szCs w:val="20"/>
          <w:color w:val="auto"/>
        </w:rPr>
      </w:pPr>
      <w:r>
        <w:rPr>
          <w:rFonts w:ascii="Arial" w:cs="Arial" w:eastAsia="Arial" w:hAnsi="Arial"/>
          <w:sz w:val="17"/>
          <w:szCs w:val="17"/>
          <w:color w:val="auto"/>
        </w:rPr>
        <w:t>Depreciation expense for the years ended December 31, 2020 and 2019 was approximately $0.3 million and $8,000, respectively. No property, plant or equipment was disposed of during the years ended December 31, 2020 and 2019.</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Expenses</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Accrued expenses consist of the following (in thousands):</w:t>
      </w:r>
    </w:p>
    <w:p>
      <w:pPr>
        <w:spacing w:after="0" w:line="215"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Years Ended</w:t>
      </w:r>
    </w:p>
    <w:p>
      <w:pPr>
        <w:ind w:left="724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47"/>
        </w:trPr>
        <w:tc>
          <w:tcPr>
            <w:tcW w:w="3580" w:type="dxa"/>
            <w:vAlign w:val="bottom"/>
            <w:tcBorders>
              <w:bottom w:val="single" w:sz="8" w:color="CFF0FC"/>
            </w:tcBorders>
          </w:tcPr>
          <w:p>
            <w:pPr>
              <w:spacing w:after="0"/>
              <w:rPr>
                <w:sz w:val="12"/>
                <w:szCs w:val="12"/>
                <w:color w:val="auto"/>
              </w:rPr>
            </w:pPr>
          </w:p>
        </w:tc>
        <w:tc>
          <w:tcPr>
            <w:tcW w:w="540" w:type="dxa"/>
            <w:vAlign w:val="bottom"/>
            <w:tcBorders>
              <w:bottom w:val="single" w:sz="8" w:color="CFF0FC"/>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52"/>
              <w:spacing w:after="0" w:line="147" w:lineRule="exact"/>
              <w:rPr>
                <w:sz w:val="20"/>
                <w:szCs w:val="20"/>
                <w:color w:val="auto"/>
              </w:rPr>
            </w:pPr>
            <w:r>
              <w:rPr>
                <w:rFonts w:ascii="Arial" w:cs="Arial" w:eastAsia="Arial" w:hAnsi="Arial"/>
                <w:sz w:val="14"/>
                <w:szCs w:val="14"/>
                <w:b w:val="1"/>
                <w:bCs w:val="1"/>
                <w:color w:val="auto"/>
              </w:rPr>
              <w:t>2020</w:t>
            </w:r>
          </w:p>
        </w:tc>
        <w:tc>
          <w:tcPr>
            <w:tcW w:w="7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737"/>
              <w:spacing w:after="0" w:line="147" w:lineRule="exact"/>
              <w:rPr>
                <w:sz w:val="20"/>
                <w:szCs w:val="20"/>
                <w:color w:val="auto"/>
              </w:rPr>
            </w:pPr>
            <w:r>
              <w:rPr>
                <w:rFonts w:ascii="Arial" w:cs="Arial" w:eastAsia="Arial" w:hAnsi="Arial"/>
                <w:sz w:val="14"/>
                <w:szCs w:val="14"/>
                <w:b w:val="1"/>
                <w:bCs w:val="1"/>
                <w:color w:val="auto"/>
              </w:rPr>
              <w:t>2019</w:t>
            </w:r>
          </w:p>
        </w:tc>
      </w:tr>
      <w:tr>
        <w:trPr>
          <w:trHeight w:val="211"/>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Accrued research and development expenses</w:t>
            </w:r>
          </w:p>
        </w:tc>
        <w:tc>
          <w:tcPr>
            <w:tcW w:w="1640" w:type="dxa"/>
            <w:vAlign w:val="bottom"/>
            <w:gridSpan w:val="2"/>
            <w:shd w:val="clear" w:color="auto" w:fill="CFF0FC"/>
          </w:tcPr>
          <w:p>
            <w:pPr>
              <w:jc w:val="right"/>
              <w:ind w:right="972"/>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rPr>
              <w:t>4,864</w:t>
            </w: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384</w:t>
            </w:r>
          </w:p>
        </w:tc>
      </w:tr>
      <w:tr>
        <w:trPr>
          <w:trHeight w:val="218"/>
        </w:trPr>
        <w:tc>
          <w:tcPr>
            <w:tcW w:w="3580" w:type="dxa"/>
            <w:vAlign w:val="bottom"/>
          </w:tcPr>
          <w:p>
            <w:pPr>
              <w:spacing w:after="0"/>
              <w:rPr>
                <w:sz w:val="20"/>
                <w:szCs w:val="20"/>
                <w:color w:val="auto"/>
              </w:rPr>
            </w:pPr>
            <w:r>
              <w:rPr>
                <w:rFonts w:ascii="Arial" w:cs="Arial" w:eastAsia="Arial" w:hAnsi="Arial"/>
                <w:sz w:val="17"/>
                <w:szCs w:val="17"/>
                <w:color w:val="auto"/>
              </w:rPr>
              <w:t>Accrued compensation expenses</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7"/>
                <w:szCs w:val="17"/>
                <w:color w:val="auto"/>
              </w:rPr>
              <w:t>4,587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7"/>
              <w:spacing w:after="0"/>
              <w:rPr>
                <w:sz w:val="20"/>
                <w:szCs w:val="20"/>
                <w:color w:val="auto"/>
              </w:rPr>
            </w:pPr>
            <w:r>
              <w:rPr>
                <w:rFonts w:ascii="Arial" w:cs="Arial" w:eastAsia="Arial" w:hAnsi="Arial"/>
                <w:sz w:val="17"/>
                <w:szCs w:val="17"/>
                <w:color w:val="auto"/>
              </w:rPr>
              <w:t>1,052</w:t>
            </w:r>
          </w:p>
        </w:tc>
      </w:tr>
      <w:tr>
        <w:trPr>
          <w:trHeight w:val="207"/>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Accrued professional &amp; consulting</w:t>
            </w:r>
          </w:p>
        </w:tc>
        <w:tc>
          <w:tcPr>
            <w:tcW w:w="5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18"/>
        </w:trPr>
        <w:tc>
          <w:tcPr>
            <w:tcW w:w="3580" w:type="dxa"/>
            <w:vAlign w:val="bottom"/>
            <w:shd w:val="clear" w:color="auto" w:fill="CFF0FC"/>
          </w:tcPr>
          <w:p>
            <w:pPr>
              <w:ind w:left="120"/>
              <w:spacing w:after="0"/>
              <w:rPr>
                <w:sz w:val="20"/>
                <w:szCs w:val="20"/>
                <w:color w:val="auto"/>
              </w:rPr>
            </w:pPr>
            <w:r>
              <w:rPr>
                <w:rFonts w:ascii="Arial" w:cs="Arial" w:eastAsia="Arial" w:hAnsi="Arial"/>
                <w:sz w:val="17"/>
                <w:szCs w:val="17"/>
                <w:color w:val="auto"/>
              </w:rPr>
              <w:t>expenses</w:t>
            </w: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rPr>
              <w:t>1,123</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478</w:t>
            </w:r>
          </w:p>
        </w:tc>
      </w:tr>
      <w:tr>
        <w:trPr>
          <w:trHeight w:val="218"/>
        </w:trPr>
        <w:tc>
          <w:tcPr>
            <w:tcW w:w="3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Accrued other</w:t>
            </w:r>
          </w:p>
        </w:tc>
        <w:tc>
          <w:tcPr>
            <w:tcW w:w="540" w:type="dxa"/>
            <w:vAlign w:val="bottom"/>
            <w:tcBorders>
              <w:bottom w:val="single" w:sz="8" w:color="CFF0FC"/>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32</w:t>
            </w: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405</w:t>
            </w:r>
          </w:p>
        </w:tc>
      </w:tr>
      <w:tr>
        <w:trPr>
          <w:trHeight w:val="211"/>
        </w:trPr>
        <w:tc>
          <w:tcPr>
            <w:tcW w:w="3580" w:type="dxa"/>
            <w:vAlign w:val="bottom"/>
            <w:shd w:val="clear" w:color="auto" w:fill="CFF0FC"/>
          </w:tcPr>
          <w:p>
            <w:pPr>
              <w:spacing w:after="0"/>
              <w:rPr>
                <w:sz w:val="20"/>
                <w:szCs w:val="20"/>
                <w:color w:val="auto"/>
              </w:rPr>
            </w:pPr>
            <w:r>
              <w:rPr>
                <w:rFonts w:ascii="Arial" w:cs="Arial" w:eastAsia="Arial" w:hAnsi="Arial"/>
                <w:sz w:val="17"/>
                <w:szCs w:val="17"/>
                <w:color w:val="auto"/>
              </w:rPr>
              <w:t>Total accrued expenses</w:t>
            </w:r>
          </w:p>
        </w:tc>
        <w:tc>
          <w:tcPr>
            <w:tcW w:w="1640" w:type="dxa"/>
            <w:vAlign w:val="bottom"/>
            <w:gridSpan w:val="2"/>
            <w:shd w:val="clear" w:color="auto" w:fill="CFF0FC"/>
          </w:tcPr>
          <w:p>
            <w:pPr>
              <w:jc w:val="right"/>
              <w:ind w:right="972"/>
              <w:spacing w:after="0"/>
              <w:rPr>
                <w:sz w:val="20"/>
                <w:szCs w:val="20"/>
                <w:color w:val="auto"/>
              </w:rPr>
            </w:pPr>
            <w:r>
              <w:rPr>
                <w:rFonts w:ascii="Arial" w:cs="Arial" w:eastAsia="Arial" w:hAnsi="Arial"/>
                <w:sz w:val="17"/>
                <w:szCs w:val="17"/>
                <w:color w:val="auto"/>
              </w:rPr>
              <w:t>$</w:t>
            </w:r>
          </w:p>
        </w:tc>
        <w:tc>
          <w:tcPr>
            <w:tcW w:w="70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rPr>
              <w:t>10,606</w:t>
            </w: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2,319</w:t>
            </w: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Related Party Transactions</w:t>
      </w:r>
    </w:p>
    <w:p>
      <w:pPr>
        <w:spacing w:after="0" w:line="196" w:lineRule="exact"/>
        <w:rPr>
          <w:sz w:val="20"/>
          <w:szCs w:val="20"/>
          <w:color w:val="auto"/>
        </w:rPr>
      </w:pPr>
    </w:p>
    <w:p>
      <w:pPr>
        <w:ind w:firstLine="589"/>
        <w:spacing w:after="0" w:line="280" w:lineRule="auto"/>
        <w:rPr>
          <w:sz w:val="20"/>
          <w:szCs w:val="20"/>
          <w:color w:val="auto"/>
        </w:rPr>
      </w:pPr>
      <w:r>
        <w:rPr>
          <w:rFonts w:ascii="Arial" w:cs="Arial" w:eastAsia="Arial" w:hAnsi="Arial"/>
          <w:sz w:val="16"/>
          <w:szCs w:val="16"/>
          <w:color w:val="auto"/>
        </w:rPr>
        <w:t>Frazier is a principal stockholder of the Company and is represented on the Company’s board of directors. The Company has conducted operations within office space controlled by Frazier and Frazier allocated a portion of the costs associated with this office space to the Company. In addition, Frazier paid for various goods and services, such as employee wages, insurance and expense reimbursements and various administrative services associated with the operations of the Company and charged the Company for those expenses. As of December 31, 2020 and 2019, the Company had outstanding accounts payable and accrued expenses due to Frazier in the amount of $35,000 and $0.1 million, respectively, related to these shared operating expenses. For the years ended December 31, 2020 and 2019, the Company incurred $0.2 million and $0.4 million, respectively, of shared operating expenses. In addition to the shared operating expenses, the Company issued convertible promissory notes to Frazier during 2018 and 2019 (see Note 5).</w:t>
      </w:r>
    </w:p>
    <w:p>
      <w:pPr>
        <w:spacing w:after="0" w:line="129" w:lineRule="exact"/>
        <w:rPr>
          <w:sz w:val="20"/>
          <w:szCs w:val="20"/>
          <w:color w:val="auto"/>
        </w:rPr>
      </w:pPr>
    </w:p>
    <w:p>
      <w:pPr>
        <w:ind w:right="100" w:firstLine="589"/>
        <w:spacing w:after="0" w:line="261" w:lineRule="auto"/>
        <w:rPr>
          <w:sz w:val="20"/>
          <w:szCs w:val="20"/>
          <w:color w:val="auto"/>
        </w:rPr>
      </w:pPr>
      <w:r>
        <w:rPr>
          <w:rFonts w:ascii="Arial" w:cs="Arial" w:eastAsia="Arial" w:hAnsi="Arial"/>
          <w:sz w:val="17"/>
          <w:szCs w:val="17"/>
          <w:color w:val="auto"/>
        </w:rPr>
        <w:t>Frazier is a principal stockholder in PCI Pharma Services (“PCI”). In the third quarter of 2019, the Company engaged PCI for clinical manufacturing services. As of December 31, 2020 and 2019, the Company had $0.4 million and $0.3 million, respectively, in outstanding accounts payable and accrued expenses related to these manufacturing services. For the years ended December 31, 2020 and 2019, the Company incurred $2.3 million and $1.1 million, respectively, of expenses related to services performed by PCI.</w:t>
      </w:r>
    </w:p>
    <w:p>
      <w:pPr>
        <w:spacing w:after="0" w:line="139" w:lineRule="exact"/>
        <w:rPr>
          <w:sz w:val="20"/>
          <w:szCs w:val="20"/>
          <w:color w:val="auto"/>
        </w:rPr>
      </w:pPr>
    </w:p>
    <w:p>
      <w:pPr>
        <w:ind w:right="120" w:firstLine="589"/>
        <w:spacing w:after="0" w:line="271" w:lineRule="auto"/>
        <w:rPr>
          <w:sz w:val="20"/>
          <w:szCs w:val="20"/>
          <w:color w:val="auto"/>
        </w:rPr>
      </w:pPr>
      <w:r>
        <w:rPr>
          <w:rFonts w:ascii="Arial" w:cs="Arial" w:eastAsia="Arial" w:hAnsi="Arial"/>
          <w:sz w:val="17"/>
          <w:szCs w:val="17"/>
          <w:color w:val="auto"/>
        </w:rPr>
        <w:t>Mountain Field LLC (“Mountain Field”) is an entity owned by the chairman of the Company’s board of directors. During 2019, the Company charged Mountain Field for certain rent and payroll related expenses. These shared expenses were allocated based on usage of the related facilities and time incurred by personnel. For the year ended December 31, 2019, the Company charged Mountain Field $0.1 million for shared expenses. There were no such expenses incurred for the year ended December 31, 2020.</w:t>
      </w:r>
    </w:p>
    <w:p>
      <w:pPr>
        <w:spacing w:after="0" w:line="145" w:lineRule="exact"/>
        <w:rPr>
          <w:sz w:val="20"/>
          <w:szCs w:val="20"/>
          <w:color w:val="auto"/>
        </w:rPr>
      </w:pPr>
    </w:p>
    <w:p>
      <w:pPr>
        <w:ind w:right="40" w:firstLine="589"/>
        <w:spacing w:after="0" w:line="301" w:lineRule="auto"/>
        <w:rPr>
          <w:sz w:val="20"/>
          <w:szCs w:val="20"/>
          <w:color w:val="auto"/>
        </w:rPr>
      </w:pPr>
      <w:r>
        <w:rPr>
          <w:rFonts w:ascii="Arial" w:cs="Arial" w:eastAsia="Arial" w:hAnsi="Arial"/>
          <w:sz w:val="15"/>
          <w:szCs w:val="15"/>
          <w:color w:val="auto"/>
        </w:rPr>
        <w:t>Takeda became a common stockholder of the Company in connection with the May 2019 license agreement (see Note 4). In conjunction with this license, Takeda provides proprietary supplies for the Company’s ongoing clinical development of vonoprazan in addition to the exclusive license for the commercialization of vonoprazan in the United States, Canada and Europe. As of December 31, 2020 and 2019, the Company had $22,000 and $0.1 million, respectively, in outstanding accounts payable and accrued expenses related to these supply services. For the year ended December 31, 2019, the Company incurred $0.1 million of expenses related to services performed by Takeda. The Company did not have any such expenses incurred for the year ended December 31, 2020.</w:t>
      </w:r>
    </w:p>
    <w:p>
      <w:pPr>
        <w:spacing w:after="0" w:line="113" w:lineRule="exact"/>
        <w:rPr>
          <w:sz w:val="20"/>
          <w:szCs w:val="20"/>
          <w:color w:val="auto"/>
        </w:rPr>
      </w:pPr>
    </w:p>
    <w:p>
      <w:pPr>
        <w:jc w:val="both"/>
        <w:ind w:right="380" w:firstLine="589"/>
        <w:spacing w:after="0" w:line="265" w:lineRule="auto"/>
        <w:rPr>
          <w:sz w:val="20"/>
          <w:szCs w:val="20"/>
          <w:color w:val="auto"/>
        </w:rPr>
      </w:pPr>
      <w:r>
        <w:rPr>
          <w:rFonts w:ascii="Arial" w:cs="Arial" w:eastAsia="Arial" w:hAnsi="Arial"/>
          <w:sz w:val="17"/>
          <w:szCs w:val="17"/>
          <w:color w:val="auto"/>
        </w:rPr>
        <w:t>On May 5, 2020, the Company entered into a Commercial Supply Agreement (the “Commercial Supply Agreement”) with Takeda, pursuant to which Takeda will supply commercial quantities of vonoprazan bulk drug product. Pursuant to the Commercial Supply Agreement, Takeda has agreed to supply the Company with and the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564" w:right="359" w:bottom="1440" w:gutter="0" w:footer="0" w:header="0"/>
        </w:sectPr>
      </w:pPr>
    </w:p>
    <w:bookmarkStart w:id="138" w:name="page139"/>
    <w:bookmarkEnd w:id="138"/>
    <w:p>
      <w:pPr>
        <w:ind w:right="20"/>
        <w:spacing w:after="0" w:line="256" w:lineRule="auto"/>
        <w:rPr>
          <w:sz w:val="20"/>
          <w:szCs w:val="20"/>
          <w:color w:val="auto"/>
        </w:rPr>
      </w:pPr>
      <w:r>
        <w:rPr>
          <w:rFonts w:ascii="Arial" w:cs="Arial" w:eastAsia="Arial" w:hAnsi="Arial"/>
          <w:sz w:val="17"/>
          <w:szCs w:val="17"/>
          <w:color w:val="auto"/>
        </w:rPr>
        <w:t>Company has agreed to purchase from Takeda certain quantities of vonoprazan bulk drug product according to approved specifications at a fixed price per batch of bulk drug product in order to commercialize vonoprazan in accordance with the Takeda License. Unless terminated earlier, the term of the Commercial Supply Agreement extends for a period of two years from the date the Company places an order for bulk drug product for the first commercial launch of vonoprazan in any jurisdiction in the licensed territory, provided that this two-year period will expire no later than December 31, 2023. The Commercial Supply Agreement will terminate immediately upon the termination of the Takeda License in accordance with its terms. As of December 31, 2020, the Company had $0.2 million in outstanding accounts payable and accrued expenses related to these bulk drug product costs. For the year ended December 31, 2020, the Company incurred $0.3 million of expenses related to the Commercial Supply Agreement. The Company has a remaining minimum purchase obligation of approximately $2.2 million related to this agreement.</w:t>
      </w:r>
    </w:p>
    <w:p>
      <w:pPr>
        <w:spacing w:after="0" w:line="156" w:lineRule="exact"/>
        <w:rPr>
          <w:sz w:val="20"/>
          <w:szCs w:val="20"/>
          <w:color w:val="auto"/>
        </w:rPr>
      </w:pPr>
    </w:p>
    <w:p>
      <w:pPr>
        <w:ind w:right="80" w:firstLine="589"/>
        <w:spacing w:after="0" w:line="301" w:lineRule="auto"/>
        <w:rPr>
          <w:sz w:val="20"/>
          <w:szCs w:val="20"/>
          <w:color w:val="auto"/>
        </w:rPr>
      </w:pPr>
      <w:r>
        <w:rPr>
          <w:rFonts w:ascii="Arial" w:cs="Arial" w:eastAsia="Arial" w:hAnsi="Arial"/>
          <w:sz w:val="15"/>
          <w:szCs w:val="15"/>
          <w:color w:val="auto"/>
        </w:rPr>
        <w:t>In connection with the Takeda License, the Company entered into a temporary services agreement (the “Temporary Services Agreement”) with Takeda on November 24, 2020. Pursuant to the Temporary Services Agreement, Takeda agreed to provide or procure the provision of services related to the ongoing clinical development of vonoprazan. The Temporary Services Agreement will terminate immediately upon termination of the Takeda License in accordance with its terms. As of December 31, 2020, the Company had $0.2 million in outstanding accounts payable and accrued expenses related to these temporary services. For the year ended December 31, 2020 the company incurred $0.2 million of expenses related to the temporary services performed by Takeda.</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w:t>
      </w:r>
    </w:p>
    <w:p>
      <w:pPr>
        <w:spacing w:after="0" w:line="190" w:lineRule="exact"/>
        <w:rPr>
          <w:sz w:val="20"/>
          <w:szCs w:val="20"/>
          <w:color w:val="auto"/>
        </w:rPr>
      </w:pPr>
    </w:p>
    <w:p>
      <w:pPr>
        <w:ind w:firstLine="589"/>
        <w:spacing w:after="0" w:line="275" w:lineRule="auto"/>
        <w:rPr>
          <w:sz w:val="20"/>
          <w:szCs w:val="20"/>
          <w:color w:val="auto"/>
        </w:rPr>
      </w:pPr>
      <w:r>
        <w:rPr>
          <w:rFonts w:ascii="Arial" w:cs="Arial" w:eastAsia="Arial" w:hAnsi="Arial"/>
          <w:sz w:val="16"/>
          <w:szCs w:val="16"/>
          <w:color w:val="auto"/>
        </w:rPr>
        <w:t>On May 7, 2019, the Company entered into a license agreement with Takeda pursuant to which it was granted an exclusive license to commercialize vonoprazan fumarate in the United States, Canada and Europe (the “Takeda License”). The Company also has the right to sublicense its rights under the agreement, subject to certain conditions. The agreement will remain in effect, on a country-by-country and product-by-product basis, until the later of (i) the expiration of the last to expire valid patent claim covering vonoprazan fumarate alone or in combination with at least one other therapeutically active ingredient, (ii) the expiration of the applicable regulatory exclusivity and (iii) 15 years from the date of first commercial sale, unless earlier terminated. The Company may terminate the Takeda License upon six months’ written notice. The Company and Takeda may terminate the Takeda License in the case of the other party’s insolvency or material uncured breach. Takeda may terminate the Takeda License if the Company challenges, or assists in challenging, licensed patents.</w:t>
      </w:r>
    </w:p>
    <w:p>
      <w:pPr>
        <w:spacing w:after="0" w:line="130" w:lineRule="exact"/>
        <w:rPr>
          <w:sz w:val="20"/>
          <w:szCs w:val="20"/>
          <w:color w:val="auto"/>
        </w:rPr>
      </w:pPr>
    </w:p>
    <w:p>
      <w:pPr>
        <w:ind w:firstLine="589"/>
        <w:spacing w:after="0" w:line="275" w:lineRule="auto"/>
        <w:rPr>
          <w:sz w:val="20"/>
          <w:szCs w:val="20"/>
          <w:color w:val="auto"/>
        </w:rPr>
      </w:pPr>
      <w:r>
        <w:rPr>
          <w:rFonts w:ascii="Arial" w:cs="Arial" w:eastAsia="Arial" w:hAnsi="Arial"/>
          <w:sz w:val="16"/>
          <w:szCs w:val="16"/>
          <w:color w:val="auto"/>
        </w:rPr>
        <w:t>In consideration of the Takeda License, the Company (i) paid Takeda $25.0 million in cash, (ii) issued Takeda 1,084,000 shares of its common stock at a fair value of $5.9 million, (iii) issued the Takeda Warrant to purchase 7,588,000 shares of its common stock at an exercise price of $0.00004613 per share at an initial fair value of $47.9 million, and (iv) issued a right to receive an additional common stock warrant (the “Takeda Warrant Right”) should Takeda’s fully-diluted ownership of the Company represent less than a certain specified percentage of the fully-diluted capitalization, including shares issuable upon conversion of then outstanding convertible promissory notes, calculated immediately before the closing of the Company’s IPO, with a nominal initial fair value due to the low probability of issuance. The Takeda Warrant Right expired without effect since no fair value had been allocated to it upon completion of the IPO, and no additional warrant was issued. In addition, the Company is obligated to pay Takeda up to an aggregate of $250.0 million in sales milestones upon the achievement of specified levels of product sales, and a low double-digit royalty rate on aggregate net sales of licensed products, subject to certain adjustments. The Company incurred $0.1 million of transaction costs in connection with the Takeda License. The Takeda Warrant has an exercise price of $0.00004613 per share, expires on May 7, 2029 and became exercisable upon the consummation of the IPO. Following the October 11, 2019 increase in the Company’s authorized shares of common stock to 50,000,000, the Company recorded a non-cash charge related to the final fair value adjustment of the Takeda Warrants and reclassified the full balance of $144.2 million from warrant liabilities to additional paid-in capital.</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Commitments</w:t>
      </w:r>
    </w:p>
    <w:p>
      <w:pPr>
        <w:spacing w:after="0" w:line="190" w:lineRule="exact"/>
        <w:rPr>
          <w:sz w:val="20"/>
          <w:szCs w:val="20"/>
          <w:color w:val="auto"/>
        </w:rPr>
      </w:pPr>
    </w:p>
    <w:p>
      <w:pPr>
        <w:ind w:right="260" w:firstLine="385"/>
        <w:spacing w:after="0" w:line="316" w:lineRule="auto"/>
        <w:rPr>
          <w:sz w:val="20"/>
          <w:szCs w:val="20"/>
          <w:color w:val="auto"/>
        </w:rPr>
      </w:pPr>
      <w:r>
        <w:rPr>
          <w:rFonts w:ascii="Arial" w:cs="Arial" w:eastAsia="Arial" w:hAnsi="Arial"/>
          <w:sz w:val="15"/>
          <w:szCs w:val="15"/>
          <w:color w:val="auto"/>
        </w:rPr>
        <w:t>In December 2020, the Company entered into a supply agreement with Sandoz pursuant to which Sandoz will supply commercial quantities of amoxicillin capsules and clarithromycin tablets, package these antibiotics with vonoprazan, and provide in finished convenience packs. The supply agreement commits the Company to a minimum purchase obligation of approximately $3.8 million in the first 24-month period following the launch of the final</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139" w:name="page140"/>
    <w:bookmarkEnd w:id="139"/>
    <w:p>
      <w:pPr>
        <w:spacing w:after="0"/>
        <w:rPr>
          <w:sz w:val="20"/>
          <w:szCs w:val="20"/>
          <w:color w:val="auto"/>
        </w:rPr>
      </w:pPr>
      <w:r>
        <w:rPr>
          <w:rFonts w:ascii="Arial" w:cs="Arial" w:eastAsia="Arial" w:hAnsi="Arial"/>
          <w:sz w:val="17"/>
          <w:szCs w:val="17"/>
          <w:color w:val="auto"/>
        </w:rPr>
        <w:t>product. The Company has not incurred any expenses under the agreement during the year ended December 31, 2020.</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177" w:lineRule="exact"/>
        <w:rPr>
          <w:sz w:val="20"/>
          <w:szCs w:val="20"/>
          <w:color w:val="auto"/>
        </w:rPr>
      </w:pPr>
    </w:p>
    <w:p>
      <w:pPr>
        <w:ind w:right="360" w:firstLine="589"/>
        <w:spacing w:after="0" w:line="278" w:lineRule="auto"/>
        <w:rPr>
          <w:sz w:val="20"/>
          <w:szCs w:val="20"/>
          <w:color w:val="auto"/>
        </w:rPr>
      </w:pPr>
      <w:r>
        <w:rPr>
          <w:rFonts w:ascii="Arial" w:cs="Arial" w:eastAsia="Arial" w:hAnsi="Arial"/>
          <w:sz w:val="17"/>
          <w:szCs w:val="17"/>
          <w:color w:val="auto"/>
        </w:rPr>
        <w:t>In the event the Company becomes subject to claims or suits arising in the ordinary course of business, the Company would accrue a liability for such matters when it is probable that future expenditures will be made and such expenditures can be reasonably estimated.</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Convertible Promissory Notes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Frazier Convertible Note Financing</w:t>
      </w:r>
    </w:p>
    <w:p>
      <w:pPr>
        <w:spacing w:after="0" w:line="177" w:lineRule="exact"/>
        <w:rPr>
          <w:sz w:val="20"/>
          <w:szCs w:val="20"/>
          <w:color w:val="auto"/>
        </w:rPr>
      </w:pPr>
    </w:p>
    <w:p>
      <w:pPr>
        <w:ind w:right="80" w:firstLine="589"/>
        <w:spacing w:after="0" w:line="299" w:lineRule="auto"/>
        <w:rPr>
          <w:sz w:val="20"/>
          <w:szCs w:val="20"/>
          <w:color w:val="auto"/>
        </w:rPr>
      </w:pPr>
      <w:r>
        <w:rPr>
          <w:rFonts w:ascii="Arial" w:cs="Arial" w:eastAsia="Arial" w:hAnsi="Arial"/>
          <w:sz w:val="15"/>
          <w:szCs w:val="15"/>
          <w:color w:val="auto"/>
        </w:rPr>
        <w:t>From January 2018 to April 2019, the Company issued convertible promissory notes to Frazier (the “Frazier Notes”) for an aggregate of $2.4 million and bearing interest at per annum rates ranging from 1.68% to 2.55%. Of the Frazier Notes, $1.9 million were issued in 2018 and $0.5 million were issued in April 2019. Due to certain embedded features within the Frazier Notes, the Company elected to account for these notes and all their embedded features under the fair value option. The Company recorded changes in the fair value of the Frazier Notes in the statements of operations until May 2019, when the Frazier Notes and related accrued interest were exchanged, at their then fair value of $2.4 million, for the convertible promissory notes issued by the Company in May 2019 (the “May 2019 Notes”). For the year ended December 31, 2019, the Company recognized $50,000 of other income in the statements of operations related to decreases in the fair value of the Frazier Notes. For the year ended December 31, 2019, the Company recognized $15,000 of interest expense in connection with the Frazier Notes. The Company did not incur any such expenses during the year ended December 31, 2020 as the Frazier Notes were exchanged in May 2019.</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May 2019 Convertible Note Financing</w:t>
      </w:r>
    </w:p>
    <w:p>
      <w:pPr>
        <w:spacing w:after="0" w:line="190" w:lineRule="exact"/>
        <w:rPr>
          <w:sz w:val="20"/>
          <w:szCs w:val="20"/>
          <w:color w:val="auto"/>
        </w:rPr>
      </w:pPr>
    </w:p>
    <w:p>
      <w:pPr>
        <w:ind w:firstLine="589"/>
        <w:spacing w:after="0" w:line="282" w:lineRule="auto"/>
        <w:rPr>
          <w:sz w:val="20"/>
          <w:szCs w:val="20"/>
          <w:color w:val="auto"/>
        </w:rPr>
      </w:pPr>
      <w:r>
        <w:rPr>
          <w:rFonts w:ascii="Arial" w:cs="Arial" w:eastAsia="Arial" w:hAnsi="Arial"/>
          <w:sz w:val="16"/>
          <w:szCs w:val="16"/>
          <w:color w:val="auto"/>
        </w:rPr>
        <w:t>In May 2019, the Company entered into a note purchase agreement under which it issued the unsecured May 2019 Notes for an aggregate of $90.3 million, resulting in gross proceeds to the Company of $87.8 million in cash and $2.4 million related to the exchange of the Frazier Notes and related accrued interest for the May 2019 Notes. Including the conversion of the Frazier Notes, Frazier purchased $20.0 million of the May 2019 Notes. The May 2019 Notes bore interest at a rate of 6% per annum and were subordinated to borrowings under the Company’s loan and security agreement (see Note 7).</w:t>
      </w:r>
    </w:p>
    <w:p>
      <w:pPr>
        <w:spacing w:after="0" w:line="125" w:lineRule="exact"/>
        <w:rPr>
          <w:sz w:val="20"/>
          <w:szCs w:val="20"/>
          <w:color w:val="auto"/>
        </w:rPr>
      </w:pPr>
    </w:p>
    <w:p>
      <w:pPr>
        <w:ind w:right="200" w:firstLine="589"/>
        <w:spacing w:after="0" w:line="281" w:lineRule="auto"/>
        <w:rPr>
          <w:sz w:val="20"/>
          <w:szCs w:val="20"/>
          <w:color w:val="auto"/>
        </w:rPr>
      </w:pPr>
      <w:r>
        <w:rPr>
          <w:rFonts w:ascii="Arial" w:cs="Arial" w:eastAsia="Arial" w:hAnsi="Arial"/>
          <w:sz w:val="17"/>
          <w:szCs w:val="17"/>
          <w:color w:val="auto"/>
        </w:rPr>
        <w:t>Due to certain embedded features within the May 2019 Notes, the Company elected to account for these notes and all their embedded features under the fair value option. The outstanding principal and accrued interest of the May 2019 Notes automatically converted into 6,107,918 shares of common stock immediately prior to the completion of the IPO on October 29, 2019.</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Lease Commitments</w:t>
      </w:r>
    </w:p>
    <w:p>
      <w:pPr>
        <w:spacing w:after="0" w:line="196" w:lineRule="exact"/>
        <w:rPr>
          <w:sz w:val="20"/>
          <w:szCs w:val="20"/>
          <w:color w:val="auto"/>
        </w:rPr>
      </w:pPr>
    </w:p>
    <w:p>
      <w:pPr>
        <w:ind w:firstLine="589"/>
        <w:spacing w:after="0" w:line="282" w:lineRule="auto"/>
        <w:rPr>
          <w:sz w:val="20"/>
          <w:szCs w:val="20"/>
          <w:color w:val="auto"/>
        </w:rPr>
      </w:pPr>
      <w:r>
        <w:rPr>
          <w:rFonts w:ascii="Arial" w:cs="Arial" w:eastAsia="Arial" w:hAnsi="Arial"/>
          <w:sz w:val="17"/>
          <w:szCs w:val="17"/>
          <w:color w:val="auto"/>
        </w:rPr>
        <w:t>As of December 31, 2020, the Company had operating leases for office space in both Buffalo Grove, Illinois and Florham Park, New Jersey, with weighted average remaining lease terms of 4.3 years and 4.7 years, respectively. Both operating leases contain an option to extend the term for one additional five-year period, which was not considered in the determination of the right-of-use asset or lease liability as the Company did not consider it reasonably certain that it would exercise such options.</w:t>
      </w:r>
    </w:p>
    <w:p>
      <w:pPr>
        <w:spacing w:after="0" w:line="12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total rent expense for the years ended December 31, 2020 and 2019 was approximately $0.5 million and $51,000, respectively.</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525" w:right="359" w:bottom="1440" w:gutter="0" w:footer="0" w:header="0"/>
        </w:sectPr>
      </w:pPr>
    </w:p>
    <w:bookmarkStart w:id="140" w:name="page141"/>
    <w:bookmarkEnd w:id="140"/>
    <w:p>
      <w:pPr>
        <w:ind w:left="600"/>
        <w:spacing w:after="0"/>
        <w:rPr>
          <w:sz w:val="20"/>
          <w:szCs w:val="20"/>
          <w:color w:val="auto"/>
        </w:rPr>
      </w:pPr>
      <w:r>
        <w:rPr>
          <w:rFonts w:ascii="Arial" w:cs="Arial" w:eastAsia="Arial" w:hAnsi="Arial"/>
          <w:sz w:val="17"/>
          <w:szCs w:val="17"/>
          <w:color w:val="auto"/>
        </w:rPr>
        <w:t>The following table summarizes supplemental balance sheet information related to the operating leases as of December 31, 2020:</w:t>
      </w:r>
    </w:p>
    <w:p>
      <w:pPr>
        <w:spacing w:after="0" w:line="308" w:lineRule="exact"/>
        <w:rPr>
          <w:sz w:val="20"/>
          <w:szCs w:val="20"/>
          <w:color w:val="auto"/>
        </w:rPr>
      </w:pPr>
    </w:p>
    <w:tbl>
      <w:tblPr>
        <w:tblLayout w:type="fixed"/>
        <w:tblInd w:w="226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89"/>
              </w:rPr>
              <w:t>As of 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8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39"/>
              <w:spacing w:after="0" w:line="147"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tcBorders>
              <w:bottom w:val="single" w:sz="8" w:color="CFF0FC"/>
            </w:tcBorders>
          </w:tcPr>
          <w:p>
            <w:pPr>
              <w:ind w:left="200"/>
              <w:spacing w:after="0"/>
              <w:rPr>
                <w:sz w:val="20"/>
                <w:szCs w:val="20"/>
                <w:color w:val="auto"/>
              </w:rPr>
            </w:pPr>
            <w:r>
              <w:rPr>
                <w:rFonts w:ascii="Arial" w:cs="Arial" w:eastAsia="Arial" w:hAnsi="Arial"/>
                <w:sz w:val="17"/>
                <w:szCs w:val="17"/>
                <w:color w:val="auto"/>
              </w:rPr>
              <w:t>Operating lease right-of-use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2,373</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7"/>
                <w:szCs w:val="17"/>
                <w:color w:val="auto"/>
              </w:rPr>
              <w:t>Total right-of-use assets</w:t>
            </w: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vMerge w:val="continue"/>
          </w:tcPr>
          <w:p>
            <w:pPr>
              <w:spacing w:after="0"/>
              <w:rPr>
                <w:sz w:val="18"/>
                <w:szCs w:val="18"/>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Liabilities:</w:t>
            </w:r>
          </w:p>
        </w:tc>
        <w:tc>
          <w:tcPr>
            <w:tcW w:w="16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7"/>
                <w:szCs w:val="17"/>
                <w:color w:val="auto"/>
              </w:rPr>
              <w:t>Operating lease liabilities, current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474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0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Operating lease liabilities, non-current</w:t>
            </w: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1,557</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7"/>
                <w:szCs w:val="17"/>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December 31, 2020, the future minimum annual lease payments under the operating leases were as follows (in thousands):</w:t>
      </w:r>
    </w:p>
    <w:p>
      <w:pPr>
        <w:spacing w:after="0" w:line="228" w:lineRule="exact"/>
        <w:rPr>
          <w:sz w:val="20"/>
          <w:szCs w:val="20"/>
          <w:color w:val="auto"/>
        </w:rPr>
      </w:pPr>
    </w:p>
    <w:tbl>
      <w:tblPr>
        <w:tblLayout w:type="fixed"/>
        <w:tblInd w:w="2260" w:type="dxa"/>
        <w:tblCellMar>
          <w:top w:w="0" w:type="dxa"/>
          <w:left w:w="0" w:type="dxa"/>
          <w:bottom w:w="0" w:type="dxa"/>
          <w:right w:w="0" w:type="dxa"/>
        </w:tblCellMar>
      </w:tblPr>
      <w:tr>
        <w:trPr>
          <w:trHeight w:val="218"/>
        </w:trPr>
        <w:tc>
          <w:tcPr>
            <w:tcW w:w="42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2021</w:t>
            </w:r>
          </w:p>
        </w:tc>
        <w:tc>
          <w:tcPr>
            <w:tcW w:w="1420" w:type="dxa"/>
            <w:vAlign w:val="bottom"/>
            <w:gridSpan w:val="2"/>
            <w:shd w:val="clear" w:color="auto" w:fill="CFF0FC"/>
          </w:tcPr>
          <w:p>
            <w:pPr>
              <w:jc w:val="right"/>
              <w:ind w:right="5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FF0FC"/>
          </w:tcPr>
          <w:p>
            <w:pPr>
              <w:jc w:val="right"/>
              <w:ind w:right="94"/>
              <w:spacing w:after="0"/>
              <w:rPr>
                <w:sz w:val="20"/>
                <w:szCs w:val="20"/>
                <w:color w:val="auto"/>
              </w:rPr>
            </w:pPr>
            <w:r>
              <w:rPr>
                <w:rFonts w:ascii="Arial" w:cs="Arial" w:eastAsia="Arial" w:hAnsi="Arial"/>
                <w:sz w:val="17"/>
                <w:szCs w:val="17"/>
                <w:color w:val="auto"/>
              </w:rPr>
              <w:t>490</w:t>
            </w:r>
          </w:p>
        </w:tc>
      </w:tr>
      <w:tr>
        <w:trPr>
          <w:trHeight w:val="218"/>
        </w:trPr>
        <w:tc>
          <w:tcPr>
            <w:tcW w:w="4220" w:type="dxa"/>
            <w:vAlign w:val="bottom"/>
          </w:tcPr>
          <w:p>
            <w:pPr>
              <w:ind w:left="220"/>
              <w:spacing w:after="0"/>
              <w:rPr>
                <w:sz w:val="20"/>
                <w:szCs w:val="20"/>
                <w:color w:val="auto"/>
              </w:rPr>
            </w:pPr>
            <w:r>
              <w:rPr>
                <w:rFonts w:ascii="Arial" w:cs="Arial" w:eastAsia="Arial" w:hAnsi="Arial"/>
                <w:sz w:val="17"/>
                <w:szCs w:val="17"/>
                <w:color w:val="auto"/>
              </w:rPr>
              <w:t>2022</w:t>
            </w: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503</w:t>
            </w:r>
          </w:p>
        </w:tc>
      </w:tr>
      <w:tr>
        <w:trPr>
          <w:trHeight w:val="219"/>
        </w:trPr>
        <w:tc>
          <w:tcPr>
            <w:tcW w:w="42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2023</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
              <w:spacing w:after="0"/>
              <w:rPr>
                <w:sz w:val="20"/>
                <w:szCs w:val="20"/>
                <w:color w:val="auto"/>
              </w:rPr>
            </w:pPr>
            <w:r>
              <w:rPr>
                <w:rFonts w:ascii="Arial" w:cs="Arial" w:eastAsia="Arial" w:hAnsi="Arial"/>
                <w:sz w:val="17"/>
                <w:szCs w:val="17"/>
                <w:color w:val="auto"/>
              </w:rPr>
              <w:t>516</w:t>
            </w:r>
          </w:p>
        </w:tc>
      </w:tr>
      <w:tr>
        <w:trPr>
          <w:trHeight w:val="218"/>
        </w:trPr>
        <w:tc>
          <w:tcPr>
            <w:tcW w:w="4220" w:type="dxa"/>
            <w:vAlign w:val="bottom"/>
          </w:tcPr>
          <w:p>
            <w:pPr>
              <w:ind w:left="220"/>
              <w:spacing w:after="0"/>
              <w:rPr>
                <w:sz w:val="20"/>
                <w:szCs w:val="20"/>
                <w:color w:val="auto"/>
              </w:rPr>
            </w:pPr>
            <w:r>
              <w:rPr>
                <w:rFonts w:ascii="Arial" w:cs="Arial" w:eastAsia="Arial" w:hAnsi="Arial"/>
                <w:sz w:val="17"/>
                <w:szCs w:val="17"/>
                <w:color w:val="auto"/>
              </w:rPr>
              <w:t>2024</w:t>
            </w: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529</w:t>
            </w:r>
          </w:p>
        </w:tc>
      </w:tr>
      <w:tr>
        <w:trPr>
          <w:trHeight w:val="219"/>
        </w:trPr>
        <w:tc>
          <w:tcPr>
            <w:tcW w:w="4220" w:type="dxa"/>
            <w:vAlign w:val="bottom"/>
            <w:shd w:val="clear" w:color="auto" w:fill="CFF0FC"/>
          </w:tcPr>
          <w:p>
            <w:pPr>
              <w:ind w:left="220"/>
              <w:spacing w:after="0"/>
              <w:rPr>
                <w:sz w:val="20"/>
                <w:szCs w:val="20"/>
                <w:color w:val="auto"/>
              </w:rPr>
            </w:pPr>
            <w:r>
              <w:rPr>
                <w:rFonts w:ascii="Arial" w:cs="Arial" w:eastAsia="Arial" w:hAnsi="Arial"/>
                <w:sz w:val="17"/>
                <w:szCs w:val="17"/>
                <w:color w:val="auto"/>
              </w:rPr>
              <w:t>2025</w:t>
            </w:r>
          </w:p>
        </w:tc>
        <w:tc>
          <w:tcPr>
            <w:tcW w:w="8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
              <w:spacing w:after="0"/>
              <w:rPr>
                <w:sz w:val="20"/>
                <w:szCs w:val="20"/>
                <w:color w:val="auto"/>
              </w:rPr>
            </w:pPr>
            <w:r>
              <w:rPr>
                <w:rFonts w:ascii="Arial" w:cs="Arial" w:eastAsia="Arial" w:hAnsi="Arial"/>
                <w:sz w:val="17"/>
                <w:szCs w:val="17"/>
                <w:color w:val="auto"/>
              </w:rPr>
              <w:t>342</w:t>
            </w:r>
          </w:p>
        </w:tc>
      </w:tr>
      <w:tr>
        <w:trPr>
          <w:trHeight w:val="211"/>
        </w:trPr>
        <w:tc>
          <w:tcPr>
            <w:tcW w:w="4220" w:type="dxa"/>
            <w:vAlign w:val="bottom"/>
          </w:tcPr>
          <w:p>
            <w:pPr>
              <w:spacing w:after="0"/>
              <w:rPr>
                <w:sz w:val="20"/>
                <w:szCs w:val="20"/>
                <w:color w:val="auto"/>
              </w:rPr>
            </w:pPr>
            <w:r>
              <w:rPr>
                <w:rFonts w:ascii="Arial" w:cs="Arial" w:eastAsia="Arial" w:hAnsi="Arial"/>
                <w:sz w:val="17"/>
                <w:szCs w:val="17"/>
                <w:color w:val="auto"/>
              </w:rPr>
              <w:t>Total minimum lease payments</w:t>
            </w: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2,380</w:t>
            </w:r>
          </w:p>
        </w:tc>
      </w:tr>
      <w:tr>
        <w:trPr>
          <w:trHeight w:val="219"/>
        </w:trPr>
        <w:tc>
          <w:tcPr>
            <w:tcW w:w="4220" w:type="dxa"/>
            <w:vAlign w:val="bottom"/>
            <w:shd w:val="clear" w:color="auto" w:fill="CFF0FC"/>
          </w:tcPr>
          <w:p>
            <w:pPr>
              <w:spacing w:after="0"/>
              <w:rPr>
                <w:sz w:val="20"/>
                <w:szCs w:val="20"/>
                <w:color w:val="auto"/>
              </w:rPr>
            </w:pPr>
            <w:r>
              <w:rPr>
                <w:rFonts w:ascii="Arial" w:cs="Arial" w:eastAsia="Arial" w:hAnsi="Arial"/>
                <w:sz w:val="17"/>
                <w:szCs w:val="17"/>
                <w:color w:val="auto"/>
              </w:rPr>
              <w:t>Less: amount representing interest</w:t>
            </w:r>
          </w:p>
        </w:tc>
        <w:tc>
          <w:tcPr>
            <w:tcW w:w="8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(349)</w:t>
            </w:r>
          </w:p>
        </w:tc>
      </w:tr>
      <w:tr>
        <w:trPr>
          <w:trHeight w:val="211"/>
        </w:trPr>
        <w:tc>
          <w:tcPr>
            <w:tcW w:w="4220" w:type="dxa"/>
            <w:vAlign w:val="bottom"/>
          </w:tcPr>
          <w:p>
            <w:pPr>
              <w:spacing w:after="0"/>
              <w:rPr>
                <w:sz w:val="20"/>
                <w:szCs w:val="20"/>
                <w:color w:val="auto"/>
              </w:rPr>
            </w:pPr>
            <w:r>
              <w:rPr>
                <w:rFonts w:ascii="Arial" w:cs="Arial" w:eastAsia="Arial" w:hAnsi="Arial"/>
                <w:sz w:val="17"/>
                <w:szCs w:val="17"/>
                <w:color w:val="auto"/>
              </w:rPr>
              <w:t>Present value of operating lease liabilities</w:t>
            </w: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2,031</w:t>
            </w:r>
          </w:p>
        </w:tc>
      </w:tr>
      <w:tr>
        <w:trPr>
          <w:trHeight w:val="219"/>
        </w:trPr>
        <w:tc>
          <w:tcPr>
            <w:tcW w:w="4220" w:type="dxa"/>
            <w:vAlign w:val="bottom"/>
            <w:shd w:val="clear" w:color="auto" w:fill="CFF0FC"/>
          </w:tcPr>
          <w:p>
            <w:pPr>
              <w:spacing w:after="0"/>
              <w:rPr>
                <w:sz w:val="20"/>
                <w:szCs w:val="20"/>
                <w:color w:val="auto"/>
              </w:rPr>
            </w:pPr>
            <w:r>
              <w:rPr>
                <w:rFonts w:ascii="Arial" w:cs="Arial" w:eastAsia="Arial" w:hAnsi="Arial"/>
                <w:sz w:val="17"/>
                <w:szCs w:val="17"/>
                <w:color w:val="auto"/>
              </w:rPr>
              <w:t>Less: operating lease liabilities, current</w:t>
            </w:r>
          </w:p>
        </w:tc>
        <w:tc>
          <w:tcPr>
            <w:tcW w:w="8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7"/>
                <w:szCs w:val="17"/>
                <w:color w:val="auto"/>
              </w:rPr>
              <w:t>(474)</w:t>
            </w:r>
          </w:p>
        </w:tc>
      </w:tr>
      <w:tr>
        <w:trPr>
          <w:trHeight w:val="251"/>
        </w:trPr>
        <w:tc>
          <w:tcPr>
            <w:tcW w:w="422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142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1,557</w:t>
            </w:r>
          </w:p>
        </w:tc>
      </w:tr>
      <w:tr>
        <w:trPr>
          <w:trHeight w:val="198"/>
        </w:trPr>
        <w:tc>
          <w:tcPr>
            <w:tcW w:w="4220" w:type="dxa"/>
            <w:vAlign w:val="bottom"/>
            <w:tcBorders>
              <w:top w:val="single" w:sz="8" w:color="CFF0FC"/>
            </w:tcBorders>
            <w:shd w:val="clear" w:color="auto" w:fill="CFF0FC"/>
          </w:tcPr>
          <w:p>
            <w:pPr>
              <w:spacing w:after="0"/>
              <w:rPr>
                <w:sz w:val="17"/>
                <w:szCs w:val="17"/>
                <w:color w:val="auto"/>
              </w:rPr>
            </w:pPr>
          </w:p>
        </w:tc>
        <w:tc>
          <w:tcPr>
            <w:tcW w:w="8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r>
      <w:tr>
        <w:trPr>
          <w:trHeight w:val="218"/>
        </w:trPr>
        <w:tc>
          <w:tcPr>
            <w:tcW w:w="4220" w:type="dxa"/>
            <w:vAlign w:val="bottom"/>
          </w:tcPr>
          <w:p>
            <w:pPr>
              <w:spacing w:after="0"/>
              <w:rPr>
                <w:sz w:val="20"/>
                <w:szCs w:val="20"/>
                <w:color w:val="auto"/>
              </w:rPr>
            </w:pPr>
            <w:r>
              <w:rPr>
                <w:rFonts w:ascii="Arial" w:cs="Arial" w:eastAsia="Arial" w:hAnsi="Arial"/>
                <w:sz w:val="17"/>
                <w:szCs w:val="17"/>
                <w:color w:val="auto"/>
              </w:rPr>
              <w:t>Weighted-average remaining lease term (in years)</w:t>
            </w: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tcPr>
          <w:p>
            <w:pPr>
              <w:jc w:val="right"/>
              <w:ind w:right="94"/>
              <w:spacing w:after="0"/>
              <w:rPr>
                <w:sz w:val="20"/>
                <w:szCs w:val="20"/>
                <w:color w:val="auto"/>
              </w:rPr>
            </w:pPr>
            <w:r>
              <w:rPr>
                <w:rFonts w:ascii="Arial" w:cs="Arial" w:eastAsia="Arial" w:hAnsi="Arial"/>
                <w:sz w:val="17"/>
                <w:szCs w:val="17"/>
                <w:color w:val="auto"/>
              </w:rPr>
              <w:t>4.56</w:t>
            </w:r>
          </w:p>
        </w:tc>
      </w:tr>
      <w:tr>
        <w:trPr>
          <w:trHeight w:val="219"/>
        </w:trPr>
        <w:tc>
          <w:tcPr>
            <w:tcW w:w="4220" w:type="dxa"/>
            <w:vAlign w:val="bottom"/>
            <w:shd w:val="clear" w:color="auto" w:fill="CFF0FC"/>
          </w:tcPr>
          <w:p>
            <w:pPr>
              <w:spacing w:after="0"/>
              <w:rPr>
                <w:sz w:val="20"/>
                <w:szCs w:val="20"/>
                <w:color w:val="auto"/>
              </w:rPr>
            </w:pPr>
            <w:r>
              <w:rPr>
                <w:rFonts w:ascii="Arial" w:cs="Arial" w:eastAsia="Arial" w:hAnsi="Arial"/>
                <w:sz w:val="17"/>
                <w:szCs w:val="17"/>
                <w:color w:val="auto"/>
              </w:rPr>
              <w:t>Weighted-average incremental borrowing rate</w:t>
            </w:r>
          </w:p>
        </w:tc>
        <w:tc>
          <w:tcPr>
            <w:tcW w:w="8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7.25%</w:t>
            </w:r>
          </w:p>
        </w:tc>
      </w:tr>
    </w:tbl>
    <w:p>
      <w:pPr>
        <w:spacing w:after="0" w:line="193" w:lineRule="exact"/>
        <w:rPr>
          <w:sz w:val="20"/>
          <w:szCs w:val="20"/>
          <w:color w:val="auto"/>
        </w:rPr>
      </w:pPr>
    </w:p>
    <w:p>
      <w:pPr>
        <w:ind w:right="300" w:firstLine="589"/>
        <w:spacing w:after="0" w:line="278" w:lineRule="auto"/>
        <w:rPr>
          <w:sz w:val="20"/>
          <w:szCs w:val="20"/>
          <w:color w:val="auto"/>
        </w:rPr>
      </w:pPr>
      <w:r>
        <w:rPr>
          <w:rFonts w:ascii="Arial" w:cs="Arial" w:eastAsia="Arial" w:hAnsi="Arial"/>
          <w:sz w:val="17"/>
          <w:szCs w:val="17"/>
          <w:color w:val="auto"/>
        </w:rPr>
        <w:t>Operating cash flows for the year ended December 31, 2020 included $0.9 million in cash payments for operating leases, $0.6 million of which were prepaid lease payments.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Total debt consists of the following (in thousands):</w:t>
      </w:r>
    </w:p>
    <w:p>
      <w:pPr>
        <w:spacing w:after="0" w:line="199"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jc w:val="right"/>
              <w:ind w:right="400"/>
              <w:spacing w:after="0"/>
              <w:rPr>
                <w:sz w:val="20"/>
                <w:szCs w:val="20"/>
                <w:color w:val="auto"/>
              </w:rPr>
            </w:pPr>
            <w:r>
              <w:rPr>
                <w:rFonts w:ascii="Arial" w:cs="Arial" w:eastAsia="Arial" w:hAnsi="Arial"/>
                <w:sz w:val="14"/>
                <w:szCs w:val="14"/>
                <w:b w:val="1"/>
                <w:bCs w:val="1"/>
                <w:color w:val="auto"/>
              </w:rPr>
              <w:t>December 31,</w:t>
            </w:r>
          </w:p>
        </w:tc>
      </w:tr>
      <w:tr>
        <w:trPr>
          <w:trHeight w:val="164"/>
        </w:trPr>
        <w:tc>
          <w:tcPr>
            <w:tcW w:w="5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2020</w:t>
            </w:r>
          </w:p>
        </w:tc>
      </w:tr>
      <w:tr>
        <w:trPr>
          <w:trHeight w:val="211"/>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Long-term debt, current portion</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rPr>
              <w:t>7,353</w:t>
            </w:r>
          </w:p>
        </w:tc>
      </w:tr>
      <w:tr>
        <w:trPr>
          <w:trHeight w:val="218"/>
        </w:trPr>
        <w:tc>
          <w:tcPr>
            <w:tcW w:w="5100" w:type="dxa"/>
            <w:vAlign w:val="bottom"/>
          </w:tcPr>
          <w:p>
            <w:pPr>
              <w:spacing w:after="0"/>
              <w:rPr>
                <w:sz w:val="20"/>
                <w:szCs w:val="20"/>
                <w:color w:val="auto"/>
              </w:rPr>
            </w:pPr>
            <w:r>
              <w:rPr>
                <w:rFonts w:ascii="Arial" w:cs="Arial" w:eastAsia="Arial" w:hAnsi="Arial"/>
                <w:sz w:val="17"/>
                <w:szCs w:val="17"/>
                <w:color w:val="auto"/>
              </w:rPr>
              <w:t>Long-term debt, non-current portion</w:t>
            </w:r>
          </w:p>
        </w:tc>
        <w:tc>
          <w:tcPr>
            <w:tcW w:w="220" w:type="dxa"/>
            <w:vAlign w:val="bottom"/>
          </w:tcPr>
          <w:p>
            <w:pPr>
              <w:spacing w:after="0"/>
              <w:rPr>
                <w:sz w:val="18"/>
                <w:szCs w:val="18"/>
                <w:color w:val="auto"/>
              </w:rPr>
            </w:pPr>
          </w:p>
        </w:tc>
        <w:tc>
          <w:tcPr>
            <w:tcW w:w="1420" w:type="dxa"/>
            <w:vAlign w:val="bottom"/>
          </w:tcPr>
          <w:p>
            <w:pPr>
              <w:jc w:val="right"/>
              <w:ind w:right="20"/>
              <w:spacing w:after="0"/>
              <w:rPr>
                <w:sz w:val="20"/>
                <w:szCs w:val="20"/>
                <w:color w:val="auto"/>
              </w:rPr>
            </w:pPr>
            <w:r>
              <w:rPr>
                <w:rFonts w:ascii="Arial" w:cs="Arial" w:eastAsia="Arial" w:hAnsi="Arial"/>
                <w:sz w:val="17"/>
                <w:szCs w:val="17"/>
                <w:color w:val="auto"/>
              </w:rPr>
              <w:t>42,647</w:t>
            </w:r>
          </w:p>
        </w:tc>
      </w:tr>
      <w:tr>
        <w:trPr>
          <w:trHeight w:val="219"/>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Unamortized debt discount</w:t>
            </w: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(3,013)</w:t>
            </w:r>
          </w:p>
        </w:tc>
      </w:tr>
      <w:tr>
        <w:trPr>
          <w:trHeight w:val="211"/>
        </w:trPr>
        <w:tc>
          <w:tcPr>
            <w:tcW w:w="5100" w:type="dxa"/>
            <w:vAlign w:val="bottom"/>
          </w:tcPr>
          <w:p>
            <w:pPr>
              <w:spacing w:after="0"/>
              <w:rPr>
                <w:sz w:val="20"/>
                <w:szCs w:val="20"/>
                <w:color w:val="auto"/>
              </w:rPr>
            </w:pPr>
            <w:r>
              <w:rPr>
                <w:rFonts w:ascii="Arial" w:cs="Arial" w:eastAsia="Arial" w:hAnsi="Arial"/>
                <w:sz w:val="17"/>
                <w:szCs w:val="17"/>
                <w:color w:val="auto"/>
              </w:rPr>
              <w:t>Total debt, net of debt discount</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46,987</w:t>
            </w:r>
          </w:p>
        </w:tc>
      </w:tr>
      <w:tr>
        <w:trPr>
          <w:trHeight w:val="20"/>
        </w:trPr>
        <w:tc>
          <w:tcPr>
            <w:tcW w:w="5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firstLine="589"/>
        <w:spacing w:after="0" w:line="271" w:lineRule="auto"/>
        <w:rPr>
          <w:sz w:val="20"/>
          <w:szCs w:val="20"/>
          <w:color w:val="auto"/>
        </w:rPr>
      </w:pPr>
      <w:r>
        <w:rPr>
          <w:rFonts w:ascii="Arial" w:cs="Arial" w:eastAsia="Arial" w:hAnsi="Arial"/>
          <w:sz w:val="17"/>
          <w:szCs w:val="17"/>
          <w:color w:val="auto"/>
        </w:rPr>
        <w:t>On May 14, 2019, the Company entered into a loan and security agreement (the “Loan Agreement”, and all amounts borrowed thereunder the “Term Loans”) with Silicon Valley Bank (“SVB”), as administrative and collateral agent, and lenders including SVB and WestRiver Innovation Lending Fund VIII, L.P. (“WestRiver”). The Company borrowed $25.0 million (“Term Loan A”) at the inception of the Loan Agreement and an additional $25.0 million (“Term Loan B”) on March 16, 2020.</w:t>
      </w: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080"/>
          </w:cols>
          <w:pgMar w:left="320" w:top="500" w:right="499" w:bottom="1440" w:gutter="0" w:footer="0" w:header="0"/>
        </w:sectPr>
      </w:pPr>
    </w:p>
    <w:bookmarkStart w:id="141" w:name="page142"/>
    <w:bookmarkEnd w:id="141"/>
    <w:p>
      <w:pPr>
        <w:ind w:right="80" w:firstLine="589"/>
        <w:spacing w:after="0" w:line="293" w:lineRule="auto"/>
        <w:rPr>
          <w:sz w:val="20"/>
          <w:szCs w:val="20"/>
          <w:color w:val="auto"/>
        </w:rPr>
      </w:pPr>
      <w:r>
        <w:rPr>
          <w:rFonts w:ascii="Arial" w:cs="Arial" w:eastAsia="Arial" w:hAnsi="Arial"/>
          <w:sz w:val="15"/>
          <w:szCs w:val="15"/>
          <w:color w:val="auto"/>
        </w:rPr>
        <w:t xml:space="preserve">The Term Loans bear interest at a floating rate of the higher of the Wall Street Journal Prime rate plus 1.75% (5% at December 31, 2020) or 7.25%. Under the original Loan Agreement, the monthly payments consisted of interest-only through May 31, 2021. On March 11, 2020, the Company entered into the first amendment (the “Amendment”) to the Loan Agreement. Pursuant to the Amendment, the interest-only payment period was extended either (i) until December 31, 2021, if the Company receives positive data from its Phase 3 clinical trial in </w:t>
      </w:r>
      <w:r>
        <w:rPr>
          <w:rFonts w:ascii="Arial" w:cs="Arial" w:eastAsia="Arial" w:hAnsi="Arial"/>
          <w:sz w:val="15"/>
          <w:szCs w:val="15"/>
          <w:i w:val="1"/>
          <w:iCs w:val="1"/>
          <w:color w:val="auto"/>
        </w:rPr>
        <w:t>H. pylori</w:t>
      </w:r>
      <w:r>
        <w:rPr>
          <w:rFonts w:ascii="Arial" w:cs="Arial" w:eastAsia="Arial" w:hAnsi="Arial"/>
          <w:sz w:val="15"/>
          <w:szCs w:val="15"/>
          <w:color w:val="auto"/>
        </w:rPr>
        <w:t xml:space="preserve"> infection </w:t>
      </w:r>
      <w:r>
        <w:rPr>
          <w:rFonts w:ascii="Arial" w:cs="Arial" w:eastAsia="Arial" w:hAnsi="Arial"/>
          <w:sz w:val="15"/>
          <w:szCs w:val="15"/>
          <w:color w:val="231F20"/>
        </w:rPr>
        <w:t>sufficient to file a New Drug Application (“NDA”) with the U.S.</w:t>
      </w:r>
      <w:r>
        <w:rPr>
          <w:rFonts w:ascii="Arial" w:cs="Arial" w:eastAsia="Arial" w:hAnsi="Arial"/>
          <w:sz w:val="15"/>
          <w:szCs w:val="15"/>
          <w:color w:val="auto"/>
        </w:rPr>
        <w:t xml:space="preserve"> </w:t>
      </w:r>
      <w:r>
        <w:rPr>
          <w:rFonts w:ascii="Arial" w:cs="Arial" w:eastAsia="Arial" w:hAnsi="Arial"/>
          <w:sz w:val="15"/>
          <w:szCs w:val="15"/>
          <w:color w:val="231F20"/>
        </w:rPr>
        <w:t xml:space="preserve">Food and Drug Administration (“FDA”); or (ii) until November 30, 2022, if the Company receives positive data from its Phase 3 clinical trials in both indications for vonoprazan sufficient to file NDAs with the FDA; provided, in each case, that the Company had drawn down an additional $25.0 million, Term Loan B, pursuant to the Loan Agreement. </w:t>
      </w:r>
      <w:r>
        <w:rPr>
          <w:rFonts w:ascii="Arial" w:cs="Arial" w:eastAsia="Arial" w:hAnsi="Arial"/>
          <w:sz w:val="15"/>
          <w:szCs w:val="15"/>
          <w:color w:val="000000"/>
        </w:rPr>
        <w:t>Subsequent to the interest-only period, the Term Loans will be payable in equal monthly installments of principal, plus accrued</w:t>
      </w:r>
      <w:r>
        <w:rPr>
          <w:rFonts w:ascii="Arial" w:cs="Arial" w:eastAsia="Arial" w:hAnsi="Arial"/>
          <w:sz w:val="15"/>
          <w:szCs w:val="15"/>
          <w:color w:val="231F20"/>
        </w:rPr>
        <w:t xml:space="preserve"> </w:t>
      </w:r>
      <w:r>
        <w:rPr>
          <w:rFonts w:ascii="Arial" w:cs="Arial" w:eastAsia="Arial" w:hAnsi="Arial"/>
          <w:sz w:val="15"/>
          <w:szCs w:val="15"/>
          <w:color w:val="000000"/>
        </w:rPr>
        <w:t>and unpaid interest through the maturity date of May 1, 2024. In addition, the Company is obligated to pay a final payment fee of 8.25% of the original principal amount of the Term Loans. As of December 31, 2020, the aggregate final payment fee of $4.1 million has been recorded as an other long-term liability.</w:t>
      </w:r>
    </w:p>
    <w:p>
      <w:pPr>
        <w:spacing w:after="0" w:line="135" w:lineRule="exact"/>
        <w:rPr>
          <w:sz w:val="20"/>
          <w:szCs w:val="20"/>
          <w:color w:val="auto"/>
        </w:rPr>
      </w:pPr>
    </w:p>
    <w:p>
      <w:pPr>
        <w:ind w:right="200" w:firstLine="589"/>
        <w:spacing w:after="0" w:line="310" w:lineRule="auto"/>
        <w:rPr>
          <w:sz w:val="20"/>
          <w:szCs w:val="20"/>
          <w:color w:val="auto"/>
        </w:rPr>
      </w:pPr>
      <w:r>
        <w:rPr>
          <w:rFonts w:ascii="Arial" w:cs="Arial" w:eastAsia="Arial" w:hAnsi="Arial"/>
          <w:sz w:val="16"/>
          <w:szCs w:val="16"/>
          <w:color w:val="auto"/>
        </w:rPr>
        <w:t>The Company may elect to prepay all or a portion of the Term Loans prior to maturity, subject to a prepayment fee of up to 2.0% of the then outstanding principal balance and payment of a pro rata portion of the final payment fee. After repayment, no Term Loan amounts may be borrowed again.</w:t>
      </w:r>
    </w:p>
    <w:p>
      <w:pPr>
        <w:spacing w:after="0" w:line="103" w:lineRule="exact"/>
        <w:rPr>
          <w:sz w:val="20"/>
          <w:szCs w:val="20"/>
          <w:color w:val="auto"/>
        </w:rPr>
      </w:pPr>
    </w:p>
    <w:p>
      <w:pPr>
        <w:ind w:right="20" w:firstLine="589"/>
        <w:spacing w:after="0" w:line="272" w:lineRule="auto"/>
        <w:rPr>
          <w:sz w:val="20"/>
          <w:szCs w:val="20"/>
          <w:color w:val="auto"/>
        </w:rPr>
      </w:pPr>
      <w:r>
        <w:rPr>
          <w:rFonts w:ascii="Arial" w:cs="Arial" w:eastAsia="Arial" w:hAnsi="Arial"/>
          <w:sz w:val="16"/>
          <w:szCs w:val="16"/>
          <w:color w:val="auto"/>
        </w:rPr>
        <w:t>The borrowings under the Loan Agreement are collateralized by substantially all of the Company’s assets, excluding intellectual property and certain other assets. The Loan Agreement includes affirmative and negative covenants. The affirmative covenants include, among others, covenants requiring the Company to maintain its legal existence and governmental approvals, deliver certain financial reports, maintain insurance coverage and satisfy certain requirements regarding its operating accounts. The negative covenants include, among others, limitations on the Company’s ability to incur additional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specified transactions. The Loan Agreement also contains customary events of default, including bankruptcy, the failure to make payments when due, and a material adverse change. Upon the occurrence of an event of default, subject to any specified cure periods, all amounts owed by the Company would begin to bear interest at a rate that is 4.00% above the rate effective immediately before the event of default and may be declared immediately due and payable by SVB, as collateral agent. As of December 31, 2020, the Company was in compliance with all applicable covenants under the Loan Agreement.</w:t>
      </w:r>
    </w:p>
    <w:p>
      <w:pPr>
        <w:spacing w:after="0" w:line="138" w:lineRule="exact"/>
        <w:rPr>
          <w:sz w:val="20"/>
          <w:szCs w:val="20"/>
          <w:color w:val="auto"/>
        </w:rPr>
      </w:pPr>
    </w:p>
    <w:p>
      <w:pPr>
        <w:ind w:firstLine="589"/>
        <w:spacing w:after="0" w:line="276" w:lineRule="auto"/>
        <w:rPr>
          <w:sz w:val="20"/>
          <w:szCs w:val="20"/>
          <w:color w:val="auto"/>
        </w:rPr>
      </w:pPr>
      <w:r>
        <w:rPr>
          <w:rFonts w:ascii="Arial" w:cs="Arial" w:eastAsia="Arial" w:hAnsi="Arial"/>
          <w:sz w:val="16"/>
          <w:szCs w:val="16"/>
          <w:color w:val="auto"/>
        </w:rPr>
        <w:t>In connection with the Loan Agreement, the Company issued the Lender Warrants to purchase stock of the Company, which expire ten years from the date of issuance. Upon completion of the IPO in 2019, the Lender Warrants became exercisable for 16,446 shares of common stock. The Lender Warrants included a put option pursuant to which, in the event that the Company did not draw down Term Loan B on or before March 31, 2020, the warrant holders could have required that the Company repurchase the warrants for a total aggregate repurchase price of $0.5 million. Upon the Term Loan B draw in March 2020, the Lender Warrants became exercisable and the put option related to the Lender Warrants expired. Accordingly, the Company recorded a final fair value adjustment and reclassified the Lender Warrants balance of $0.3 million to additional paid-in-capital.</w:t>
      </w:r>
    </w:p>
    <w:p>
      <w:pPr>
        <w:spacing w:after="0" w:line="144" w:lineRule="exact"/>
        <w:rPr>
          <w:sz w:val="20"/>
          <w:szCs w:val="20"/>
          <w:color w:val="auto"/>
        </w:rPr>
      </w:pPr>
    </w:p>
    <w:p>
      <w:pPr>
        <w:ind w:right="60" w:firstLine="589"/>
        <w:spacing w:after="0" w:line="306" w:lineRule="auto"/>
        <w:rPr>
          <w:sz w:val="20"/>
          <w:szCs w:val="20"/>
          <w:color w:val="auto"/>
        </w:rPr>
      </w:pPr>
      <w:r>
        <w:rPr>
          <w:rFonts w:ascii="Arial" w:cs="Arial" w:eastAsia="Arial" w:hAnsi="Arial"/>
          <w:sz w:val="15"/>
          <w:szCs w:val="15"/>
          <w:color w:val="auto"/>
        </w:rPr>
        <w:t>The initial $0.4 million fair value of the Lender Warrants, the $4.1 million final payment fee and $0.2 million of debt issuance costs have been recorded as debt discount and are being amortized to interest expense using the effective interest method over the term of the Term Loans. During the years ended December 31, 2020 and 2019, the Company recognized $4.6 million and $1.6 million, respectively, of interest expense, including amortization of the debt discount, in connection with the Loan Agreement. As of December 31, 2020, the Company had outstanding Term Loans of $50.0 million and accrued interest of $0.3 million.</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142" w:name="page143"/>
    <w:bookmarkEnd w:id="142"/>
    <w:p>
      <w:pPr>
        <w:ind w:right="240" w:firstLine="589"/>
        <w:spacing w:after="0" w:line="278" w:lineRule="auto"/>
        <w:rPr>
          <w:sz w:val="20"/>
          <w:szCs w:val="20"/>
          <w:color w:val="auto"/>
        </w:rPr>
      </w:pPr>
      <w:r>
        <w:rPr>
          <w:rFonts w:ascii="Arial" w:cs="Arial" w:eastAsia="Arial" w:hAnsi="Arial"/>
          <w:sz w:val="17"/>
          <w:szCs w:val="17"/>
          <w:color w:val="auto"/>
        </w:rPr>
        <w:t>Future minimum principal and interest payments under the Term Loans, including the final payment fee, as of December 31, 2020 (at the December 31, 2020 interest rate) are as follows (in thousands):</w:t>
      </w:r>
    </w:p>
    <w:p>
      <w:pPr>
        <w:spacing w:after="0" w:line="176" w:lineRule="exact"/>
        <w:rPr>
          <w:sz w:val="20"/>
          <w:szCs w:val="20"/>
          <w:color w:val="auto"/>
        </w:rPr>
      </w:pPr>
    </w:p>
    <w:tbl>
      <w:tblPr>
        <w:tblLayout w:type="fixed"/>
        <w:tblInd w:w="2260" w:type="dxa"/>
        <w:tblCellMar>
          <w:top w:w="0" w:type="dxa"/>
          <w:left w:w="0" w:type="dxa"/>
          <w:bottom w:w="0" w:type="dxa"/>
          <w:right w:w="0" w:type="dxa"/>
        </w:tblCellMar>
      </w:tblPr>
      <w:tr>
        <w:trPr>
          <w:trHeight w:val="218"/>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Year ending December 31:</w:t>
            </w:r>
          </w:p>
        </w:tc>
        <w:tc>
          <w:tcPr>
            <w:tcW w:w="5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18"/>
        </w:trPr>
        <w:tc>
          <w:tcPr>
            <w:tcW w:w="5100" w:type="dxa"/>
            <w:vAlign w:val="bottom"/>
          </w:tcPr>
          <w:p>
            <w:pPr>
              <w:jc w:val="right"/>
              <w:ind w:right="4454"/>
              <w:spacing w:after="0"/>
              <w:rPr>
                <w:sz w:val="20"/>
                <w:szCs w:val="20"/>
                <w:color w:val="auto"/>
              </w:rPr>
            </w:pPr>
            <w:r>
              <w:rPr>
                <w:rFonts w:ascii="Arial" w:cs="Arial" w:eastAsia="Arial" w:hAnsi="Arial"/>
                <w:sz w:val="17"/>
                <w:szCs w:val="17"/>
                <w:color w:val="auto"/>
              </w:rPr>
              <w:t>2021</w:t>
            </w:r>
          </w:p>
        </w:tc>
        <w:tc>
          <w:tcPr>
            <w:tcW w:w="560" w:type="dxa"/>
            <w:vAlign w:val="bottom"/>
          </w:tcPr>
          <w:p>
            <w:pPr>
              <w:jc w:val="right"/>
              <w:ind w:right="4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10,938</w:t>
            </w:r>
          </w:p>
        </w:tc>
      </w:tr>
      <w:tr>
        <w:trPr>
          <w:trHeight w:val="219"/>
        </w:trPr>
        <w:tc>
          <w:tcPr>
            <w:tcW w:w="5100" w:type="dxa"/>
            <w:vAlign w:val="bottom"/>
            <w:shd w:val="clear" w:color="auto" w:fill="CFF0FC"/>
          </w:tcPr>
          <w:p>
            <w:pPr>
              <w:jc w:val="right"/>
              <w:ind w:right="4454"/>
              <w:spacing w:after="0"/>
              <w:rPr>
                <w:sz w:val="20"/>
                <w:szCs w:val="20"/>
                <w:color w:val="auto"/>
              </w:rPr>
            </w:pPr>
            <w:r>
              <w:rPr>
                <w:rFonts w:ascii="Arial" w:cs="Arial" w:eastAsia="Arial" w:hAnsi="Arial"/>
                <w:sz w:val="17"/>
                <w:szCs w:val="17"/>
                <w:color w:val="auto"/>
              </w:rPr>
              <w:t>2022</w:t>
            </w:r>
          </w:p>
        </w:tc>
        <w:tc>
          <w:tcPr>
            <w:tcW w:w="5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rPr>
              <w:t>20,187</w:t>
            </w:r>
          </w:p>
        </w:tc>
      </w:tr>
      <w:tr>
        <w:trPr>
          <w:trHeight w:val="218"/>
        </w:trPr>
        <w:tc>
          <w:tcPr>
            <w:tcW w:w="5100" w:type="dxa"/>
            <w:vAlign w:val="bottom"/>
          </w:tcPr>
          <w:p>
            <w:pPr>
              <w:jc w:val="right"/>
              <w:ind w:right="4454"/>
              <w:spacing w:after="0"/>
              <w:rPr>
                <w:sz w:val="20"/>
                <w:szCs w:val="20"/>
                <w:color w:val="auto"/>
              </w:rPr>
            </w:pPr>
            <w:r>
              <w:rPr>
                <w:rFonts w:ascii="Arial" w:cs="Arial" w:eastAsia="Arial" w:hAnsi="Arial"/>
                <w:sz w:val="17"/>
                <w:szCs w:val="17"/>
                <w:color w:val="auto"/>
              </w:rPr>
              <w:t>2023</w:t>
            </w:r>
          </w:p>
        </w:tc>
        <w:tc>
          <w:tcPr>
            <w:tcW w:w="56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18,889</w:t>
            </w:r>
          </w:p>
        </w:tc>
      </w:tr>
      <w:tr>
        <w:trPr>
          <w:trHeight w:val="219"/>
        </w:trPr>
        <w:tc>
          <w:tcPr>
            <w:tcW w:w="5100" w:type="dxa"/>
            <w:vAlign w:val="bottom"/>
            <w:shd w:val="clear" w:color="auto" w:fill="CFF0FC"/>
          </w:tcPr>
          <w:p>
            <w:pPr>
              <w:jc w:val="right"/>
              <w:ind w:right="4454"/>
              <w:spacing w:after="0"/>
              <w:rPr>
                <w:sz w:val="20"/>
                <w:szCs w:val="20"/>
                <w:color w:val="auto"/>
              </w:rPr>
            </w:pPr>
            <w:r>
              <w:rPr>
                <w:rFonts w:ascii="Arial" w:cs="Arial" w:eastAsia="Arial" w:hAnsi="Arial"/>
                <w:sz w:val="17"/>
                <w:szCs w:val="17"/>
                <w:color w:val="auto"/>
              </w:rPr>
              <w:t>2024</w:t>
            </w:r>
          </w:p>
        </w:tc>
        <w:tc>
          <w:tcPr>
            <w:tcW w:w="5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7"/>
                <w:szCs w:val="17"/>
                <w:color w:val="auto"/>
              </w:rPr>
              <w:t>11,614</w:t>
            </w:r>
          </w:p>
        </w:tc>
      </w:tr>
      <w:tr>
        <w:trPr>
          <w:trHeight w:val="211"/>
        </w:trPr>
        <w:tc>
          <w:tcPr>
            <w:tcW w:w="5100" w:type="dxa"/>
            <w:vAlign w:val="bottom"/>
          </w:tcPr>
          <w:p>
            <w:pPr>
              <w:spacing w:after="0"/>
              <w:rPr>
                <w:sz w:val="20"/>
                <w:szCs w:val="20"/>
                <w:color w:val="auto"/>
              </w:rPr>
            </w:pPr>
            <w:r>
              <w:rPr>
                <w:rFonts w:ascii="Arial" w:cs="Arial" w:eastAsia="Arial" w:hAnsi="Arial"/>
                <w:sz w:val="17"/>
                <w:szCs w:val="17"/>
                <w:color w:val="auto"/>
              </w:rPr>
              <w:t>Total principal and interest payments</w:t>
            </w:r>
          </w:p>
        </w:tc>
        <w:tc>
          <w:tcPr>
            <w:tcW w:w="560" w:type="dxa"/>
            <w:vAlign w:val="bottom"/>
          </w:tcPr>
          <w:p>
            <w:pPr>
              <w:spacing w:after="0"/>
              <w:rPr>
                <w:sz w:val="18"/>
                <w:szCs w:val="18"/>
                <w:color w:val="auto"/>
              </w:rPr>
            </w:pPr>
          </w:p>
        </w:tc>
        <w:tc>
          <w:tcPr>
            <w:tcW w:w="1080" w:type="dxa"/>
            <w:vAlign w:val="bottom"/>
          </w:tcPr>
          <w:p>
            <w:pPr>
              <w:jc w:val="right"/>
              <w:ind w:right="14"/>
              <w:spacing w:after="0"/>
              <w:rPr>
                <w:sz w:val="20"/>
                <w:szCs w:val="20"/>
                <w:color w:val="auto"/>
              </w:rPr>
            </w:pPr>
            <w:r>
              <w:rPr>
                <w:rFonts w:ascii="Arial" w:cs="Arial" w:eastAsia="Arial" w:hAnsi="Arial"/>
                <w:sz w:val="17"/>
                <w:szCs w:val="17"/>
                <w:color w:val="auto"/>
              </w:rPr>
              <w:t>61,628</w:t>
            </w:r>
          </w:p>
        </w:tc>
      </w:tr>
      <w:tr>
        <w:trPr>
          <w:trHeight w:val="219"/>
        </w:trPr>
        <w:tc>
          <w:tcPr>
            <w:tcW w:w="5100" w:type="dxa"/>
            <w:vAlign w:val="bottom"/>
            <w:shd w:val="clear" w:color="auto" w:fill="CFF0FC"/>
          </w:tcPr>
          <w:p>
            <w:pPr>
              <w:spacing w:after="0"/>
              <w:rPr>
                <w:sz w:val="20"/>
                <w:szCs w:val="20"/>
                <w:color w:val="auto"/>
              </w:rPr>
            </w:pPr>
            <w:r>
              <w:rPr>
                <w:rFonts w:ascii="Arial" w:cs="Arial" w:eastAsia="Arial" w:hAnsi="Arial"/>
                <w:sz w:val="17"/>
                <w:szCs w:val="17"/>
                <w:color w:val="auto"/>
              </w:rPr>
              <w:t>Less interest and final payment fee</w:t>
            </w:r>
          </w:p>
        </w:tc>
        <w:tc>
          <w:tcPr>
            <w:tcW w:w="5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(11,628)</w:t>
            </w:r>
          </w:p>
        </w:tc>
      </w:tr>
      <w:tr>
        <w:trPr>
          <w:trHeight w:val="211"/>
        </w:trPr>
        <w:tc>
          <w:tcPr>
            <w:tcW w:w="5100" w:type="dxa"/>
            <w:vAlign w:val="bottom"/>
          </w:tcPr>
          <w:p>
            <w:pPr>
              <w:spacing w:after="0"/>
              <w:rPr>
                <w:sz w:val="20"/>
                <w:szCs w:val="20"/>
                <w:color w:val="auto"/>
              </w:rPr>
            </w:pPr>
            <w:r>
              <w:rPr>
                <w:rFonts w:ascii="Arial" w:cs="Arial" w:eastAsia="Arial" w:hAnsi="Arial"/>
                <w:sz w:val="17"/>
                <w:szCs w:val="17"/>
                <w:color w:val="auto"/>
              </w:rPr>
              <w:t>Total term loan borrowings</w:t>
            </w: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50,000</w:t>
            </w:r>
          </w:p>
        </w:tc>
      </w:tr>
      <w:tr>
        <w:trPr>
          <w:trHeight w:val="20"/>
        </w:trPr>
        <w:tc>
          <w:tcPr>
            <w:tcW w:w="5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Stockholders’ Equity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March 2019, subsequent to the Merger, the Company sold 1,491,072 shares of the Company’s common stock to Frazier.</w:t>
      </w:r>
    </w:p>
    <w:p>
      <w:pPr>
        <w:spacing w:after="0" w:line="177" w:lineRule="exact"/>
        <w:rPr>
          <w:sz w:val="20"/>
          <w:szCs w:val="20"/>
          <w:color w:val="auto"/>
        </w:rPr>
      </w:pPr>
    </w:p>
    <w:p>
      <w:pPr>
        <w:ind w:firstLine="589"/>
        <w:spacing w:after="0" w:line="275" w:lineRule="auto"/>
        <w:rPr>
          <w:sz w:val="20"/>
          <w:szCs w:val="20"/>
          <w:color w:val="auto"/>
        </w:rPr>
      </w:pPr>
      <w:r>
        <w:rPr>
          <w:rFonts w:ascii="Arial" w:cs="Arial" w:eastAsia="Arial" w:hAnsi="Arial"/>
          <w:sz w:val="16"/>
          <w:szCs w:val="16"/>
          <w:color w:val="auto"/>
        </w:rPr>
        <w:t>In March 2019, the founders granted the Company a repurchase right for the 3,373,408 shares of common stock originally purchased in 2018. The Company has the right, but not the obligation, to repurchase unvested shares in the event the founder’s relationship with the Company is terminated, subject to certain limitations, at the original purchase price of the stock. The repurchase right lapsed for 843,352 shares in March 2019 and the repurchase right for the remaining 2,530,056 shares lapses in equal monthly amounts over the following 48-month period ending in March 2023. The fair value of the founder shares at the date the repurchase right was granted is being recognized as stock-based compensation expense on a straight-line basis over the vesting period. As of December 31, 2020, 1,423,153 shares of common stock were subject to repurchase by the Company and the associated repurchase liability was not significant. The amount of recognized and unrecognized stock-based compensation related to the founder stock was immaterial for all periods presented.</w:t>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May 2019, the Company issued Takeda 1,084,000 shares of common stock in connection with the Takeda License.</w:t>
      </w:r>
    </w:p>
    <w:p>
      <w:pPr>
        <w:spacing w:after="0" w:line="177" w:lineRule="exact"/>
        <w:rPr>
          <w:sz w:val="20"/>
          <w:szCs w:val="20"/>
          <w:color w:val="auto"/>
        </w:rPr>
      </w:pPr>
    </w:p>
    <w:p>
      <w:pPr>
        <w:ind w:right="20" w:firstLine="589"/>
        <w:spacing w:after="0" w:line="298" w:lineRule="auto"/>
        <w:rPr>
          <w:sz w:val="20"/>
          <w:szCs w:val="20"/>
          <w:color w:val="auto"/>
        </w:rPr>
      </w:pPr>
      <w:r>
        <w:rPr>
          <w:rFonts w:ascii="Arial" w:cs="Arial" w:eastAsia="Arial" w:hAnsi="Arial"/>
          <w:sz w:val="15"/>
          <w:szCs w:val="15"/>
          <w:color w:val="auto"/>
        </w:rPr>
        <w:t>For the period from January 1, 2019 to May 6, 2019, the Company issued 2,524,852 shares of common stock to various employees and consultants of the Company for aggregate proceeds of approximately $1,000. Upon issuance, these shares were subject to a repurchase option by the Company at the original purchase price of the shares. The repurchase rights generally lapse as to 25% of the shares on the first anniversary of the vesting commencement date, and the repurchase right lapses as to 1/48th of the shares each one-month period thereafter, subject to the purchaser remaining continuously an employee, consultant or director of the Company. In November 2019, the Company repurchased 17,560 shares at the original purchase price for an aggregate purchase price of $5.20. As of December 31, 2020, 1,323,606 shares remain available for repurchase by the Company and the associated repurchase liability was not significant.</w:t>
      </w:r>
    </w:p>
    <w:p>
      <w:pPr>
        <w:spacing w:after="0" w:line="115" w:lineRule="exact"/>
        <w:rPr>
          <w:sz w:val="20"/>
          <w:szCs w:val="20"/>
          <w:color w:val="auto"/>
        </w:rPr>
      </w:pPr>
    </w:p>
    <w:p>
      <w:pPr>
        <w:ind w:right="300" w:firstLine="589"/>
        <w:spacing w:after="0" w:line="265" w:lineRule="auto"/>
        <w:rPr>
          <w:sz w:val="20"/>
          <w:szCs w:val="20"/>
          <w:color w:val="auto"/>
        </w:rPr>
      </w:pPr>
      <w:r>
        <w:rPr>
          <w:rFonts w:ascii="Arial" w:cs="Arial" w:eastAsia="Arial" w:hAnsi="Arial"/>
          <w:sz w:val="17"/>
          <w:szCs w:val="17"/>
          <w:color w:val="auto"/>
        </w:rPr>
        <w:t>On October 29, 2019, upon completion of the IPO, the Company sold 10,997,630 shares of common stock, which included the exercise in full by the underwriters of their option to purchase 1,434,473 additional shares at a public offering price of $19.00 per share. The net proceeds were approximately $191.5 million, after deducting underwriting discounts, commissions and offering costs.</w:t>
      </w:r>
    </w:p>
    <w:p>
      <w:pPr>
        <w:spacing w:after="0" w:line="149" w:lineRule="exact"/>
        <w:rPr>
          <w:sz w:val="20"/>
          <w:szCs w:val="20"/>
          <w:color w:val="auto"/>
        </w:rPr>
      </w:pPr>
    </w:p>
    <w:p>
      <w:pPr>
        <w:ind w:right="40" w:firstLine="589"/>
        <w:spacing w:after="0" w:line="257" w:lineRule="auto"/>
        <w:rPr>
          <w:sz w:val="20"/>
          <w:szCs w:val="20"/>
          <w:color w:val="auto"/>
        </w:rPr>
      </w:pPr>
      <w:r>
        <w:rPr>
          <w:rFonts w:ascii="Arial" w:cs="Arial" w:eastAsia="Arial" w:hAnsi="Arial"/>
          <w:sz w:val="17"/>
          <w:szCs w:val="17"/>
          <w:color w:val="auto"/>
        </w:rPr>
        <w:t>In November 2020, the Company filed a shelf registration statement (No. 333-250014) on Form S-3 (the "S-3") which was declared effective on November 17, 2020. Under the S-3, the Company may sell up to a total of $500 million of its securities. In connection with the S-3, the Company entered into an Open Market Sale Agreement (the “Sales Agreement”) with Jefferies LLC (the “Sales Agent”), under which it may, from time to time, sell shares of its common stock having an aggregate offering price of up to $125.0 million through the Sales Agent (the “ATM Offering”). Pursuant to the Sales Agreement, the Company will pay the Sales Agent a commission for its services in acting as an agent in the sale of common stock in an amount equal to 3% of the gross sales price per share sold. No shares were sold under the ATM Offering as of December 31, 2020.</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500" w:right="359" w:bottom="1440" w:gutter="0" w:footer="0" w:header="0"/>
        </w:sectPr>
      </w:pPr>
    </w:p>
    <w:bookmarkStart w:id="143" w:name="page144"/>
    <w:bookmarkEnd w:id="143"/>
    <w:p>
      <w:pPr>
        <w:ind w:firstLine="589"/>
        <w:spacing w:after="0" w:line="276" w:lineRule="auto"/>
        <w:rPr>
          <w:sz w:val="20"/>
          <w:szCs w:val="20"/>
          <w:color w:val="auto"/>
        </w:rPr>
      </w:pPr>
      <w:r>
        <w:rPr>
          <w:rFonts w:ascii="Arial" w:cs="Arial" w:eastAsia="Arial" w:hAnsi="Arial"/>
          <w:sz w:val="16"/>
          <w:szCs w:val="16"/>
          <w:color w:val="auto"/>
        </w:rPr>
        <w:t>On December 16, 2020, the Company completed an underwritten public offering (the “Underwriting Agreement”), in which it sold 2,250,000 shares of its common stock at a price of $42.00 per share for total gross proceeds of $94.5 million. The purchase price after deducting underwriting discounts and commissions was $39.48 per share, which generated net proceeds of $88.8 million. The Company incurred an additional $0.2 million of offering expenses in connection with the Underwriting Agreement, and the ending net proceeds were $88.6 million. The shares were sold under the S-3. In addition, under the terms of the Underwriting Agreement, the Company granted the underwriters a 30-day option to purchase up to 337,500 additional shares of Common Stock at the public offering price, less underwriting discounts and commissions. The 30-day option expired with no additional shares purchased.</w:t>
      </w:r>
    </w:p>
    <w:p>
      <w:pPr>
        <w:spacing w:after="0" w:line="144" w:lineRule="exact"/>
        <w:rPr>
          <w:sz w:val="20"/>
          <w:szCs w:val="20"/>
          <w:color w:val="auto"/>
        </w:rPr>
      </w:pPr>
    </w:p>
    <w:tbl>
      <w:tblPr>
        <w:tblLayout w:type="fixed"/>
        <w:tblInd w:w="600" w:type="dxa"/>
        <w:tblCellMar>
          <w:top w:w="0" w:type="dxa"/>
          <w:left w:w="0" w:type="dxa"/>
          <w:bottom w:w="0" w:type="dxa"/>
          <w:right w:w="0" w:type="dxa"/>
        </w:tblCellMar>
      </w:tblPr>
      <w:tr>
        <w:trPr>
          <w:trHeight w:val="217"/>
        </w:trPr>
        <w:tc>
          <w:tcPr>
            <w:tcW w:w="7180" w:type="dxa"/>
            <w:vAlign w:val="bottom"/>
            <w:gridSpan w:val="2"/>
          </w:tcPr>
          <w:p>
            <w:pPr>
              <w:spacing w:after="0"/>
              <w:rPr>
                <w:sz w:val="20"/>
                <w:szCs w:val="20"/>
                <w:color w:val="auto"/>
              </w:rPr>
            </w:pPr>
            <w:r>
              <w:rPr>
                <w:rFonts w:ascii="Arial" w:cs="Arial" w:eastAsia="Arial" w:hAnsi="Arial"/>
                <w:sz w:val="17"/>
                <w:szCs w:val="17"/>
                <w:color w:val="auto"/>
              </w:rPr>
              <w:t>A summary of the Company’s unvested shares is as follows:</w:t>
            </w:r>
          </w:p>
        </w:tc>
        <w:tc>
          <w:tcPr>
            <w:tcW w:w="1220" w:type="dxa"/>
            <w:vAlign w:val="bottom"/>
          </w:tcPr>
          <w:p>
            <w:pPr>
              <w:spacing w:after="0"/>
              <w:rPr>
                <w:sz w:val="18"/>
                <w:szCs w:val="18"/>
                <w:color w:val="auto"/>
              </w:rPr>
            </w:pPr>
          </w:p>
        </w:tc>
      </w:tr>
      <w:tr>
        <w:trPr>
          <w:trHeight w:val="207"/>
        </w:trPr>
        <w:tc>
          <w:tcPr>
            <w:tcW w:w="7180" w:type="dxa"/>
            <w:vAlign w:val="bottom"/>
            <w:gridSpan w:val="2"/>
          </w:tcPr>
          <w:p>
            <w:pPr>
              <w:spacing w:after="0"/>
              <w:rPr>
                <w:sz w:val="17"/>
                <w:szCs w:val="17"/>
                <w:color w:val="auto"/>
              </w:rPr>
            </w:pPr>
          </w:p>
        </w:tc>
        <w:tc>
          <w:tcPr>
            <w:tcW w:w="1220" w:type="dxa"/>
            <w:vAlign w:val="bottom"/>
          </w:tcPr>
          <w:p>
            <w:pPr>
              <w:spacing w:after="0"/>
              <w:rPr>
                <w:sz w:val="17"/>
                <w:szCs w:val="17"/>
                <w:color w:val="auto"/>
              </w:rPr>
            </w:pPr>
          </w:p>
        </w:tc>
      </w:tr>
      <w:tr>
        <w:trPr>
          <w:trHeight w:val="218"/>
        </w:trPr>
        <w:tc>
          <w:tcPr>
            <w:tcW w:w="1660" w:type="dxa"/>
            <w:vAlign w:val="bottom"/>
          </w:tcPr>
          <w:p>
            <w:pPr>
              <w:spacing w:after="0"/>
              <w:rPr>
                <w:sz w:val="18"/>
                <w:szCs w:val="18"/>
                <w:color w:val="auto"/>
              </w:rPr>
            </w:pPr>
          </w:p>
        </w:tc>
        <w:tc>
          <w:tcPr>
            <w:tcW w:w="5520" w:type="dxa"/>
            <w:vAlign w:val="bottom"/>
            <w:shd w:val="clear" w:color="auto" w:fill="CFF0FC"/>
          </w:tcPr>
          <w:p>
            <w:pPr>
              <w:spacing w:after="0"/>
              <w:rPr>
                <w:sz w:val="20"/>
                <w:szCs w:val="20"/>
                <w:color w:val="auto"/>
              </w:rPr>
            </w:pPr>
            <w:r>
              <w:rPr>
                <w:rFonts w:ascii="Arial" w:cs="Arial" w:eastAsia="Arial" w:hAnsi="Arial"/>
                <w:sz w:val="17"/>
                <w:szCs w:val="17"/>
                <w:color w:val="auto"/>
              </w:rPr>
              <w:t>Balance at December 31, 2019</w:t>
            </w:r>
          </w:p>
        </w:tc>
        <w:tc>
          <w:tcPr>
            <w:tcW w:w="122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rPr>
              <w:t>4,236,248</w:t>
            </w:r>
          </w:p>
        </w:tc>
      </w:tr>
      <w:tr>
        <w:trPr>
          <w:trHeight w:val="218"/>
        </w:trPr>
        <w:tc>
          <w:tcPr>
            <w:tcW w:w="1660" w:type="dxa"/>
            <w:vAlign w:val="bottom"/>
          </w:tcPr>
          <w:p>
            <w:pPr>
              <w:spacing w:after="0"/>
              <w:rPr>
                <w:sz w:val="18"/>
                <w:szCs w:val="18"/>
                <w:color w:val="auto"/>
              </w:rPr>
            </w:pPr>
          </w:p>
        </w:tc>
        <w:tc>
          <w:tcPr>
            <w:tcW w:w="552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Share vesting</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(1,489,489)</w:t>
            </w:r>
          </w:p>
        </w:tc>
      </w:tr>
      <w:tr>
        <w:trPr>
          <w:trHeight w:val="211"/>
        </w:trPr>
        <w:tc>
          <w:tcPr>
            <w:tcW w:w="1660" w:type="dxa"/>
            <w:vAlign w:val="bottom"/>
          </w:tcPr>
          <w:p>
            <w:pPr>
              <w:spacing w:after="0"/>
              <w:rPr>
                <w:sz w:val="18"/>
                <w:szCs w:val="18"/>
                <w:color w:val="auto"/>
              </w:rPr>
            </w:pPr>
          </w:p>
        </w:tc>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December 31, 2020</w:t>
            </w:r>
          </w:p>
        </w:tc>
        <w:tc>
          <w:tcPr>
            <w:tcW w:w="12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7"/>
                <w:szCs w:val="17"/>
                <w:color w:val="auto"/>
              </w:rPr>
              <w:t>2,746,759</w:t>
            </w:r>
          </w:p>
        </w:tc>
      </w:tr>
      <w:tr>
        <w:trPr>
          <w:trHeight w:val="20"/>
        </w:trPr>
        <w:tc>
          <w:tcPr>
            <w:tcW w:w="16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accounting purposes, unvested shares of common stock are considered issued, but not outstanding until they vest.</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Common stock reserved for future issuance consists of the following:</w:t>
      </w:r>
    </w:p>
    <w:p>
      <w:pPr>
        <w:spacing w:after="0" w:line="199"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160" w:type="dxa"/>
            <w:vAlign w:val="bottom"/>
          </w:tcPr>
          <w:p>
            <w:pPr>
              <w:jc w:val="right"/>
              <w:ind w:right="139"/>
              <w:spacing w:after="0"/>
              <w:rPr>
                <w:sz w:val="20"/>
                <w:szCs w:val="20"/>
                <w:color w:val="auto"/>
              </w:rPr>
            </w:pPr>
            <w:r>
              <w:rPr>
                <w:rFonts w:ascii="Arial" w:cs="Arial" w:eastAsia="Arial" w:hAnsi="Arial"/>
                <w:sz w:val="14"/>
                <w:szCs w:val="14"/>
                <w:b w:val="1"/>
                <w:bCs w:val="1"/>
                <w:color w:val="auto"/>
              </w:rPr>
              <w:t>December 31,</w:t>
            </w:r>
          </w:p>
        </w:tc>
      </w:tr>
      <w:tr>
        <w:trPr>
          <w:trHeight w:val="164"/>
        </w:trPr>
        <w:tc>
          <w:tcPr>
            <w:tcW w:w="558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r>
      <w:tr>
        <w:trPr>
          <w:trHeight w:val="211"/>
        </w:trPr>
        <w:tc>
          <w:tcPr>
            <w:tcW w:w="5580" w:type="dxa"/>
            <w:vAlign w:val="bottom"/>
            <w:shd w:val="clear" w:color="auto" w:fill="CFF0FC"/>
          </w:tcPr>
          <w:p>
            <w:pPr>
              <w:spacing w:after="0"/>
              <w:rPr>
                <w:sz w:val="20"/>
                <w:szCs w:val="20"/>
                <w:color w:val="auto"/>
              </w:rPr>
            </w:pPr>
            <w:r>
              <w:rPr>
                <w:rFonts w:ascii="Arial" w:cs="Arial" w:eastAsia="Arial" w:hAnsi="Arial"/>
                <w:sz w:val="17"/>
                <w:szCs w:val="17"/>
                <w:color w:val="auto"/>
              </w:rPr>
              <w:t>Common stock warrants</w:t>
            </w: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7,604,446</w:t>
            </w:r>
          </w:p>
        </w:tc>
      </w:tr>
      <w:tr>
        <w:trPr>
          <w:trHeight w:val="218"/>
        </w:trPr>
        <w:tc>
          <w:tcPr>
            <w:tcW w:w="5580" w:type="dxa"/>
            <w:vAlign w:val="bottom"/>
          </w:tcPr>
          <w:p>
            <w:pPr>
              <w:spacing w:after="0"/>
              <w:rPr>
                <w:sz w:val="20"/>
                <w:szCs w:val="20"/>
                <w:color w:val="auto"/>
              </w:rPr>
            </w:pPr>
            <w:r>
              <w:rPr>
                <w:rFonts w:ascii="Arial" w:cs="Arial" w:eastAsia="Arial" w:hAnsi="Arial"/>
                <w:sz w:val="17"/>
                <w:szCs w:val="17"/>
                <w:color w:val="auto"/>
              </w:rPr>
              <w:t>Stock options and performance-based awards outstanding</w:t>
            </w: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2,948,742</w:t>
            </w:r>
          </w:p>
        </w:tc>
      </w:tr>
      <w:tr>
        <w:trPr>
          <w:trHeight w:val="219"/>
        </w:trPr>
        <w:tc>
          <w:tcPr>
            <w:tcW w:w="5580" w:type="dxa"/>
            <w:vAlign w:val="bottom"/>
            <w:shd w:val="clear" w:color="auto" w:fill="CFF0FC"/>
          </w:tcPr>
          <w:p>
            <w:pPr>
              <w:spacing w:after="0"/>
              <w:rPr>
                <w:sz w:val="20"/>
                <w:szCs w:val="20"/>
                <w:color w:val="auto"/>
              </w:rPr>
            </w:pPr>
            <w:r>
              <w:rPr>
                <w:rFonts w:ascii="Arial" w:cs="Arial" w:eastAsia="Arial" w:hAnsi="Arial"/>
                <w:sz w:val="17"/>
                <w:szCs w:val="17"/>
                <w:color w:val="auto"/>
              </w:rPr>
              <w:t>Shares available for issuance under the 2019 Incentive Plan</w:t>
            </w: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2,262,103</w:t>
            </w:r>
          </w:p>
        </w:tc>
      </w:tr>
      <w:tr>
        <w:trPr>
          <w:trHeight w:val="218"/>
        </w:trPr>
        <w:tc>
          <w:tcPr>
            <w:tcW w:w="55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Shares available for issuance under the ESPP Plan</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559,645</w:t>
            </w:r>
          </w:p>
        </w:tc>
      </w:tr>
      <w:tr>
        <w:trPr>
          <w:trHeight w:val="211"/>
        </w:trPr>
        <w:tc>
          <w:tcPr>
            <w:tcW w:w="5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Balance at December 31, 2020</w:t>
            </w: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7"/>
                <w:szCs w:val="17"/>
                <w:color w:val="auto"/>
              </w:rPr>
              <w:t>13,374,936</w:t>
            </w:r>
          </w:p>
        </w:tc>
      </w:tr>
      <w:tr>
        <w:trPr>
          <w:trHeight w:val="20"/>
        </w:trPr>
        <w:tc>
          <w:tcPr>
            <w:tcW w:w="55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77" w:lineRule="exact"/>
        <w:rPr>
          <w:sz w:val="20"/>
          <w:szCs w:val="20"/>
          <w:color w:val="auto"/>
        </w:rPr>
      </w:pPr>
    </w:p>
    <w:p>
      <w:pPr>
        <w:ind w:right="40" w:firstLine="589"/>
        <w:spacing w:after="0" w:line="278" w:lineRule="auto"/>
        <w:rPr>
          <w:sz w:val="20"/>
          <w:szCs w:val="20"/>
          <w:color w:val="auto"/>
        </w:rPr>
      </w:pPr>
      <w:r>
        <w:rPr>
          <w:rFonts w:ascii="Arial" w:cs="Arial" w:eastAsia="Arial" w:hAnsi="Arial"/>
          <w:sz w:val="17"/>
          <w:szCs w:val="17"/>
          <w:color w:val="auto"/>
        </w:rPr>
        <w:t>The Company is authorized to issue up to 40 million shares of preferred stock. As of December 31, 2020, and December 31, 2019, there were no shares of preferred stock issued or outstanding.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190" w:lineRule="exact"/>
        <w:rPr>
          <w:sz w:val="20"/>
          <w:szCs w:val="20"/>
          <w:color w:val="auto"/>
        </w:rPr>
      </w:pPr>
    </w:p>
    <w:p>
      <w:pPr>
        <w:ind w:right="100" w:firstLine="589"/>
        <w:spacing w:after="0" w:line="258" w:lineRule="auto"/>
        <w:rPr>
          <w:sz w:val="20"/>
          <w:szCs w:val="20"/>
          <w:color w:val="auto"/>
        </w:rPr>
      </w:pPr>
      <w:r>
        <w:rPr>
          <w:rFonts w:ascii="Arial" w:cs="Arial" w:eastAsia="Arial" w:hAnsi="Arial"/>
          <w:sz w:val="17"/>
          <w:szCs w:val="17"/>
          <w:color w:val="auto"/>
        </w:rPr>
        <w:t>The Company’s 2019 Equity Incentive Plan (the “Existing Incentive Plan”) provides for the grant of incentive stock options, non-statutory stock options, stock appreciation rights, restricted stock awards, restricted stock unit awards, and other stock awards to eligible recipients, including employees, directors or consultants of the Company. The Company had 2,231,739 shares of common stock authorized for issuance under the Existing Incentive Plan, of which, 1,400,528 stock options and 16,260 restricted stock awards were granted in 2019. As a result of the adoption of the 2019 Incentive Award Plan (the “2019 Plan”) in October 2019, no further shares are available for issuance under the Existing Incentive Plan.</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Incentive Award Plan</w:t>
      </w:r>
    </w:p>
    <w:p>
      <w:pPr>
        <w:spacing w:after="0" w:line="177" w:lineRule="exact"/>
        <w:rPr>
          <w:sz w:val="20"/>
          <w:szCs w:val="20"/>
          <w:color w:val="auto"/>
        </w:rPr>
      </w:pPr>
    </w:p>
    <w:p>
      <w:pPr>
        <w:ind w:right="20" w:firstLine="589"/>
        <w:spacing w:after="0" w:line="276" w:lineRule="auto"/>
        <w:rPr>
          <w:sz w:val="20"/>
          <w:szCs w:val="20"/>
          <w:color w:val="auto"/>
        </w:rPr>
      </w:pPr>
      <w:r>
        <w:rPr>
          <w:rFonts w:ascii="Arial" w:cs="Arial" w:eastAsia="Arial" w:hAnsi="Arial"/>
          <w:sz w:val="16"/>
          <w:szCs w:val="16"/>
          <w:color w:val="auto"/>
        </w:rPr>
        <w:t>In October 2019, the board of directors adopted, and the Company’s stockholders approved, the 2019 Plan, which became effective in connection with the IPO. Under the 2019 Plan, the Company may grant stock options, stock appreciation rights, restricted stock, restricted stock units and other awards to individuals who are then employees, officers, non-employee directors or consultants of the Company or its subsidiaries. The number of shares initially available for issuance will be increased by (i) the number of shares subject to stock options or similar awards granted under the Existing Incentive Plan that expire or otherwise terminate without having been exercised in full after the effective date of the 2019 Plan and unvested shares issued pursuant to awards granted under the Existing Incentive Plan that are forfeited to or repurchased by the Company after the effective date of the 2019 Plan,</w:t>
      </w: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500" w:right="379" w:bottom="1440" w:gutter="0" w:footer="0" w:header="0"/>
        </w:sectPr>
      </w:pPr>
    </w:p>
    <w:bookmarkStart w:id="144" w:name="page145"/>
    <w:bookmarkEnd w:id="144"/>
    <w:p>
      <w:pPr>
        <w:spacing w:after="0" w:line="288" w:lineRule="auto"/>
        <w:rPr>
          <w:sz w:val="20"/>
          <w:szCs w:val="20"/>
          <w:color w:val="auto"/>
        </w:rPr>
      </w:pPr>
      <w:r>
        <w:rPr>
          <w:rFonts w:ascii="Arial" w:cs="Arial" w:eastAsia="Arial" w:hAnsi="Arial"/>
          <w:sz w:val="15"/>
          <w:szCs w:val="15"/>
          <w:color w:val="auto"/>
        </w:rPr>
        <w:t>with the maximum number of shares to be added to the 2019 Plan pursuant to clause (i) above equal to 1,416,788 shares, and (ii) an annual increase on January 1 of each calendar year beginning in 2020 and ending in 2029, equal to the lesser of (a) 5% of the shares of common stock outstanding on the final day of the immediately preceding calendar year and (b) such smaller number of shares as determined by the board of directors. The Company initially had 2,700,000 shares of common stock available for issuance under the 2019 Plan, of which, 1,376,477 stock options were granted and 220,000 performance-based units were granted during the year ended December 31, 2020. As of December 31, 2020, 2,262,103 shares remain available for issuance, which includes the annual increase of 1,158,580 shares that were authorized on January 1, 2020. An additional 1,250,511 shares were authorized on January 1, 2021.</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Performance-based Units</w:t>
      </w:r>
    </w:p>
    <w:p>
      <w:pPr>
        <w:spacing w:after="0" w:line="179" w:lineRule="exact"/>
        <w:rPr>
          <w:sz w:val="20"/>
          <w:szCs w:val="20"/>
          <w:color w:val="auto"/>
        </w:rPr>
      </w:pPr>
    </w:p>
    <w:p>
      <w:pPr>
        <w:ind w:right="20" w:firstLine="589"/>
        <w:spacing w:after="0" w:line="261" w:lineRule="auto"/>
        <w:rPr>
          <w:sz w:val="20"/>
          <w:szCs w:val="20"/>
          <w:color w:val="auto"/>
        </w:rPr>
      </w:pPr>
      <w:r>
        <w:rPr>
          <w:rFonts w:ascii="Arial" w:cs="Arial" w:eastAsia="Arial" w:hAnsi="Arial"/>
          <w:sz w:val="17"/>
          <w:szCs w:val="17"/>
          <w:color w:val="auto"/>
        </w:rPr>
        <w:t xml:space="preserve">During 2020, the Company granted 220,000 performance-based stock units (“PSU”) whereby vesting depends upon the approval by the U.S. Food and Drug Administration (“FDA”) of vonoprazan for </w:t>
      </w:r>
      <w:r>
        <w:rPr>
          <w:rFonts w:ascii="Arial" w:cs="Arial" w:eastAsia="Arial" w:hAnsi="Arial"/>
          <w:sz w:val="17"/>
          <w:szCs w:val="17"/>
          <w:i w:val="1"/>
          <w:iCs w:val="1"/>
          <w:color w:val="auto"/>
        </w:rPr>
        <w:t>H. pylori</w:t>
      </w:r>
      <w:r>
        <w:rPr>
          <w:rFonts w:ascii="Arial" w:cs="Arial" w:eastAsia="Arial" w:hAnsi="Arial"/>
          <w:sz w:val="17"/>
          <w:szCs w:val="17"/>
          <w:color w:val="auto"/>
        </w:rPr>
        <w:t xml:space="preserve"> and then, or concurrent with, erosive esophagitis. As of December 31, 2020, the PSU milestones had not been achieved. As of December 31, 2020, no related compensation cost had been recognized. The following table summarizes PSU activity under the 2019 Incentive Award Plan during the year ended December 31, 2020.</w:t>
      </w:r>
    </w:p>
    <w:p>
      <w:pPr>
        <w:spacing w:after="0" w:line="16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jc w:val="center"/>
              <w:ind w:right="122"/>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1"/>
        </w:trPr>
        <w:tc>
          <w:tcPr>
            <w:tcW w:w="5400" w:type="dxa"/>
            <w:vAlign w:val="bottom"/>
          </w:tcPr>
          <w:p>
            <w:pPr>
              <w:spacing w:after="0"/>
              <w:rPr>
                <w:sz w:val="12"/>
                <w:szCs w:val="12"/>
                <w:color w:val="auto"/>
              </w:rPr>
            </w:pPr>
          </w:p>
        </w:tc>
        <w:tc>
          <w:tcPr>
            <w:tcW w:w="116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102"/>
              <w:spacing w:after="0" w:line="141" w:lineRule="exact"/>
              <w:rPr>
                <w:sz w:val="20"/>
                <w:szCs w:val="20"/>
                <w:color w:val="auto"/>
              </w:rPr>
            </w:pPr>
            <w:r>
              <w:rPr>
                <w:rFonts w:ascii="Arial" w:cs="Arial" w:eastAsia="Arial" w:hAnsi="Arial"/>
                <w:sz w:val="14"/>
                <w:szCs w:val="14"/>
                <w:b w:val="1"/>
                <w:bCs w:val="1"/>
                <w:color w:val="auto"/>
                <w:w w:val="89"/>
              </w:rPr>
              <w:t>Average Grant</w:t>
            </w:r>
          </w:p>
        </w:tc>
        <w:tc>
          <w:tcPr>
            <w:tcW w:w="0" w:type="dxa"/>
            <w:vAlign w:val="bottom"/>
          </w:tcPr>
          <w:p>
            <w:pPr>
              <w:spacing w:after="0"/>
              <w:rPr>
                <w:sz w:val="1"/>
                <w:szCs w:val="1"/>
                <w:color w:val="auto"/>
              </w:rPr>
            </w:pPr>
          </w:p>
        </w:tc>
      </w:tr>
      <w:tr>
        <w:trPr>
          <w:trHeight w:val="141"/>
        </w:trPr>
        <w:tc>
          <w:tcPr>
            <w:tcW w:w="54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jc w:val="center"/>
              <w:ind w:right="122"/>
              <w:spacing w:after="0" w:line="141" w:lineRule="exact"/>
              <w:rPr>
                <w:sz w:val="20"/>
                <w:szCs w:val="20"/>
                <w:color w:val="auto"/>
              </w:rPr>
            </w:pPr>
            <w:r>
              <w:rPr>
                <w:rFonts w:ascii="Arial" w:cs="Arial" w:eastAsia="Arial" w:hAnsi="Arial"/>
                <w:sz w:val="14"/>
                <w:szCs w:val="14"/>
                <w:b w:val="1"/>
                <w:bCs w:val="1"/>
                <w:color w:val="auto"/>
                <w:w w:val="90"/>
              </w:rPr>
              <w:t>Date Fair Value</w:t>
            </w:r>
          </w:p>
        </w:tc>
        <w:tc>
          <w:tcPr>
            <w:tcW w:w="0" w:type="dxa"/>
            <w:vAlign w:val="bottom"/>
          </w:tcPr>
          <w:p>
            <w:pPr>
              <w:spacing w:after="0"/>
              <w:rPr>
                <w:sz w:val="1"/>
                <w:szCs w:val="1"/>
                <w:color w:val="auto"/>
              </w:rPr>
            </w:pPr>
          </w:p>
        </w:tc>
      </w:tr>
      <w:tr>
        <w:trPr>
          <w:trHeight w:val="164"/>
        </w:trPr>
        <w:tc>
          <w:tcPr>
            <w:tcW w:w="540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Stock Units</w:t>
            </w: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8"/>
              </w:rPr>
              <w:t>Per Share</w:t>
            </w:r>
          </w:p>
        </w:tc>
        <w:tc>
          <w:tcPr>
            <w:tcW w:w="0" w:type="dxa"/>
            <w:vAlign w:val="bottom"/>
          </w:tcPr>
          <w:p>
            <w:pPr>
              <w:spacing w:after="0"/>
              <w:rPr>
                <w:sz w:val="1"/>
                <w:szCs w:val="1"/>
                <w:color w:val="auto"/>
              </w:rPr>
            </w:pPr>
          </w:p>
        </w:tc>
      </w:tr>
      <w:tr>
        <w:trPr>
          <w:trHeight w:val="211"/>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Unvested balance at December 31, 2019</w:t>
            </w: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400" w:type="dxa"/>
            <w:vAlign w:val="bottom"/>
          </w:tcPr>
          <w:p>
            <w:pPr>
              <w:ind w:left="220"/>
              <w:spacing w:after="0"/>
              <w:rPr>
                <w:sz w:val="20"/>
                <w:szCs w:val="20"/>
                <w:color w:val="auto"/>
              </w:rPr>
            </w:pPr>
            <w:r>
              <w:rPr>
                <w:rFonts w:ascii="Arial" w:cs="Arial" w:eastAsia="Arial" w:hAnsi="Arial"/>
                <w:sz w:val="17"/>
                <w:szCs w:val="17"/>
                <w:color w:val="auto"/>
              </w:rPr>
              <w:t>Granted</w:t>
            </w:r>
          </w:p>
        </w:tc>
        <w:tc>
          <w:tcPr>
            <w:tcW w:w="1160" w:type="dxa"/>
            <w:vAlign w:val="bottom"/>
          </w:tcPr>
          <w:p>
            <w:pPr>
              <w:jc w:val="right"/>
              <w:ind w:right="19"/>
              <w:spacing w:after="0"/>
              <w:rPr>
                <w:sz w:val="20"/>
                <w:szCs w:val="20"/>
                <w:color w:val="auto"/>
              </w:rPr>
            </w:pPr>
            <w:r>
              <w:rPr>
                <w:rFonts w:ascii="Arial" w:cs="Arial" w:eastAsia="Arial" w:hAnsi="Arial"/>
                <w:sz w:val="17"/>
                <w:szCs w:val="17"/>
                <w:color w:val="auto"/>
              </w:rPr>
              <w:t>220,000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ind w:right="22"/>
              <w:spacing w:after="0"/>
              <w:rPr>
                <w:sz w:val="20"/>
                <w:szCs w:val="20"/>
                <w:color w:val="auto"/>
              </w:rPr>
            </w:pPr>
            <w:r>
              <w:rPr>
                <w:rFonts w:ascii="Arial" w:cs="Arial" w:eastAsia="Arial" w:hAnsi="Arial"/>
                <w:sz w:val="17"/>
                <w:szCs w:val="17"/>
                <w:color w:val="auto"/>
              </w:rPr>
              <w:t>32.48</w:t>
            </w:r>
          </w:p>
        </w:tc>
        <w:tc>
          <w:tcPr>
            <w:tcW w:w="0" w:type="dxa"/>
            <w:vAlign w:val="bottom"/>
          </w:tcPr>
          <w:p>
            <w:pPr>
              <w:spacing w:after="0"/>
              <w:rPr>
                <w:sz w:val="1"/>
                <w:szCs w:val="1"/>
                <w:color w:val="auto"/>
              </w:rPr>
            </w:pPr>
          </w:p>
        </w:tc>
      </w:tr>
      <w:tr>
        <w:trPr>
          <w:trHeight w:val="219"/>
        </w:trPr>
        <w:tc>
          <w:tcPr>
            <w:tcW w:w="5400" w:type="dxa"/>
            <w:vAlign w:val="bottom"/>
            <w:shd w:val="clear" w:color="auto" w:fill="CFF0FC"/>
          </w:tcPr>
          <w:p>
            <w:pPr>
              <w:ind w:left="220"/>
              <w:spacing w:after="0"/>
              <w:rPr>
                <w:sz w:val="20"/>
                <w:szCs w:val="20"/>
                <w:color w:val="auto"/>
              </w:rPr>
            </w:pPr>
            <w:r>
              <w:rPr>
                <w:rFonts w:ascii="Arial" w:cs="Arial" w:eastAsia="Arial" w:hAnsi="Arial"/>
                <w:sz w:val="17"/>
                <w:szCs w:val="17"/>
                <w:color w:val="auto"/>
              </w:rPr>
              <w:t>Vested</w:t>
            </w: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2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40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Forfeited</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2"/>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5400" w:type="dxa"/>
            <w:vAlign w:val="bottom"/>
            <w:shd w:val="clear" w:color="auto" w:fill="CFF0FC"/>
          </w:tcPr>
          <w:p>
            <w:pPr>
              <w:spacing w:after="0"/>
              <w:rPr>
                <w:sz w:val="20"/>
                <w:szCs w:val="20"/>
                <w:color w:val="auto"/>
              </w:rPr>
            </w:pPr>
            <w:r>
              <w:rPr>
                <w:rFonts w:ascii="Arial" w:cs="Arial" w:eastAsia="Arial" w:hAnsi="Arial"/>
                <w:sz w:val="17"/>
                <w:szCs w:val="17"/>
                <w:color w:val="auto"/>
              </w:rPr>
              <w:t>Unvested balance at December 31, 2020</w:t>
            </w:r>
          </w:p>
        </w:tc>
        <w:tc>
          <w:tcPr>
            <w:tcW w:w="11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7"/>
                <w:szCs w:val="17"/>
                <w:color w:val="auto"/>
              </w:rPr>
              <w:t>220,000</w:t>
            </w:r>
          </w:p>
        </w:tc>
        <w:tc>
          <w:tcPr>
            <w:tcW w:w="1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ind w:right="22"/>
              <w:spacing w:after="0"/>
              <w:rPr>
                <w:sz w:val="20"/>
                <w:szCs w:val="20"/>
                <w:color w:val="auto"/>
              </w:rPr>
            </w:pPr>
            <w:r>
              <w:rPr>
                <w:rFonts w:ascii="Arial" w:cs="Arial" w:eastAsia="Arial" w:hAnsi="Arial"/>
                <w:sz w:val="17"/>
                <w:szCs w:val="17"/>
                <w:color w:val="auto"/>
              </w:rPr>
              <w:t>32.48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480" w:firstLine="589"/>
        <w:spacing w:after="0" w:line="278" w:lineRule="auto"/>
        <w:rPr>
          <w:sz w:val="20"/>
          <w:szCs w:val="20"/>
          <w:color w:val="auto"/>
        </w:rPr>
      </w:pPr>
      <w:r>
        <w:rPr>
          <w:rFonts w:ascii="Arial" w:cs="Arial" w:eastAsia="Arial" w:hAnsi="Arial"/>
          <w:sz w:val="17"/>
          <w:szCs w:val="17"/>
          <w:color w:val="auto"/>
        </w:rPr>
        <w:t>As of December 31, 2020 there was approximately $7.1 million of related unrecognized compensation cost, which will begin to be recognized when vesting is probable.</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77" w:lineRule="exact"/>
        <w:rPr>
          <w:sz w:val="20"/>
          <w:szCs w:val="20"/>
          <w:color w:val="auto"/>
        </w:rPr>
      </w:pPr>
    </w:p>
    <w:p>
      <w:pPr>
        <w:ind w:firstLine="589"/>
        <w:spacing w:after="0" w:line="273" w:lineRule="auto"/>
        <w:rPr>
          <w:sz w:val="20"/>
          <w:szCs w:val="20"/>
          <w:color w:val="auto"/>
        </w:rPr>
      </w:pPr>
      <w:r>
        <w:rPr>
          <w:rFonts w:ascii="Arial" w:cs="Arial" w:eastAsia="Arial" w:hAnsi="Arial"/>
          <w:sz w:val="16"/>
          <w:szCs w:val="16"/>
          <w:color w:val="auto"/>
        </w:rPr>
        <w:t>In October 2019, the board of directors adopted, and the Company’s stockholders approved, the Employee Stock Purchase Plan (the “ESPP”), which became effective in connection with the IPO. The ESPP permits participants to purchase common stock through payroll deductions of up to 20% of their eligible compensation, which includes a participant’s gross base compensation for services to the Company, including overtime payments and excluding sales commissions, incentive compensation, bonuses, expense reimbursements, fringe benefits and other special payments. A total of 270,000 shares of common stock was initially reserved for issuance under the ESPP. In addition, the number of shares available for issuance under the ESPP will be annually increased on January 1 of each calendar year beginning in 2020 and ending in 2029, by an amount equal to the lesser of: (i) 1% of the shares outstanding on the final day of the immediately preceding calendar year and (ii) such smaller number of shares as is determined by the board of directors. As of December 31, 2020, 559,645 shares of common stock remain available for issuance, which includes the annual increase of 289,645 shares that were authorized on January 1, 2020. An additional 312,628 shares were authorized on January 1, 2021.</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00" w:right="339" w:bottom="1440" w:gutter="0" w:footer="0" w:header="0"/>
        </w:sectPr>
      </w:pPr>
    </w:p>
    <w:bookmarkStart w:id="145" w:name="page146"/>
    <w:bookmarkEnd w:id="145"/>
    <w:p>
      <w:pPr>
        <w:ind w:right="120" w:firstLine="589"/>
        <w:spacing w:after="0" w:line="347" w:lineRule="auto"/>
        <w:rPr>
          <w:sz w:val="20"/>
          <w:szCs w:val="20"/>
          <w:color w:val="auto"/>
        </w:rPr>
      </w:pPr>
      <w:r>
        <w:rPr>
          <w:rFonts w:ascii="Arial" w:cs="Arial" w:eastAsia="Arial" w:hAnsi="Arial"/>
          <w:sz w:val="15"/>
          <w:szCs w:val="15"/>
          <w:color w:val="auto"/>
        </w:rPr>
        <w:t>The ESPP is considered a compensatory plan, and the Company recorded related stock-based compensation of $0.3 million for the year ended December 31, 2020. The weighted-average assumptions used to estimate the fair value of ESPP awards using the Black-Scholes option valuation model were as follows:</w:t>
      </w:r>
    </w:p>
    <w:p>
      <w:pPr>
        <w:spacing w:after="0" w:line="117"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Years Ended</w:t>
      </w:r>
    </w:p>
    <w:p>
      <w:pPr>
        <w:ind w:left="722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47"/>
        </w:trPr>
        <w:tc>
          <w:tcPr>
            <w:tcW w:w="4080" w:type="dxa"/>
            <w:vAlign w:val="bottom"/>
            <w:tcBorders>
              <w:bottom w:val="single" w:sz="8" w:color="CFF0FC"/>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92"/>
              <w:spacing w:after="0" w:line="147"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FF0FC"/>
            </w:tcBorders>
          </w:tcPr>
          <w:p>
            <w:pPr>
              <w:spacing w:after="0"/>
              <w:rPr>
                <w:sz w:val="12"/>
                <w:szCs w:val="12"/>
                <w:color w:val="auto"/>
              </w:rPr>
            </w:pPr>
          </w:p>
        </w:tc>
        <w:tc>
          <w:tcPr>
            <w:tcW w:w="1780" w:type="dxa"/>
            <w:vAlign w:val="bottom"/>
            <w:tcBorders>
              <w:top w:val="single" w:sz="8" w:color="auto"/>
              <w:bottom w:val="single" w:sz="8" w:color="auto"/>
            </w:tcBorders>
          </w:tcPr>
          <w:p>
            <w:pPr>
              <w:ind w:left="700"/>
              <w:spacing w:after="0" w:line="147" w:lineRule="exact"/>
              <w:rPr>
                <w:sz w:val="20"/>
                <w:szCs w:val="20"/>
                <w:color w:val="auto"/>
              </w:rPr>
            </w:pPr>
            <w:r>
              <w:rPr>
                <w:rFonts w:ascii="Arial" w:cs="Arial" w:eastAsia="Arial" w:hAnsi="Arial"/>
                <w:sz w:val="14"/>
                <w:szCs w:val="14"/>
                <w:b w:val="1"/>
                <w:bCs w:val="1"/>
                <w:color w:val="auto"/>
              </w:rPr>
              <w:t>2019</w:t>
            </w:r>
          </w:p>
        </w:tc>
      </w:tr>
      <w:tr>
        <w:trPr>
          <w:trHeight w:val="211"/>
        </w:trPr>
        <w:tc>
          <w:tcPr>
            <w:tcW w:w="522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Assumptions:</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18"/>
        </w:trPr>
        <w:tc>
          <w:tcPr>
            <w:tcW w:w="5220" w:type="dxa"/>
            <w:vAlign w:val="bottom"/>
            <w:gridSpan w:val="2"/>
          </w:tcPr>
          <w:p>
            <w:pPr>
              <w:ind w:left="220"/>
              <w:spacing w:after="0"/>
              <w:rPr>
                <w:sz w:val="20"/>
                <w:szCs w:val="20"/>
                <w:color w:val="auto"/>
              </w:rPr>
            </w:pPr>
            <w:r>
              <w:rPr>
                <w:rFonts w:ascii="Arial" w:cs="Arial" w:eastAsia="Arial" w:hAnsi="Arial"/>
                <w:sz w:val="17"/>
                <w:szCs w:val="17"/>
                <w:color w:val="auto"/>
              </w:rPr>
              <w:t>Expected term (in years)</w:t>
            </w:r>
          </w:p>
        </w:tc>
        <w:tc>
          <w:tcPr>
            <w:tcW w:w="720" w:type="dxa"/>
            <w:vAlign w:val="bottom"/>
          </w:tcPr>
          <w:p>
            <w:pPr>
              <w:jc w:val="right"/>
              <w:ind w:right="94"/>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18"/>
                <w:szCs w:val="18"/>
                <w:color w:val="auto"/>
              </w:rPr>
            </w:pPr>
          </w:p>
        </w:tc>
        <w:tc>
          <w:tcPr>
            <w:tcW w:w="1780" w:type="dxa"/>
            <w:vAlign w:val="bottom"/>
          </w:tcPr>
          <w:p>
            <w:pPr>
              <w:ind w:left="1520"/>
              <w:spacing w:after="0"/>
              <w:rPr>
                <w:sz w:val="20"/>
                <w:szCs w:val="20"/>
                <w:color w:val="auto"/>
              </w:rPr>
            </w:pPr>
            <w:r>
              <w:rPr>
                <w:rFonts w:ascii="Arial" w:cs="Arial" w:eastAsia="Arial" w:hAnsi="Arial"/>
                <w:sz w:val="17"/>
                <w:szCs w:val="17"/>
                <w:color w:val="auto"/>
              </w:rPr>
              <w:t>—</w:t>
            </w:r>
          </w:p>
        </w:tc>
      </w:tr>
      <w:tr>
        <w:trPr>
          <w:trHeight w:val="219"/>
        </w:trPr>
        <w:tc>
          <w:tcPr>
            <w:tcW w:w="522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Expected volatility</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76.25%</w:t>
            </w:r>
          </w:p>
        </w:tc>
        <w:tc>
          <w:tcPr>
            <w:tcW w:w="140" w:type="dxa"/>
            <w:vAlign w:val="bottom"/>
            <w:shd w:val="clear" w:color="auto" w:fill="CFF0FC"/>
          </w:tcPr>
          <w:p>
            <w:pPr>
              <w:spacing w:after="0"/>
              <w:rPr>
                <w:sz w:val="19"/>
                <w:szCs w:val="19"/>
                <w:color w:val="auto"/>
              </w:rPr>
            </w:pPr>
          </w:p>
        </w:tc>
        <w:tc>
          <w:tcPr>
            <w:tcW w:w="1780" w:type="dxa"/>
            <w:vAlign w:val="bottom"/>
            <w:shd w:val="clear" w:color="auto" w:fill="CFF0FC"/>
          </w:tcPr>
          <w:p>
            <w:pPr>
              <w:ind w:left="1520"/>
              <w:spacing w:after="0"/>
              <w:rPr>
                <w:sz w:val="20"/>
                <w:szCs w:val="20"/>
                <w:color w:val="auto"/>
              </w:rPr>
            </w:pPr>
            <w:r>
              <w:rPr>
                <w:rFonts w:ascii="Arial" w:cs="Arial" w:eastAsia="Arial" w:hAnsi="Arial"/>
                <w:sz w:val="17"/>
                <w:szCs w:val="17"/>
                <w:color w:val="auto"/>
              </w:rPr>
              <w:t>—</w:t>
            </w:r>
          </w:p>
        </w:tc>
      </w:tr>
      <w:tr>
        <w:trPr>
          <w:trHeight w:val="218"/>
        </w:trPr>
        <w:tc>
          <w:tcPr>
            <w:tcW w:w="5220" w:type="dxa"/>
            <w:vAlign w:val="bottom"/>
            <w:gridSpan w:val="2"/>
          </w:tcPr>
          <w:p>
            <w:pPr>
              <w:ind w:left="220"/>
              <w:spacing w:after="0"/>
              <w:rPr>
                <w:sz w:val="20"/>
                <w:szCs w:val="20"/>
                <w:color w:val="auto"/>
              </w:rPr>
            </w:pPr>
            <w:r>
              <w:rPr>
                <w:rFonts w:ascii="Arial" w:cs="Arial" w:eastAsia="Arial" w:hAnsi="Arial"/>
                <w:sz w:val="17"/>
                <w:szCs w:val="17"/>
                <w:color w:val="auto"/>
              </w:rPr>
              <w:t>Risk free interest rate</w:t>
            </w:r>
          </w:p>
        </w:tc>
        <w:tc>
          <w:tcPr>
            <w:tcW w:w="720" w:type="dxa"/>
            <w:vAlign w:val="bottom"/>
          </w:tcPr>
          <w:p>
            <w:pPr>
              <w:jc w:val="right"/>
              <w:spacing w:after="0"/>
              <w:rPr>
                <w:sz w:val="20"/>
                <w:szCs w:val="20"/>
                <w:color w:val="auto"/>
              </w:rPr>
            </w:pPr>
            <w:r>
              <w:rPr>
                <w:rFonts w:ascii="Arial" w:cs="Arial" w:eastAsia="Arial" w:hAnsi="Arial"/>
                <w:sz w:val="17"/>
                <w:szCs w:val="17"/>
                <w:color w:val="auto"/>
              </w:rPr>
              <w:t>0.15%</w:t>
            </w:r>
          </w:p>
        </w:tc>
        <w:tc>
          <w:tcPr>
            <w:tcW w:w="140" w:type="dxa"/>
            <w:vAlign w:val="bottom"/>
          </w:tcPr>
          <w:p>
            <w:pPr>
              <w:spacing w:after="0"/>
              <w:rPr>
                <w:sz w:val="18"/>
                <w:szCs w:val="18"/>
                <w:color w:val="auto"/>
              </w:rPr>
            </w:pPr>
          </w:p>
        </w:tc>
        <w:tc>
          <w:tcPr>
            <w:tcW w:w="1780" w:type="dxa"/>
            <w:vAlign w:val="bottom"/>
          </w:tcPr>
          <w:p>
            <w:pPr>
              <w:ind w:left="1520"/>
              <w:spacing w:after="0"/>
              <w:rPr>
                <w:sz w:val="20"/>
                <w:szCs w:val="20"/>
                <w:color w:val="auto"/>
              </w:rPr>
            </w:pPr>
            <w:r>
              <w:rPr>
                <w:rFonts w:ascii="Arial" w:cs="Arial" w:eastAsia="Arial" w:hAnsi="Arial"/>
                <w:sz w:val="17"/>
                <w:szCs w:val="17"/>
                <w:color w:val="auto"/>
              </w:rPr>
              <w:t>—</w:t>
            </w:r>
          </w:p>
        </w:tc>
      </w:tr>
      <w:tr>
        <w:trPr>
          <w:trHeight w:val="219"/>
        </w:trPr>
        <w:tc>
          <w:tcPr>
            <w:tcW w:w="522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Dividend yield</w:t>
            </w:r>
          </w:p>
        </w:tc>
        <w:tc>
          <w:tcPr>
            <w:tcW w:w="86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780" w:type="dxa"/>
            <w:vAlign w:val="bottom"/>
            <w:shd w:val="clear" w:color="auto" w:fill="CFF0FC"/>
          </w:tcPr>
          <w:p>
            <w:pPr>
              <w:ind w:left="1520"/>
              <w:spacing w:after="0"/>
              <w:rPr>
                <w:sz w:val="20"/>
                <w:szCs w:val="20"/>
                <w:color w:val="auto"/>
              </w:rPr>
            </w:pPr>
            <w:r>
              <w:rPr>
                <w:rFonts w:ascii="Arial" w:cs="Arial" w:eastAsia="Arial" w:hAnsi="Arial"/>
                <w:sz w:val="17"/>
                <w:szCs w:val="17"/>
                <w:color w:val="auto"/>
              </w:rPr>
              <w:t>—</w:t>
            </w:r>
          </w:p>
        </w:tc>
      </w:tr>
    </w:tbl>
    <w:p>
      <w:pPr>
        <w:spacing w:after="0" w:line="193" w:lineRule="exact"/>
        <w:rPr>
          <w:sz w:val="20"/>
          <w:szCs w:val="20"/>
          <w:color w:val="auto"/>
        </w:rPr>
      </w:pPr>
    </w:p>
    <w:p>
      <w:pPr>
        <w:ind w:right="400" w:firstLine="589"/>
        <w:spacing w:after="0" w:line="347" w:lineRule="auto"/>
        <w:rPr>
          <w:sz w:val="20"/>
          <w:szCs w:val="20"/>
          <w:color w:val="auto"/>
        </w:rPr>
      </w:pPr>
      <w:r>
        <w:rPr>
          <w:rFonts w:ascii="Arial" w:cs="Arial" w:eastAsia="Arial" w:hAnsi="Arial"/>
          <w:sz w:val="15"/>
          <w:szCs w:val="15"/>
          <w:color w:val="auto"/>
        </w:rPr>
        <w:t>The estimated weighted-average fair value of ESPP awards during 2020 was $13.66. As of December 31, 2020, the total unrecognized compensation expense related to the ESPP was $0.2 million, which is expected to be recognized over a weighted-average period of approximately 0.6 years.</w:t>
      </w:r>
    </w:p>
    <w:p>
      <w:pPr>
        <w:spacing w:after="0" w:line="9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December 31, 2020, no shares of common stock had been issued under the ESPP.</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77" w:lineRule="exact"/>
        <w:rPr>
          <w:sz w:val="20"/>
          <w:szCs w:val="20"/>
          <w:color w:val="auto"/>
        </w:rPr>
      </w:pPr>
    </w:p>
    <w:p>
      <w:pPr>
        <w:ind w:firstLine="589"/>
        <w:spacing w:after="0" w:line="275" w:lineRule="auto"/>
        <w:rPr>
          <w:sz w:val="20"/>
          <w:szCs w:val="20"/>
          <w:color w:val="auto"/>
        </w:rPr>
      </w:pPr>
      <w:r>
        <w:rPr>
          <w:rFonts w:ascii="Arial" w:cs="Arial" w:eastAsia="Arial" w:hAnsi="Arial"/>
          <w:sz w:val="16"/>
          <w:szCs w:val="16"/>
          <w:color w:val="auto"/>
        </w:rPr>
        <w:t>The fair value of each employee and non-employee stock option grant is estimated on the date of grant using the Black-Scholes option-pricing model. The Company, prior to the IPO on October 29, 2019, was a private company and lacked company-specific historical and implied volatility information. Therefore, it estimated its expected volatility based on the historical volatility of a publicly-traded set of peer companies. Due to the lack of historical exercise history, the expected term of the Company’s stock options for employees was determined utilizing the “simplified” method for awards. The expected term of stock options granted to non-employees was equal to the contractual term of the option award. The risk-free interest rate was determined by reference to the U.S. Treasury yield curve in effect at the time of grant of the award for time periods approximately equal to the expected term of the award. Expected dividend yield was zero based on the fact that the Company has never paid cash dividends and does not expect to pay any cash dividends in the foreseeable future.</w:t>
      </w:r>
    </w:p>
    <w:p>
      <w:pPr>
        <w:spacing w:after="0" w:line="13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summary of the Company’s stock option activity and related information is as follows:</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8"/>
              </w:rPr>
              <w:t>Weighted-</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000" w:type="dxa"/>
            <w:vAlign w:val="bottom"/>
            <w:vMerge w:val="restart"/>
          </w:tcPr>
          <w:p>
            <w:pPr>
              <w:jc w:val="center"/>
              <w:ind w:right="183"/>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1"/>
        </w:trPr>
        <w:tc>
          <w:tcPr>
            <w:tcW w:w="5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5280" w:type="dxa"/>
            <w:vAlign w:val="bottom"/>
          </w:tcPr>
          <w:p>
            <w:pPr>
              <w:spacing w:after="0"/>
              <w:rPr>
                <w:sz w:val="12"/>
                <w:szCs w:val="12"/>
                <w:color w:val="auto"/>
              </w:rPr>
            </w:pPr>
          </w:p>
        </w:tc>
        <w:tc>
          <w:tcPr>
            <w:tcW w:w="11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3"/>
              </w:rPr>
              <w:t>Average</w:t>
            </w:r>
          </w:p>
        </w:tc>
        <w:tc>
          <w:tcPr>
            <w:tcW w:w="124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89"/>
              </w:rPr>
              <w:t>Remaining</w:t>
            </w:r>
          </w:p>
        </w:tc>
        <w:tc>
          <w:tcPr>
            <w:tcW w:w="140" w:type="dxa"/>
            <w:vAlign w:val="bottom"/>
          </w:tcPr>
          <w:p>
            <w:pPr>
              <w:spacing w:after="0"/>
              <w:rPr>
                <w:sz w:val="12"/>
                <w:szCs w:val="12"/>
                <w:color w:val="auto"/>
              </w:rPr>
            </w:pPr>
          </w:p>
        </w:tc>
        <w:tc>
          <w:tcPr>
            <w:tcW w:w="1000" w:type="dxa"/>
            <w:vAlign w:val="bottom"/>
          </w:tcPr>
          <w:p>
            <w:pPr>
              <w:jc w:val="center"/>
              <w:ind w:right="183"/>
              <w:spacing w:after="0" w:line="141"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1"/>
        </w:trPr>
        <w:tc>
          <w:tcPr>
            <w:tcW w:w="5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w w:val="86"/>
              </w:rPr>
              <w:t>Exercise</w:t>
            </w:r>
          </w:p>
        </w:tc>
        <w:tc>
          <w:tcPr>
            <w:tcW w:w="12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w w:val="89"/>
              </w:rPr>
              <w:t>Contractual</w:t>
            </w:r>
          </w:p>
        </w:tc>
        <w:tc>
          <w:tcPr>
            <w:tcW w:w="140" w:type="dxa"/>
            <w:vAlign w:val="bottom"/>
          </w:tcPr>
          <w:p>
            <w:pPr>
              <w:spacing w:after="0"/>
              <w:rPr>
                <w:sz w:val="12"/>
                <w:szCs w:val="12"/>
                <w:color w:val="auto"/>
              </w:rPr>
            </w:pPr>
          </w:p>
        </w:tc>
        <w:tc>
          <w:tcPr>
            <w:tcW w:w="1000" w:type="dxa"/>
            <w:vAlign w:val="bottom"/>
          </w:tcPr>
          <w:p>
            <w:pPr>
              <w:jc w:val="center"/>
              <w:ind w:right="183"/>
              <w:spacing w:after="0" w:line="141" w:lineRule="exact"/>
              <w:rPr>
                <w:sz w:val="20"/>
                <w:szCs w:val="20"/>
                <w:color w:val="auto"/>
              </w:rPr>
            </w:pPr>
            <w:r>
              <w:rPr>
                <w:rFonts w:ascii="Arial" w:cs="Arial" w:eastAsia="Arial" w:hAnsi="Arial"/>
                <w:sz w:val="14"/>
                <w:szCs w:val="14"/>
                <w:b w:val="1"/>
                <w:bCs w:val="1"/>
                <w:color w:val="auto"/>
                <w:w w:val="92"/>
              </w:rPr>
              <w:t>Value (in</w:t>
            </w:r>
          </w:p>
        </w:tc>
        <w:tc>
          <w:tcPr>
            <w:tcW w:w="0" w:type="dxa"/>
            <w:vAlign w:val="bottom"/>
          </w:tcPr>
          <w:p>
            <w:pPr>
              <w:spacing w:after="0"/>
              <w:rPr>
                <w:sz w:val="1"/>
                <w:szCs w:val="1"/>
                <w:color w:val="auto"/>
              </w:rPr>
            </w:pPr>
          </w:p>
        </w:tc>
      </w:tr>
      <w:tr>
        <w:trPr>
          <w:trHeight w:val="164"/>
        </w:trPr>
        <w:tc>
          <w:tcPr>
            <w:tcW w:w="528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87"/>
              </w:rPr>
              <w:t>Price</w:t>
            </w:r>
          </w:p>
        </w:tc>
        <w:tc>
          <w:tcPr>
            <w:tcW w:w="1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Term</w:t>
            </w: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w w:val="84"/>
              </w:rPr>
              <w:t>thousands)</w:t>
            </w:r>
          </w:p>
        </w:tc>
        <w:tc>
          <w:tcPr>
            <w:tcW w:w="0" w:type="dxa"/>
            <w:vAlign w:val="bottom"/>
          </w:tcPr>
          <w:p>
            <w:pPr>
              <w:spacing w:after="0"/>
              <w:rPr>
                <w:sz w:val="1"/>
                <w:szCs w:val="1"/>
                <w:color w:val="auto"/>
              </w:rPr>
            </w:pPr>
          </w:p>
        </w:tc>
      </w:tr>
      <w:tr>
        <w:trPr>
          <w:trHeight w:val="211"/>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Balance at December 31, 2019</w:t>
            </w: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1,400,528</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9.10</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7"/>
                <w:szCs w:val="17"/>
                <w:color w:val="auto"/>
              </w:rPr>
              <w:t>9.69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7"/>
                <w:szCs w:val="17"/>
                <w:color w:val="auto"/>
              </w:rPr>
              <w:t>30,874</w:t>
            </w:r>
          </w:p>
        </w:tc>
        <w:tc>
          <w:tcPr>
            <w:tcW w:w="0" w:type="dxa"/>
            <w:vAlign w:val="bottom"/>
          </w:tcPr>
          <w:p>
            <w:pPr>
              <w:spacing w:after="0"/>
              <w:rPr>
                <w:sz w:val="1"/>
                <w:szCs w:val="1"/>
                <w:color w:val="auto"/>
              </w:rPr>
            </w:pPr>
          </w:p>
        </w:tc>
      </w:tr>
      <w:tr>
        <w:trPr>
          <w:trHeight w:val="218"/>
        </w:trPr>
        <w:tc>
          <w:tcPr>
            <w:tcW w:w="5280" w:type="dxa"/>
            <w:vAlign w:val="bottom"/>
          </w:tcPr>
          <w:p>
            <w:pPr>
              <w:ind w:left="240"/>
              <w:spacing w:after="0"/>
              <w:rPr>
                <w:sz w:val="20"/>
                <w:szCs w:val="20"/>
                <w:color w:val="auto"/>
              </w:rPr>
            </w:pPr>
            <w:r>
              <w:rPr>
                <w:rFonts w:ascii="Arial" w:cs="Arial" w:eastAsia="Arial" w:hAnsi="Arial"/>
                <w:sz w:val="17"/>
                <w:szCs w:val="17"/>
                <w:color w:val="auto"/>
              </w:rPr>
              <w:t>Options granted</w:t>
            </w: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1,376,477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21"/>
              <w:spacing w:after="0"/>
              <w:rPr>
                <w:sz w:val="20"/>
                <w:szCs w:val="20"/>
                <w:color w:val="auto"/>
              </w:rPr>
            </w:pPr>
            <w:r>
              <w:rPr>
                <w:rFonts w:ascii="Arial" w:cs="Arial" w:eastAsia="Arial" w:hAnsi="Arial"/>
                <w:sz w:val="17"/>
                <w:szCs w:val="17"/>
                <w:color w:val="auto"/>
              </w:rPr>
              <w:t>33.55</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Options exercised and shares vested</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(48,263)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13.04</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280" w:type="dxa"/>
            <w:vAlign w:val="bottom"/>
            <w:tcBorders>
              <w:bottom w:val="single" w:sz="8" w:color="CFF0FC"/>
            </w:tcBorders>
          </w:tcPr>
          <w:p>
            <w:pPr>
              <w:ind w:left="240"/>
              <w:spacing w:after="0"/>
              <w:rPr>
                <w:sz w:val="20"/>
                <w:szCs w:val="20"/>
                <w:color w:val="auto"/>
              </w:rPr>
            </w:pPr>
            <w:r>
              <w:rPr>
                <w:rFonts w:ascii="Arial" w:cs="Arial" w:eastAsia="Arial" w:hAnsi="Arial"/>
                <w:sz w:val="17"/>
                <w:szCs w:val="17"/>
                <w:color w:val="auto"/>
              </w:rPr>
              <w:t>Options cancelled</w:t>
            </w: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80" w:type="dxa"/>
            <w:vAlign w:val="bottom"/>
            <w:shd w:val="clear" w:color="auto" w:fill="CFF0FC"/>
          </w:tcPr>
          <w:p>
            <w:pPr>
              <w:spacing w:after="0"/>
              <w:rPr>
                <w:sz w:val="20"/>
                <w:szCs w:val="20"/>
                <w:color w:val="auto"/>
              </w:rPr>
            </w:pPr>
            <w:r>
              <w:rPr>
                <w:rFonts w:ascii="Arial" w:cs="Arial" w:eastAsia="Arial" w:hAnsi="Arial"/>
                <w:sz w:val="17"/>
                <w:szCs w:val="17"/>
                <w:color w:val="auto"/>
              </w:rPr>
              <w:t>Balance at December 31, 2020</w:t>
            </w: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2,728,742</w:t>
            </w: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21.36</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7"/>
                <w:szCs w:val="17"/>
                <w:color w:val="auto"/>
              </w:rPr>
              <w:t>9.10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7"/>
                <w:szCs w:val="17"/>
                <w:color w:val="auto"/>
              </w:rPr>
              <w:t>34,432</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7"/>
                <w:szCs w:val="17"/>
                <w:color w:val="auto"/>
              </w:rPr>
              <w:t>Options exercisable as of December 31, 2020</w:t>
            </w:r>
          </w:p>
        </w:tc>
        <w:tc>
          <w:tcPr>
            <w:tcW w:w="1100" w:type="dxa"/>
            <w:vAlign w:val="bottom"/>
            <w:tcBorders>
              <w:top w:val="single" w:sz="8" w:color="auto"/>
            </w:tcBorders>
          </w:tcPr>
          <w:p>
            <w:pPr>
              <w:jc w:val="right"/>
              <w:ind w:right="18"/>
              <w:spacing w:after="0"/>
              <w:rPr>
                <w:sz w:val="20"/>
                <w:szCs w:val="20"/>
                <w:color w:val="auto"/>
              </w:rPr>
            </w:pPr>
            <w:r>
              <w:rPr>
                <w:rFonts w:ascii="Arial" w:cs="Arial" w:eastAsia="Arial" w:hAnsi="Arial"/>
                <w:sz w:val="17"/>
                <w:szCs w:val="17"/>
                <w:color w:val="auto"/>
              </w:rPr>
              <w:t>345,043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7"/>
                <w:szCs w:val="17"/>
                <w:color w:val="auto"/>
              </w:rPr>
              <w:t>8.98</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24"/>
              <w:spacing w:after="0"/>
              <w:rPr>
                <w:sz w:val="20"/>
                <w:szCs w:val="20"/>
                <w:color w:val="auto"/>
              </w:rPr>
            </w:pPr>
            <w:r>
              <w:rPr>
                <w:rFonts w:ascii="Arial" w:cs="Arial" w:eastAsia="Arial" w:hAnsi="Arial"/>
                <w:sz w:val="17"/>
                <w:szCs w:val="17"/>
                <w:color w:val="auto"/>
              </w:rPr>
              <w:t>8.68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43"/>
              <w:spacing w:after="0"/>
              <w:rPr>
                <w:sz w:val="20"/>
                <w:szCs w:val="20"/>
                <w:color w:val="auto"/>
              </w:rPr>
            </w:pPr>
            <w:r>
              <w:rPr>
                <w:rFonts w:ascii="Arial" w:cs="Arial" w:eastAsia="Arial" w:hAnsi="Arial"/>
                <w:sz w:val="17"/>
                <w:szCs w:val="17"/>
                <w:color w:val="auto"/>
              </w:rPr>
              <w:t>8,362</w:t>
            </w:r>
          </w:p>
        </w:tc>
        <w:tc>
          <w:tcPr>
            <w:tcW w:w="0" w:type="dxa"/>
            <w:vAlign w:val="bottom"/>
          </w:tcPr>
          <w:p>
            <w:pPr>
              <w:spacing w:after="0"/>
              <w:rPr>
                <w:sz w:val="1"/>
                <w:szCs w:val="1"/>
                <w:color w:val="auto"/>
              </w:rPr>
            </w:pPr>
          </w:p>
        </w:tc>
      </w:tr>
      <w:tr>
        <w:trPr>
          <w:trHeight w:val="219"/>
        </w:trPr>
        <w:tc>
          <w:tcPr>
            <w:tcW w:w="5280" w:type="dxa"/>
            <w:vAlign w:val="bottom"/>
            <w:shd w:val="clear" w:color="auto" w:fill="CFF0FC"/>
          </w:tcPr>
          <w:p>
            <w:pPr>
              <w:ind w:left="240"/>
              <w:spacing w:after="0"/>
              <w:rPr>
                <w:sz w:val="20"/>
                <w:szCs w:val="20"/>
                <w:color w:val="auto"/>
              </w:rPr>
            </w:pPr>
            <w:r>
              <w:rPr>
                <w:rFonts w:ascii="Arial" w:cs="Arial" w:eastAsia="Arial" w:hAnsi="Arial"/>
                <w:sz w:val="17"/>
                <w:szCs w:val="17"/>
                <w:color w:val="auto"/>
              </w:rPr>
              <w:t>Options vested and expected to vest as of December 31, 2020</w:t>
            </w:r>
          </w:p>
        </w:tc>
        <w:tc>
          <w:tcPr>
            <w:tcW w:w="110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2,728,742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21"/>
              <w:spacing w:after="0"/>
              <w:rPr>
                <w:sz w:val="20"/>
                <w:szCs w:val="20"/>
                <w:color w:val="auto"/>
              </w:rPr>
            </w:pPr>
            <w:r>
              <w:rPr>
                <w:rFonts w:ascii="Arial" w:cs="Arial" w:eastAsia="Arial" w:hAnsi="Arial"/>
                <w:sz w:val="17"/>
                <w:szCs w:val="17"/>
                <w:color w:val="auto"/>
              </w:rPr>
              <w:t>21.36</w:t>
            </w: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24"/>
              <w:spacing w:after="0"/>
              <w:rPr>
                <w:sz w:val="20"/>
                <w:szCs w:val="20"/>
                <w:color w:val="auto"/>
              </w:rPr>
            </w:pPr>
            <w:r>
              <w:rPr>
                <w:rFonts w:ascii="Arial" w:cs="Arial" w:eastAsia="Arial" w:hAnsi="Arial"/>
                <w:sz w:val="17"/>
                <w:szCs w:val="17"/>
                <w:color w:val="auto"/>
              </w:rPr>
              <w:t>9.10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7"/>
                <w:szCs w:val="17"/>
                <w:color w:val="auto"/>
              </w:rPr>
              <w:t>34,432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60" w:firstLine="589"/>
        <w:spacing w:after="0" w:line="261" w:lineRule="auto"/>
        <w:rPr>
          <w:sz w:val="20"/>
          <w:szCs w:val="20"/>
          <w:color w:val="auto"/>
        </w:rPr>
      </w:pPr>
      <w:r>
        <w:rPr>
          <w:rFonts w:ascii="Arial" w:cs="Arial" w:eastAsia="Arial" w:hAnsi="Arial"/>
          <w:sz w:val="17"/>
          <w:szCs w:val="17"/>
          <w:color w:val="auto"/>
        </w:rPr>
        <w:t>The aggregate intrinsic value of options exercisable as of December 31, 2020 is calculated as the difference between the exercise price of the underlying options and the closing market price of the Company’s common stock on that date, which was $33.22 per share. The aggregate intrinsic value of options exercised during the year ended December 31, 2020 was approximately $1.5 million, determined as of the date of exercise. There were no option exercises during the year ended December 31, 2019.</w:t>
      </w:r>
    </w:p>
    <w:p>
      <w:pPr>
        <w:spacing w:after="0" w:line="178" w:lineRule="exact"/>
        <w:rPr>
          <w:sz w:val="20"/>
          <w:szCs w:val="20"/>
          <w:color w:val="auto"/>
        </w:rPr>
      </w:pPr>
    </w:p>
    <w:p>
      <w:pPr>
        <w:ind w:right="120" w:firstLine="589"/>
        <w:spacing w:after="0" w:line="265" w:lineRule="auto"/>
        <w:rPr>
          <w:sz w:val="20"/>
          <w:szCs w:val="20"/>
          <w:color w:val="auto"/>
        </w:rPr>
      </w:pPr>
      <w:r>
        <w:rPr>
          <w:rFonts w:ascii="Arial" w:cs="Arial" w:eastAsia="Arial" w:hAnsi="Arial"/>
          <w:sz w:val="17"/>
          <w:szCs w:val="17"/>
          <w:color w:val="auto"/>
        </w:rPr>
        <w:t>The estimated weighted-average fair value of employee and nonemployee director stock options granted during 2020 was $19.59. As of December 31, 2020, the Company had $28.2 million of unrecognized stock-based compensation expense, which is expected to be recognized over a weighted-average period of 3.8 years.</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500" w:right="379" w:bottom="1440" w:gutter="0" w:footer="0" w:header="0"/>
        </w:sectPr>
      </w:pPr>
    </w:p>
    <w:bookmarkStart w:id="146" w:name="page147"/>
    <w:bookmarkEnd w:id="146"/>
    <w:p>
      <w:pPr>
        <w:ind w:left="860"/>
        <w:spacing w:after="0"/>
        <w:rPr>
          <w:sz w:val="20"/>
          <w:szCs w:val="20"/>
          <w:color w:val="auto"/>
        </w:rPr>
      </w:pPr>
      <w:r>
        <w:rPr>
          <w:rFonts w:ascii="Arial" w:cs="Arial" w:eastAsia="Arial" w:hAnsi="Arial"/>
          <w:sz w:val="15"/>
          <w:szCs w:val="15"/>
          <w:color w:val="auto"/>
        </w:rPr>
        <w:t>The weighted-average assumptions used to estimate the fair value of stock options using the Black-Scholes option valuation model were as follows:</w:t>
      </w:r>
    </w:p>
    <w:p>
      <w:pPr>
        <w:spacing w:after="0" w:line="238"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Years Ended</w:t>
      </w:r>
    </w:p>
    <w:p>
      <w:pPr>
        <w:ind w:left="716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47"/>
        </w:trPr>
        <w:tc>
          <w:tcPr>
            <w:tcW w:w="4040" w:type="dxa"/>
            <w:vAlign w:val="bottom"/>
            <w:tcBorders>
              <w:bottom w:val="single" w:sz="8" w:color="CFF0FC"/>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92"/>
              <w:spacing w:after="0" w:line="147"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FF0FC"/>
            </w:tcBorders>
          </w:tcPr>
          <w:p>
            <w:pPr>
              <w:spacing w:after="0"/>
              <w:rPr>
                <w:sz w:val="12"/>
                <w:szCs w:val="12"/>
                <w:color w:val="auto"/>
              </w:rPr>
            </w:pPr>
          </w:p>
        </w:tc>
        <w:tc>
          <w:tcPr>
            <w:tcW w:w="1840" w:type="dxa"/>
            <w:vAlign w:val="bottom"/>
            <w:tcBorders>
              <w:top w:val="single" w:sz="8" w:color="auto"/>
              <w:bottom w:val="single" w:sz="8" w:color="auto"/>
            </w:tcBorders>
          </w:tcPr>
          <w:p>
            <w:pPr>
              <w:jc w:val="right"/>
              <w:ind w:right="798"/>
              <w:spacing w:after="0" w:line="147" w:lineRule="exact"/>
              <w:rPr>
                <w:sz w:val="20"/>
                <w:szCs w:val="20"/>
                <w:color w:val="auto"/>
              </w:rPr>
            </w:pPr>
            <w:r>
              <w:rPr>
                <w:rFonts w:ascii="Arial" w:cs="Arial" w:eastAsia="Arial" w:hAnsi="Arial"/>
                <w:sz w:val="14"/>
                <w:szCs w:val="14"/>
                <w:b w:val="1"/>
                <w:bCs w:val="1"/>
                <w:color w:val="auto"/>
              </w:rPr>
              <w:t>2019</w:t>
            </w:r>
          </w:p>
        </w:tc>
      </w:tr>
      <w:tr>
        <w:trPr>
          <w:trHeight w:val="211"/>
        </w:trPr>
        <w:tc>
          <w:tcPr>
            <w:tcW w:w="5160" w:type="dxa"/>
            <w:vAlign w:val="bottom"/>
            <w:gridSpan w:val="2"/>
            <w:shd w:val="clear" w:color="auto" w:fill="CFF0FC"/>
          </w:tcPr>
          <w:p>
            <w:pPr>
              <w:spacing w:after="0"/>
              <w:rPr>
                <w:sz w:val="20"/>
                <w:szCs w:val="20"/>
                <w:color w:val="auto"/>
              </w:rPr>
            </w:pPr>
            <w:r>
              <w:rPr>
                <w:rFonts w:ascii="Arial" w:cs="Arial" w:eastAsia="Arial" w:hAnsi="Arial"/>
                <w:sz w:val="17"/>
                <w:szCs w:val="17"/>
                <w:color w:val="auto"/>
              </w:rPr>
              <w:t>Assumptions:</w:t>
            </w: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r>
      <w:tr>
        <w:trPr>
          <w:trHeight w:val="218"/>
        </w:trPr>
        <w:tc>
          <w:tcPr>
            <w:tcW w:w="5160" w:type="dxa"/>
            <w:vAlign w:val="bottom"/>
            <w:gridSpan w:val="2"/>
          </w:tcPr>
          <w:p>
            <w:pPr>
              <w:ind w:left="220"/>
              <w:spacing w:after="0"/>
              <w:rPr>
                <w:sz w:val="20"/>
                <w:szCs w:val="20"/>
                <w:color w:val="auto"/>
              </w:rPr>
            </w:pPr>
            <w:r>
              <w:rPr>
                <w:rFonts w:ascii="Arial" w:cs="Arial" w:eastAsia="Arial" w:hAnsi="Arial"/>
                <w:sz w:val="17"/>
                <w:szCs w:val="17"/>
                <w:color w:val="auto"/>
              </w:rPr>
              <w:t>Expected term (in years)</w:t>
            </w:r>
          </w:p>
        </w:tc>
        <w:tc>
          <w:tcPr>
            <w:tcW w:w="720" w:type="dxa"/>
            <w:vAlign w:val="bottom"/>
          </w:tcPr>
          <w:p>
            <w:pPr>
              <w:jc w:val="right"/>
              <w:ind w:right="94"/>
              <w:spacing w:after="0"/>
              <w:rPr>
                <w:sz w:val="20"/>
                <w:szCs w:val="20"/>
                <w:color w:val="auto"/>
              </w:rPr>
            </w:pPr>
            <w:r>
              <w:rPr>
                <w:rFonts w:ascii="Arial" w:cs="Arial" w:eastAsia="Arial" w:hAnsi="Arial"/>
                <w:sz w:val="17"/>
                <w:szCs w:val="17"/>
                <w:color w:val="auto"/>
              </w:rPr>
              <w:t>6.06</w:t>
            </w:r>
          </w:p>
        </w:tc>
        <w:tc>
          <w:tcPr>
            <w:tcW w:w="140" w:type="dxa"/>
            <w:vAlign w:val="bottom"/>
          </w:tcPr>
          <w:p>
            <w:pPr>
              <w:spacing w:after="0"/>
              <w:rPr>
                <w:sz w:val="18"/>
                <w:szCs w:val="18"/>
                <w:color w:val="auto"/>
              </w:rPr>
            </w:pPr>
          </w:p>
        </w:tc>
        <w:tc>
          <w:tcPr>
            <w:tcW w:w="1840" w:type="dxa"/>
            <w:vAlign w:val="bottom"/>
          </w:tcPr>
          <w:p>
            <w:pPr>
              <w:jc w:val="right"/>
              <w:ind w:right="98"/>
              <w:spacing w:after="0"/>
              <w:rPr>
                <w:sz w:val="20"/>
                <w:szCs w:val="20"/>
                <w:color w:val="auto"/>
              </w:rPr>
            </w:pPr>
            <w:r>
              <w:rPr>
                <w:rFonts w:ascii="Arial" w:cs="Arial" w:eastAsia="Arial" w:hAnsi="Arial"/>
                <w:sz w:val="17"/>
                <w:szCs w:val="17"/>
                <w:color w:val="auto"/>
              </w:rPr>
              <w:t>6.07</w:t>
            </w:r>
          </w:p>
        </w:tc>
      </w:tr>
      <w:tr>
        <w:trPr>
          <w:trHeight w:val="219"/>
        </w:trPr>
        <w:tc>
          <w:tcPr>
            <w:tcW w:w="516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Expected volatility</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65.07%</w:t>
            </w:r>
          </w:p>
        </w:tc>
        <w:tc>
          <w:tcPr>
            <w:tcW w:w="14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60.17%</w:t>
            </w:r>
          </w:p>
        </w:tc>
      </w:tr>
      <w:tr>
        <w:trPr>
          <w:trHeight w:val="218"/>
        </w:trPr>
        <w:tc>
          <w:tcPr>
            <w:tcW w:w="5160" w:type="dxa"/>
            <w:vAlign w:val="bottom"/>
            <w:gridSpan w:val="2"/>
          </w:tcPr>
          <w:p>
            <w:pPr>
              <w:ind w:left="220"/>
              <w:spacing w:after="0"/>
              <w:rPr>
                <w:sz w:val="20"/>
                <w:szCs w:val="20"/>
                <w:color w:val="auto"/>
              </w:rPr>
            </w:pPr>
            <w:r>
              <w:rPr>
                <w:rFonts w:ascii="Arial" w:cs="Arial" w:eastAsia="Arial" w:hAnsi="Arial"/>
                <w:sz w:val="17"/>
                <w:szCs w:val="17"/>
                <w:color w:val="auto"/>
              </w:rPr>
              <w:t>Risk free interest rate</w:t>
            </w:r>
          </w:p>
        </w:tc>
        <w:tc>
          <w:tcPr>
            <w:tcW w:w="720" w:type="dxa"/>
            <w:vAlign w:val="bottom"/>
          </w:tcPr>
          <w:p>
            <w:pPr>
              <w:jc w:val="right"/>
              <w:spacing w:after="0"/>
              <w:rPr>
                <w:sz w:val="20"/>
                <w:szCs w:val="20"/>
                <w:color w:val="auto"/>
              </w:rPr>
            </w:pPr>
            <w:r>
              <w:rPr>
                <w:rFonts w:ascii="Arial" w:cs="Arial" w:eastAsia="Arial" w:hAnsi="Arial"/>
                <w:sz w:val="17"/>
                <w:szCs w:val="17"/>
                <w:color w:val="auto"/>
              </w:rPr>
              <w:t>0.51%</w:t>
            </w:r>
          </w:p>
        </w:tc>
        <w:tc>
          <w:tcPr>
            <w:tcW w:w="1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19"/>
        </w:trPr>
        <w:tc>
          <w:tcPr>
            <w:tcW w:w="5160" w:type="dxa"/>
            <w:vAlign w:val="bottom"/>
            <w:gridSpan w:val="2"/>
            <w:shd w:val="clear" w:color="auto" w:fill="CFF0FC"/>
          </w:tcPr>
          <w:p>
            <w:pPr>
              <w:ind w:left="220"/>
              <w:spacing w:after="0"/>
              <w:rPr>
                <w:sz w:val="20"/>
                <w:szCs w:val="20"/>
                <w:color w:val="auto"/>
              </w:rPr>
            </w:pPr>
            <w:r>
              <w:rPr>
                <w:rFonts w:ascii="Arial" w:cs="Arial" w:eastAsia="Arial" w:hAnsi="Arial"/>
                <w:sz w:val="17"/>
                <w:szCs w:val="17"/>
                <w:color w:val="auto"/>
              </w:rPr>
              <w:t>Dividend yield</w:t>
            </w:r>
          </w:p>
        </w:tc>
        <w:tc>
          <w:tcPr>
            <w:tcW w:w="86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840" w:type="dxa"/>
            <w:vAlign w:val="bottom"/>
            <w:shd w:val="clear" w:color="auto" w:fill="CFF0FC"/>
          </w:tcPr>
          <w:p>
            <w:pPr>
              <w:jc w:val="right"/>
              <w:ind w:right="98"/>
              <w:spacing w:after="0"/>
              <w:rPr>
                <w:sz w:val="20"/>
                <w:szCs w:val="20"/>
                <w:color w:val="auto"/>
              </w:rPr>
            </w:pPr>
            <w:r>
              <w:rPr>
                <w:rFonts w:ascii="Arial" w:cs="Arial" w:eastAsia="Arial" w:hAnsi="Arial"/>
                <w:sz w:val="17"/>
                <w:szCs w:val="17"/>
                <w:color w:val="auto"/>
              </w:rPr>
              <w:t>—</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90" w:lineRule="exact"/>
        <w:rPr>
          <w:sz w:val="20"/>
          <w:szCs w:val="20"/>
          <w:color w:val="auto"/>
        </w:rPr>
      </w:pPr>
    </w:p>
    <w:p>
      <w:pPr>
        <w:ind w:right="140" w:firstLine="589"/>
        <w:spacing w:after="0" w:line="278" w:lineRule="auto"/>
        <w:rPr>
          <w:sz w:val="20"/>
          <w:szCs w:val="20"/>
          <w:color w:val="auto"/>
        </w:rPr>
      </w:pPr>
      <w:r>
        <w:rPr>
          <w:rFonts w:ascii="Arial" w:cs="Arial" w:eastAsia="Arial" w:hAnsi="Arial"/>
          <w:sz w:val="17"/>
          <w:szCs w:val="17"/>
          <w:color w:val="auto"/>
        </w:rPr>
        <w:t>Stock-based compensation expense recognized for all equity awards, including founder stock, has been reported in the statements of operations as follows (in thousands):</w:t>
      </w:r>
    </w:p>
    <w:p>
      <w:pPr>
        <w:spacing w:after="0" w:line="163"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Years Ended</w:t>
      </w:r>
    </w:p>
    <w:p>
      <w:pPr>
        <w:ind w:left="724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47"/>
        </w:trPr>
        <w:tc>
          <w:tcPr>
            <w:tcW w:w="3280" w:type="dxa"/>
            <w:vAlign w:val="bottom"/>
            <w:tcBorders>
              <w:bottom w:val="single" w:sz="8" w:color="CFF0FC"/>
            </w:tcBorders>
          </w:tcPr>
          <w:p>
            <w:pPr>
              <w:spacing w:after="0"/>
              <w:rPr>
                <w:sz w:val="12"/>
                <w:szCs w:val="12"/>
                <w:color w:val="auto"/>
              </w:rPr>
            </w:pPr>
          </w:p>
        </w:tc>
        <w:tc>
          <w:tcPr>
            <w:tcW w:w="840" w:type="dxa"/>
            <w:vAlign w:val="bottom"/>
            <w:tcBorders>
              <w:bottom w:val="single" w:sz="8" w:color="CFF0FC"/>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112"/>
              <w:spacing w:after="0" w:line="147" w:lineRule="exact"/>
              <w:rPr>
                <w:sz w:val="20"/>
                <w:szCs w:val="20"/>
                <w:color w:val="auto"/>
              </w:rPr>
            </w:pPr>
            <w:r>
              <w:rPr>
                <w:rFonts w:ascii="Arial" w:cs="Arial" w:eastAsia="Arial" w:hAnsi="Arial"/>
                <w:sz w:val="14"/>
                <w:szCs w:val="14"/>
                <w:b w:val="1"/>
                <w:bCs w:val="1"/>
                <w:color w:val="auto"/>
              </w:rPr>
              <w:t>2020</w:t>
            </w:r>
          </w:p>
        </w:tc>
        <w:tc>
          <w:tcPr>
            <w:tcW w:w="6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739"/>
              <w:spacing w:after="0" w:line="147" w:lineRule="exact"/>
              <w:rPr>
                <w:sz w:val="20"/>
                <w:szCs w:val="20"/>
                <w:color w:val="auto"/>
              </w:rPr>
            </w:pPr>
            <w:r>
              <w:rPr>
                <w:rFonts w:ascii="Arial" w:cs="Arial" w:eastAsia="Arial" w:hAnsi="Arial"/>
                <w:sz w:val="14"/>
                <w:szCs w:val="14"/>
                <w:b w:val="1"/>
                <w:bCs w:val="1"/>
                <w:color w:val="auto"/>
              </w:rPr>
              <w:t>2019</w:t>
            </w:r>
          </w:p>
        </w:tc>
      </w:tr>
      <w:tr>
        <w:trPr>
          <w:trHeight w:val="211"/>
        </w:trPr>
        <w:tc>
          <w:tcPr>
            <w:tcW w:w="3280" w:type="dxa"/>
            <w:vAlign w:val="bottom"/>
            <w:shd w:val="clear" w:color="auto" w:fill="CFF0FC"/>
          </w:tcPr>
          <w:p>
            <w:pPr>
              <w:spacing w:after="0"/>
              <w:rPr>
                <w:sz w:val="20"/>
                <w:szCs w:val="20"/>
                <w:color w:val="auto"/>
              </w:rPr>
            </w:pPr>
            <w:r>
              <w:rPr>
                <w:rFonts w:ascii="Arial" w:cs="Arial" w:eastAsia="Arial" w:hAnsi="Arial"/>
                <w:sz w:val="17"/>
                <w:szCs w:val="17"/>
                <w:color w:val="auto"/>
              </w:rPr>
              <w:t>Research and development expense</w:t>
            </w:r>
          </w:p>
        </w:tc>
        <w:tc>
          <w:tcPr>
            <w:tcW w:w="2000" w:type="dxa"/>
            <w:vAlign w:val="bottom"/>
            <w:gridSpan w:val="2"/>
            <w:shd w:val="clear" w:color="auto" w:fill="CFF0FC"/>
          </w:tcPr>
          <w:p>
            <w:pPr>
              <w:jc w:val="right"/>
              <w:ind w:right="1032"/>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rPr>
              <w:t>1,450</w:t>
            </w: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106</w:t>
            </w:r>
          </w:p>
        </w:tc>
      </w:tr>
      <w:tr>
        <w:trPr>
          <w:trHeight w:val="218"/>
        </w:trPr>
        <w:tc>
          <w:tcPr>
            <w:tcW w:w="32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General and administrative expense</w:t>
            </w:r>
          </w:p>
        </w:tc>
        <w:tc>
          <w:tcPr>
            <w:tcW w:w="84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4,390</w:t>
            </w: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300</w:t>
            </w:r>
          </w:p>
        </w:tc>
      </w:tr>
      <w:tr>
        <w:trPr>
          <w:trHeight w:val="211"/>
        </w:trPr>
        <w:tc>
          <w:tcPr>
            <w:tcW w:w="328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2000" w:type="dxa"/>
            <w:vAlign w:val="bottom"/>
            <w:gridSpan w:val="2"/>
            <w:shd w:val="clear" w:color="auto" w:fill="CFF0FC"/>
          </w:tcPr>
          <w:p>
            <w:pPr>
              <w:jc w:val="right"/>
              <w:ind w:right="1032"/>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rPr>
              <w:t>5,840</w:t>
            </w: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406</w:t>
            </w: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183" w:lineRule="exact"/>
        <w:rPr>
          <w:sz w:val="20"/>
          <w:szCs w:val="20"/>
          <w:color w:val="auto"/>
        </w:rPr>
      </w:pPr>
    </w:p>
    <w:p>
      <w:pPr>
        <w:ind w:right="380" w:firstLine="589"/>
        <w:spacing w:after="0" w:line="265" w:lineRule="auto"/>
        <w:rPr>
          <w:sz w:val="20"/>
          <w:szCs w:val="20"/>
          <w:color w:val="auto"/>
        </w:rPr>
      </w:pPr>
      <w:r>
        <w:rPr>
          <w:rFonts w:ascii="Arial" w:cs="Arial" w:eastAsia="Arial" w:hAnsi="Arial"/>
          <w:sz w:val="17"/>
          <w:szCs w:val="17"/>
          <w:color w:val="auto"/>
        </w:rPr>
        <w:t>For the years ended December 31, 2020 and 2019, the Company did not record a provision for income taxes due to a full valuation against its deferred taxes. A reconciliation between the provision for income taxes and income taxes computed using the U.S. federal statutory corporate tax rate is as follows (in thousands):</w:t>
      </w:r>
    </w:p>
    <w:p>
      <w:pPr>
        <w:spacing w:after="0" w:line="174"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Years Ended</w:t>
      </w:r>
    </w:p>
    <w:p>
      <w:pPr>
        <w:ind w:left="724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7"/>
        </w:trPr>
        <w:tc>
          <w:tcPr>
            <w:tcW w:w="1700" w:type="dxa"/>
            <w:vAlign w:val="bottom"/>
          </w:tcPr>
          <w:p>
            <w:pPr>
              <w:spacing w:after="0"/>
              <w:rPr>
                <w:sz w:val="12"/>
                <w:szCs w:val="12"/>
                <w:color w:val="auto"/>
              </w:rPr>
            </w:pPr>
          </w:p>
        </w:tc>
        <w:tc>
          <w:tcPr>
            <w:tcW w:w="3220" w:type="dxa"/>
            <w:vAlign w:val="bottom"/>
            <w:tcBorders>
              <w:bottom w:val="single" w:sz="8" w:color="CFF0FC"/>
            </w:tcBorders>
          </w:tcPr>
          <w:p>
            <w:pPr>
              <w:spacing w:after="0"/>
              <w:rPr>
                <w:sz w:val="12"/>
                <w:szCs w:val="12"/>
                <w:color w:val="auto"/>
              </w:rPr>
            </w:pPr>
          </w:p>
        </w:tc>
        <w:tc>
          <w:tcPr>
            <w:tcW w:w="900" w:type="dxa"/>
            <w:vAlign w:val="bottom"/>
            <w:tcBorders>
              <w:bottom w:val="single" w:sz="8" w:color="CFF0FC"/>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2"/>
              <w:spacing w:after="0" w:line="147"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737"/>
              <w:spacing w:after="0" w:line="147" w:lineRule="exact"/>
              <w:rPr>
                <w:sz w:val="20"/>
                <w:szCs w:val="20"/>
                <w:color w:val="auto"/>
              </w:rPr>
            </w:pPr>
            <w:r>
              <w:rPr>
                <w:rFonts w:ascii="Arial" w:cs="Arial" w:eastAsia="Arial" w:hAnsi="Arial"/>
                <w:sz w:val="14"/>
                <w:szCs w:val="14"/>
                <w:b w:val="1"/>
                <w:bCs w:val="1"/>
                <w:color w:val="auto"/>
              </w:rPr>
              <w:t>2019</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700" w:type="dxa"/>
            <w:vAlign w:val="bottom"/>
          </w:tcPr>
          <w:p>
            <w:pPr>
              <w:spacing w:after="0"/>
              <w:rPr>
                <w:sz w:val="17"/>
                <w:szCs w:val="17"/>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Income taxes computed at the statutory</w:t>
            </w:r>
          </w:p>
        </w:tc>
        <w:tc>
          <w:tcPr>
            <w:tcW w:w="9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32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rate</w:t>
            </w:r>
          </w:p>
        </w:tc>
        <w:tc>
          <w:tcPr>
            <w:tcW w:w="1980" w:type="dxa"/>
            <w:vAlign w:val="bottom"/>
            <w:gridSpan w:val="2"/>
            <w:shd w:val="clear" w:color="auto" w:fill="CFF0FC"/>
          </w:tcPr>
          <w:p>
            <w:pPr>
              <w:jc w:val="right"/>
              <w:ind w:right="952"/>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(27,105)</w:t>
            </w: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(53,578)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20" w:type="dxa"/>
            <w:vAlign w:val="bottom"/>
            <w:gridSpan w:val="2"/>
          </w:tcPr>
          <w:p>
            <w:pPr>
              <w:ind w:left="1700"/>
              <w:spacing w:after="0"/>
              <w:rPr>
                <w:sz w:val="20"/>
                <w:szCs w:val="20"/>
                <w:color w:val="auto"/>
              </w:rPr>
            </w:pPr>
            <w:r>
              <w:rPr>
                <w:rFonts w:ascii="Arial" w:cs="Arial" w:eastAsia="Arial" w:hAnsi="Arial"/>
                <w:sz w:val="17"/>
                <w:szCs w:val="17"/>
                <w:color w:val="auto"/>
              </w:rPr>
              <w:t>Permanent items</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291</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7"/>
              <w:spacing w:after="0"/>
              <w:rPr>
                <w:sz w:val="20"/>
                <w:szCs w:val="20"/>
                <w:color w:val="auto"/>
              </w:rPr>
            </w:pPr>
            <w:r>
              <w:rPr>
                <w:rFonts w:ascii="Arial" w:cs="Arial" w:eastAsia="Arial" w:hAnsi="Arial"/>
                <w:sz w:val="17"/>
                <w:szCs w:val="17"/>
                <w:color w:val="auto"/>
              </w:rPr>
              <w:t>552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00" w:type="dxa"/>
            <w:vAlign w:val="bottom"/>
          </w:tcPr>
          <w:p>
            <w:pPr>
              <w:spacing w:after="0"/>
              <w:rPr>
                <w:sz w:val="17"/>
                <w:szCs w:val="17"/>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Change in fair value of warrants and</w:t>
            </w:r>
          </w:p>
        </w:tc>
        <w:tc>
          <w:tcPr>
            <w:tcW w:w="9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18"/>
                <w:szCs w:val="18"/>
                <w:color w:val="auto"/>
              </w:rPr>
            </w:pPr>
          </w:p>
        </w:tc>
        <w:tc>
          <w:tcPr>
            <w:tcW w:w="3220" w:type="dxa"/>
            <w:vAlign w:val="bottom"/>
            <w:shd w:val="clear" w:color="auto" w:fill="CFF0FC"/>
          </w:tcPr>
          <w:p>
            <w:pPr>
              <w:ind w:left="120"/>
              <w:spacing w:after="0"/>
              <w:rPr>
                <w:sz w:val="20"/>
                <w:szCs w:val="20"/>
                <w:color w:val="auto"/>
              </w:rPr>
            </w:pPr>
            <w:r>
              <w:rPr>
                <w:rFonts w:ascii="Arial" w:cs="Arial" w:eastAsia="Arial" w:hAnsi="Arial"/>
                <w:sz w:val="17"/>
                <w:szCs w:val="17"/>
                <w:color w:val="auto"/>
              </w:rPr>
              <w:t>convertible debt</w:t>
            </w:r>
          </w:p>
        </w:tc>
        <w:tc>
          <w:tcPr>
            <w:tcW w:w="9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30,622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920" w:type="dxa"/>
            <w:vAlign w:val="bottom"/>
            <w:gridSpan w:val="2"/>
          </w:tcPr>
          <w:p>
            <w:pPr>
              <w:ind w:left="1700"/>
              <w:spacing w:after="0"/>
              <w:rPr>
                <w:sz w:val="20"/>
                <w:szCs w:val="20"/>
                <w:color w:val="auto"/>
              </w:rPr>
            </w:pPr>
            <w:r>
              <w:rPr>
                <w:rFonts w:ascii="Arial" w:cs="Arial" w:eastAsia="Arial" w:hAnsi="Arial"/>
                <w:sz w:val="17"/>
                <w:szCs w:val="17"/>
                <w:color w:val="auto"/>
              </w:rPr>
              <w:t>Research and development credit</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(3,047)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(697)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3220" w:type="dxa"/>
            <w:vAlign w:val="bottom"/>
            <w:shd w:val="clear" w:color="auto" w:fill="CFF0FC"/>
          </w:tcPr>
          <w:p>
            <w:pPr>
              <w:spacing w:after="0"/>
              <w:rPr>
                <w:sz w:val="20"/>
                <w:szCs w:val="20"/>
                <w:color w:val="auto"/>
              </w:rPr>
            </w:pPr>
            <w:r>
              <w:rPr>
                <w:rFonts w:ascii="Arial" w:cs="Arial" w:eastAsia="Arial" w:hAnsi="Arial"/>
                <w:sz w:val="17"/>
                <w:szCs w:val="17"/>
                <w:color w:val="auto"/>
              </w:rPr>
              <w:t>Change in valuation allowance</w:t>
            </w:r>
          </w:p>
        </w:tc>
        <w:tc>
          <w:tcPr>
            <w:tcW w:w="9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rPr>
              <w:t>29,949</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23,046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20" w:type="dxa"/>
            <w:vAlign w:val="bottom"/>
            <w:gridSpan w:val="2"/>
          </w:tcPr>
          <w:p>
            <w:pPr>
              <w:ind w:left="1700"/>
              <w:spacing w:after="0"/>
              <w:rPr>
                <w:sz w:val="20"/>
                <w:szCs w:val="20"/>
                <w:color w:val="auto"/>
              </w:rPr>
            </w:pPr>
            <w:r>
              <w:rPr>
                <w:rFonts w:ascii="Arial" w:cs="Arial" w:eastAsia="Arial" w:hAnsi="Arial"/>
                <w:sz w:val="17"/>
                <w:szCs w:val="17"/>
                <w:color w:val="auto"/>
              </w:rPr>
              <w:t>Other</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(68)</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7"/>
              <w:spacing w:after="0"/>
              <w:rPr>
                <w:sz w:val="20"/>
                <w:szCs w:val="20"/>
                <w:color w:val="auto"/>
              </w:rPr>
            </w:pPr>
            <w:r>
              <w:rPr>
                <w:rFonts w:ascii="Arial" w:cs="Arial" w:eastAsia="Arial" w:hAnsi="Arial"/>
                <w:sz w:val="17"/>
                <w:szCs w:val="17"/>
                <w:color w:val="auto"/>
              </w:rPr>
              <w:t>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20" w:type="dxa"/>
            <w:vAlign w:val="bottom"/>
            <w:vMerge w:val="restart"/>
            <w:shd w:val="clear" w:color="auto" w:fill="CFF0FC"/>
          </w:tcPr>
          <w:p>
            <w:pPr>
              <w:spacing w:after="0"/>
              <w:rPr>
                <w:sz w:val="20"/>
                <w:szCs w:val="20"/>
                <w:color w:val="auto"/>
              </w:rPr>
            </w:pPr>
            <w:r>
              <w:rPr>
                <w:rFonts w:ascii="Arial" w:cs="Arial" w:eastAsia="Arial" w:hAnsi="Arial"/>
                <w:sz w:val="17"/>
                <w:szCs w:val="17"/>
                <w:color w:val="auto"/>
              </w:rPr>
              <w:t>Provision (benefit) for income taxes</w:t>
            </w:r>
          </w:p>
        </w:tc>
        <w:tc>
          <w:tcPr>
            <w:tcW w:w="9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700" w:type="dxa"/>
            <w:vAlign w:val="bottom"/>
          </w:tcPr>
          <w:p>
            <w:pPr>
              <w:spacing w:after="0"/>
              <w:rPr>
                <w:sz w:val="18"/>
                <w:szCs w:val="18"/>
                <w:color w:val="auto"/>
              </w:rPr>
            </w:pPr>
          </w:p>
        </w:tc>
        <w:tc>
          <w:tcPr>
            <w:tcW w:w="3220" w:type="dxa"/>
            <w:vAlign w:val="bottom"/>
            <w:vMerge w:val="continue"/>
            <w:shd w:val="clear" w:color="auto" w:fill="CFF0FC"/>
          </w:tcPr>
          <w:p>
            <w:pPr>
              <w:spacing w:after="0"/>
              <w:rPr>
                <w:sz w:val="18"/>
                <w:szCs w:val="18"/>
                <w:color w:val="auto"/>
              </w:rPr>
            </w:pPr>
          </w:p>
        </w:tc>
        <w:tc>
          <w:tcPr>
            <w:tcW w:w="1980" w:type="dxa"/>
            <w:vAlign w:val="bottom"/>
            <w:gridSpan w:val="2"/>
            <w:shd w:val="clear" w:color="auto" w:fill="CFF0FC"/>
          </w:tcPr>
          <w:p>
            <w:pPr>
              <w:jc w:val="right"/>
              <w:ind w:right="952"/>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1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980" w:type="dxa"/>
            <w:vAlign w:val="bottom"/>
            <w:gridSpan w:val="2"/>
          </w:tcPr>
          <w:p>
            <w:pPr>
              <w:jc w:val="right"/>
              <w:ind w:right="1032"/>
              <w:spacing w:after="0"/>
              <w:rPr>
                <w:sz w:val="20"/>
                <w:szCs w:val="20"/>
                <w:color w:val="auto"/>
              </w:rPr>
            </w:pPr>
            <w:r>
              <w:rPr>
                <w:rFonts w:ascii="Arial" w:cs="Arial" w:eastAsia="Arial" w:hAnsi="Arial"/>
                <w:sz w:val="17"/>
                <w:szCs w:val="17"/>
                <w:color w:val="auto"/>
              </w:rPr>
              <w:t>F-22</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7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500" w:right="299" w:bottom="1440" w:gutter="0" w:footer="0" w:header="0"/>
        </w:sectPr>
      </w:pPr>
    </w:p>
    <w:bookmarkStart w:id="147" w:name="page148"/>
    <w:bookmarkEnd w:id="147"/>
    <w:p>
      <w:pPr>
        <w:ind w:left="600"/>
        <w:spacing w:after="0"/>
        <w:rPr>
          <w:sz w:val="20"/>
          <w:szCs w:val="20"/>
          <w:color w:val="auto"/>
        </w:rPr>
      </w:pPr>
      <w:r>
        <w:rPr>
          <w:rFonts w:ascii="Arial" w:cs="Arial" w:eastAsia="Arial" w:hAnsi="Arial"/>
          <w:sz w:val="17"/>
          <w:szCs w:val="17"/>
          <w:color w:val="auto"/>
        </w:rPr>
        <w:t>Significant components of the Company’s net deferred tax assets are as follows (in thousands):</w:t>
      </w:r>
    </w:p>
    <w:p>
      <w:pPr>
        <w:spacing w:after="0" w:line="215" w:lineRule="exact"/>
        <w:rPr>
          <w:sz w:val="20"/>
          <w:szCs w:val="20"/>
          <w:color w:val="auto"/>
        </w:rPr>
      </w:pPr>
    </w:p>
    <w:p>
      <w:pPr>
        <w:ind w:left="7260"/>
        <w:spacing w:after="0"/>
        <w:rPr>
          <w:sz w:val="20"/>
          <w:szCs w:val="20"/>
          <w:color w:val="auto"/>
        </w:rPr>
      </w:pPr>
      <w:r>
        <w:rPr>
          <w:rFonts w:ascii="Arial" w:cs="Arial" w:eastAsia="Arial" w:hAnsi="Arial"/>
          <w:sz w:val="14"/>
          <w:szCs w:val="14"/>
          <w:b w:val="1"/>
          <w:bCs w:val="1"/>
          <w:color w:val="auto"/>
        </w:rPr>
        <w:t>Years Ended</w:t>
      </w:r>
    </w:p>
    <w:p>
      <w:pPr>
        <w:ind w:left="724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1700" w:type="dxa"/>
        <w:tblCellMar>
          <w:top w:w="0" w:type="dxa"/>
          <w:left w:w="0" w:type="dxa"/>
          <w:bottom w:w="0" w:type="dxa"/>
          <w:right w:w="0" w:type="dxa"/>
        </w:tblCellMar>
      </w:tblPr>
      <w:tr>
        <w:trPr>
          <w:trHeight w:val="147"/>
        </w:trPr>
        <w:tc>
          <w:tcPr>
            <w:tcW w:w="3640" w:type="dxa"/>
            <w:vAlign w:val="bottom"/>
            <w:tcBorders>
              <w:bottom w:val="single" w:sz="8" w:color="CFF0FC"/>
            </w:tcBorders>
          </w:tcPr>
          <w:p>
            <w:pPr>
              <w:spacing w:after="0"/>
              <w:rPr>
                <w:sz w:val="12"/>
                <w:szCs w:val="12"/>
                <w:color w:val="auto"/>
              </w:rPr>
            </w:pPr>
          </w:p>
        </w:tc>
        <w:tc>
          <w:tcPr>
            <w:tcW w:w="480" w:type="dxa"/>
            <w:vAlign w:val="bottom"/>
            <w:tcBorders>
              <w:bottom w:val="single" w:sz="8" w:color="CFF0FC"/>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2"/>
              <w:spacing w:after="0" w:line="147"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FF0FC"/>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ind w:right="736"/>
              <w:spacing w:after="0" w:line="147" w:lineRule="exact"/>
              <w:rPr>
                <w:sz w:val="20"/>
                <w:szCs w:val="20"/>
                <w:color w:val="auto"/>
              </w:rPr>
            </w:pPr>
            <w:r>
              <w:rPr>
                <w:rFonts w:ascii="Arial" w:cs="Arial" w:eastAsia="Arial" w:hAnsi="Arial"/>
                <w:sz w:val="14"/>
                <w:szCs w:val="14"/>
                <w:b w:val="1"/>
                <w:bCs w:val="1"/>
                <w:color w:val="auto"/>
              </w:rPr>
              <w:t>2019</w:t>
            </w:r>
          </w:p>
        </w:tc>
      </w:tr>
      <w:tr>
        <w:trPr>
          <w:trHeight w:val="211"/>
        </w:trPr>
        <w:tc>
          <w:tcPr>
            <w:tcW w:w="3640" w:type="dxa"/>
            <w:vAlign w:val="bottom"/>
            <w:shd w:val="clear" w:color="auto" w:fill="CFF0FC"/>
          </w:tcPr>
          <w:p>
            <w:pPr>
              <w:spacing w:after="0"/>
              <w:rPr>
                <w:sz w:val="20"/>
                <w:szCs w:val="20"/>
                <w:color w:val="auto"/>
              </w:rPr>
            </w:pPr>
            <w:r>
              <w:rPr>
                <w:rFonts w:ascii="Arial" w:cs="Arial" w:eastAsia="Arial" w:hAnsi="Arial"/>
                <w:sz w:val="17"/>
                <w:szCs w:val="17"/>
                <w:color w:val="auto"/>
              </w:rPr>
              <w:t>Deferred tax assets:</w:t>
            </w: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18"/>
        </w:trPr>
        <w:tc>
          <w:tcPr>
            <w:tcW w:w="3640" w:type="dxa"/>
            <w:vAlign w:val="bottom"/>
          </w:tcPr>
          <w:p>
            <w:pPr>
              <w:ind w:left="220"/>
              <w:spacing w:after="0"/>
              <w:rPr>
                <w:sz w:val="20"/>
                <w:szCs w:val="20"/>
                <w:color w:val="auto"/>
              </w:rPr>
            </w:pPr>
            <w:r>
              <w:rPr>
                <w:rFonts w:ascii="Arial" w:cs="Arial" w:eastAsia="Arial" w:hAnsi="Arial"/>
                <w:sz w:val="17"/>
                <w:szCs w:val="17"/>
                <w:color w:val="auto"/>
              </w:rPr>
              <w:t>Net operating loss carryforwards</w:t>
            </w:r>
          </w:p>
        </w:tc>
        <w:tc>
          <w:tcPr>
            <w:tcW w:w="1560" w:type="dxa"/>
            <w:vAlign w:val="bottom"/>
            <w:gridSpan w:val="2"/>
          </w:tcPr>
          <w:p>
            <w:pPr>
              <w:jc w:val="right"/>
              <w:ind w:right="952"/>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33,162</w:t>
            </w:r>
          </w:p>
        </w:tc>
        <w:tc>
          <w:tcPr>
            <w:tcW w:w="52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6,322</w:t>
            </w:r>
          </w:p>
        </w:tc>
      </w:tr>
      <w:tr>
        <w:trPr>
          <w:trHeight w:val="219"/>
        </w:trPr>
        <w:tc>
          <w:tcPr>
            <w:tcW w:w="3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Research credits</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rPr>
              <w:t>3,744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697</w:t>
            </w:r>
          </w:p>
        </w:tc>
      </w:tr>
      <w:tr>
        <w:trPr>
          <w:trHeight w:val="218"/>
        </w:trPr>
        <w:tc>
          <w:tcPr>
            <w:tcW w:w="3640" w:type="dxa"/>
            <w:vAlign w:val="bottom"/>
          </w:tcPr>
          <w:p>
            <w:pPr>
              <w:ind w:left="220"/>
              <w:spacing w:after="0"/>
              <w:rPr>
                <w:sz w:val="20"/>
                <w:szCs w:val="20"/>
                <w:color w:val="auto"/>
              </w:rPr>
            </w:pPr>
            <w:r>
              <w:rPr>
                <w:rFonts w:ascii="Arial" w:cs="Arial" w:eastAsia="Arial" w:hAnsi="Arial"/>
                <w:sz w:val="17"/>
                <w:szCs w:val="17"/>
                <w:color w:val="auto"/>
              </w:rPr>
              <w:t>Intangible assets</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14,929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16,050</w:t>
            </w:r>
          </w:p>
        </w:tc>
      </w:tr>
      <w:tr>
        <w:trPr>
          <w:trHeight w:val="219"/>
        </w:trPr>
        <w:tc>
          <w:tcPr>
            <w:tcW w:w="3640" w:type="dxa"/>
            <w:vAlign w:val="bottom"/>
            <w:shd w:val="clear" w:color="auto" w:fill="CFF0FC"/>
          </w:tcPr>
          <w:p>
            <w:pPr>
              <w:ind w:left="220"/>
              <w:spacing w:after="0"/>
              <w:rPr>
                <w:sz w:val="20"/>
                <w:szCs w:val="20"/>
                <w:color w:val="auto"/>
              </w:rPr>
            </w:pPr>
            <w:r>
              <w:rPr>
                <w:rFonts w:ascii="Arial" w:cs="Arial" w:eastAsia="Arial" w:hAnsi="Arial"/>
                <w:sz w:val="17"/>
                <w:szCs w:val="17"/>
                <w:color w:val="auto"/>
              </w:rPr>
              <w:t>Other</w:t>
            </w:r>
          </w:p>
        </w:tc>
        <w:tc>
          <w:tcPr>
            <w:tcW w:w="4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7"/>
                <w:szCs w:val="17"/>
                <w:color w:val="auto"/>
              </w:rPr>
              <w:t>1,914</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6"/>
              <w:spacing w:after="0"/>
              <w:rPr>
                <w:sz w:val="20"/>
                <w:szCs w:val="20"/>
                <w:color w:val="auto"/>
              </w:rPr>
            </w:pPr>
            <w:r>
              <w:rPr>
                <w:rFonts w:ascii="Arial" w:cs="Arial" w:eastAsia="Arial" w:hAnsi="Arial"/>
                <w:sz w:val="17"/>
                <w:szCs w:val="17"/>
                <w:color w:val="auto"/>
              </w:rPr>
              <w:t>428</w:t>
            </w:r>
          </w:p>
        </w:tc>
      </w:tr>
      <w:tr>
        <w:trPr>
          <w:trHeight w:val="211"/>
        </w:trPr>
        <w:tc>
          <w:tcPr>
            <w:tcW w:w="3640" w:type="dxa"/>
            <w:vAlign w:val="bottom"/>
          </w:tcPr>
          <w:p>
            <w:pPr>
              <w:spacing w:after="0"/>
              <w:rPr>
                <w:sz w:val="20"/>
                <w:szCs w:val="20"/>
                <w:color w:val="auto"/>
              </w:rPr>
            </w:pPr>
            <w:r>
              <w:rPr>
                <w:rFonts w:ascii="Arial" w:cs="Arial" w:eastAsia="Arial" w:hAnsi="Arial"/>
                <w:sz w:val="17"/>
                <w:szCs w:val="17"/>
                <w:color w:val="auto"/>
              </w:rPr>
              <w:t>Gross deferred tax assets</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53,749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23,497</w:t>
            </w:r>
          </w:p>
        </w:tc>
      </w:tr>
      <w:tr>
        <w:trPr>
          <w:trHeight w:val="219"/>
        </w:trPr>
        <w:tc>
          <w:tcPr>
            <w:tcW w:w="3640" w:type="dxa"/>
            <w:vAlign w:val="bottom"/>
            <w:shd w:val="clear" w:color="auto" w:fill="CFF0FC"/>
          </w:tcPr>
          <w:p>
            <w:pPr>
              <w:spacing w:after="0"/>
              <w:rPr>
                <w:sz w:val="20"/>
                <w:szCs w:val="20"/>
                <w:color w:val="auto"/>
              </w:rPr>
            </w:pPr>
            <w:r>
              <w:rPr>
                <w:rFonts w:ascii="Arial" w:cs="Arial" w:eastAsia="Arial" w:hAnsi="Arial"/>
                <w:sz w:val="17"/>
                <w:szCs w:val="17"/>
                <w:color w:val="auto"/>
              </w:rPr>
              <w:t>Less valuation allowance</w:t>
            </w:r>
          </w:p>
        </w:tc>
        <w:tc>
          <w:tcPr>
            <w:tcW w:w="48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(53,250)</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(23,301)</w:t>
            </w:r>
          </w:p>
        </w:tc>
      </w:tr>
      <w:tr>
        <w:trPr>
          <w:trHeight w:val="211"/>
        </w:trPr>
        <w:tc>
          <w:tcPr>
            <w:tcW w:w="3640" w:type="dxa"/>
            <w:vAlign w:val="bottom"/>
          </w:tcPr>
          <w:p>
            <w:pPr>
              <w:spacing w:after="0"/>
              <w:rPr>
                <w:sz w:val="20"/>
                <w:szCs w:val="20"/>
                <w:color w:val="auto"/>
              </w:rPr>
            </w:pPr>
            <w:r>
              <w:rPr>
                <w:rFonts w:ascii="Arial" w:cs="Arial" w:eastAsia="Arial" w:hAnsi="Arial"/>
                <w:sz w:val="17"/>
                <w:szCs w:val="17"/>
                <w:color w:val="auto"/>
              </w:rPr>
              <w:t>Deferred tax assets, net of valuation allowance</w:t>
            </w: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jc w:val="right"/>
              <w:ind w:right="14"/>
              <w:spacing w:after="0"/>
              <w:rPr>
                <w:sz w:val="20"/>
                <w:szCs w:val="20"/>
                <w:color w:val="auto"/>
              </w:rPr>
            </w:pPr>
            <w:r>
              <w:rPr>
                <w:rFonts w:ascii="Arial" w:cs="Arial" w:eastAsia="Arial" w:hAnsi="Arial"/>
                <w:sz w:val="17"/>
                <w:szCs w:val="17"/>
                <w:color w:val="auto"/>
              </w:rPr>
              <w:t>499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Pr>
          <w:p>
            <w:pPr>
              <w:jc w:val="right"/>
              <w:ind w:right="16"/>
              <w:spacing w:after="0"/>
              <w:rPr>
                <w:sz w:val="20"/>
                <w:szCs w:val="20"/>
                <w:color w:val="auto"/>
              </w:rPr>
            </w:pPr>
            <w:r>
              <w:rPr>
                <w:rFonts w:ascii="Arial" w:cs="Arial" w:eastAsia="Arial" w:hAnsi="Arial"/>
                <w:sz w:val="17"/>
                <w:szCs w:val="17"/>
                <w:color w:val="auto"/>
              </w:rPr>
              <w:t>196</w:t>
            </w:r>
          </w:p>
        </w:tc>
      </w:tr>
      <w:tr>
        <w:trPr>
          <w:trHeight w:val="219"/>
        </w:trPr>
        <w:tc>
          <w:tcPr>
            <w:tcW w:w="3640" w:type="dxa"/>
            <w:vAlign w:val="bottom"/>
            <w:shd w:val="clear" w:color="auto" w:fill="CFF0FC"/>
          </w:tcPr>
          <w:p>
            <w:pPr>
              <w:spacing w:after="0"/>
              <w:rPr>
                <w:sz w:val="20"/>
                <w:szCs w:val="20"/>
                <w:color w:val="auto"/>
              </w:rPr>
            </w:pPr>
            <w:r>
              <w:rPr>
                <w:rFonts w:ascii="Arial" w:cs="Arial" w:eastAsia="Arial" w:hAnsi="Arial"/>
                <w:sz w:val="17"/>
                <w:szCs w:val="17"/>
                <w:color w:val="auto"/>
              </w:rPr>
              <w:t>Deferred tax liabilities:</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18"/>
        </w:trPr>
        <w:tc>
          <w:tcPr>
            <w:tcW w:w="364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rPr>
              <w:t>Other</w:t>
            </w:r>
          </w:p>
        </w:tc>
        <w:tc>
          <w:tcPr>
            <w:tcW w:w="480" w:type="dxa"/>
            <w:vAlign w:val="bottom"/>
            <w:tcBorders>
              <w:bottom w:val="single" w:sz="8" w:color="CFF0FC"/>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(499)</w:t>
            </w:r>
          </w:p>
        </w:tc>
        <w:tc>
          <w:tcPr>
            <w:tcW w:w="1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w:t>
            </w:r>
          </w:p>
        </w:tc>
      </w:tr>
      <w:tr>
        <w:trPr>
          <w:trHeight w:val="211"/>
        </w:trPr>
        <w:tc>
          <w:tcPr>
            <w:tcW w:w="3640" w:type="dxa"/>
            <w:vAlign w:val="bottom"/>
            <w:shd w:val="clear" w:color="auto" w:fill="CFF0FC"/>
          </w:tcPr>
          <w:p>
            <w:pPr>
              <w:spacing w:after="0"/>
              <w:rPr>
                <w:sz w:val="20"/>
                <w:szCs w:val="20"/>
                <w:color w:val="auto"/>
              </w:rPr>
            </w:pPr>
            <w:r>
              <w:rPr>
                <w:rFonts w:ascii="Arial" w:cs="Arial" w:eastAsia="Arial" w:hAnsi="Arial"/>
                <w:sz w:val="17"/>
                <w:szCs w:val="17"/>
                <w:color w:val="auto"/>
              </w:rPr>
              <w:t>Net deferred tax assets</w:t>
            </w:r>
          </w:p>
        </w:tc>
        <w:tc>
          <w:tcPr>
            <w:tcW w:w="1560" w:type="dxa"/>
            <w:vAlign w:val="bottom"/>
            <w:gridSpan w:val="2"/>
            <w:shd w:val="clear" w:color="auto" w:fill="CFF0FC"/>
          </w:tcPr>
          <w:p>
            <w:pPr>
              <w:jc w:val="right"/>
              <w:ind w:right="952"/>
              <w:spacing w:after="0"/>
              <w:rPr>
                <w:sz w:val="20"/>
                <w:szCs w:val="20"/>
                <w:color w:val="auto"/>
              </w:rPr>
            </w:pPr>
            <w:r>
              <w:rPr>
                <w:rFonts w:ascii="Arial" w:cs="Arial" w:eastAsia="Arial" w:hAnsi="Arial"/>
                <w:sz w:val="17"/>
                <w:szCs w:val="17"/>
                <w:color w:val="auto"/>
              </w:rPr>
              <w:t>$</w:t>
            </w:r>
          </w:p>
        </w:tc>
        <w:tc>
          <w:tcPr>
            <w:tcW w:w="72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1420" w:type="dxa"/>
            <w:vAlign w:val="bottom"/>
            <w:shd w:val="clear" w:color="auto" w:fill="CFF0FC"/>
          </w:tcPr>
          <w:p>
            <w:pPr>
              <w:jc w:val="right"/>
              <w:ind w:right="16"/>
              <w:spacing w:after="0"/>
              <w:rPr>
                <w:sz w:val="20"/>
                <w:szCs w:val="20"/>
                <w:color w:val="auto"/>
              </w:rPr>
            </w:pPr>
            <w:r>
              <w:rPr>
                <w:rFonts w:ascii="Arial" w:cs="Arial" w:eastAsia="Arial" w:hAnsi="Arial"/>
                <w:sz w:val="17"/>
                <w:szCs w:val="17"/>
                <w:color w:val="auto"/>
              </w:rPr>
              <w:t>—</w:t>
            </w: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120" w:firstLine="589"/>
        <w:spacing w:after="0" w:line="347" w:lineRule="auto"/>
        <w:rPr>
          <w:sz w:val="20"/>
          <w:szCs w:val="20"/>
          <w:color w:val="auto"/>
        </w:rPr>
      </w:pPr>
      <w:r>
        <w:rPr>
          <w:rFonts w:ascii="Arial" w:cs="Arial" w:eastAsia="Arial" w:hAnsi="Arial"/>
          <w:sz w:val="15"/>
          <w:szCs w:val="15"/>
          <w:color w:val="auto"/>
        </w:rPr>
        <w:t>Based upon the Company’s history of operating losses, the Company is unable to conclude that it is more likely than not that the benefit of its deferred tax assets will be realized. Accordingly, the Company has provided a full valuation allowance for its deferred tax assets as of December 31, 2020 and 2019.</w:t>
      </w:r>
    </w:p>
    <w:p>
      <w:pPr>
        <w:spacing w:after="0" w:line="79" w:lineRule="exact"/>
        <w:rPr>
          <w:sz w:val="20"/>
          <w:szCs w:val="20"/>
          <w:color w:val="auto"/>
        </w:rPr>
      </w:pPr>
    </w:p>
    <w:p>
      <w:pPr>
        <w:ind w:right="620" w:firstLine="589"/>
        <w:spacing w:after="0" w:line="278" w:lineRule="auto"/>
        <w:rPr>
          <w:sz w:val="20"/>
          <w:szCs w:val="20"/>
          <w:color w:val="auto"/>
        </w:rPr>
      </w:pPr>
      <w:r>
        <w:rPr>
          <w:rFonts w:ascii="Arial" w:cs="Arial" w:eastAsia="Arial" w:hAnsi="Arial"/>
          <w:sz w:val="17"/>
          <w:szCs w:val="17"/>
          <w:color w:val="auto"/>
        </w:rPr>
        <w:t>As of December 31, 2020 and 2019, the Company had federal net operating loss carryforwards of approximately $157.8 million and $30.1 million, respectively, which are carried over indefinitely.</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December 31, 2020, the Company has available federal research and development credits of $4.7 million which begin to expire in 2038.</w:t>
      </w:r>
    </w:p>
    <w:p>
      <w:pPr>
        <w:spacing w:after="0" w:line="177" w:lineRule="exact"/>
        <w:rPr>
          <w:sz w:val="20"/>
          <w:szCs w:val="20"/>
          <w:color w:val="auto"/>
        </w:rPr>
      </w:pPr>
    </w:p>
    <w:p>
      <w:pPr>
        <w:ind w:right="140" w:firstLine="589"/>
        <w:spacing w:after="0" w:line="306" w:lineRule="auto"/>
        <w:rPr>
          <w:sz w:val="20"/>
          <w:szCs w:val="20"/>
          <w:color w:val="auto"/>
        </w:rPr>
      </w:pPr>
      <w:r>
        <w:rPr>
          <w:rFonts w:ascii="Arial" w:cs="Arial" w:eastAsia="Arial" w:hAnsi="Arial"/>
          <w:sz w:val="15"/>
          <w:szCs w:val="15"/>
          <w:color w:val="auto"/>
        </w:rPr>
        <w:t>The Company has not completed a formal analysis of the potential impact of Section 382 on its deferred tax assets as of December 31, 2020. Until this analysis has been completed, the Company has not adjusted any of its deferred tax assets, including net operating losses or research and development credits. The Company will reassess the amount of net operating losses and credits subject to limitation under Section 382 when a study is complete. Due to the existence of the valuation allowance, future changes in the deferred tax assets related to these tax attributes will not impact the Company’s effective tax rate.</w:t>
      </w:r>
    </w:p>
    <w:p>
      <w:pPr>
        <w:spacing w:after="0" w:line="110" w:lineRule="exact"/>
        <w:rPr>
          <w:sz w:val="20"/>
          <w:szCs w:val="20"/>
          <w:color w:val="auto"/>
        </w:rPr>
      </w:pPr>
    </w:p>
    <w:p>
      <w:pPr>
        <w:ind w:right="160" w:firstLine="589"/>
        <w:spacing w:after="0" w:line="278" w:lineRule="auto"/>
        <w:rPr>
          <w:sz w:val="20"/>
          <w:szCs w:val="20"/>
          <w:color w:val="auto"/>
        </w:rPr>
      </w:pPr>
      <w:r>
        <w:rPr>
          <w:rFonts w:ascii="Arial" w:cs="Arial" w:eastAsia="Arial" w:hAnsi="Arial"/>
          <w:sz w:val="16"/>
          <w:szCs w:val="16"/>
          <w:color w:val="auto"/>
        </w:rPr>
        <w:t>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that it has appropriate support for the positions taken on its tax returns, the Company regularly assesses the potential outcome of examinations by tax authorities in determining the adequacy of its provision for income taxes.</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the activity related to the Company's gross unrecognized tax benefits:</w:t>
      </w:r>
    </w:p>
    <w:p>
      <w:pPr>
        <w:spacing w:after="0" w:line="215"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Years Ended</w:t>
      </w:r>
    </w:p>
    <w:p>
      <w:pPr>
        <w:ind w:left="7900"/>
        <w:spacing w:after="0" w:line="220"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7"/>
        </w:trPr>
        <w:tc>
          <w:tcPr>
            <w:tcW w:w="1700" w:type="dxa"/>
            <w:vAlign w:val="bottom"/>
          </w:tcPr>
          <w:p>
            <w:pPr>
              <w:spacing w:after="0"/>
              <w:rPr>
                <w:sz w:val="12"/>
                <w:szCs w:val="12"/>
                <w:color w:val="auto"/>
              </w:rPr>
            </w:pPr>
          </w:p>
        </w:tc>
        <w:tc>
          <w:tcPr>
            <w:tcW w:w="3540" w:type="dxa"/>
            <w:vAlign w:val="bottom"/>
            <w:tcBorders>
              <w:bottom w:val="single" w:sz="8" w:color="CFF0FC"/>
            </w:tcBorders>
          </w:tcPr>
          <w:p>
            <w:pPr>
              <w:spacing w:after="0"/>
              <w:rPr>
                <w:sz w:val="12"/>
                <w:szCs w:val="12"/>
                <w:color w:val="auto"/>
              </w:rPr>
            </w:pPr>
          </w:p>
        </w:tc>
        <w:tc>
          <w:tcPr>
            <w:tcW w:w="1900" w:type="dxa"/>
            <w:vAlign w:val="bottom"/>
            <w:tcBorders>
              <w:bottom w:val="single" w:sz="8" w:color="CFF0FC"/>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7"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419"/>
              <w:spacing w:after="0" w:line="147" w:lineRule="exact"/>
              <w:rPr>
                <w:sz w:val="20"/>
                <w:szCs w:val="20"/>
                <w:color w:val="auto"/>
              </w:rPr>
            </w:pPr>
            <w:r>
              <w:rPr>
                <w:rFonts w:ascii="Arial" w:cs="Arial" w:eastAsia="Arial" w:hAnsi="Arial"/>
                <w:sz w:val="14"/>
                <w:szCs w:val="14"/>
                <w:b w:val="1"/>
                <w:bCs w:val="1"/>
                <w:color w:val="auto"/>
              </w:rPr>
              <w:t>2019</w:t>
            </w:r>
          </w:p>
        </w:tc>
        <w:tc>
          <w:tcPr>
            <w:tcW w:w="1720" w:type="dxa"/>
            <w:vAlign w:val="bottom"/>
          </w:tcPr>
          <w:p>
            <w:pPr>
              <w:spacing w:after="0"/>
              <w:rPr>
                <w:sz w:val="12"/>
                <w:szCs w:val="12"/>
                <w:color w:val="auto"/>
              </w:rPr>
            </w:pPr>
          </w:p>
        </w:tc>
      </w:tr>
      <w:tr>
        <w:trPr>
          <w:trHeight w:val="211"/>
        </w:trPr>
        <w:tc>
          <w:tcPr>
            <w:tcW w:w="170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Beginning balance</w:t>
            </w:r>
          </w:p>
        </w:tc>
        <w:tc>
          <w:tcPr>
            <w:tcW w:w="2620" w:type="dxa"/>
            <w:vAlign w:val="bottom"/>
            <w:gridSpan w:val="2"/>
            <w:shd w:val="clear" w:color="auto" w:fill="CFF0FC"/>
          </w:tcPr>
          <w:p>
            <w:pPr>
              <w:jc w:val="right"/>
              <w:ind w:right="572"/>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rPr>
              <w:t>176</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8"/>
                <w:szCs w:val="18"/>
                <w:color w:val="auto"/>
              </w:rPr>
            </w:pPr>
          </w:p>
        </w:tc>
      </w:tr>
      <w:tr>
        <w:trPr>
          <w:trHeight w:val="218"/>
        </w:trPr>
        <w:tc>
          <w:tcPr>
            <w:tcW w:w="1700" w:type="dxa"/>
            <w:vAlign w:val="bottom"/>
          </w:tcPr>
          <w:p>
            <w:pPr>
              <w:spacing w:after="0"/>
              <w:rPr>
                <w:sz w:val="18"/>
                <w:szCs w:val="18"/>
                <w:color w:val="auto"/>
              </w:rPr>
            </w:pPr>
          </w:p>
        </w:tc>
        <w:tc>
          <w:tcPr>
            <w:tcW w:w="3540" w:type="dxa"/>
            <w:vAlign w:val="bottom"/>
            <w:tcBorders>
              <w:bottom w:val="single" w:sz="8" w:color="CFF0FC"/>
            </w:tcBorders>
          </w:tcPr>
          <w:p>
            <w:pPr>
              <w:ind w:left="220"/>
              <w:spacing w:after="0"/>
              <w:rPr>
                <w:sz w:val="20"/>
                <w:szCs w:val="20"/>
                <w:color w:val="auto"/>
              </w:rPr>
            </w:pPr>
            <w:r>
              <w:rPr>
                <w:rFonts w:ascii="Arial" w:cs="Arial" w:eastAsia="Arial" w:hAnsi="Arial"/>
                <w:sz w:val="17"/>
                <w:szCs w:val="17"/>
                <w:color w:val="auto"/>
                <w:w w:val="95"/>
              </w:rPr>
              <w:t>Increases related to current year tax positions</w:t>
            </w:r>
          </w:p>
        </w:tc>
        <w:tc>
          <w:tcPr>
            <w:tcW w:w="1900" w:type="dxa"/>
            <w:vAlign w:val="bottom"/>
            <w:tcBorders>
              <w:bottom w:val="single" w:sz="8" w:color="CFF0FC"/>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762</w:t>
            </w: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7"/>
                <w:szCs w:val="17"/>
                <w:color w:val="auto"/>
              </w:rPr>
              <w:t>176</w:t>
            </w:r>
          </w:p>
        </w:tc>
        <w:tc>
          <w:tcPr>
            <w:tcW w:w="1720" w:type="dxa"/>
            <w:vAlign w:val="bottom"/>
          </w:tcPr>
          <w:p>
            <w:pPr>
              <w:spacing w:after="0"/>
              <w:rPr>
                <w:sz w:val="18"/>
                <w:szCs w:val="18"/>
                <w:color w:val="auto"/>
              </w:rPr>
            </w:pPr>
          </w:p>
        </w:tc>
      </w:tr>
      <w:tr>
        <w:trPr>
          <w:trHeight w:val="211"/>
        </w:trPr>
        <w:tc>
          <w:tcPr>
            <w:tcW w:w="1700" w:type="dxa"/>
            <w:vAlign w:val="bottom"/>
          </w:tcPr>
          <w:p>
            <w:pPr>
              <w:spacing w:after="0"/>
              <w:rPr>
                <w:sz w:val="18"/>
                <w:szCs w:val="18"/>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7"/>
                <w:szCs w:val="17"/>
                <w:color w:val="auto"/>
              </w:rPr>
              <w:t>Ending balance</w:t>
            </w:r>
          </w:p>
        </w:tc>
        <w:tc>
          <w:tcPr>
            <w:tcW w:w="2620" w:type="dxa"/>
            <w:vAlign w:val="bottom"/>
            <w:gridSpan w:val="2"/>
            <w:shd w:val="clear" w:color="auto" w:fill="CFF0FC"/>
          </w:tcPr>
          <w:p>
            <w:pPr>
              <w:jc w:val="right"/>
              <w:ind w:right="572"/>
              <w:spacing w:after="0"/>
              <w:rPr>
                <w:sz w:val="20"/>
                <w:szCs w:val="20"/>
                <w:color w:val="auto"/>
              </w:rPr>
            </w:pPr>
            <w:r>
              <w:rPr>
                <w:rFonts w:ascii="Arial" w:cs="Arial" w:eastAsia="Arial" w:hAnsi="Arial"/>
                <w:sz w:val="17"/>
                <w:szCs w:val="17"/>
                <w:color w:val="auto"/>
              </w:rPr>
              <w:t>$</w:t>
            </w:r>
          </w:p>
        </w:tc>
        <w:tc>
          <w:tcPr>
            <w:tcW w:w="440" w:type="dxa"/>
            <w:vAlign w:val="bottom"/>
            <w:shd w:val="clear" w:color="auto" w:fill="CFF0FC"/>
          </w:tcPr>
          <w:p>
            <w:pPr>
              <w:jc w:val="right"/>
              <w:ind w:right="14"/>
              <w:spacing w:after="0"/>
              <w:rPr>
                <w:sz w:val="20"/>
                <w:szCs w:val="20"/>
                <w:color w:val="auto"/>
              </w:rPr>
            </w:pPr>
            <w:r>
              <w:rPr>
                <w:rFonts w:ascii="Arial" w:cs="Arial" w:eastAsia="Arial" w:hAnsi="Arial"/>
                <w:sz w:val="17"/>
                <w:szCs w:val="17"/>
                <w:color w:val="auto"/>
              </w:rPr>
              <w:t>938</w:t>
            </w: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7"/>
                <w:szCs w:val="17"/>
                <w:color w:val="auto"/>
              </w:rPr>
              <w:t>176</w:t>
            </w:r>
          </w:p>
        </w:tc>
        <w:tc>
          <w:tcPr>
            <w:tcW w:w="172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54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800"/>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620" w:type="dxa"/>
            <w:vAlign w:val="bottom"/>
            <w:gridSpan w:val="2"/>
          </w:tcPr>
          <w:p>
            <w:pPr>
              <w:jc w:val="right"/>
              <w:ind w:right="1992"/>
              <w:spacing w:after="0"/>
              <w:rPr>
                <w:sz w:val="20"/>
                <w:szCs w:val="20"/>
                <w:color w:val="auto"/>
              </w:rPr>
            </w:pPr>
            <w:r>
              <w:rPr>
                <w:rFonts w:ascii="Arial" w:cs="Arial" w:eastAsia="Arial" w:hAnsi="Arial"/>
                <w:sz w:val="17"/>
                <w:szCs w:val="17"/>
                <w:color w:val="auto"/>
              </w:rPr>
              <w:t>F-23</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15"/>
        </w:trPr>
        <w:tc>
          <w:tcPr>
            <w:tcW w:w="1700" w:type="dxa"/>
            <w:vAlign w:val="bottom"/>
            <w:tcBorders>
              <w:bottom w:val="single" w:sz="8" w:color="9A9A9A"/>
            </w:tcBorders>
          </w:tcPr>
          <w:p>
            <w:pPr>
              <w:spacing w:after="0"/>
              <w:rPr>
                <w:sz w:val="24"/>
                <w:szCs w:val="24"/>
                <w:color w:val="auto"/>
              </w:rPr>
            </w:pPr>
          </w:p>
        </w:tc>
        <w:tc>
          <w:tcPr>
            <w:tcW w:w="35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538" w:right="299" w:bottom="1440" w:gutter="0" w:footer="0" w:header="0"/>
        </w:sectPr>
      </w:pPr>
    </w:p>
    <w:bookmarkStart w:id="148" w:name="page149"/>
    <w:bookmarkEnd w:id="148"/>
    <w:p>
      <w:pPr>
        <w:ind w:right="100" w:firstLine="589"/>
        <w:spacing w:after="0" w:line="258" w:lineRule="auto"/>
        <w:rPr>
          <w:sz w:val="20"/>
          <w:szCs w:val="20"/>
          <w:color w:val="auto"/>
        </w:rPr>
      </w:pPr>
      <w:r>
        <w:rPr>
          <w:rFonts w:ascii="Arial" w:cs="Arial" w:eastAsia="Arial" w:hAnsi="Arial"/>
          <w:sz w:val="17"/>
          <w:szCs w:val="17"/>
          <w:color w:val="auto"/>
        </w:rPr>
        <w:t>As of December 31, 2020, the Company has gross unrecognized tax benefits of $0.9 million, none of which would affect the effective tax rate due to a full valuation allowance. The Company does not anticipate any significant changes in its unrecognized tax benefits over the next 12 months. The Company's policy is to recognize the interest expense and/or penalties related to income tax matters as a component of income tax expense. The Company has no accrual for interest or penalties on its balance sheet at December 31, 2020 and has not recognized interest or penalties in its statement of operations for the year ended December 31, 2020.</w:t>
      </w:r>
    </w:p>
    <w:p>
      <w:pPr>
        <w:spacing w:after="0" w:line="144" w:lineRule="exact"/>
        <w:rPr>
          <w:sz w:val="20"/>
          <w:szCs w:val="20"/>
          <w:color w:val="auto"/>
        </w:rPr>
      </w:pPr>
    </w:p>
    <w:p>
      <w:pPr>
        <w:ind w:right="100" w:firstLine="589"/>
        <w:spacing w:after="0" w:line="278" w:lineRule="auto"/>
        <w:rPr>
          <w:sz w:val="20"/>
          <w:szCs w:val="20"/>
          <w:color w:val="auto"/>
        </w:rPr>
      </w:pPr>
      <w:r>
        <w:rPr>
          <w:rFonts w:ascii="Arial" w:cs="Arial" w:eastAsia="Arial" w:hAnsi="Arial"/>
          <w:sz w:val="17"/>
          <w:szCs w:val="17"/>
          <w:color w:val="auto"/>
        </w:rPr>
        <w:t>The Company is subject to taxation in the United States and California. The Company is not currently under examination by any taxing authorities. Due to the carryover of tax attributes, the statute of limitations is currently open for tax years since inception.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401(k) Plan</w:t>
      </w:r>
    </w:p>
    <w:p>
      <w:pPr>
        <w:spacing w:after="0" w:line="222" w:lineRule="exact"/>
        <w:rPr>
          <w:sz w:val="20"/>
          <w:szCs w:val="20"/>
          <w:color w:val="auto"/>
        </w:rPr>
      </w:pPr>
    </w:p>
    <w:p>
      <w:pPr>
        <w:ind w:right="100" w:firstLine="864"/>
        <w:spacing w:after="0" w:line="261" w:lineRule="auto"/>
        <w:rPr>
          <w:sz w:val="20"/>
          <w:szCs w:val="20"/>
          <w:color w:val="auto"/>
        </w:rPr>
      </w:pPr>
      <w:r>
        <w:rPr>
          <w:rFonts w:ascii="Arial" w:cs="Arial" w:eastAsia="Arial" w:hAnsi="Arial"/>
          <w:sz w:val="17"/>
          <w:szCs w:val="17"/>
          <w:color w:val="auto"/>
        </w:rPr>
        <w:t>The Company established a 401(k) savings plan during the year ended December 31, 2020. The Company’s contributions to the plan are discretionary. During the year ended December 31, 2020, the Company incurred $0.3 million of expense related to employer contributions. As of December 31, 2020 the Company had $0.3 million of 401(k) contribution liabilities, which was based on a 75% match of employees’ annual contributions. In January 2021, the Board of Directors approved the discretionary match, which was settled by contributing 8,356 shares.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w:t>
      </w:r>
      <w:r>
        <w:rPr>
          <w:rFonts w:ascii="Arial" w:cs="Arial" w:eastAsia="Arial" w:hAnsi="Arial"/>
          <w:sz w:val="17"/>
          <w:szCs w:val="17"/>
          <w:color w:val="auto"/>
        </w:rPr>
        <w:t>.</w:t>
      </w:r>
      <w:r>
        <w:rPr>
          <w:rFonts w:ascii="Arial" w:cs="Arial" w:eastAsia="Arial" w:hAnsi="Arial"/>
          <w:sz w:val="17"/>
          <w:szCs w:val="17"/>
          <w:b w:val="1"/>
          <w:bCs w:val="1"/>
          <w:color w:val="auto"/>
        </w:rPr>
        <w:t xml:space="preserve"> Quarterly Financial Information (unaudited)</w:t>
      </w:r>
    </w:p>
    <w:p>
      <w:pPr>
        <w:spacing w:after="0" w:line="18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the unaudited financial results of operations for the quarters indicated:</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6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0"/>
              </w:rPr>
              <w:t>2020 Quarter Ended</w:t>
            </w: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97"/>
              <w:spacing w:after="0" w:line="147" w:lineRule="exact"/>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ind w:left="180"/>
              <w:spacing w:after="0" w:line="147" w:lineRule="exact"/>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17"/>
              <w:spacing w:after="0" w:line="147" w:lineRule="exact"/>
              <w:rPr>
                <w:sz w:val="20"/>
                <w:szCs w:val="20"/>
                <w:color w:val="auto"/>
              </w:rPr>
            </w:pPr>
            <w:r>
              <w:rPr>
                <w:rFonts w:ascii="Arial" w:cs="Arial" w:eastAsia="Arial" w:hAnsi="Arial"/>
                <w:sz w:val="14"/>
                <w:szCs w:val="14"/>
                <w:b w:val="1"/>
                <w:bCs w:val="1"/>
                <w:color w:val="auto"/>
                <w:w w:val="94"/>
              </w:rPr>
              <w:t>December 31,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3"/>
          </w:tcPr>
          <w:p>
            <w:pPr>
              <w:jc w:val="center"/>
              <w:ind w:left="780"/>
              <w:spacing w:after="0" w:line="147" w:lineRule="exact"/>
              <w:rPr>
                <w:sz w:val="20"/>
                <w:szCs w:val="20"/>
                <w:color w:val="auto"/>
              </w:rPr>
            </w:pPr>
            <w:r>
              <w:rPr>
                <w:rFonts w:ascii="Arial" w:cs="Arial" w:eastAsia="Arial" w:hAnsi="Arial"/>
                <w:sz w:val="14"/>
                <w:szCs w:val="14"/>
                <w:b w:val="1"/>
                <w:bCs w:val="1"/>
                <w:color w:val="auto"/>
                <w:w w:val="91"/>
              </w:rPr>
              <w:t>(unaudited)</w:t>
            </w: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56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7"/>
                <w:szCs w:val="17"/>
                <w:color w:val="auto"/>
              </w:rPr>
              <w:t>Operating expenses:</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60" w:type="dxa"/>
            <w:vAlign w:val="bottom"/>
          </w:tcPr>
          <w:p>
            <w:pPr>
              <w:spacing w:after="0"/>
              <w:rPr>
                <w:sz w:val="18"/>
                <w:szCs w:val="18"/>
                <w:color w:val="auto"/>
              </w:rPr>
            </w:pPr>
          </w:p>
        </w:tc>
        <w:tc>
          <w:tcPr>
            <w:tcW w:w="3940" w:type="dxa"/>
            <w:vAlign w:val="bottom"/>
          </w:tcPr>
          <w:p>
            <w:pPr>
              <w:ind w:left="240"/>
              <w:spacing w:after="0"/>
              <w:rPr>
                <w:sz w:val="20"/>
                <w:szCs w:val="20"/>
                <w:color w:val="auto"/>
              </w:rPr>
            </w:pPr>
            <w:r>
              <w:rPr>
                <w:rFonts w:ascii="Arial" w:cs="Arial" w:eastAsia="Arial" w:hAnsi="Arial"/>
                <w:sz w:val="17"/>
                <w:szCs w:val="17"/>
                <w:color w:val="auto"/>
              </w:rPr>
              <w:t>Research and development</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15,865</w:t>
            </w:r>
          </w:p>
        </w:tc>
        <w:tc>
          <w:tcPr>
            <w:tcW w:w="38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14,859</w:t>
            </w: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7"/>
              <w:spacing w:after="0"/>
              <w:rPr>
                <w:sz w:val="20"/>
                <w:szCs w:val="20"/>
                <w:color w:val="auto"/>
              </w:rPr>
            </w:pPr>
            <w:r>
              <w:rPr>
                <w:rFonts w:ascii="Arial" w:cs="Arial" w:eastAsia="Arial" w:hAnsi="Arial"/>
                <w:sz w:val="17"/>
                <w:szCs w:val="17"/>
                <w:color w:val="auto"/>
              </w:rPr>
              <w:t>25,770</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37"/>
              <w:spacing w:after="0"/>
              <w:rPr>
                <w:sz w:val="20"/>
                <w:szCs w:val="20"/>
                <w:color w:val="auto"/>
              </w:rPr>
            </w:pPr>
            <w:r>
              <w:rPr>
                <w:rFonts w:ascii="Arial" w:cs="Arial" w:eastAsia="Arial" w:hAnsi="Arial"/>
                <w:sz w:val="17"/>
                <w:szCs w:val="17"/>
                <w:color w:val="auto"/>
              </w:rPr>
              <w:t>41,654</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4,510</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7"/>
                <w:szCs w:val="17"/>
                <w:color w:val="auto"/>
              </w:rPr>
              <w:t>5,162</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7,060</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10,785</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39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operating expenses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20,375</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20,021</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32,830</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52,439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(20,375)</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(20,021)</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(32,830)</w:t>
            </w:r>
          </w:p>
        </w:tc>
        <w:tc>
          <w:tcPr>
            <w:tcW w:w="1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(52,439)</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39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other income (expense)</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234</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(1,080)</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(1,275)</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w:t>
            </w: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(20,141)</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(21,101)</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(34,105)</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(53,721)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940" w:type="dxa"/>
            <w:vAlign w:val="bottom"/>
            <w:vMerge w:val="restart"/>
          </w:tcPr>
          <w:p>
            <w:pPr>
              <w:spacing w:after="0"/>
              <w:rPr>
                <w:sz w:val="20"/>
                <w:szCs w:val="20"/>
                <w:color w:val="auto"/>
              </w:rPr>
            </w:pPr>
            <w:r>
              <w:rPr>
                <w:rFonts w:ascii="Arial" w:cs="Arial" w:eastAsia="Arial" w:hAnsi="Arial"/>
                <w:sz w:val="17"/>
                <w:szCs w:val="17"/>
                <w:color w:val="auto"/>
              </w:rPr>
              <w:t>Net loss per share, basic and diluted</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p>
        </w:tc>
        <w:tc>
          <w:tcPr>
            <w:tcW w:w="3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(0.62)</w:t>
            </w:r>
          </w:p>
        </w:tc>
        <w:tc>
          <w:tcPr>
            <w:tcW w:w="38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(0.64)</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(1.02)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(1.58)</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560" w:type="dxa"/>
            <w:vAlign w:val="bottom"/>
          </w:tcPr>
          <w:p>
            <w:pPr>
              <w:spacing w:after="0"/>
              <w:rPr>
                <w:sz w:val="16"/>
                <w:szCs w:val="16"/>
                <w:color w:val="auto"/>
              </w:rPr>
            </w:pPr>
          </w:p>
        </w:tc>
        <w:tc>
          <w:tcPr>
            <w:tcW w:w="3940" w:type="dxa"/>
            <w:vAlign w:val="bottom"/>
            <w:tcBorders>
              <w:top w:val="single" w:sz="8" w:color="CFF0FC"/>
            </w:tcBorders>
            <w:shd w:val="clear" w:color="auto" w:fill="CFF0FC"/>
          </w:tcPr>
          <w:p>
            <w:pPr>
              <w:spacing w:after="0" w:line="185" w:lineRule="exact"/>
              <w:rPr>
                <w:sz w:val="20"/>
                <w:szCs w:val="20"/>
                <w:color w:val="auto"/>
              </w:rPr>
            </w:pPr>
            <w:r>
              <w:rPr>
                <w:rFonts w:ascii="Arial" w:cs="Arial" w:eastAsia="Arial" w:hAnsi="Arial"/>
                <w:sz w:val="17"/>
                <w:szCs w:val="17"/>
                <w:color w:val="auto"/>
              </w:rPr>
              <w:t>Weighted-average shares of common</w:t>
            </w:r>
          </w:p>
        </w:tc>
        <w:tc>
          <w:tcPr>
            <w:tcW w:w="22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7"/>
                <w:szCs w:val="17"/>
                <w:color w:val="auto"/>
              </w:rPr>
              <w:t>stock outstanding, basic and diluted</w:t>
            </w: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32,470,402</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7"/>
                <w:szCs w:val="17"/>
                <w:color w:val="auto"/>
              </w:rPr>
              <w:t>32,997,099</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33,366,237</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34,060,291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0"/>
              </w:rPr>
              <w:t>2019 Quarter Ended</w:t>
            </w: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397"/>
              <w:spacing w:after="0" w:line="147" w:lineRule="exact"/>
              <w:rPr>
                <w:sz w:val="20"/>
                <w:szCs w:val="20"/>
                <w:color w:val="auto"/>
              </w:rPr>
            </w:pPr>
            <w:r>
              <w:rPr>
                <w:rFonts w:ascii="Arial" w:cs="Arial" w:eastAsia="Arial" w:hAnsi="Arial"/>
                <w:sz w:val="14"/>
                <w:szCs w:val="14"/>
                <w:b w:val="1"/>
                <w:bCs w:val="1"/>
                <w:color w:val="auto"/>
              </w:rPr>
              <w:t>March 31,</w:t>
            </w: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ind w:left="180"/>
              <w:spacing w:after="0" w:line="147" w:lineRule="exact"/>
              <w:rPr>
                <w:sz w:val="20"/>
                <w:szCs w:val="20"/>
                <w:color w:val="auto"/>
              </w:rPr>
            </w:pPr>
            <w:r>
              <w:rPr>
                <w:rFonts w:ascii="Arial" w:cs="Arial" w:eastAsia="Arial" w:hAnsi="Arial"/>
                <w:sz w:val="14"/>
                <w:szCs w:val="14"/>
                <w:b w:val="1"/>
                <w:bCs w:val="1"/>
                <w:color w:val="auto"/>
              </w:rPr>
              <w:t>June 30,</w:t>
            </w: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September 30,</w:t>
            </w:r>
          </w:p>
        </w:tc>
        <w:tc>
          <w:tcPr>
            <w:tcW w:w="1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17"/>
              <w:spacing w:after="0" w:line="147" w:lineRule="exact"/>
              <w:rPr>
                <w:sz w:val="20"/>
                <w:szCs w:val="20"/>
                <w:color w:val="auto"/>
              </w:rPr>
            </w:pPr>
            <w:r>
              <w:rPr>
                <w:rFonts w:ascii="Arial" w:cs="Arial" w:eastAsia="Arial" w:hAnsi="Arial"/>
                <w:sz w:val="14"/>
                <w:szCs w:val="14"/>
                <w:b w:val="1"/>
                <w:bCs w:val="1"/>
                <w:color w:val="auto"/>
                <w:w w:val="94"/>
              </w:rPr>
              <w:t>December 31,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0" w:type="dxa"/>
            <w:vAlign w:val="bottom"/>
          </w:tcPr>
          <w:p>
            <w:pPr>
              <w:spacing w:after="0"/>
              <w:rPr>
                <w:sz w:val="14"/>
                <w:szCs w:val="14"/>
                <w:color w:val="auto"/>
              </w:rPr>
            </w:pPr>
          </w:p>
        </w:tc>
        <w:tc>
          <w:tcPr>
            <w:tcW w:w="3940" w:type="dxa"/>
            <w:vAlign w:val="bottom"/>
            <w:vMerge w:val="restart"/>
          </w:tcPr>
          <w:p>
            <w:pPr>
              <w:spacing w:after="0"/>
              <w:rPr>
                <w:sz w:val="20"/>
                <w:szCs w:val="20"/>
                <w:color w:val="auto"/>
              </w:rPr>
            </w:pPr>
            <w:r>
              <w:rPr>
                <w:rFonts w:ascii="Arial" w:cs="Arial" w:eastAsia="Arial" w:hAnsi="Arial"/>
                <w:sz w:val="17"/>
                <w:szCs w:val="17"/>
                <w:color w:val="auto"/>
              </w:rPr>
              <w:t>Operating expenses:</w:t>
            </w: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center"/>
              <w:ind w:left="780"/>
              <w:spacing w:after="0"/>
              <w:rPr>
                <w:sz w:val="20"/>
                <w:szCs w:val="20"/>
                <w:color w:val="auto"/>
              </w:rPr>
            </w:pPr>
            <w:r>
              <w:rPr>
                <w:rFonts w:ascii="Arial" w:cs="Arial" w:eastAsia="Arial" w:hAnsi="Arial"/>
                <w:sz w:val="14"/>
                <w:szCs w:val="14"/>
                <w:b w:val="1"/>
                <w:bCs w:val="1"/>
                <w:color w:val="auto"/>
                <w:w w:val="91"/>
              </w:rPr>
              <w:t>(unaudited)</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39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6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Research and development</w:t>
            </w:r>
          </w:p>
        </w:tc>
        <w:tc>
          <w:tcPr>
            <w:tcW w:w="2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22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429</w:t>
            </w:r>
          </w:p>
        </w:tc>
        <w:tc>
          <w:tcPr>
            <w:tcW w:w="380" w:type="dxa"/>
            <w:vAlign w:val="bottom"/>
            <w:gridSpan w:val="2"/>
            <w:shd w:val="clear" w:color="auto" w:fill="CFF0FC"/>
          </w:tcPr>
          <w:p>
            <w:pPr>
              <w:ind w:left="1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FF0FC"/>
          </w:tcPr>
          <w:p>
            <w:pPr>
              <w:jc w:val="right"/>
              <w:ind w:right="20"/>
              <w:spacing w:after="0"/>
              <w:rPr>
                <w:sz w:val="20"/>
                <w:szCs w:val="20"/>
                <w:color w:val="auto"/>
              </w:rPr>
            </w:pPr>
            <w:r>
              <w:rPr>
                <w:rFonts w:ascii="Arial" w:cs="Arial" w:eastAsia="Arial" w:hAnsi="Arial"/>
                <w:sz w:val="17"/>
                <w:szCs w:val="17"/>
                <w:color w:val="auto"/>
              </w:rPr>
              <w:t>2,772</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200" w:type="dxa"/>
            <w:vAlign w:val="bottom"/>
            <w:shd w:val="clear" w:color="auto" w:fill="CFF0FC"/>
          </w:tcPr>
          <w:p>
            <w:pPr>
              <w:jc w:val="right"/>
              <w:ind w:right="17"/>
              <w:spacing w:after="0"/>
              <w:rPr>
                <w:sz w:val="20"/>
                <w:szCs w:val="20"/>
                <w:color w:val="auto"/>
              </w:rPr>
            </w:pPr>
            <w:r>
              <w:rPr>
                <w:rFonts w:ascii="Arial" w:cs="Arial" w:eastAsia="Arial" w:hAnsi="Arial"/>
                <w:sz w:val="17"/>
                <w:szCs w:val="17"/>
                <w:color w:val="auto"/>
              </w:rPr>
              <w:t>4,469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280" w:type="dxa"/>
            <w:vAlign w:val="bottom"/>
            <w:shd w:val="clear" w:color="auto" w:fill="CFF0FC"/>
          </w:tcPr>
          <w:p>
            <w:pPr>
              <w:jc w:val="right"/>
              <w:ind w:right="37"/>
              <w:spacing w:after="0"/>
              <w:rPr>
                <w:sz w:val="20"/>
                <w:szCs w:val="20"/>
                <w:color w:val="auto"/>
              </w:rPr>
            </w:pPr>
            <w:r>
              <w:rPr>
                <w:rFonts w:ascii="Arial" w:cs="Arial" w:eastAsia="Arial" w:hAnsi="Arial"/>
                <w:sz w:val="17"/>
                <w:szCs w:val="17"/>
                <w:color w:val="auto"/>
              </w:rPr>
              <w:t>12,704</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3940" w:type="dxa"/>
            <w:vAlign w:val="bottom"/>
          </w:tcPr>
          <w:p>
            <w:pPr>
              <w:ind w:left="240"/>
              <w:spacing w:after="0"/>
              <w:rPr>
                <w:sz w:val="20"/>
                <w:szCs w:val="20"/>
                <w:color w:val="auto"/>
              </w:rPr>
            </w:pPr>
            <w:r>
              <w:rPr>
                <w:rFonts w:ascii="Arial" w:cs="Arial" w:eastAsia="Arial" w:hAnsi="Arial"/>
                <w:sz w:val="17"/>
                <w:szCs w:val="17"/>
                <w:color w:val="auto"/>
              </w:rPr>
              <w:t>In-process research and</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3940" w:type="dxa"/>
            <w:vAlign w:val="bottom"/>
          </w:tcPr>
          <w:p>
            <w:pPr>
              <w:ind w:left="380"/>
              <w:spacing w:after="0"/>
              <w:rPr>
                <w:sz w:val="20"/>
                <w:szCs w:val="20"/>
                <w:color w:val="auto"/>
              </w:rPr>
            </w:pPr>
            <w:r>
              <w:rPr>
                <w:rFonts w:ascii="Arial" w:cs="Arial" w:eastAsia="Arial" w:hAnsi="Arial"/>
                <w:sz w:val="17"/>
                <w:szCs w:val="17"/>
                <w:color w:val="auto"/>
              </w:rPr>
              <w:t>development</w:t>
            </w:r>
          </w:p>
        </w:tc>
        <w:tc>
          <w:tcPr>
            <w:tcW w:w="220" w:type="dxa"/>
            <w:vAlign w:val="bottom"/>
          </w:tcPr>
          <w:p>
            <w:pPr>
              <w:spacing w:after="0"/>
              <w:rPr>
                <w:sz w:val="18"/>
                <w:szCs w:val="18"/>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20"/>
              <w:spacing w:after="0"/>
              <w:rPr>
                <w:sz w:val="20"/>
                <w:szCs w:val="20"/>
                <w:color w:val="auto"/>
              </w:rPr>
            </w:pPr>
            <w:r>
              <w:rPr>
                <w:rFonts w:ascii="Arial" w:cs="Arial" w:eastAsia="Arial" w:hAnsi="Arial"/>
                <w:sz w:val="17"/>
                <w:szCs w:val="17"/>
                <w:color w:val="auto"/>
              </w:rPr>
              <w:t>78,897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0" w:type="dxa"/>
            <w:vAlign w:val="bottom"/>
          </w:tcPr>
          <w:p>
            <w:pPr>
              <w:spacing w:after="0"/>
              <w:rPr>
                <w:sz w:val="19"/>
                <w:szCs w:val="19"/>
                <w:color w:val="auto"/>
              </w:rPr>
            </w:pPr>
          </w:p>
        </w:tc>
        <w:tc>
          <w:tcPr>
            <w:tcW w:w="3940" w:type="dxa"/>
            <w:vAlign w:val="bottom"/>
            <w:shd w:val="clear" w:color="auto" w:fill="CFF0FC"/>
          </w:tcPr>
          <w:p>
            <w:pPr>
              <w:ind w:left="240"/>
              <w:spacing w:after="0"/>
              <w:rPr>
                <w:sz w:val="20"/>
                <w:szCs w:val="20"/>
                <w:color w:val="auto"/>
              </w:rPr>
            </w:pPr>
            <w:r>
              <w:rPr>
                <w:rFonts w:ascii="Arial" w:cs="Arial" w:eastAsia="Arial" w:hAnsi="Arial"/>
                <w:sz w:val="17"/>
                <w:szCs w:val="17"/>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797</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7"/>
                <w:szCs w:val="17"/>
                <w:color w:val="auto"/>
              </w:rPr>
              <w:t>1,345</w:t>
            </w:r>
          </w:p>
        </w:tc>
        <w:tc>
          <w:tcPr>
            <w:tcW w:w="1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1,813</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2,989</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39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operating expenses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1,226</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7"/>
                <w:szCs w:val="17"/>
                <w:color w:val="auto"/>
              </w:rPr>
              <w:t>83,014</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6,282</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15,693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7"/>
                <w:szCs w:val="17"/>
                <w:color w:val="auto"/>
              </w:rPr>
              <w:t>Loss from operations</w:t>
            </w: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(1,226)</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(83,014)</w:t>
            </w:r>
          </w:p>
        </w:tc>
        <w:tc>
          <w:tcPr>
            <w:tcW w:w="1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(6,282)</w:t>
            </w:r>
          </w:p>
        </w:tc>
        <w:tc>
          <w:tcPr>
            <w:tcW w:w="1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(15,693)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394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Total other income (expense)</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(4,748)</w:t>
            </w:r>
          </w:p>
        </w:tc>
        <w:tc>
          <w:tcPr>
            <w:tcW w:w="1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(61,830)</w:t>
            </w:r>
          </w:p>
        </w:tc>
        <w:tc>
          <w:tcPr>
            <w:tcW w:w="1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(82,313)</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6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loss</w:t>
            </w: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(1,251)</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(87,762)</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(68,112)</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(98,006)</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940" w:type="dxa"/>
            <w:vAlign w:val="bottom"/>
            <w:vMerge w:val="restart"/>
          </w:tcPr>
          <w:p>
            <w:pPr>
              <w:spacing w:after="0"/>
              <w:rPr>
                <w:sz w:val="20"/>
                <w:szCs w:val="20"/>
                <w:color w:val="auto"/>
              </w:rPr>
            </w:pPr>
            <w:r>
              <w:rPr>
                <w:rFonts w:ascii="Arial" w:cs="Arial" w:eastAsia="Arial" w:hAnsi="Arial"/>
                <w:sz w:val="17"/>
                <w:szCs w:val="17"/>
                <w:color w:val="auto"/>
              </w:rPr>
              <w:t>Net loss per share, basic and diluted</w:t>
            </w: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p>
        </w:tc>
        <w:tc>
          <w:tcPr>
            <w:tcW w:w="39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(0.19)</w:t>
            </w:r>
          </w:p>
        </w:tc>
        <w:tc>
          <w:tcPr>
            <w:tcW w:w="38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(13.11)</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(9.30)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1280" w:type="dxa"/>
            <w:vAlign w:val="bottom"/>
          </w:tcPr>
          <w:p>
            <w:pPr>
              <w:jc w:val="right"/>
              <w:spacing w:after="0"/>
              <w:rPr>
                <w:sz w:val="20"/>
                <w:szCs w:val="20"/>
                <w:color w:val="auto"/>
              </w:rPr>
            </w:pPr>
            <w:r>
              <w:rPr>
                <w:rFonts w:ascii="Arial" w:cs="Arial" w:eastAsia="Arial" w:hAnsi="Arial"/>
                <w:sz w:val="15"/>
                <w:szCs w:val="15"/>
                <w:color w:val="auto"/>
              </w:rPr>
              <w:t>(3.97)</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560" w:type="dxa"/>
            <w:vAlign w:val="bottom"/>
          </w:tcPr>
          <w:p>
            <w:pPr>
              <w:spacing w:after="0"/>
              <w:rPr>
                <w:sz w:val="16"/>
                <w:szCs w:val="16"/>
                <w:color w:val="auto"/>
              </w:rPr>
            </w:pPr>
          </w:p>
        </w:tc>
        <w:tc>
          <w:tcPr>
            <w:tcW w:w="3940" w:type="dxa"/>
            <w:vAlign w:val="bottom"/>
            <w:tcBorders>
              <w:top w:val="single" w:sz="8" w:color="CFF0FC"/>
            </w:tcBorders>
            <w:shd w:val="clear" w:color="auto" w:fill="CFF0FC"/>
          </w:tcPr>
          <w:p>
            <w:pPr>
              <w:spacing w:after="0" w:line="185" w:lineRule="exact"/>
              <w:rPr>
                <w:sz w:val="20"/>
                <w:szCs w:val="20"/>
                <w:color w:val="auto"/>
              </w:rPr>
            </w:pPr>
            <w:r>
              <w:rPr>
                <w:rFonts w:ascii="Arial" w:cs="Arial" w:eastAsia="Arial" w:hAnsi="Arial"/>
                <w:sz w:val="17"/>
                <w:szCs w:val="17"/>
                <w:color w:val="auto"/>
              </w:rPr>
              <w:t>Weighted-average shares of common</w:t>
            </w:r>
          </w:p>
        </w:tc>
        <w:tc>
          <w:tcPr>
            <w:tcW w:w="22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118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39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7"/>
                <w:szCs w:val="17"/>
                <w:color w:val="auto"/>
              </w:rPr>
              <w:t>stock outstanding, basic and diluted</w:t>
            </w:r>
          </w:p>
        </w:tc>
        <w:tc>
          <w:tcPr>
            <w:tcW w:w="2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6,585,503</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7"/>
                <w:szCs w:val="17"/>
                <w:color w:val="auto"/>
              </w:rPr>
              <w:t>6,694,682</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7"/>
                <w:szCs w:val="17"/>
                <w:color w:val="auto"/>
              </w:rPr>
              <w:t>7,326,090</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7"/>
                <w:szCs w:val="17"/>
                <w:color w:val="auto"/>
              </w:rPr>
              <w:t>24,706,661</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5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57"/>
              <w:spacing w:after="0"/>
              <w:rPr>
                <w:sz w:val="20"/>
                <w:szCs w:val="20"/>
                <w:color w:val="auto"/>
              </w:rPr>
            </w:pPr>
            <w:r>
              <w:rPr>
                <w:rFonts w:ascii="Arial" w:cs="Arial" w:eastAsia="Arial" w:hAnsi="Arial"/>
                <w:sz w:val="17"/>
                <w:szCs w:val="17"/>
                <w:color w:val="auto"/>
              </w:rPr>
              <w:t>F-24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56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333" w:right="299" w:bottom="1440" w:gutter="0" w:footer="0" w:header="0"/>
        </w:sectPr>
      </w:pPr>
    </w:p>
    <w:bookmarkStart w:id="149" w:name="page150"/>
    <w:bookmarkEnd w:id="149"/>
    <w:p>
      <w:pPr>
        <w:spacing w:after="0"/>
        <w:rPr>
          <w:sz w:val="20"/>
          <w:szCs w:val="20"/>
          <w:color w:val="auto"/>
        </w:rPr>
      </w:pPr>
      <w:r>
        <w:rPr>
          <w:rFonts w:ascii="Arial" w:cs="Arial" w:eastAsia="Arial" w:hAnsi="Arial"/>
          <w:sz w:val="17"/>
          <w:szCs w:val="17"/>
          <w:b w:val="1"/>
          <w:bCs w:val="1"/>
          <w:color w:val="auto"/>
        </w:rPr>
        <w:t>12. Subsequent Events</w:t>
      </w:r>
    </w:p>
    <w:p>
      <w:pPr>
        <w:spacing w:after="0" w:line="27" w:lineRule="exact"/>
        <w:rPr>
          <w:sz w:val="20"/>
          <w:szCs w:val="20"/>
          <w:color w:val="auto"/>
        </w:rPr>
      </w:pPr>
    </w:p>
    <w:p>
      <w:pPr>
        <w:ind w:right="20" w:firstLine="864"/>
        <w:spacing w:after="0" w:line="264" w:lineRule="auto"/>
        <w:rPr>
          <w:sz w:val="20"/>
          <w:szCs w:val="20"/>
          <w:color w:val="auto"/>
        </w:rPr>
      </w:pPr>
      <w:r>
        <w:rPr>
          <w:rFonts w:ascii="Arial" w:cs="Arial" w:eastAsia="Arial" w:hAnsi="Arial"/>
          <w:sz w:val="17"/>
          <w:szCs w:val="17"/>
          <w:color w:val="auto"/>
        </w:rPr>
        <w:t>In March 2021, the Company entered into the Second Amendment (the “Amendment”) to the Loan Agreement which further amended certain terms of the Loan Agreement, dated as of May 14, 2019.</w:t>
      </w:r>
    </w:p>
    <w:p>
      <w:pPr>
        <w:spacing w:after="0" w:line="176" w:lineRule="exact"/>
        <w:rPr>
          <w:sz w:val="20"/>
          <w:szCs w:val="20"/>
          <w:color w:val="auto"/>
        </w:rPr>
      </w:pPr>
    </w:p>
    <w:p>
      <w:pPr>
        <w:ind w:firstLine="864"/>
        <w:spacing w:after="0" w:line="261" w:lineRule="auto"/>
        <w:rPr>
          <w:sz w:val="20"/>
          <w:szCs w:val="20"/>
          <w:color w:val="auto"/>
        </w:rPr>
      </w:pPr>
      <w:r>
        <w:rPr>
          <w:rFonts w:ascii="Arial" w:cs="Arial" w:eastAsia="Arial" w:hAnsi="Arial"/>
          <w:sz w:val="17"/>
          <w:szCs w:val="17"/>
          <w:color w:val="auto"/>
        </w:rPr>
        <w:t>The Amendment extends the current interest-only period of the Loan Agreement from May 31, 2021 to July 31, 2021. After July 31, 2021, the interest-only period will be extended either (i) until December 31, 2021, if the Company receives positive data from its Phase 3 clinical trial in H. pylori infection sufficient to file an NDA with the FDA; or (ii) until November 30, 2022, if the Company receives positive data from its Phase 3 clinical trials in both indications for vonoprazan sufficient to file an NDA with the FDA.</w:t>
      </w:r>
    </w:p>
    <w:p>
      <w:pPr>
        <w:spacing w:after="0" w:line="178" w:lineRule="exact"/>
        <w:rPr>
          <w:sz w:val="20"/>
          <w:szCs w:val="20"/>
          <w:color w:val="auto"/>
        </w:rPr>
      </w:pPr>
    </w:p>
    <w:p>
      <w:pPr>
        <w:ind w:right="320" w:firstLine="864"/>
        <w:spacing w:after="0" w:line="278" w:lineRule="auto"/>
        <w:rPr>
          <w:sz w:val="20"/>
          <w:szCs w:val="20"/>
          <w:color w:val="auto"/>
        </w:rPr>
      </w:pPr>
      <w:r>
        <w:rPr>
          <w:rFonts w:ascii="Arial" w:cs="Arial" w:eastAsia="Arial" w:hAnsi="Arial"/>
          <w:sz w:val="17"/>
          <w:szCs w:val="17"/>
          <w:color w:val="auto"/>
        </w:rPr>
        <w:t>Subsequent to the interest-only period, the Term Loans will be payable in equal monthly installments of principal, plus accrued and unpaid interest through the maturity date of May 1, 2024.</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7" w:right="339" w:bottom="1440" w:gutter="0" w:footer="0" w:header="0"/>
        </w:sectPr>
      </w:pPr>
    </w:p>
    <w:bookmarkStart w:id="150" w:name="page151"/>
    <w:bookmarkEnd w:id="150"/>
    <w:p>
      <w:pPr>
        <w:jc w:val="center"/>
        <w:ind w:right="40"/>
        <w:spacing w:after="0"/>
        <w:rPr>
          <w:sz w:val="20"/>
          <w:szCs w:val="20"/>
          <w:color w:val="auto"/>
        </w:rPr>
      </w:pPr>
      <w:r>
        <w:rPr>
          <w:rFonts w:ascii="Arial" w:cs="Arial" w:eastAsia="Arial" w:hAnsi="Arial"/>
          <w:sz w:val="17"/>
          <w:szCs w:val="17"/>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66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w w:val="90"/>
              </w:rPr>
              <w:t>Incorporated by Reference</w:t>
            </w:r>
          </w:p>
        </w:tc>
        <w:tc>
          <w:tcPr>
            <w:tcW w:w="12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16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80" w:type="dxa"/>
            <w:vAlign w:val="bottom"/>
            <w:gridSpan w:val="29"/>
            <w:vMerge w:val="restart"/>
          </w:tcPr>
          <w:p>
            <w:pPr>
              <w:ind w:left="40"/>
              <w:spacing w:after="0"/>
              <w:rPr>
                <w:sz w:val="20"/>
                <w:szCs w:val="20"/>
                <w:color w:val="auto"/>
              </w:rPr>
            </w:pPr>
            <w:r>
              <w:rPr>
                <w:rFonts w:ascii="Arial" w:cs="Arial" w:eastAsia="Arial" w:hAnsi="Arial"/>
                <w:sz w:val="14"/>
                <w:szCs w:val="14"/>
                <w:b w:val="1"/>
                <w:bCs w:val="1"/>
                <w:color w:val="auto"/>
              </w:rPr>
              <w:t>Exhibit Description</w:t>
            </w:r>
          </w:p>
        </w:tc>
        <w:tc>
          <w:tcPr>
            <w:tcW w:w="6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Form</w:t>
            </w:r>
          </w:p>
        </w:tc>
        <w:tc>
          <w:tcPr>
            <w:tcW w:w="80" w:type="dxa"/>
            <w:vAlign w:val="bottom"/>
          </w:tcPr>
          <w:p>
            <w:pPr>
              <w:spacing w:after="0"/>
              <w:rPr>
                <w:sz w:val="9"/>
                <w:szCs w:val="9"/>
                <w:color w:val="auto"/>
              </w:rPr>
            </w:pPr>
          </w:p>
        </w:tc>
        <w:tc>
          <w:tcPr>
            <w:tcW w:w="132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Date</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w:t>
            </w:r>
          </w:p>
        </w:tc>
        <w:tc>
          <w:tcPr>
            <w:tcW w:w="8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1660" w:type="dxa"/>
            <w:vAlign w:val="bottom"/>
          </w:tcPr>
          <w:p>
            <w:pPr>
              <w:ind w:left="5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80" w:type="dxa"/>
            <w:vAlign w:val="bottom"/>
            <w:gridSpan w:val="29"/>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Herewith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660" w:type="dxa"/>
            <w:vAlign w:val="bottom"/>
            <w:tcBorders>
              <w:top w:val="single" w:sz="8" w:color="auto"/>
            </w:tcBorders>
          </w:tcPr>
          <w:p>
            <w:pPr>
              <w:spacing w:after="0" w:line="160" w:lineRule="exact"/>
              <w:rPr>
                <w:sz w:val="20"/>
                <w:szCs w:val="20"/>
                <w:color w:val="auto"/>
              </w:rPr>
            </w:pPr>
            <w:r>
              <w:rPr>
                <w:rFonts w:ascii="Arial" w:cs="Arial" w:eastAsia="Arial" w:hAnsi="Arial"/>
                <w:sz w:val="17"/>
                <w:szCs w:val="17"/>
                <w:color w:val="auto"/>
              </w:rPr>
              <w:t>3.1</w:t>
            </w:r>
          </w:p>
        </w:tc>
        <w:tc>
          <w:tcPr>
            <w:tcW w:w="10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3500" w:type="dxa"/>
            <w:vAlign w:val="bottom"/>
            <w:tcBorders>
              <w:top w:val="single" w:sz="8" w:color="auto"/>
              <w:bottom w:val="single" w:sz="8" w:color="0000EE"/>
            </w:tcBorders>
            <w:gridSpan w:val="12"/>
          </w:tcPr>
          <w:p>
            <w:pPr>
              <w:spacing w:after="0" w:line="160" w:lineRule="exact"/>
              <w:rPr>
                <w:rFonts w:ascii="Arial" w:cs="Arial" w:eastAsia="Arial" w:hAnsi="Arial"/>
                <w:sz w:val="17"/>
                <w:szCs w:val="17"/>
                <w:color w:val="0000EE"/>
                <w:w w:val="90"/>
              </w:rPr>
            </w:pPr>
            <w:hyperlink r:id="rId195">
              <w:r>
                <w:rPr>
                  <w:rFonts w:ascii="Arial" w:cs="Arial" w:eastAsia="Arial" w:hAnsi="Arial"/>
                  <w:sz w:val="17"/>
                  <w:szCs w:val="17"/>
                  <w:color w:val="0000EE"/>
                  <w:w w:val="90"/>
                </w:rPr>
                <w:t>Amended and Restated Certificate of Incorporation</w:t>
              </w:r>
            </w:hyperlink>
          </w:p>
        </w:tc>
        <w:tc>
          <w:tcPr>
            <w:tcW w:w="1560" w:type="dxa"/>
            <w:vAlign w:val="bottom"/>
            <w:tcBorders>
              <w:top w:val="single" w:sz="8" w:color="auto"/>
            </w:tcBorders>
            <w:gridSpan w:val="20"/>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color w:val="auto"/>
              </w:rPr>
              <w:t>8-K</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color w:val="auto"/>
              </w:rPr>
              <w:t>10/29/19</w:t>
            </w:r>
          </w:p>
        </w:tc>
        <w:tc>
          <w:tcPr>
            <w:tcW w:w="120" w:type="dxa"/>
            <w:vAlign w:val="bottom"/>
          </w:tcPr>
          <w:p>
            <w:pPr>
              <w:spacing w:after="0"/>
              <w:rPr>
                <w:sz w:val="13"/>
                <w:szCs w:val="13"/>
                <w:color w:val="auto"/>
              </w:rPr>
            </w:pPr>
          </w:p>
        </w:tc>
        <w:tc>
          <w:tcPr>
            <w:tcW w:w="900" w:type="dxa"/>
            <w:vAlign w:val="bottom"/>
            <w:tcBorders>
              <w:top w:val="single" w:sz="8" w:color="auto"/>
            </w:tcBorders>
          </w:tcPr>
          <w:p>
            <w:pPr>
              <w:jc w:val="right"/>
              <w:spacing w:after="0" w:line="160" w:lineRule="exact"/>
              <w:rPr>
                <w:sz w:val="20"/>
                <w:szCs w:val="20"/>
                <w:color w:val="auto"/>
              </w:rPr>
            </w:pPr>
            <w:r>
              <w:rPr>
                <w:rFonts w:ascii="Arial" w:cs="Arial" w:eastAsia="Arial" w:hAnsi="Arial"/>
                <w:sz w:val="17"/>
                <w:szCs w:val="17"/>
                <w:color w:val="auto"/>
              </w:rPr>
              <w:t>3.1</w:t>
            </w:r>
          </w:p>
        </w:tc>
        <w:tc>
          <w:tcPr>
            <w:tcW w:w="12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3.2</w:t>
            </w:r>
          </w:p>
        </w:tc>
        <w:tc>
          <w:tcPr>
            <w:tcW w:w="100" w:type="dxa"/>
            <w:vAlign w:val="bottom"/>
          </w:tcPr>
          <w:p>
            <w:pPr>
              <w:spacing w:after="0"/>
              <w:rPr>
                <w:sz w:val="16"/>
                <w:szCs w:val="16"/>
                <w:color w:val="auto"/>
              </w:rPr>
            </w:pPr>
          </w:p>
        </w:tc>
        <w:tc>
          <w:tcPr>
            <w:tcW w:w="5600" w:type="dxa"/>
            <w:vAlign w:val="bottom"/>
            <w:gridSpan w:val="34"/>
          </w:tcPr>
          <w:p>
            <w:pPr>
              <w:spacing w:after="0" w:line="185" w:lineRule="exact"/>
              <w:rPr>
                <w:rFonts w:ascii="Arial" w:cs="Arial" w:eastAsia="Arial" w:hAnsi="Arial"/>
                <w:sz w:val="17"/>
                <w:szCs w:val="17"/>
                <w:color w:val="0000EE"/>
              </w:rPr>
            </w:pPr>
            <w:hyperlink r:id="rId196">
              <w:r>
                <w:rPr>
                  <w:rFonts w:ascii="Arial" w:cs="Arial" w:eastAsia="Arial" w:hAnsi="Arial"/>
                  <w:sz w:val="17"/>
                  <w:szCs w:val="17"/>
                  <w:color w:val="0000EE"/>
                </w:rPr>
                <w:t>Amended and Restated Bylaws</w:t>
              </w:r>
            </w:hyperlink>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8-K</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9-25-2020</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3.1</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4.1</w:t>
            </w:r>
          </w:p>
        </w:tc>
        <w:tc>
          <w:tcPr>
            <w:tcW w:w="100" w:type="dxa"/>
            <w:vAlign w:val="bottom"/>
          </w:tcPr>
          <w:p>
            <w:pPr>
              <w:spacing w:after="0"/>
              <w:rPr>
                <w:sz w:val="16"/>
                <w:szCs w:val="16"/>
                <w:color w:val="auto"/>
              </w:rPr>
            </w:pPr>
          </w:p>
        </w:tc>
        <w:tc>
          <w:tcPr>
            <w:tcW w:w="2440" w:type="dxa"/>
            <w:vAlign w:val="bottom"/>
            <w:tcBorders>
              <w:bottom w:val="single" w:sz="8" w:color="0000EE"/>
            </w:tcBorders>
            <w:gridSpan w:val="9"/>
          </w:tcPr>
          <w:p>
            <w:pPr>
              <w:spacing w:after="0" w:line="185" w:lineRule="exact"/>
              <w:rPr>
                <w:rFonts w:ascii="Arial" w:cs="Arial" w:eastAsia="Arial" w:hAnsi="Arial"/>
                <w:sz w:val="17"/>
                <w:szCs w:val="17"/>
                <w:color w:val="0000EE"/>
                <w:w w:val="92"/>
              </w:rPr>
            </w:pPr>
            <w:hyperlink r:id="rId197">
              <w:r>
                <w:rPr>
                  <w:rFonts w:ascii="Arial" w:cs="Arial" w:eastAsia="Arial" w:hAnsi="Arial"/>
                  <w:sz w:val="17"/>
                  <w:szCs w:val="17"/>
                  <w:color w:val="0000EE"/>
                  <w:w w:val="92"/>
                </w:rPr>
                <w:t>Form of Common Stock Certificate</w:t>
              </w:r>
            </w:hyperlink>
          </w:p>
        </w:tc>
        <w:tc>
          <w:tcPr>
            <w:tcW w:w="3160" w:type="dxa"/>
            <w:vAlign w:val="bottom"/>
            <w:gridSpan w:val="25"/>
          </w:tcPr>
          <w:p>
            <w:pPr>
              <w:spacing w:after="0"/>
              <w:rPr>
                <w:sz w:val="16"/>
                <w:szCs w:val="16"/>
                <w:color w:val="auto"/>
              </w:rPr>
            </w:pPr>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S-1/A</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10-15-2019</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4.1</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4.2</w:t>
            </w:r>
          </w:p>
        </w:tc>
        <w:tc>
          <w:tcPr>
            <w:tcW w:w="100" w:type="dxa"/>
            <w:vAlign w:val="bottom"/>
          </w:tcPr>
          <w:p>
            <w:pPr>
              <w:spacing w:after="0"/>
              <w:rPr>
                <w:sz w:val="16"/>
                <w:szCs w:val="16"/>
                <w:color w:val="auto"/>
              </w:rPr>
            </w:pPr>
          </w:p>
        </w:tc>
        <w:tc>
          <w:tcPr>
            <w:tcW w:w="4980" w:type="dxa"/>
            <w:vAlign w:val="bottom"/>
            <w:tcBorders>
              <w:bottom w:val="single" w:sz="8" w:color="0000EE"/>
            </w:tcBorders>
            <w:gridSpan w:val="29"/>
          </w:tcPr>
          <w:p>
            <w:pPr>
              <w:spacing w:after="0" w:line="185" w:lineRule="exact"/>
              <w:rPr>
                <w:rFonts w:ascii="Arial" w:cs="Arial" w:eastAsia="Arial" w:hAnsi="Arial"/>
                <w:sz w:val="17"/>
                <w:szCs w:val="17"/>
                <w:color w:val="0000EE"/>
                <w:w w:val="89"/>
              </w:rPr>
            </w:pPr>
            <w:hyperlink r:id="rId198">
              <w:r>
                <w:rPr>
                  <w:rFonts w:ascii="Arial" w:cs="Arial" w:eastAsia="Arial" w:hAnsi="Arial"/>
                  <w:sz w:val="17"/>
                  <w:szCs w:val="17"/>
                  <w:color w:val="0000EE"/>
                  <w:w w:val="89"/>
                </w:rPr>
                <w:t>Warrant to purchase shares of common stock issued to Takeda Company</w:t>
              </w:r>
            </w:hyperlink>
          </w:p>
        </w:tc>
        <w:tc>
          <w:tcPr>
            <w:tcW w:w="620" w:type="dxa"/>
            <w:vAlign w:val="bottom"/>
            <w:gridSpan w:val="5"/>
          </w:tcPr>
          <w:p>
            <w:pPr>
              <w:spacing w:after="0"/>
              <w:rPr>
                <w:sz w:val="16"/>
                <w:szCs w:val="16"/>
                <w:color w:val="auto"/>
              </w:rPr>
            </w:pPr>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S-1</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9-30-2019</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4.2</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Borders>
              <w:bottom w:val="single" w:sz="8" w:color="0000EE"/>
            </w:tcBorders>
            <w:gridSpan w:val="5"/>
          </w:tcPr>
          <w:p>
            <w:pPr>
              <w:spacing w:after="0" w:line="185" w:lineRule="exact"/>
              <w:rPr>
                <w:rFonts w:ascii="Arial" w:cs="Arial" w:eastAsia="Arial" w:hAnsi="Arial"/>
                <w:sz w:val="17"/>
                <w:szCs w:val="17"/>
                <w:color w:val="0000EE"/>
                <w:w w:val="92"/>
              </w:rPr>
            </w:pPr>
            <w:hyperlink r:id="rId198">
              <w:r>
                <w:rPr>
                  <w:rFonts w:ascii="Arial" w:cs="Arial" w:eastAsia="Arial" w:hAnsi="Arial"/>
                  <w:sz w:val="17"/>
                  <w:szCs w:val="17"/>
                  <w:color w:val="0000EE"/>
                  <w:w w:val="92"/>
                </w:rPr>
                <w:t>Limited, dated May 7, 2019</w:t>
              </w:r>
            </w:hyperlink>
          </w:p>
        </w:tc>
        <w:tc>
          <w:tcPr>
            <w:tcW w:w="3680" w:type="dxa"/>
            <w:vAlign w:val="bottom"/>
            <w:gridSpan w:val="29"/>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4.3</w:t>
            </w:r>
          </w:p>
        </w:tc>
        <w:tc>
          <w:tcPr>
            <w:tcW w:w="100" w:type="dxa"/>
            <w:vAlign w:val="bottom"/>
          </w:tcPr>
          <w:p>
            <w:pPr>
              <w:spacing w:after="0"/>
              <w:rPr>
                <w:sz w:val="16"/>
                <w:szCs w:val="16"/>
                <w:color w:val="auto"/>
              </w:rPr>
            </w:pPr>
          </w:p>
        </w:tc>
        <w:tc>
          <w:tcPr>
            <w:tcW w:w="4920" w:type="dxa"/>
            <w:vAlign w:val="bottom"/>
            <w:tcBorders>
              <w:bottom w:val="single" w:sz="8" w:color="0000EE"/>
            </w:tcBorders>
            <w:gridSpan w:val="27"/>
          </w:tcPr>
          <w:p>
            <w:pPr>
              <w:spacing w:after="0" w:line="185" w:lineRule="exact"/>
              <w:rPr>
                <w:rFonts w:ascii="Arial" w:cs="Arial" w:eastAsia="Arial" w:hAnsi="Arial"/>
                <w:sz w:val="17"/>
                <w:szCs w:val="17"/>
                <w:color w:val="0000EE"/>
                <w:w w:val="91"/>
              </w:rPr>
            </w:pPr>
            <w:hyperlink r:id="rId199">
              <w:r>
                <w:rPr>
                  <w:rFonts w:ascii="Arial" w:cs="Arial" w:eastAsia="Arial" w:hAnsi="Arial"/>
                  <w:sz w:val="17"/>
                  <w:szCs w:val="17"/>
                  <w:color w:val="0000EE"/>
                  <w:w w:val="91"/>
                </w:rPr>
                <w:t>Warrant to purchase stock issued to Silicon Valley Bank, dated May 14,</w:t>
              </w:r>
            </w:hyperlink>
          </w:p>
        </w:tc>
        <w:tc>
          <w:tcPr>
            <w:tcW w:w="680" w:type="dxa"/>
            <w:vAlign w:val="bottom"/>
            <w:gridSpan w:val="7"/>
          </w:tcPr>
          <w:p>
            <w:pPr>
              <w:spacing w:after="0"/>
              <w:rPr>
                <w:sz w:val="16"/>
                <w:szCs w:val="16"/>
                <w:color w:val="auto"/>
              </w:rPr>
            </w:pPr>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S-1</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9-30-2019</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4.3</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0000EE"/>
            </w:tcBorders>
            <w:gridSpan w:val="2"/>
          </w:tcPr>
          <w:p>
            <w:pPr>
              <w:spacing w:after="0" w:line="185" w:lineRule="exact"/>
              <w:rPr>
                <w:rFonts w:ascii="Arial" w:cs="Arial" w:eastAsia="Arial" w:hAnsi="Arial"/>
                <w:sz w:val="17"/>
                <w:szCs w:val="17"/>
                <w:color w:val="0000EE"/>
                <w:w w:val="84"/>
              </w:rPr>
            </w:pPr>
            <w:hyperlink r:id="rId199">
              <w:r>
                <w:rPr>
                  <w:rFonts w:ascii="Arial" w:cs="Arial" w:eastAsia="Arial" w:hAnsi="Arial"/>
                  <w:sz w:val="17"/>
                  <w:szCs w:val="17"/>
                  <w:color w:val="0000EE"/>
                  <w:w w:val="84"/>
                </w:rPr>
                <w:t>2019</w:t>
              </w:r>
            </w:hyperlink>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4.4</w:t>
            </w:r>
          </w:p>
        </w:tc>
        <w:tc>
          <w:tcPr>
            <w:tcW w:w="100" w:type="dxa"/>
            <w:vAlign w:val="bottom"/>
          </w:tcPr>
          <w:p>
            <w:pPr>
              <w:spacing w:after="0"/>
              <w:rPr>
                <w:sz w:val="16"/>
                <w:szCs w:val="16"/>
                <w:color w:val="auto"/>
              </w:rPr>
            </w:pPr>
          </w:p>
        </w:tc>
        <w:tc>
          <w:tcPr>
            <w:tcW w:w="5600" w:type="dxa"/>
            <w:vAlign w:val="bottom"/>
            <w:gridSpan w:val="34"/>
          </w:tcPr>
          <w:p>
            <w:pPr>
              <w:spacing w:after="0" w:line="185" w:lineRule="exact"/>
              <w:rPr>
                <w:rFonts w:ascii="Arial" w:cs="Arial" w:eastAsia="Arial" w:hAnsi="Arial"/>
                <w:sz w:val="17"/>
                <w:szCs w:val="17"/>
                <w:color w:val="0000EE"/>
              </w:rPr>
            </w:pPr>
            <w:hyperlink r:id="rId200">
              <w:r>
                <w:rPr>
                  <w:rFonts w:ascii="Arial" w:cs="Arial" w:eastAsia="Arial" w:hAnsi="Arial"/>
                  <w:sz w:val="17"/>
                  <w:szCs w:val="17"/>
                  <w:color w:val="0000EE"/>
                </w:rPr>
                <w:t>Warrant to purchase stock issued to WestRiver Innovation Lending Fund</w:t>
              </w:r>
            </w:hyperlink>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S-1</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9-30-2019</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4.4</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80" w:type="dxa"/>
            <w:vAlign w:val="bottom"/>
            <w:tcBorders>
              <w:top w:val="single" w:sz="8" w:color="0000EE"/>
            </w:tcBorders>
            <w:gridSpan w:val="29"/>
          </w:tcPr>
          <w:p>
            <w:pPr>
              <w:spacing w:after="0" w:line="185" w:lineRule="exact"/>
              <w:rPr>
                <w:rFonts w:ascii="Arial" w:cs="Arial" w:eastAsia="Arial" w:hAnsi="Arial"/>
                <w:sz w:val="17"/>
                <w:szCs w:val="17"/>
                <w:color w:val="0000EE"/>
              </w:rPr>
            </w:pPr>
            <w:hyperlink r:id="rId200">
              <w:r>
                <w:rPr>
                  <w:rFonts w:ascii="Arial" w:cs="Arial" w:eastAsia="Arial" w:hAnsi="Arial"/>
                  <w:sz w:val="17"/>
                  <w:szCs w:val="17"/>
                  <w:color w:val="0000EE"/>
                </w:rPr>
                <w:t>VIII, L.P., dated May 14, 2019</w:t>
              </w:r>
            </w:hyperlink>
          </w:p>
        </w:tc>
        <w:tc>
          <w:tcPr>
            <w:tcW w:w="620" w:type="dxa"/>
            <w:vAlign w:val="bottom"/>
            <w:gridSpan w:val="5"/>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4.5</w:t>
            </w:r>
          </w:p>
        </w:tc>
        <w:tc>
          <w:tcPr>
            <w:tcW w:w="100" w:type="dxa"/>
            <w:vAlign w:val="bottom"/>
          </w:tcPr>
          <w:p>
            <w:pPr>
              <w:spacing w:after="0"/>
              <w:rPr>
                <w:sz w:val="16"/>
                <w:szCs w:val="16"/>
                <w:color w:val="auto"/>
              </w:rPr>
            </w:pPr>
          </w:p>
        </w:tc>
        <w:tc>
          <w:tcPr>
            <w:tcW w:w="4480" w:type="dxa"/>
            <w:vAlign w:val="bottom"/>
            <w:tcBorders>
              <w:bottom w:val="single" w:sz="8" w:color="0000EE"/>
            </w:tcBorders>
            <w:gridSpan w:val="20"/>
          </w:tcPr>
          <w:p>
            <w:pPr>
              <w:spacing w:after="0" w:line="185" w:lineRule="exact"/>
              <w:rPr>
                <w:rFonts w:ascii="Arial" w:cs="Arial" w:eastAsia="Arial" w:hAnsi="Arial"/>
                <w:sz w:val="17"/>
                <w:szCs w:val="17"/>
                <w:color w:val="0000EE"/>
                <w:w w:val="89"/>
              </w:rPr>
            </w:pPr>
            <w:hyperlink r:id="rId201">
              <w:r>
                <w:rPr>
                  <w:rFonts w:ascii="Arial" w:cs="Arial" w:eastAsia="Arial" w:hAnsi="Arial"/>
                  <w:sz w:val="17"/>
                  <w:szCs w:val="17"/>
                  <w:color w:val="0000EE"/>
                  <w:w w:val="89"/>
                </w:rPr>
                <w:t>Note Purchase Agreement, dated May 7, 2019, by and among the</w:t>
              </w:r>
            </w:hyperlink>
          </w:p>
        </w:tc>
        <w:tc>
          <w:tcPr>
            <w:tcW w:w="1120" w:type="dxa"/>
            <w:vAlign w:val="bottom"/>
            <w:gridSpan w:val="14"/>
          </w:tcPr>
          <w:p>
            <w:pPr>
              <w:spacing w:after="0"/>
              <w:rPr>
                <w:sz w:val="16"/>
                <w:szCs w:val="16"/>
                <w:color w:val="auto"/>
              </w:rPr>
            </w:pPr>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S-1/A</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10-15-2019</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4.5</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gridSpan w:val="34"/>
          </w:tcPr>
          <w:p>
            <w:pPr>
              <w:spacing w:after="0" w:line="185" w:lineRule="exact"/>
              <w:rPr>
                <w:rFonts w:ascii="Arial" w:cs="Arial" w:eastAsia="Arial" w:hAnsi="Arial"/>
                <w:sz w:val="17"/>
                <w:szCs w:val="17"/>
                <w:color w:val="0000EE"/>
              </w:rPr>
            </w:pPr>
            <w:hyperlink r:id="rId201">
              <w:r>
                <w:rPr>
                  <w:rFonts w:ascii="Arial" w:cs="Arial" w:eastAsia="Arial" w:hAnsi="Arial"/>
                  <w:sz w:val="17"/>
                  <w:szCs w:val="17"/>
                  <w:color w:val="0000EE"/>
                </w:rPr>
                <w:t>Registrant and the other parties party thereto, as amended</w:t>
              </w:r>
            </w:hyperlink>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4.6</w:t>
            </w:r>
          </w:p>
        </w:tc>
        <w:tc>
          <w:tcPr>
            <w:tcW w:w="100" w:type="dxa"/>
            <w:vAlign w:val="bottom"/>
          </w:tcPr>
          <w:p>
            <w:pPr>
              <w:spacing w:after="0"/>
              <w:rPr>
                <w:sz w:val="16"/>
                <w:szCs w:val="16"/>
                <w:color w:val="auto"/>
              </w:rPr>
            </w:pPr>
          </w:p>
        </w:tc>
        <w:tc>
          <w:tcPr>
            <w:tcW w:w="3940" w:type="dxa"/>
            <w:vAlign w:val="bottom"/>
            <w:tcBorders>
              <w:top w:val="single" w:sz="8" w:color="0000EE"/>
            </w:tcBorders>
            <w:gridSpan w:val="14"/>
          </w:tcPr>
          <w:p>
            <w:pPr>
              <w:spacing w:after="0" w:line="185" w:lineRule="exact"/>
              <w:rPr>
                <w:rFonts w:ascii="Arial" w:cs="Arial" w:eastAsia="Arial" w:hAnsi="Arial"/>
                <w:sz w:val="17"/>
                <w:szCs w:val="17"/>
                <w:color w:val="0000EE"/>
              </w:rPr>
            </w:pPr>
            <w:hyperlink w:anchor="page155">
              <w:r>
                <w:rPr>
                  <w:rFonts w:ascii="Arial" w:cs="Arial" w:eastAsia="Arial" w:hAnsi="Arial"/>
                  <w:sz w:val="17"/>
                  <w:szCs w:val="17"/>
                  <w:color w:val="0000EE"/>
                </w:rPr>
                <w:t>Description of Registered Securities</w:t>
              </w:r>
            </w:hyperlink>
          </w:p>
        </w:tc>
        <w:tc>
          <w:tcPr>
            <w:tcW w:w="1660" w:type="dxa"/>
            <w:vAlign w:val="bottom"/>
            <w:gridSpan w:val="20"/>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ind w:left="700"/>
              <w:spacing w:after="0" w:line="185" w:lineRule="exact"/>
              <w:rPr>
                <w:sz w:val="20"/>
                <w:szCs w:val="20"/>
                <w:color w:val="auto"/>
              </w:rPr>
            </w:pPr>
            <w:r>
              <w:rPr>
                <w:rFonts w:ascii="Arial" w:cs="Arial" w:eastAsia="Arial" w:hAnsi="Arial"/>
                <w:sz w:val="17"/>
                <w:szCs w:val="17"/>
                <w:color w:val="auto"/>
                <w:w w:val="87"/>
              </w:rPr>
              <w:t>X</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10.1#</w:t>
            </w:r>
          </w:p>
        </w:tc>
        <w:tc>
          <w:tcPr>
            <w:tcW w:w="100" w:type="dxa"/>
            <w:vAlign w:val="bottom"/>
          </w:tcPr>
          <w:p>
            <w:pPr>
              <w:spacing w:after="0"/>
              <w:rPr>
                <w:sz w:val="16"/>
                <w:szCs w:val="16"/>
                <w:color w:val="auto"/>
              </w:rPr>
            </w:pPr>
          </w:p>
        </w:tc>
        <w:tc>
          <w:tcPr>
            <w:tcW w:w="4040" w:type="dxa"/>
            <w:vAlign w:val="bottom"/>
            <w:tcBorders>
              <w:bottom w:val="single" w:sz="8" w:color="0000EE"/>
            </w:tcBorders>
            <w:gridSpan w:val="15"/>
          </w:tcPr>
          <w:p>
            <w:pPr>
              <w:spacing w:after="0" w:line="185" w:lineRule="exact"/>
              <w:rPr>
                <w:rFonts w:ascii="Arial" w:cs="Arial" w:eastAsia="Arial" w:hAnsi="Arial"/>
                <w:sz w:val="17"/>
                <w:szCs w:val="17"/>
                <w:color w:val="0000EE"/>
                <w:w w:val="91"/>
              </w:rPr>
            </w:pPr>
            <w:hyperlink r:id="rId202">
              <w:r>
                <w:rPr>
                  <w:rFonts w:ascii="Arial" w:cs="Arial" w:eastAsia="Arial" w:hAnsi="Arial"/>
                  <w:sz w:val="17"/>
                  <w:szCs w:val="17"/>
                  <w:color w:val="0000EE"/>
                  <w:w w:val="91"/>
                </w:rPr>
                <w:t>Phathom Pharmaceuticals, Inc. 2019 Equity Incentive Plan</w:t>
              </w:r>
            </w:hyperlink>
          </w:p>
        </w:tc>
        <w:tc>
          <w:tcPr>
            <w:tcW w:w="1560" w:type="dxa"/>
            <w:vAlign w:val="bottom"/>
            <w:gridSpan w:val="19"/>
          </w:tcPr>
          <w:p>
            <w:pPr>
              <w:spacing w:after="0"/>
              <w:rPr>
                <w:sz w:val="16"/>
                <w:szCs w:val="16"/>
                <w:color w:val="auto"/>
              </w:rPr>
            </w:pPr>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S-1</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9-30-2019</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10.1</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10.2#</w:t>
            </w:r>
          </w:p>
        </w:tc>
        <w:tc>
          <w:tcPr>
            <w:tcW w:w="100" w:type="dxa"/>
            <w:vAlign w:val="bottom"/>
          </w:tcPr>
          <w:p>
            <w:pPr>
              <w:spacing w:after="0"/>
              <w:rPr>
                <w:sz w:val="16"/>
                <w:szCs w:val="16"/>
                <w:color w:val="auto"/>
              </w:rPr>
            </w:pPr>
          </w:p>
        </w:tc>
        <w:tc>
          <w:tcPr>
            <w:tcW w:w="5600" w:type="dxa"/>
            <w:vAlign w:val="bottom"/>
            <w:gridSpan w:val="34"/>
          </w:tcPr>
          <w:p>
            <w:pPr>
              <w:spacing w:after="0" w:line="185" w:lineRule="exact"/>
              <w:rPr>
                <w:rFonts w:ascii="Arial" w:cs="Arial" w:eastAsia="Arial" w:hAnsi="Arial"/>
                <w:sz w:val="17"/>
                <w:szCs w:val="17"/>
                <w:color w:val="0000EE"/>
              </w:rPr>
            </w:pPr>
            <w:hyperlink r:id="rId203">
              <w:r>
                <w:rPr>
                  <w:rFonts w:ascii="Arial" w:cs="Arial" w:eastAsia="Arial" w:hAnsi="Arial"/>
                  <w:sz w:val="17"/>
                  <w:szCs w:val="17"/>
                  <w:color w:val="0000EE"/>
                </w:rPr>
                <w:t>Form of Stock Option Grant Notice and Stock Option Agreement under</w:t>
              </w:r>
            </w:hyperlink>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S-1</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9-30-2019</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10.2</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00" w:type="dxa"/>
            <w:vAlign w:val="bottom"/>
            <w:tcBorders>
              <w:top w:val="single" w:sz="8" w:color="0000EE"/>
              <w:bottom w:val="single" w:sz="8" w:color="0000EE"/>
            </w:tcBorders>
            <w:gridSpan w:val="17"/>
          </w:tcPr>
          <w:p>
            <w:pPr>
              <w:spacing w:after="0" w:line="185" w:lineRule="exact"/>
              <w:rPr>
                <w:rFonts w:ascii="Arial" w:cs="Arial" w:eastAsia="Arial" w:hAnsi="Arial"/>
                <w:sz w:val="17"/>
                <w:szCs w:val="17"/>
                <w:color w:val="0000EE"/>
                <w:w w:val="91"/>
              </w:rPr>
            </w:pPr>
            <w:hyperlink r:id="rId203">
              <w:r>
                <w:rPr>
                  <w:rFonts w:ascii="Arial" w:cs="Arial" w:eastAsia="Arial" w:hAnsi="Arial"/>
                  <w:sz w:val="17"/>
                  <w:szCs w:val="17"/>
                  <w:color w:val="0000EE"/>
                  <w:w w:val="91"/>
                </w:rPr>
                <w:t>the Phathom Pharmaceuticals, Inc. 2019 Equity Incentive Plan</w:t>
              </w:r>
            </w:hyperlink>
          </w:p>
        </w:tc>
        <w:tc>
          <w:tcPr>
            <w:tcW w:w="620" w:type="dxa"/>
            <w:vAlign w:val="bottom"/>
            <w:tcBorders>
              <w:top w:val="single" w:sz="8" w:color="0000EE"/>
            </w:tcBorders>
            <w:gridSpan w:val="10"/>
          </w:tcPr>
          <w:p>
            <w:pPr>
              <w:spacing w:after="0"/>
              <w:rPr>
                <w:sz w:val="16"/>
                <w:szCs w:val="16"/>
                <w:color w:val="auto"/>
              </w:rPr>
            </w:pPr>
          </w:p>
        </w:tc>
        <w:tc>
          <w:tcPr>
            <w:tcW w:w="680" w:type="dxa"/>
            <w:vAlign w:val="bottom"/>
            <w:gridSpan w:val="7"/>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10.3#</w:t>
            </w:r>
          </w:p>
        </w:tc>
        <w:tc>
          <w:tcPr>
            <w:tcW w:w="100" w:type="dxa"/>
            <w:vAlign w:val="bottom"/>
          </w:tcPr>
          <w:p>
            <w:pPr>
              <w:spacing w:after="0"/>
              <w:rPr>
                <w:sz w:val="16"/>
                <w:szCs w:val="16"/>
                <w:color w:val="auto"/>
              </w:rPr>
            </w:pPr>
          </w:p>
        </w:tc>
        <w:tc>
          <w:tcPr>
            <w:tcW w:w="4940" w:type="dxa"/>
            <w:vAlign w:val="bottom"/>
            <w:tcBorders>
              <w:bottom w:val="single" w:sz="8" w:color="0000EE"/>
            </w:tcBorders>
            <w:gridSpan w:val="28"/>
          </w:tcPr>
          <w:p>
            <w:pPr>
              <w:spacing w:after="0" w:line="185" w:lineRule="exact"/>
              <w:rPr>
                <w:rFonts w:ascii="Arial" w:cs="Arial" w:eastAsia="Arial" w:hAnsi="Arial"/>
                <w:sz w:val="17"/>
                <w:szCs w:val="17"/>
                <w:color w:val="0000EE"/>
                <w:w w:val="91"/>
              </w:rPr>
            </w:pPr>
            <w:hyperlink r:id="rId204">
              <w:r>
                <w:rPr>
                  <w:rFonts w:ascii="Arial" w:cs="Arial" w:eastAsia="Arial" w:hAnsi="Arial"/>
                  <w:sz w:val="17"/>
                  <w:szCs w:val="17"/>
                  <w:color w:val="0000EE"/>
                  <w:w w:val="91"/>
                </w:rPr>
                <w:t>Form of Restricted Stock Grant Notice and Restricted Stock Agreement</w:t>
              </w:r>
            </w:hyperlink>
          </w:p>
        </w:tc>
        <w:tc>
          <w:tcPr>
            <w:tcW w:w="660" w:type="dxa"/>
            <w:vAlign w:val="bottom"/>
            <w:gridSpan w:val="6"/>
          </w:tcPr>
          <w:p>
            <w:pPr>
              <w:spacing w:after="0"/>
              <w:rPr>
                <w:sz w:val="16"/>
                <w:szCs w:val="16"/>
                <w:color w:val="auto"/>
              </w:rPr>
            </w:pPr>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S-1</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9-30-2019</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10.3</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gridSpan w:val="34"/>
          </w:tcPr>
          <w:p>
            <w:pPr>
              <w:spacing w:after="0" w:line="185" w:lineRule="exact"/>
              <w:rPr>
                <w:rFonts w:ascii="Arial" w:cs="Arial" w:eastAsia="Arial" w:hAnsi="Arial"/>
                <w:sz w:val="17"/>
                <w:szCs w:val="17"/>
                <w:color w:val="0000EE"/>
              </w:rPr>
            </w:pPr>
            <w:hyperlink r:id="rId204">
              <w:r>
                <w:rPr>
                  <w:rFonts w:ascii="Arial" w:cs="Arial" w:eastAsia="Arial" w:hAnsi="Arial"/>
                  <w:sz w:val="17"/>
                  <w:szCs w:val="17"/>
                  <w:color w:val="0000EE"/>
                </w:rPr>
                <w:t>under Phathom Pharmaceuticals, Inc. 2019 Equity Incentive Plan</w:t>
              </w:r>
            </w:hyperlink>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10.4#</w:t>
            </w:r>
          </w:p>
        </w:tc>
        <w:tc>
          <w:tcPr>
            <w:tcW w:w="100" w:type="dxa"/>
            <w:vAlign w:val="bottom"/>
          </w:tcPr>
          <w:p>
            <w:pPr>
              <w:spacing w:after="0"/>
              <w:rPr>
                <w:sz w:val="16"/>
                <w:szCs w:val="16"/>
                <w:color w:val="auto"/>
              </w:rPr>
            </w:pPr>
          </w:p>
        </w:tc>
        <w:tc>
          <w:tcPr>
            <w:tcW w:w="5600" w:type="dxa"/>
            <w:vAlign w:val="bottom"/>
            <w:gridSpan w:val="34"/>
          </w:tcPr>
          <w:p>
            <w:pPr>
              <w:spacing w:after="0" w:line="185" w:lineRule="exact"/>
              <w:rPr>
                <w:rFonts w:ascii="Arial" w:cs="Arial" w:eastAsia="Arial" w:hAnsi="Arial"/>
                <w:sz w:val="17"/>
                <w:szCs w:val="17"/>
                <w:color w:val="0000EE"/>
              </w:rPr>
            </w:pPr>
            <w:hyperlink r:id="rId205">
              <w:r>
                <w:rPr>
                  <w:rFonts w:ascii="Arial" w:cs="Arial" w:eastAsia="Arial" w:hAnsi="Arial"/>
                  <w:sz w:val="17"/>
                  <w:szCs w:val="17"/>
                  <w:color w:val="0000EE"/>
                </w:rPr>
                <w:t>Phathom Pharmaceuticals, Inc. 2019 Incentive Award Plan and form of</w:t>
              </w:r>
            </w:hyperlink>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S-1/A</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10-15-2019</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10.4</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80" w:type="dxa"/>
            <w:vAlign w:val="bottom"/>
            <w:tcBorders>
              <w:top w:val="single" w:sz="8" w:color="0000EE"/>
            </w:tcBorders>
            <w:gridSpan w:val="26"/>
          </w:tcPr>
          <w:p>
            <w:pPr>
              <w:spacing w:after="0" w:line="185" w:lineRule="exact"/>
              <w:rPr>
                <w:rFonts w:ascii="Arial" w:cs="Arial" w:eastAsia="Arial" w:hAnsi="Arial"/>
                <w:sz w:val="17"/>
                <w:szCs w:val="17"/>
                <w:color w:val="0000EE"/>
              </w:rPr>
            </w:pPr>
            <w:hyperlink r:id="rId205">
              <w:r>
                <w:rPr>
                  <w:rFonts w:ascii="Arial" w:cs="Arial" w:eastAsia="Arial" w:hAnsi="Arial"/>
                  <w:sz w:val="17"/>
                  <w:szCs w:val="17"/>
                  <w:color w:val="0000EE"/>
                </w:rPr>
                <w:t>stock option grant notice and stock option agreement thereunder</w:t>
              </w:r>
            </w:hyperlink>
          </w:p>
        </w:tc>
        <w:tc>
          <w:tcPr>
            <w:tcW w:w="720" w:type="dxa"/>
            <w:vAlign w:val="bottom"/>
            <w:gridSpan w:val="8"/>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10.5#</w:t>
            </w:r>
          </w:p>
        </w:tc>
        <w:tc>
          <w:tcPr>
            <w:tcW w:w="100" w:type="dxa"/>
            <w:vAlign w:val="bottom"/>
          </w:tcPr>
          <w:p>
            <w:pPr>
              <w:spacing w:after="0"/>
              <w:rPr>
                <w:sz w:val="16"/>
                <w:szCs w:val="16"/>
                <w:color w:val="auto"/>
              </w:rPr>
            </w:pPr>
          </w:p>
        </w:tc>
        <w:tc>
          <w:tcPr>
            <w:tcW w:w="5600" w:type="dxa"/>
            <w:vAlign w:val="bottom"/>
            <w:gridSpan w:val="34"/>
          </w:tcPr>
          <w:p>
            <w:pPr>
              <w:spacing w:after="0" w:line="185" w:lineRule="exact"/>
              <w:rPr>
                <w:rFonts w:ascii="Arial" w:cs="Arial" w:eastAsia="Arial" w:hAnsi="Arial"/>
                <w:sz w:val="17"/>
                <w:szCs w:val="17"/>
                <w:color w:val="0000EE"/>
              </w:rPr>
            </w:pPr>
            <w:hyperlink r:id="rId206">
              <w:r>
                <w:rPr>
                  <w:rFonts w:ascii="Arial" w:cs="Arial" w:eastAsia="Arial" w:hAnsi="Arial"/>
                  <w:sz w:val="17"/>
                  <w:szCs w:val="17"/>
                  <w:color w:val="0000EE"/>
                </w:rPr>
                <w:t>Form of Stock Option Grant Notice and Stock Option Agreement under</w:t>
              </w:r>
            </w:hyperlink>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10-Q</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8-6-2020</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10.3</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920" w:type="dxa"/>
            <w:vAlign w:val="bottom"/>
            <w:tcBorders>
              <w:top w:val="single" w:sz="8" w:color="0000EE"/>
            </w:tcBorders>
            <w:gridSpan w:val="27"/>
          </w:tcPr>
          <w:p>
            <w:pPr>
              <w:spacing w:after="0" w:line="185" w:lineRule="exact"/>
              <w:rPr>
                <w:rFonts w:ascii="Arial" w:cs="Arial" w:eastAsia="Arial" w:hAnsi="Arial"/>
                <w:sz w:val="17"/>
                <w:szCs w:val="17"/>
                <w:color w:val="0000EE"/>
              </w:rPr>
            </w:pPr>
            <w:hyperlink r:id="rId206">
              <w:r>
                <w:rPr>
                  <w:rFonts w:ascii="Arial" w:cs="Arial" w:eastAsia="Arial" w:hAnsi="Arial"/>
                  <w:sz w:val="17"/>
                  <w:szCs w:val="17"/>
                  <w:color w:val="0000EE"/>
                </w:rPr>
                <w:t>the Phathom Pharmaceuticals, Inc. 2019 Incentive Award Plan</w:t>
              </w:r>
            </w:hyperlink>
          </w:p>
        </w:tc>
        <w:tc>
          <w:tcPr>
            <w:tcW w:w="680" w:type="dxa"/>
            <w:vAlign w:val="bottom"/>
            <w:gridSpan w:val="7"/>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10.6#</w:t>
            </w:r>
          </w:p>
        </w:tc>
        <w:tc>
          <w:tcPr>
            <w:tcW w:w="100" w:type="dxa"/>
            <w:vAlign w:val="bottom"/>
          </w:tcPr>
          <w:p>
            <w:pPr>
              <w:spacing w:after="0"/>
              <w:rPr>
                <w:sz w:val="16"/>
                <w:szCs w:val="16"/>
                <w:color w:val="auto"/>
              </w:rPr>
            </w:pPr>
          </w:p>
        </w:tc>
        <w:tc>
          <w:tcPr>
            <w:tcW w:w="5600" w:type="dxa"/>
            <w:vAlign w:val="bottom"/>
            <w:gridSpan w:val="34"/>
          </w:tcPr>
          <w:p>
            <w:pPr>
              <w:spacing w:after="0" w:line="185" w:lineRule="exact"/>
              <w:rPr>
                <w:rFonts w:ascii="Arial" w:cs="Arial" w:eastAsia="Arial" w:hAnsi="Arial"/>
                <w:sz w:val="17"/>
                <w:szCs w:val="17"/>
                <w:color w:val="0000EE"/>
              </w:rPr>
            </w:pPr>
            <w:hyperlink r:id="rId207">
              <w:r>
                <w:rPr>
                  <w:rFonts w:ascii="Arial" w:cs="Arial" w:eastAsia="Arial" w:hAnsi="Arial"/>
                  <w:sz w:val="17"/>
                  <w:szCs w:val="17"/>
                  <w:color w:val="0000EE"/>
                </w:rPr>
                <w:t>Form of Performance Share Unit Grant Notice and Performance Share</w:t>
              </w:r>
            </w:hyperlink>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10-Q</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8-6-2020</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10.4</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80" w:type="dxa"/>
            <w:vAlign w:val="bottom"/>
            <w:tcBorders>
              <w:top w:val="single" w:sz="8" w:color="0000EE"/>
              <w:bottom w:val="single" w:sz="8" w:color="0000EE"/>
            </w:tcBorders>
            <w:gridSpan w:val="24"/>
          </w:tcPr>
          <w:p>
            <w:pPr>
              <w:spacing w:after="0" w:line="185" w:lineRule="exact"/>
              <w:rPr>
                <w:rFonts w:ascii="Arial" w:cs="Arial" w:eastAsia="Arial" w:hAnsi="Arial"/>
                <w:sz w:val="17"/>
                <w:szCs w:val="17"/>
                <w:color w:val="0000EE"/>
                <w:w w:val="91"/>
              </w:rPr>
            </w:pPr>
            <w:hyperlink r:id="rId207">
              <w:r>
                <w:rPr>
                  <w:rFonts w:ascii="Arial" w:cs="Arial" w:eastAsia="Arial" w:hAnsi="Arial"/>
                  <w:sz w:val="17"/>
                  <w:szCs w:val="17"/>
                  <w:color w:val="0000EE"/>
                  <w:w w:val="91"/>
                </w:rPr>
                <w:t>Unit Agreement under Phathom Pharmaceuticals, Inc. 2019 Incentive</w:t>
              </w:r>
            </w:hyperlink>
          </w:p>
        </w:tc>
        <w:tc>
          <w:tcPr>
            <w:tcW w:w="40" w:type="dxa"/>
            <w:vAlign w:val="bottom"/>
            <w:tcBorders>
              <w:top w:val="single" w:sz="8" w:color="0000EE"/>
            </w:tcBorders>
          </w:tcPr>
          <w:p>
            <w:pPr>
              <w:spacing w:after="0"/>
              <w:rPr>
                <w:sz w:val="16"/>
                <w:szCs w:val="16"/>
                <w:color w:val="auto"/>
              </w:rPr>
            </w:pPr>
          </w:p>
        </w:tc>
        <w:tc>
          <w:tcPr>
            <w:tcW w:w="780" w:type="dxa"/>
            <w:vAlign w:val="bottom"/>
            <w:gridSpan w:val="9"/>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gridSpan w:val="34"/>
          </w:tcPr>
          <w:p>
            <w:pPr>
              <w:spacing w:after="0" w:line="185" w:lineRule="exact"/>
              <w:rPr>
                <w:rFonts w:ascii="Arial" w:cs="Arial" w:eastAsia="Arial" w:hAnsi="Arial"/>
                <w:sz w:val="17"/>
                <w:szCs w:val="17"/>
                <w:color w:val="0000EE"/>
              </w:rPr>
            </w:pPr>
            <w:hyperlink r:id="rId207">
              <w:r>
                <w:rPr>
                  <w:rFonts w:ascii="Arial" w:cs="Arial" w:eastAsia="Arial" w:hAnsi="Arial"/>
                  <w:sz w:val="17"/>
                  <w:szCs w:val="17"/>
                  <w:color w:val="0000EE"/>
                </w:rPr>
                <w:t>Award Plan</w:t>
              </w:r>
            </w:hyperlink>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10.7#</w:t>
            </w:r>
          </w:p>
        </w:tc>
        <w:tc>
          <w:tcPr>
            <w:tcW w:w="100" w:type="dxa"/>
            <w:vAlign w:val="bottom"/>
          </w:tcPr>
          <w:p>
            <w:pPr>
              <w:spacing w:after="0"/>
              <w:rPr>
                <w:sz w:val="16"/>
                <w:szCs w:val="16"/>
                <w:color w:val="auto"/>
              </w:rPr>
            </w:pPr>
          </w:p>
        </w:tc>
        <w:tc>
          <w:tcPr>
            <w:tcW w:w="5600" w:type="dxa"/>
            <w:vAlign w:val="bottom"/>
            <w:gridSpan w:val="34"/>
          </w:tcPr>
          <w:p>
            <w:pPr>
              <w:spacing w:after="0" w:line="185" w:lineRule="exact"/>
              <w:rPr>
                <w:rFonts w:ascii="Arial" w:cs="Arial" w:eastAsia="Arial" w:hAnsi="Arial"/>
                <w:sz w:val="17"/>
                <w:szCs w:val="17"/>
                <w:color w:val="0000EE"/>
              </w:rPr>
            </w:pPr>
            <w:hyperlink r:id="rId208">
              <w:r>
                <w:rPr>
                  <w:rFonts w:ascii="Arial" w:cs="Arial" w:eastAsia="Arial" w:hAnsi="Arial"/>
                  <w:sz w:val="17"/>
                  <w:szCs w:val="17"/>
                  <w:color w:val="0000EE"/>
                </w:rPr>
                <w:t>Phathom Pharmaceuticals, Inc. 2019 Employee Stock Purchase Plan</w:t>
              </w:r>
            </w:hyperlink>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S-1/A</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10-15-2019</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10.5</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10.8#</w:t>
            </w:r>
          </w:p>
        </w:tc>
        <w:tc>
          <w:tcPr>
            <w:tcW w:w="100" w:type="dxa"/>
            <w:vAlign w:val="bottom"/>
          </w:tcPr>
          <w:p>
            <w:pPr>
              <w:spacing w:after="0"/>
              <w:rPr>
                <w:sz w:val="16"/>
                <w:szCs w:val="16"/>
                <w:color w:val="auto"/>
              </w:rPr>
            </w:pPr>
          </w:p>
        </w:tc>
        <w:tc>
          <w:tcPr>
            <w:tcW w:w="3180" w:type="dxa"/>
            <w:vAlign w:val="bottom"/>
            <w:tcBorders>
              <w:top w:val="single" w:sz="8" w:color="0000EE"/>
              <w:bottom w:val="single" w:sz="8" w:color="0000EE"/>
            </w:tcBorders>
            <w:gridSpan w:val="12"/>
          </w:tcPr>
          <w:p>
            <w:pPr>
              <w:spacing w:after="0" w:line="185" w:lineRule="exact"/>
              <w:rPr>
                <w:rFonts w:ascii="Arial" w:cs="Arial" w:eastAsia="Arial" w:hAnsi="Arial"/>
                <w:sz w:val="17"/>
                <w:szCs w:val="17"/>
                <w:color w:val="0000EE"/>
                <w:w w:val="92"/>
              </w:rPr>
            </w:pPr>
            <w:hyperlink r:id="rId209">
              <w:r>
                <w:rPr>
                  <w:rFonts w:ascii="Arial" w:cs="Arial" w:eastAsia="Arial" w:hAnsi="Arial"/>
                  <w:sz w:val="17"/>
                  <w:szCs w:val="17"/>
                  <w:color w:val="0000EE"/>
                  <w:w w:val="92"/>
                </w:rPr>
                <w:t>Non-Employee Director Compensation Policy</w:t>
              </w:r>
            </w:hyperlink>
          </w:p>
        </w:tc>
        <w:tc>
          <w:tcPr>
            <w:tcW w:w="1500" w:type="dxa"/>
            <w:vAlign w:val="bottom"/>
            <w:tcBorders>
              <w:top w:val="single" w:sz="8" w:color="0000EE"/>
            </w:tcBorders>
            <w:gridSpan w:val="9"/>
          </w:tcPr>
          <w:p>
            <w:pPr>
              <w:spacing w:after="0"/>
              <w:rPr>
                <w:sz w:val="16"/>
                <w:szCs w:val="16"/>
                <w:color w:val="auto"/>
              </w:rPr>
            </w:pPr>
          </w:p>
        </w:tc>
        <w:tc>
          <w:tcPr>
            <w:tcW w:w="920" w:type="dxa"/>
            <w:vAlign w:val="bottom"/>
            <w:gridSpan w:val="13"/>
          </w:tcPr>
          <w:p>
            <w:pPr>
              <w:spacing w:after="0"/>
              <w:rPr>
                <w:sz w:val="16"/>
                <w:szCs w:val="16"/>
                <w:color w:val="auto"/>
              </w:rPr>
            </w:pPr>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S-1/A</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10-15-2019</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10.6</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20"/>
                <w:szCs w:val="20"/>
                <w:color w:val="auto"/>
              </w:rPr>
            </w:pPr>
          </w:p>
        </w:tc>
        <w:tc>
          <w:tcPr>
            <w:tcW w:w="3000" w:type="dxa"/>
            <w:vAlign w:val="bottom"/>
            <w:tcBorders>
              <w:bottom w:val="single" w:sz="8" w:color="0000EE"/>
            </w:tcBorders>
            <w:gridSpan w:val="11"/>
          </w:tcPr>
          <w:p>
            <w:pPr>
              <w:spacing w:after="0"/>
              <w:rPr>
                <w:rFonts w:ascii="Arial" w:cs="Arial" w:eastAsia="Arial" w:hAnsi="Arial"/>
                <w:sz w:val="17"/>
                <w:szCs w:val="17"/>
                <w:color w:val="0000EE"/>
                <w:w w:val="89"/>
              </w:rPr>
            </w:pPr>
            <w:hyperlink r:id="rId210">
              <w:r>
                <w:rPr>
                  <w:rFonts w:ascii="Arial" w:cs="Arial" w:eastAsia="Arial" w:hAnsi="Arial"/>
                  <w:sz w:val="17"/>
                  <w:szCs w:val="17"/>
                  <w:color w:val="0000EE"/>
                  <w:w w:val="89"/>
                </w:rPr>
                <w:t>Phathom Pharmaceuticals 2020 Bonus Plan</w:t>
              </w:r>
            </w:hyperlink>
          </w:p>
        </w:tc>
        <w:tc>
          <w:tcPr>
            <w:tcW w:w="2600" w:type="dxa"/>
            <w:vAlign w:val="bottom"/>
            <w:gridSpan w:val="23"/>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10-Q</w:t>
            </w:r>
          </w:p>
        </w:tc>
        <w:tc>
          <w:tcPr>
            <w:tcW w:w="1400" w:type="dxa"/>
            <w:vAlign w:val="bottom"/>
            <w:gridSpan w:val="3"/>
          </w:tcPr>
          <w:p>
            <w:pPr>
              <w:jc w:val="right"/>
              <w:ind w:right="120"/>
              <w:spacing w:after="0"/>
              <w:rPr>
                <w:sz w:val="20"/>
                <w:szCs w:val="20"/>
                <w:color w:val="auto"/>
              </w:rPr>
            </w:pPr>
            <w:r>
              <w:rPr>
                <w:rFonts w:ascii="Arial" w:cs="Arial" w:eastAsia="Arial" w:hAnsi="Arial"/>
                <w:sz w:val="17"/>
                <w:szCs w:val="17"/>
                <w:color w:val="auto"/>
              </w:rPr>
              <w:t>5-12-2020</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10.1</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660" w:type="dxa"/>
            <w:vAlign w:val="bottom"/>
          </w:tcPr>
          <w:p>
            <w:pPr>
              <w:spacing w:after="0"/>
              <w:rPr>
                <w:sz w:val="20"/>
                <w:szCs w:val="20"/>
                <w:color w:val="auto"/>
              </w:rPr>
            </w:pPr>
            <w:r>
              <w:rPr>
                <w:rFonts w:ascii="Arial" w:cs="Arial" w:eastAsia="Arial" w:hAnsi="Arial"/>
                <w:sz w:val="17"/>
                <w:szCs w:val="17"/>
                <w:color w:val="auto"/>
              </w:rPr>
              <w:t>10.10#</w:t>
            </w:r>
          </w:p>
        </w:tc>
        <w:tc>
          <w:tcPr>
            <w:tcW w:w="100" w:type="dxa"/>
            <w:vAlign w:val="bottom"/>
          </w:tcPr>
          <w:p>
            <w:pPr>
              <w:spacing w:after="0"/>
              <w:rPr>
                <w:sz w:val="20"/>
                <w:szCs w:val="20"/>
                <w:color w:val="auto"/>
              </w:rPr>
            </w:pPr>
          </w:p>
        </w:tc>
        <w:tc>
          <w:tcPr>
            <w:tcW w:w="5600" w:type="dxa"/>
            <w:vAlign w:val="bottom"/>
            <w:gridSpan w:val="34"/>
          </w:tcPr>
          <w:p>
            <w:pPr>
              <w:spacing w:after="0"/>
              <w:rPr>
                <w:rFonts w:ascii="Arial" w:cs="Arial" w:eastAsia="Arial" w:hAnsi="Arial"/>
                <w:sz w:val="17"/>
                <w:szCs w:val="17"/>
                <w:color w:val="0000EE"/>
                <w:w w:val="99"/>
              </w:rPr>
            </w:pPr>
            <w:hyperlink r:id="rId211">
              <w:r>
                <w:rPr>
                  <w:rFonts w:ascii="Arial" w:cs="Arial" w:eastAsia="Arial" w:hAnsi="Arial"/>
                  <w:sz w:val="17"/>
                  <w:szCs w:val="17"/>
                  <w:color w:val="0000EE"/>
                  <w:w w:val="99"/>
                </w:rPr>
                <w:t>Letter Agreement, dated May 7, 2019, by and between Tadataka Yamada,</w:t>
              </w:r>
            </w:hyperlink>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S-1</w:t>
            </w:r>
          </w:p>
        </w:tc>
        <w:tc>
          <w:tcPr>
            <w:tcW w:w="1400" w:type="dxa"/>
            <w:vAlign w:val="bottom"/>
            <w:gridSpan w:val="3"/>
          </w:tcPr>
          <w:p>
            <w:pPr>
              <w:jc w:val="right"/>
              <w:ind w:right="120"/>
              <w:spacing w:after="0"/>
              <w:rPr>
                <w:sz w:val="20"/>
                <w:szCs w:val="20"/>
                <w:color w:val="auto"/>
              </w:rPr>
            </w:pPr>
            <w:r>
              <w:rPr>
                <w:rFonts w:ascii="Arial" w:cs="Arial" w:eastAsia="Arial" w:hAnsi="Arial"/>
                <w:sz w:val="17"/>
                <w:szCs w:val="17"/>
                <w:color w:val="auto"/>
              </w:rPr>
              <w:t>9-30-2019</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10.7</w:t>
            </w: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Borders>
              <w:top w:val="single" w:sz="8" w:color="0000EE"/>
              <w:bottom w:val="single" w:sz="8" w:color="0000EE"/>
            </w:tcBorders>
            <w:gridSpan w:val="4"/>
          </w:tcPr>
          <w:p>
            <w:pPr>
              <w:spacing w:after="0" w:line="185" w:lineRule="exact"/>
              <w:rPr>
                <w:rFonts w:ascii="Arial" w:cs="Arial" w:eastAsia="Arial" w:hAnsi="Arial"/>
                <w:sz w:val="17"/>
                <w:szCs w:val="17"/>
                <w:color w:val="0000EE"/>
                <w:w w:val="91"/>
              </w:rPr>
            </w:pPr>
            <w:hyperlink r:id="rId211">
              <w:r>
                <w:rPr>
                  <w:rFonts w:ascii="Arial" w:cs="Arial" w:eastAsia="Arial" w:hAnsi="Arial"/>
                  <w:sz w:val="17"/>
                  <w:szCs w:val="17"/>
                  <w:color w:val="0000EE"/>
                  <w:w w:val="91"/>
                </w:rPr>
                <w:t>M.D. and the Registrant</w:t>
              </w:r>
            </w:hyperlink>
          </w:p>
        </w:tc>
        <w:tc>
          <w:tcPr>
            <w:tcW w:w="3380" w:type="dxa"/>
            <w:vAlign w:val="bottom"/>
            <w:tcBorders>
              <w:top w:val="single" w:sz="8" w:color="0000EE"/>
            </w:tcBorders>
            <w:gridSpan w:val="27"/>
          </w:tcPr>
          <w:p>
            <w:pPr>
              <w:spacing w:after="0"/>
              <w:rPr>
                <w:sz w:val="16"/>
                <w:szCs w:val="16"/>
                <w:color w:val="auto"/>
              </w:rPr>
            </w:pPr>
          </w:p>
        </w:tc>
        <w:tc>
          <w:tcPr>
            <w:tcW w:w="560" w:type="dxa"/>
            <w:vAlign w:val="bottom"/>
            <w:gridSpan w:val="3"/>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10.11#</w:t>
            </w:r>
          </w:p>
        </w:tc>
        <w:tc>
          <w:tcPr>
            <w:tcW w:w="100" w:type="dxa"/>
            <w:vAlign w:val="bottom"/>
          </w:tcPr>
          <w:p>
            <w:pPr>
              <w:spacing w:after="0"/>
              <w:rPr>
                <w:sz w:val="16"/>
                <w:szCs w:val="16"/>
                <w:color w:val="auto"/>
              </w:rPr>
            </w:pPr>
          </w:p>
        </w:tc>
        <w:tc>
          <w:tcPr>
            <w:tcW w:w="5600" w:type="dxa"/>
            <w:vAlign w:val="bottom"/>
            <w:gridSpan w:val="34"/>
          </w:tcPr>
          <w:p>
            <w:pPr>
              <w:spacing w:after="0" w:line="185" w:lineRule="exact"/>
              <w:rPr>
                <w:rFonts w:ascii="Arial" w:cs="Arial" w:eastAsia="Arial" w:hAnsi="Arial"/>
                <w:sz w:val="17"/>
                <w:szCs w:val="17"/>
                <w:color w:val="0000EE"/>
              </w:rPr>
            </w:pPr>
            <w:hyperlink r:id="rId212">
              <w:r>
                <w:rPr>
                  <w:rFonts w:ascii="Arial" w:cs="Arial" w:eastAsia="Arial" w:hAnsi="Arial"/>
                  <w:sz w:val="17"/>
                  <w:szCs w:val="17"/>
                  <w:color w:val="0000EE"/>
                </w:rPr>
                <w:t>Employment Letter Agreement, dated July 21, 2019, by and between</w:t>
              </w:r>
            </w:hyperlink>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S-1</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9-30-2019</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10.8</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20" w:type="dxa"/>
            <w:vAlign w:val="bottom"/>
            <w:tcBorders>
              <w:top w:val="single" w:sz="8" w:color="0000EE"/>
            </w:tcBorders>
            <w:gridSpan w:val="22"/>
          </w:tcPr>
          <w:p>
            <w:pPr>
              <w:spacing w:after="0" w:line="185" w:lineRule="exact"/>
              <w:rPr>
                <w:rFonts w:ascii="Arial" w:cs="Arial" w:eastAsia="Arial" w:hAnsi="Arial"/>
                <w:sz w:val="17"/>
                <w:szCs w:val="17"/>
                <w:color w:val="0000EE"/>
              </w:rPr>
            </w:pPr>
            <w:hyperlink r:id="rId212">
              <w:r>
                <w:rPr>
                  <w:rFonts w:ascii="Arial" w:cs="Arial" w:eastAsia="Arial" w:hAnsi="Arial"/>
                  <w:sz w:val="17"/>
                  <w:szCs w:val="17"/>
                  <w:color w:val="0000EE"/>
                </w:rPr>
                <w:t>David Socks and the Registrant</w:t>
              </w:r>
            </w:hyperlink>
          </w:p>
        </w:tc>
        <w:tc>
          <w:tcPr>
            <w:tcW w:w="880" w:type="dxa"/>
            <w:vAlign w:val="bottom"/>
            <w:gridSpan w:val="12"/>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7"/>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10.12#</w:t>
            </w:r>
          </w:p>
        </w:tc>
        <w:tc>
          <w:tcPr>
            <w:tcW w:w="100" w:type="dxa"/>
            <w:vAlign w:val="bottom"/>
          </w:tcPr>
          <w:p>
            <w:pPr>
              <w:spacing w:after="0"/>
              <w:rPr>
                <w:sz w:val="16"/>
                <w:szCs w:val="16"/>
                <w:color w:val="auto"/>
              </w:rPr>
            </w:pPr>
          </w:p>
        </w:tc>
        <w:tc>
          <w:tcPr>
            <w:tcW w:w="5600" w:type="dxa"/>
            <w:vAlign w:val="bottom"/>
            <w:gridSpan w:val="34"/>
          </w:tcPr>
          <w:p>
            <w:pPr>
              <w:spacing w:after="0" w:line="185" w:lineRule="exact"/>
              <w:rPr>
                <w:rFonts w:ascii="Arial" w:cs="Arial" w:eastAsia="Arial" w:hAnsi="Arial"/>
                <w:sz w:val="17"/>
                <w:szCs w:val="17"/>
                <w:color w:val="0000EE"/>
              </w:rPr>
            </w:pPr>
            <w:hyperlink r:id="rId213">
              <w:r>
                <w:rPr>
                  <w:rFonts w:ascii="Arial" w:cs="Arial" w:eastAsia="Arial" w:hAnsi="Arial"/>
                  <w:sz w:val="17"/>
                  <w:szCs w:val="17"/>
                  <w:color w:val="0000EE"/>
                </w:rPr>
                <w:t>Amended and Restated Employment Letter Agreement, dated September</w:t>
              </w:r>
            </w:hyperlink>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S-1</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9-30-2019</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10.9</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8"/>
            <w:shd w:val="clear" w:color="auto" w:fill="0000EE"/>
          </w:tcPr>
          <w:p>
            <w:pPr>
              <w:spacing w:after="0" w:line="20" w:lineRule="exact"/>
              <w:rPr>
                <w:sz w:val="1"/>
                <w:szCs w:val="1"/>
                <w:color w:val="auto"/>
              </w:rPr>
            </w:pPr>
          </w:p>
        </w:tc>
        <w:tc>
          <w:tcPr>
            <w:tcW w:w="2000" w:type="dxa"/>
            <w:vAlign w:val="bottom"/>
            <w:gridSpan w:val="10"/>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240" w:type="dxa"/>
            <w:vAlign w:val="bottom"/>
            <w:gridSpan w:val="7"/>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gridSpan w:val="34"/>
          </w:tcPr>
          <w:p>
            <w:pPr>
              <w:spacing w:after="0" w:line="185" w:lineRule="exact"/>
              <w:rPr>
                <w:rFonts w:ascii="Arial" w:cs="Arial" w:eastAsia="Arial" w:hAnsi="Arial"/>
                <w:sz w:val="17"/>
                <w:szCs w:val="17"/>
                <w:color w:val="0000EE"/>
              </w:rPr>
            </w:pPr>
            <w:hyperlink r:id="rId213">
              <w:r>
                <w:rPr>
                  <w:rFonts w:ascii="Arial" w:cs="Arial" w:eastAsia="Arial" w:hAnsi="Arial"/>
                  <w:sz w:val="17"/>
                  <w:szCs w:val="17"/>
                  <w:color w:val="0000EE"/>
                </w:rPr>
                <w:t>25, 2019, by and between Azmi Nabulsi, M.D., M.P.H. and the Registrant</w:t>
              </w:r>
            </w:hyperlink>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10.13#</w:t>
            </w:r>
          </w:p>
        </w:tc>
        <w:tc>
          <w:tcPr>
            <w:tcW w:w="100" w:type="dxa"/>
            <w:vAlign w:val="bottom"/>
          </w:tcPr>
          <w:p>
            <w:pPr>
              <w:spacing w:after="0"/>
              <w:rPr>
                <w:sz w:val="16"/>
                <w:szCs w:val="16"/>
                <w:color w:val="auto"/>
              </w:rPr>
            </w:pPr>
          </w:p>
        </w:tc>
        <w:tc>
          <w:tcPr>
            <w:tcW w:w="4760" w:type="dxa"/>
            <w:vAlign w:val="bottom"/>
            <w:tcBorders>
              <w:top w:val="single" w:sz="8" w:color="0000EE"/>
              <w:bottom w:val="single" w:sz="8" w:color="0000EE"/>
            </w:tcBorders>
            <w:gridSpan w:val="23"/>
          </w:tcPr>
          <w:p>
            <w:pPr>
              <w:spacing w:after="0" w:line="185" w:lineRule="exact"/>
              <w:rPr>
                <w:rFonts w:ascii="Arial" w:cs="Arial" w:eastAsia="Arial" w:hAnsi="Arial"/>
                <w:sz w:val="17"/>
                <w:szCs w:val="17"/>
                <w:color w:val="0000EE"/>
                <w:w w:val="90"/>
              </w:rPr>
            </w:pPr>
            <w:hyperlink r:id="rId214">
              <w:r>
                <w:rPr>
                  <w:rFonts w:ascii="Arial" w:cs="Arial" w:eastAsia="Arial" w:hAnsi="Arial"/>
                  <w:sz w:val="17"/>
                  <w:szCs w:val="17"/>
                  <w:color w:val="0000EE"/>
                  <w:w w:val="90"/>
                </w:rPr>
                <w:t>Employment Letter Agreement, dated June 25, 2020, by and between</w:t>
              </w:r>
            </w:hyperlink>
          </w:p>
        </w:tc>
        <w:tc>
          <w:tcPr>
            <w:tcW w:w="300" w:type="dxa"/>
            <w:vAlign w:val="bottom"/>
            <w:tcBorders>
              <w:top w:val="single" w:sz="8" w:color="0000EE"/>
            </w:tcBorders>
            <w:gridSpan w:val="9"/>
          </w:tcPr>
          <w:p>
            <w:pPr>
              <w:spacing w:after="0"/>
              <w:rPr>
                <w:sz w:val="16"/>
                <w:szCs w:val="16"/>
                <w:color w:val="auto"/>
              </w:rPr>
            </w:pPr>
          </w:p>
        </w:tc>
        <w:tc>
          <w:tcPr>
            <w:tcW w:w="540" w:type="dxa"/>
            <w:vAlign w:val="bottom"/>
            <w:gridSpan w:val="2"/>
          </w:tcPr>
          <w:p>
            <w:pPr>
              <w:spacing w:after="0"/>
              <w:rPr>
                <w:sz w:val="16"/>
                <w:szCs w:val="16"/>
                <w:color w:val="auto"/>
              </w:rPr>
            </w:pPr>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8-K</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7-13-2020</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10.1</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0" w:type="dxa"/>
            <w:vAlign w:val="bottom"/>
            <w:gridSpan w:val="34"/>
          </w:tcPr>
          <w:p>
            <w:pPr>
              <w:spacing w:after="0" w:line="185" w:lineRule="exact"/>
              <w:rPr>
                <w:rFonts w:ascii="Arial" w:cs="Arial" w:eastAsia="Arial" w:hAnsi="Arial"/>
                <w:sz w:val="17"/>
                <w:szCs w:val="17"/>
                <w:color w:val="0000EE"/>
              </w:rPr>
            </w:pPr>
            <w:hyperlink r:id="rId214">
              <w:r>
                <w:rPr>
                  <w:rFonts w:ascii="Arial" w:cs="Arial" w:eastAsia="Arial" w:hAnsi="Arial"/>
                  <w:sz w:val="17"/>
                  <w:szCs w:val="17"/>
                  <w:color w:val="0000EE"/>
                </w:rPr>
                <w:t>Todd Branning and the Registrant</w:t>
              </w:r>
            </w:hyperlink>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gridSpan w:val="8"/>
            <w:shd w:val="clear" w:color="auto" w:fill="0000EE"/>
          </w:tcPr>
          <w:p>
            <w:pPr>
              <w:spacing w:after="0" w:line="20" w:lineRule="exact"/>
              <w:rPr>
                <w:sz w:val="1"/>
                <w:szCs w:val="1"/>
                <w:color w:val="auto"/>
              </w:rPr>
            </w:pPr>
          </w:p>
        </w:tc>
        <w:tc>
          <w:tcPr>
            <w:tcW w:w="2000" w:type="dxa"/>
            <w:vAlign w:val="bottom"/>
            <w:gridSpan w:val="10"/>
          </w:tcPr>
          <w:p>
            <w:pPr>
              <w:spacing w:after="0" w:line="20" w:lineRule="exact"/>
              <w:rPr>
                <w:sz w:val="1"/>
                <w:szCs w:val="1"/>
                <w:color w:val="auto"/>
              </w:rPr>
            </w:pPr>
          </w:p>
        </w:tc>
        <w:tc>
          <w:tcPr>
            <w:tcW w:w="1280" w:type="dxa"/>
            <w:vAlign w:val="bottom"/>
            <w:gridSpan w:val="1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660" w:type="dxa"/>
            <w:vAlign w:val="bottom"/>
          </w:tcPr>
          <w:p>
            <w:pPr>
              <w:spacing w:after="0" w:line="185" w:lineRule="exact"/>
              <w:rPr>
                <w:sz w:val="20"/>
                <w:szCs w:val="20"/>
                <w:color w:val="auto"/>
              </w:rPr>
            </w:pPr>
            <w:r>
              <w:rPr>
                <w:rFonts w:ascii="Arial" w:cs="Arial" w:eastAsia="Arial" w:hAnsi="Arial"/>
                <w:sz w:val="17"/>
                <w:szCs w:val="17"/>
                <w:color w:val="auto"/>
              </w:rPr>
              <w:t>10.14#</w:t>
            </w:r>
          </w:p>
        </w:tc>
        <w:tc>
          <w:tcPr>
            <w:tcW w:w="100" w:type="dxa"/>
            <w:vAlign w:val="bottom"/>
          </w:tcPr>
          <w:p>
            <w:pPr>
              <w:spacing w:after="0"/>
              <w:rPr>
                <w:sz w:val="16"/>
                <w:szCs w:val="16"/>
                <w:color w:val="auto"/>
              </w:rPr>
            </w:pPr>
          </w:p>
        </w:tc>
        <w:tc>
          <w:tcPr>
            <w:tcW w:w="5600" w:type="dxa"/>
            <w:vAlign w:val="bottom"/>
            <w:gridSpan w:val="34"/>
          </w:tcPr>
          <w:p>
            <w:pPr>
              <w:spacing w:after="0" w:line="185" w:lineRule="exact"/>
              <w:rPr>
                <w:rFonts w:ascii="Arial" w:cs="Arial" w:eastAsia="Arial" w:hAnsi="Arial"/>
                <w:sz w:val="17"/>
                <w:szCs w:val="17"/>
                <w:color w:val="0000EE"/>
              </w:rPr>
            </w:pPr>
            <w:hyperlink r:id="rId215">
              <w:r>
                <w:rPr>
                  <w:rFonts w:ascii="Arial" w:cs="Arial" w:eastAsia="Arial" w:hAnsi="Arial"/>
                  <w:sz w:val="17"/>
                  <w:szCs w:val="17"/>
                  <w:color w:val="0000EE"/>
                </w:rPr>
                <w:t>Form of Indemnification Agreement for Directors and Officers</w:t>
              </w:r>
            </w:hyperlink>
          </w:p>
        </w:tc>
        <w:tc>
          <w:tcPr>
            <w:tcW w:w="640" w:type="dxa"/>
            <w:vAlign w:val="bottom"/>
            <w:gridSpan w:val="2"/>
          </w:tcPr>
          <w:p>
            <w:pPr>
              <w:jc w:val="right"/>
              <w:ind w:right="40"/>
              <w:spacing w:after="0" w:line="185" w:lineRule="exact"/>
              <w:rPr>
                <w:sz w:val="20"/>
                <w:szCs w:val="20"/>
                <w:color w:val="auto"/>
              </w:rPr>
            </w:pPr>
            <w:r>
              <w:rPr>
                <w:rFonts w:ascii="Arial" w:cs="Arial" w:eastAsia="Arial" w:hAnsi="Arial"/>
                <w:sz w:val="17"/>
                <w:szCs w:val="17"/>
                <w:color w:val="auto"/>
              </w:rPr>
              <w:t>S-1</w:t>
            </w:r>
          </w:p>
        </w:tc>
        <w:tc>
          <w:tcPr>
            <w:tcW w:w="1400" w:type="dxa"/>
            <w:vAlign w:val="bottom"/>
            <w:gridSpan w:val="3"/>
          </w:tcPr>
          <w:p>
            <w:pPr>
              <w:jc w:val="right"/>
              <w:ind w:right="120"/>
              <w:spacing w:after="0" w:line="185" w:lineRule="exact"/>
              <w:rPr>
                <w:sz w:val="20"/>
                <w:szCs w:val="20"/>
                <w:color w:val="auto"/>
              </w:rPr>
            </w:pPr>
            <w:r>
              <w:rPr>
                <w:rFonts w:ascii="Arial" w:cs="Arial" w:eastAsia="Arial" w:hAnsi="Arial"/>
                <w:sz w:val="17"/>
                <w:szCs w:val="17"/>
                <w:color w:val="auto"/>
              </w:rPr>
              <w:t>9-30-2019</w:t>
            </w:r>
          </w:p>
        </w:tc>
        <w:tc>
          <w:tcPr>
            <w:tcW w:w="1020" w:type="dxa"/>
            <w:vAlign w:val="bottom"/>
            <w:gridSpan w:val="2"/>
          </w:tcPr>
          <w:p>
            <w:pPr>
              <w:jc w:val="right"/>
              <w:ind w:right="120"/>
              <w:spacing w:after="0" w:line="185" w:lineRule="exact"/>
              <w:rPr>
                <w:sz w:val="20"/>
                <w:szCs w:val="20"/>
                <w:color w:val="auto"/>
              </w:rPr>
            </w:pPr>
            <w:r>
              <w:rPr>
                <w:rFonts w:ascii="Arial" w:cs="Arial" w:eastAsia="Arial" w:hAnsi="Arial"/>
                <w:sz w:val="17"/>
                <w:szCs w:val="17"/>
                <w:color w:val="auto"/>
              </w:rPr>
              <w:t>10.11</w:t>
            </w: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4"/>
        </w:trPr>
        <w:tc>
          <w:tcPr>
            <w:tcW w:w="166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020" w:type="dxa"/>
            <w:vAlign w:val="bottom"/>
            <w:tcBorders>
              <w:top w:val="single" w:sz="8" w:color="0000EE"/>
            </w:tcBorders>
            <w:gridSpan w:val="14"/>
          </w:tcPr>
          <w:p>
            <w:pPr>
              <w:jc w:val="right"/>
              <w:ind w:right="40"/>
              <w:spacing w:after="0"/>
              <w:rPr>
                <w:sz w:val="20"/>
                <w:szCs w:val="20"/>
                <w:color w:val="auto"/>
              </w:rPr>
            </w:pPr>
            <w:r>
              <w:rPr>
                <w:rFonts w:ascii="Arial" w:cs="Arial" w:eastAsia="Arial" w:hAnsi="Arial"/>
                <w:sz w:val="17"/>
                <w:szCs w:val="17"/>
                <w:color w:val="auto"/>
              </w:rPr>
              <w:t>126</w:t>
            </w: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327" w:right="29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95"/>
        </w:trPr>
        <w:tc>
          <w:tcPr>
            <w:tcW w:w="1780" w:type="dxa"/>
            <w:vAlign w:val="bottom"/>
          </w:tcPr>
          <w:p>
            <w:pPr>
              <w:spacing w:after="0"/>
              <w:rPr>
                <w:sz w:val="20"/>
                <w:szCs w:val="20"/>
                <w:color w:val="auto"/>
              </w:rPr>
            </w:pPr>
            <w:r>
              <w:rPr>
                <w:rFonts w:ascii="Arial" w:cs="Arial" w:eastAsia="Arial" w:hAnsi="Arial"/>
                <w:sz w:val="17"/>
                <w:szCs w:val="17"/>
                <w:color w:val="auto"/>
              </w:rPr>
              <w:t>10.15†</w:t>
            </w:r>
          </w:p>
        </w:tc>
        <w:tc>
          <w:tcPr>
            <w:tcW w:w="5020" w:type="dxa"/>
            <w:vAlign w:val="bottom"/>
            <w:gridSpan w:val="29"/>
          </w:tcPr>
          <w:p>
            <w:pPr>
              <w:spacing w:after="0"/>
              <w:rPr>
                <w:rFonts w:ascii="Arial" w:cs="Arial" w:eastAsia="Arial" w:hAnsi="Arial"/>
                <w:sz w:val="17"/>
                <w:szCs w:val="17"/>
                <w:color w:val="0000EE"/>
              </w:rPr>
            </w:pPr>
            <w:hyperlink r:id="rId218">
              <w:r>
                <w:rPr>
                  <w:rFonts w:ascii="Arial" w:cs="Arial" w:eastAsia="Arial" w:hAnsi="Arial"/>
                  <w:sz w:val="17"/>
                  <w:szCs w:val="17"/>
                  <w:color w:val="0000EE"/>
                </w:rPr>
                <w:t>License Agreement, dated May 7, 2019, by and between Takeda</w:t>
              </w:r>
            </w:hyperlink>
          </w:p>
        </w:tc>
      </w:tr>
      <w:tr>
        <w:trPr>
          <w:trHeight w:val="186"/>
        </w:trPr>
        <w:tc>
          <w:tcPr>
            <w:tcW w:w="1780" w:type="dxa"/>
            <w:vAlign w:val="bottom"/>
          </w:tcPr>
          <w:p>
            <w:pPr>
              <w:spacing w:after="0"/>
              <w:rPr>
                <w:sz w:val="16"/>
                <w:szCs w:val="16"/>
                <w:color w:val="auto"/>
              </w:rPr>
            </w:pPr>
          </w:p>
        </w:tc>
        <w:tc>
          <w:tcPr>
            <w:tcW w:w="4380" w:type="dxa"/>
            <w:vAlign w:val="bottom"/>
            <w:tcBorders>
              <w:top w:val="single" w:sz="8" w:color="0000EE"/>
            </w:tcBorders>
            <w:gridSpan w:val="16"/>
          </w:tcPr>
          <w:p>
            <w:pPr>
              <w:spacing w:after="0" w:line="185" w:lineRule="exact"/>
              <w:rPr>
                <w:rFonts w:ascii="Arial" w:cs="Arial" w:eastAsia="Arial" w:hAnsi="Arial"/>
                <w:sz w:val="17"/>
                <w:szCs w:val="17"/>
                <w:color w:val="0000EE"/>
              </w:rPr>
            </w:pPr>
            <w:hyperlink r:id="rId218">
              <w:r>
                <w:rPr>
                  <w:rFonts w:ascii="Arial" w:cs="Arial" w:eastAsia="Arial" w:hAnsi="Arial"/>
                  <w:sz w:val="17"/>
                  <w:szCs w:val="17"/>
                  <w:color w:val="0000EE"/>
                </w:rPr>
                <w:t>Pharmaceuticals Company Limited and the Registrant</w:t>
              </w:r>
            </w:hyperlink>
          </w:p>
        </w:tc>
        <w:tc>
          <w:tcPr>
            <w:tcW w:w="640" w:type="dxa"/>
            <w:vAlign w:val="bottom"/>
            <w:gridSpan w:val="13"/>
          </w:tcPr>
          <w:p>
            <w:pPr>
              <w:spacing w:after="0"/>
              <w:rPr>
                <w:sz w:val="16"/>
                <w:szCs w:val="16"/>
                <w:color w:val="auto"/>
              </w:rPr>
            </w:pPr>
          </w:p>
        </w:tc>
      </w:tr>
      <w:tr>
        <w:trPr>
          <w:trHeight w:val="20"/>
        </w:trPr>
        <w:tc>
          <w:tcPr>
            <w:tcW w:w="17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6"/>
        </w:trPr>
        <w:tc>
          <w:tcPr>
            <w:tcW w:w="1780" w:type="dxa"/>
            <w:vAlign w:val="bottom"/>
          </w:tcPr>
          <w:p>
            <w:pPr>
              <w:spacing w:after="0" w:line="185" w:lineRule="exact"/>
              <w:rPr>
                <w:sz w:val="20"/>
                <w:szCs w:val="20"/>
                <w:color w:val="auto"/>
              </w:rPr>
            </w:pPr>
            <w:r>
              <w:rPr>
                <w:rFonts w:ascii="Arial" w:cs="Arial" w:eastAsia="Arial" w:hAnsi="Arial"/>
                <w:sz w:val="17"/>
                <w:szCs w:val="17"/>
                <w:color w:val="auto"/>
              </w:rPr>
              <w:t>10.16</w:t>
            </w:r>
          </w:p>
        </w:tc>
        <w:tc>
          <w:tcPr>
            <w:tcW w:w="4560" w:type="dxa"/>
            <w:vAlign w:val="bottom"/>
            <w:tcBorders>
              <w:bottom w:val="single" w:sz="8" w:color="0000EE"/>
            </w:tcBorders>
            <w:gridSpan w:val="18"/>
          </w:tcPr>
          <w:p>
            <w:pPr>
              <w:spacing w:after="0" w:line="185" w:lineRule="exact"/>
              <w:rPr>
                <w:rFonts w:ascii="Arial" w:cs="Arial" w:eastAsia="Arial" w:hAnsi="Arial"/>
                <w:sz w:val="17"/>
                <w:szCs w:val="17"/>
                <w:color w:val="0000EE"/>
                <w:w w:val="90"/>
              </w:rPr>
            </w:pPr>
            <w:hyperlink r:id="rId219">
              <w:r>
                <w:rPr>
                  <w:rFonts w:ascii="Arial" w:cs="Arial" w:eastAsia="Arial" w:hAnsi="Arial"/>
                  <w:sz w:val="17"/>
                  <w:szCs w:val="17"/>
                  <w:color w:val="0000EE"/>
                  <w:w w:val="90"/>
                </w:rPr>
                <w:t>Loan and Security Agreement, dated May 14, 2019, by and among</w:t>
              </w:r>
            </w:hyperlink>
          </w:p>
        </w:tc>
        <w:tc>
          <w:tcPr>
            <w:tcW w:w="460" w:type="dxa"/>
            <w:vAlign w:val="bottom"/>
            <w:gridSpan w:val="11"/>
          </w:tcPr>
          <w:p>
            <w:pPr>
              <w:spacing w:after="0"/>
              <w:rPr>
                <w:sz w:val="16"/>
                <w:szCs w:val="16"/>
                <w:color w:val="auto"/>
              </w:rPr>
            </w:pPr>
          </w:p>
        </w:tc>
      </w:tr>
      <w:tr>
        <w:trPr>
          <w:trHeight w:val="186"/>
        </w:trPr>
        <w:tc>
          <w:tcPr>
            <w:tcW w:w="1780" w:type="dxa"/>
            <w:vAlign w:val="bottom"/>
          </w:tcPr>
          <w:p>
            <w:pPr>
              <w:spacing w:after="0"/>
              <w:rPr>
                <w:sz w:val="16"/>
                <w:szCs w:val="16"/>
                <w:color w:val="auto"/>
              </w:rPr>
            </w:pPr>
          </w:p>
        </w:tc>
        <w:tc>
          <w:tcPr>
            <w:tcW w:w="4960" w:type="dxa"/>
            <w:vAlign w:val="bottom"/>
            <w:tcBorders>
              <w:bottom w:val="single" w:sz="8" w:color="0000EE"/>
            </w:tcBorders>
            <w:gridSpan w:val="27"/>
          </w:tcPr>
          <w:p>
            <w:pPr>
              <w:spacing w:after="0" w:line="185" w:lineRule="exact"/>
              <w:rPr>
                <w:rFonts w:ascii="Arial" w:cs="Arial" w:eastAsia="Arial" w:hAnsi="Arial"/>
                <w:sz w:val="17"/>
                <w:szCs w:val="17"/>
                <w:color w:val="0000EE"/>
                <w:w w:val="93"/>
              </w:rPr>
            </w:pPr>
            <w:hyperlink r:id="rId219">
              <w:r>
                <w:rPr>
                  <w:rFonts w:ascii="Arial" w:cs="Arial" w:eastAsia="Arial" w:hAnsi="Arial"/>
                  <w:sz w:val="17"/>
                  <w:szCs w:val="17"/>
                  <w:color w:val="0000EE"/>
                  <w:w w:val="93"/>
                </w:rPr>
                <w:t>Silicon Valley Bank, WestRiver Innovation Lending Fund VIII, L.P. and</w:t>
              </w:r>
            </w:hyperlink>
          </w:p>
        </w:tc>
        <w:tc>
          <w:tcPr>
            <w:tcW w:w="60" w:type="dxa"/>
            <w:vAlign w:val="bottom"/>
            <w:gridSpan w:val="2"/>
          </w:tcPr>
          <w:p>
            <w:pPr>
              <w:spacing w:after="0"/>
              <w:rPr>
                <w:sz w:val="16"/>
                <w:szCs w:val="16"/>
                <w:color w:val="auto"/>
              </w:rPr>
            </w:pPr>
          </w:p>
        </w:tc>
      </w:tr>
      <w:tr>
        <w:trPr>
          <w:trHeight w:val="186"/>
        </w:trPr>
        <w:tc>
          <w:tcPr>
            <w:tcW w:w="1780" w:type="dxa"/>
            <w:vAlign w:val="bottom"/>
          </w:tcPr>
          <w:p>
            <w:pPr>
              <w:spacing w:after="0"/>
              <w:rPr>
                <w:sz w:val="16"/>
                <w:szCs w:val="16"/>
                <w:color w:val="auto"/>
              </w:rPr>
            </w:pPr>
          </w:p>
        </w:tc>
        <w:tc>
          <w:tcPr>
            <w:tcW w:w="5020" w:type="dxa"/>
            <w:vAlign w:val="bottom"/>
            <w:gridSpan w:val="29"/>
          </w:tcPr>
          <w:p>
            <w:pPr>
              <w:spacing w:after="0" w:line="185" w:lineRule="exact"/>
              <w:rPr>
                <w:rFonts w:ascii="Arial" w:cs="Arial" w:eastAsia="Arial" w:hAnsi="Arial"/>
                <w:sz w:val="17"/>
                <w:szCs w:val="17"/>
                <w:color w:val="0000EE"/>
              </w:rPr>
            </w:pPr>
            <w:hyperlink r:id="rId219">
              <w:r>
                <w:rPr>
                  <w:rFonts w:ascii="Arial" w:cs="Arial" w:eastAsia="Arial" w:hAnsi="Arial"/>
                  <w:sz w:val="17"/>
                  <w:szCs w:val="17"/>
                  <w:color w:val="0000EE"/>
                </w:rPr>
                <w:t>the Registrant</w:t>
              </w:r>
            </w:hyperlink>
          </w:p>
        </w:tc>
      </w:tr>
      <w:tr>
        <w:trPr>
          <w:trHeight w:val="20"/>
        </w:trPr>
        <w:tc>
          <w:tcPr>
            <w:tcW w:w="17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6"/>
        </w:trPr>
        <w:tc>
          <w:tcPr>
            <w:tcW w:w="1780" w:type="dxa"/>
            <w:vAlign w:val="bottom"/>
          </w:tcPr>
          <w:p>
            <w:pPr>
              <w:spacing w:after="0" w:line="185" w:lineRule="exact"/>
              <w:rPr>
                <w:sz w:val="20"/>
                <w:szCs w:val="20"/>
                <w:color w:val="auto"/>
              </w:rPr>
            </w:pPr>
            <w:r>
              <w:rPr>
                <w:rFonts w:ascii="Arial" w:cs="Arial" w:eastAsia="Arial" w:hAnsi="Arial"/>
                <w:sz w:val="17"/>
                <w:szCs w:val="17"/>
                <w:color w:val="auto"/>
              </w:rPr>
              <w:t>10.17</w:t>
            </w:r>
          </w:p>
        </w:tc>
        <w:tc>
          <w:tcPr>
            <w:tcW w:w="5020" w:type="dxa"/>
            <w:vAlign w:val="bottom"/>
            <w:gridSpan w:val="29"/>
          </w:tcPr>
          <w:p>
            <w:pPr>
              <w:spacing w:after="0" w:line="185" w:lineRule="exact"/>
              <w:rPr>
                <w:rFonts w:ascii="Arial" w:cs="Arial" w:eastAsia="Arial" w:hAnsi="Arial"/>
                <w:sz w:val="17"/>
                <w:szCs w:val="17"/>
                <w:color w:val="0000EE"/>
                <w:w w:val="91"/>
              </w:rPr>
            </w:pPr>
            <w:hyperlink r:id="rId220">
              <w:r>
                <w:rPr>
                  <w:rFonts w:ascii="Arial" w:cs="Arial" w:eastAsia="Arial" w:hAnsi="Arial"/>
                  <w:sz w:val="17"/>
                  <w:szCs w:val="17"/>
                  <w:color w:val="0000EE"/>
                  <w:w w:val="91"/>
                </w:rPr>
                <w:t>Amendment to the Loan and Security Agreement, dated March 11, 2020,</w:t>
              </w:r>
            </w:hyperlink>
          </w:p>
        </w:tc>
      </w:tr>
      <w:tr>
        <w:trPr>
          <w:trHeight w:val="20"/>
        </w:trPr>
        <w:tc>
          <w:tcPr>
            <w:tcW w:w="178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6"/>
        </w:trPr>
        <w:tc>
          <w:tcPr>
            <w:tcW w:w="1780" w:type="dxa"/>
            <w:vAlign w:val="bottom"/>
          </w:tcPr>
          <w:p>
            <w:pPr>
              <w:spacing w:after="0"/>
              <w:rPr>
                <w:sz w:val="16"/>
                <w:szCs w:val="16"/>
                <w:color w:val="auto"/>
              </w:rPr>
            </w:pPr>
          </w:p>
        </w:tc>
        <w:tc>
          <w:tcPr>
            <w:tcW w:w="5020" w:type="dxa"/>
            <w:vAlign w:val="bottom"/>
            <w:gridSpan w:val="29"/>
          </w:tcPr>
          <w:p>
            <w:pPr>
              <w:spacing w:after="0" w:line="185" w:lineRule="exact"/>
              <w:rPr>
                <w:rFonts w:ascii="Arial" w:cs="Arial" w:eastAsia="Arial" w:hAnsi="Arial"/>
                <w:sz w:val="17"/>
                <w:szCs w:val="17"/>
                <w:color w:val="0000EE"/>
                <w:w w:val="93"/>
              </w:rPr>
            </w:pPr>
            <w:hyperlink r:id="rId220">
              <w:r>
                <w:rPr>
                  <w:rFonts w:ascii="Arial" w:cs="Arial" w:eastAsia="Arial" w:hAnsi="Arial"/>
                  <w:sz w:val="17"/>
                  <w:szCs w:val="17"/>
                  <w:color w:val="0000EE"/>
                  <w:w w:val="93"/>
                </w:rPr>
                <w:t>by and among Silicon Valley Bank, WestRiver Innovation Lending Fund</w:t>
              </w:r>
            </w:hyperlink>
          </w:p>
        </w:tc>
      </w:tr>
      <w:tr>
        <w:trPr>
          <w:trHeight w:val="186"/>
        </w:trPr>
        <w:tc>
          <w:tcPr>
            <w:tcW w:w="1780" w:type="dxa"/>
            <w:vAlign w:val="bottom"/>
          </w:tcPr>
          <w:p>
            <w:pPr>
              <w:spacing w:after="0"/>
              <w:rPr>
                <w:sz w:val="16"/>
                <w:szCs w:val="16"/>
                <w:color w:val="auto"/>
              </w:rPr>
            </w:pPr>
          </w:p>
        </w:tc>
        <w:tc>
          <w:tcPr>
            <w:tcW w:w="1980" w:type="dxa"/>
            <w:vAlign w:val="bottom"/>
            <w:tcBorders>
              <w:top w:val="single" w:sz="8" w:color="0000EE"/>
              <w:bottom w:val="single" w:sz="8" w:color="0000EE"/>
            </w:tcBorders>
            <w:gridSpan w:val="7"/>
          </w:tcPr>
          <w:p>
            <w:pPr>
              <w:spacing w:after="0" w:line="185" w:lineRule="exact"/>
              <w:rPr>
                <w:rFonts w:ascii="Arial" w:cs="Arial" w:eastAsia="Arial" w:hAnsi="Arial"/>
                <w:sz w:val="17"/>
                <w:szCs w:val="17"/>
                <w:color w:val="0000EE"/>
                <w:w w:val="93"/>
              </w:rPr>
            </w:pPr>
            <w:hyperlink r:id="rId220">
              <w:r>
                <w:rPr>
                  <w:rFonts w:ascii="Arial" w:cs="Arial" w:eastAsia="Arial" w:hAnsi="Arial"/>
                  <w:sz w:val="17"/>
                  <w:szCs w:val="17"/>
                  <w:color w:val="0000EE"/>
                  <w:w w:val="93"/>
                </w:rPr>
                <w:t>VIII, L.P. and the Registrant</w:t>
              </w:r>
            </w:hyperlink>
          </w:p>
        </w:tc>
        <w:tc>
          <w:tcPr>
            <w:tcW w:w="3000" w:type="dxa"/>
            <w:vAlign w:val="bottom"/>
            <w:tcBorders>
              <w:top w:val="single" w:sz="8" w:color="0000EE"/>
            </w:tcBorders>
            <w:gridSpan w:val="21"/>
          </w:tcPr>
          <w:p>
            <w:pPr>
              <w:spacing w:after="0"/>
              <w:rPr>
                <w:sz w:val="16"/>
                <w:szCs w:val="16"/>
                <w:color w:val="auto"/>
              </w:rPr>
            </w:pPr>
          </w:p>
        </w:tc>
        <w:tc>
          <w:tcPr>
            <w:tcW w:w="40" w:type="dxa"/>
            <w:vAlign w:val="bottom"/>
          </w:tcPr>
          <w:p>
            <w:pPr>
              <w:spacing w:after="0"/>
              <w:rPr>
                <w:sz w:val="16"/>
                <w:szCs w:val="16"/>
                <w:color w:val="auto"/>
              </w:rPr>
            </w:pPr>
          </w:p>
        </w:tc>
      </w:tr>
      <w:tr>
        <w:trPr>
          <w:trHeight w:val="186"/>
        </w:trPr>
        <w:tc>
          <w:tcPr>
            <w:tcW w:w="1780" w:type="dxa"/>
            <w:vAlign w:val="bottom"/>
          </w:tcPr>
          <w:p>
            <w:pPr>
              <w:spacing w:after="0" w:line="185" w:lineRule="exact"/>
              <w:rPr>
                <w:sz w:val="20"/>
                <w:szCs w:val="20"/>
                <w:color w:val="auto"/>
              </w:rPr>
            </w:pPr>
            <w:r>
              <w:rPr>
                <w:rFonts w:ascii="Arial" w:cs="Arial" w:eastAsia="Arial" w:hAnsi="Arial"/>
                <w:sz w:val="17"/>
                <w:szCs w:val="17"/>
                <w:color w:val="auto"/>
              </w:rPr>
              <w:t>10.18#</w:t>
            </w:r>
          </w:p>
        </w:tc>
        <w:tc>
          <w:tcPr>
            <w:tcW w:w="4920" w:type="dxa"/>
            <w:vAlign w:val="bottom"/>
            <w:tcBorders>
              <w:bottom w:val="single" w:sz="8" w:color="0000EE"/>
            </w:tcBorders>
            <w:gridSpan w:val="26"/>
          </w:tcPr>
          <w:p>
            <w:pPr>
              <w:spacing w:after="0" w:line="185" w:lineRule="exact"/>
              <w:rPr>
                <w:rFonts w:ascii="Arial" w:cs="Arial" w:eastAsia="Arial" w:hAnsi="Arial"/>
                <w:sz w:val="17"/>
                <w:szCs w:val="17"/>
                <w:color w:val="0000EE"/>
                <w:w w:val="90"/>
              </w:rPr>
            </w:pPr>
            <w:hyperlink r:id="rId221">
              <w:r>
                <w:rPr>
                  <w:rFonts w:ascii="Arial" w:cs="Arial" w:eastAsia="Arial" w:hAnsi="Arial"/>
                  <w:sz w:val="17"/>
                  <w:szCs w:val="17"/>
                  <w:color w:val="0000EE"/>
                  <w:w w:val="90"/>
                </w:rPr>
                <w:t>Employment Letter Agreement, dated August 29, 2019, by and between</w:t>
              </w:r>
            </w:hyperlink>
          </w:p>
        </w:tc>
        <w:tc>
          <w:tcPr>
            <w:tcW w:w="100" w:type="dxa"/>
            <w:vAlign w:val="bottom"/>
            <w:gridSpan w:val="3"/>
          </w:tcPr>
          <w:p>
            <w:pPr>
              <w:spacing w:after="0"/>
              <w:rPr>
                <w:sz w:val="16"/>
                <w:szCs w:val="16"/>
                <w:color w:val="auto"/>
              </w:rPr>
            </w:pPr>
          </w:p>
        </w:tc>
      </w:tr>
      <w:tr>
        <w:trPr>
          <w:trHeight w:val="186"/>
        </w:trPr>
        <w:tc>
          <w:tcPr>
            <w:tcW w:w="1780" w:type="dxa"/>
            <w:vAlign w:val="bottom"/>
          </w:tcPr>
          <w:p>
            <w:pPr>
              <w:spacing w:after="0"/>
              <w:rPr>
                <w:sz w:val="16"/>
                <w:szCs w:val="16"/>
                <w:color w:val="auto"/>
              </w:rPr>
            </w:pPr>
          </w:p>
        </w:tc>
        <w:tc>
          <w:tcPr>
            <w:tcW w:w="2220" w:type="dxa"/>
            <w:vAlign w:val="bottom"/>
            <w:tcBorders>
              <w:bottom w:val="single" w:sz="8" w:color="0000EE"/>
            </w:tcBorders>
            <w:gridSpan w:val="8"/>
          </w:tcPr>
          <w:p>
            <w:pPr>
              <w:spacing w:after="0" w:line="185" w:lineRule="exact"/>
              <w:rPr>
                <w:rFonts w:ascii="Arial" w:cs="Arial" w:eastAsia="Arial" w:hAnsi="Arial"/>
                <w:sz w:val="17"/>
                <w:szCs w:val="17"/>
                <w:color w:val="0000EE"/>
                <w:w w:val="89"/>
              </w:rPr>
            </w:pPr>
            <w:hyperlink r:id="rId221">
              <w:r>
                <w:rPr>
                  <w:rFonts w:ascii="Arial" w:cs="Arial" w:eastAsia="Arial" w:hAnsi="Arial"/>
                  <w:sz w:val="17"/>
                  <w:szCs w:val="17"/>
                  <w:color w:val="0000EE"/>
                  <w:w w:val="89"/>
                </w:rPr>
                <w:t>Terrie Curran and the Registrant</w:t>
              </w:r>
            </w:hyperlink>
          </w:p>
        </w:tc>
        <w:tc>
          <w:tcPr>
            <w:tcW w:w="2800" w:type="dxa"/>
            <w:vAlign w:val="bottom"/>
            <w:gridSpan w:val="21"/>
          </w:tcPr>
          <w:p>
            <w:pPr>
              <w:spacing w:after="0"/>
              <w:rPr>
                <w:sz w:val="16"/>
                <w:szCs w:val="16"/>
                <w:color w:val="auto"/>
              </w:rPr>
            </w:pPr>
          </w:p>
        </w:tc>
      </w:tr>
      <w:tr>
        <w:trPr>
          <w:trHeight w:val="186"/>
        </w:trPr>
        <w:tc>
          <w:tcPr>
            <w:tcW w:w="1780" w:type="dxa"/>
            <w:vAlign w:val="bottom"/>
          </w:tcPr>
          <w:p>
            <w:pPr>
              <w:spacing w:after="0" w:line="185" w:lineRule="exact"/>
              <w:rPr>
                <w:sz w:val="20"/>
                <w:szCs w:val="20"/>
                <w:color w:val="auto"/>
              </w:rPr>
            </w:pPr>
            <w:r>
              <w:rPr>
                <w:rFonts w:ascii="Arial" w:cs="Arial" w:eastAsia="Arial" w:hAnsi="Arial"/>
                <w:sz w:val="17"/>
                <w:szCs w:val="17"/>
                <w:color w:val="auto"/>
              </w:rPr>
              <w:t>10.19†</w:t>
            </w:r>
          </w:p>
        </w:tc>
        <w:tc>
          <w:tcPr>
            <w:tcW w:w="5020" w:type="dxa"/>
            <w:vAlign w:val="bottom"/>
            <w:tcBorders>
              <w:bottom w:val="single" w:sz="8" w:color="0000EE"/>
            </w:tcBorders>
            <w:gridSpan w:val="29"/>
          </w:tcPr>
          <w:p>
            <w:pPr>
              <w:spacing w:after="0" w:line="185" w:lineRule="exact"/>
              <w:rPr>
                <w:rFonts w:ascii="Arial" w:cs="Arial" w:eastAsia="Arial" w:hAnsi="Arial"/>
                <w:sz w:val="17"/>
                <w:szCs w:val="17"/>
                <w:color w:val="0000EE"/>
                <w:w w:val="89"/>
              </w:rPr>
            </w:pPr>
            <w:hyperlink r:id="rId222">
              <w:r>
                <w:rPr>
                  <w:rFonts w:ascii="Arial" w:cs="Arial" w:eastAsia="Arial" w:hAnsi="Arial"/>
                  <w:sz w:val="17"/>
                  <w:szCs w:val="17"/>
                  <w:color w:val="0000EE"/>
                  <w:w w:val="89"/>
                </w:rPr>
                <w:t>Commercial Supply Agreement, by and between Takeda Pharmaceuticals</w:t>
              </w:r>
            </w:hyperlink>
          </w:p>
        </w:tc>
      </w:tr>
      <w:tr>
        <w:trPr>
          <w:trHeight w:val="186"/>
        </w:trPr>
        <w:tc>
          <w:tcPr>
            <w:tcW w:w="1780" w:type="dxa"/>
            <w:vAlign w:val="bottom"/>
          </w:tcPr>
          <w:p>
            <w:pPr>
              <w:spacing w:after="0"/>
              <w:rPr>
                <w:sz w:val="16"/>
                <w:szCs w:val="16"/>
                <w:color w:val="auto"/>
              </w:rPr>
            </w:pPr>
          </w:p>
        </w:tc>
        <w:tc>
          <w:tcPr>
            <w:tcW w:w="4420" w:type="dxa"/>
            <w:vAlign w:val="bottom"/>
            <w:tcBorders>
              <w:bottom w:val="single" w:sz="8" w:color="0000EE"/>
            </w:tcBorders>
            <w:gridSpan w:val="17"/>
          </w:tcPr>
          <w:p>
            <w:pPr>
              <w:spacing w:after="0" w:line="185" w:lineRule="exact"/>
              <w:rPr>
                <w:rFonts w:ascii="Arial" w:cs="Arial" w:eastAsia="Arial" w:hAnsi="Arial"/>
                <w:sz w:val="17"/>
                <w:szCs w:val="17"/>
                <w:color w:val="0000EE"/>
                <w:w w:val="91"/>
              </w:rPr>
            </w:pPr>
            <w:hyperlink r:id="rId222">
              <w:r>
                <w:rPr>
                  <w:rFonts w:ascii="Arial" w:cs="Arial" w:eastAsia="Arial" w:hAnsi="Arial"/>
                  <w:sz w:val="17"/>
                  <w:szCs w:val="17"/>
                  <w:color w:val="0000EE"/>
                  <w:w w:val="91"/>
                </w:rPr>
                <w:t>Company Limited and the Registrant, dated as of April 30, 2020</w:t>
              </w:r>
            </w:hyperlink>
          </w:p>
        </w:tc>
        <w:tc>
          <w:tcPr>
            <w:tcW w:w="600" w:type="dxa"/>
            <w:vAlign w:val="bottom"/>
            <w:gridSpan w:val="12"/>
          </w:tcPr>
          <w:p>
            <w:pPr>
              <w:spacing w:after="0"/>
              <w:rPr>
                <w:sz w:val="16"/>
                <w:szCs w:val="16"/>
                <w:color w:val="auto"/>
              </w:rPr>
            </w:pPr>
          </w:p>
        </w:tc>
      </w:tr>
      <w:tr>
        <w:trPr>
          <w:trHeight w:val="186"/>
        </w:trPr>
        <w:tc>
          <w:tcPr>
            <w:tcW w:w="1780" w:type="dxa"/>
            <w:vAlign w:val="bottom"/>
          </w:tcPr>
          <w:p>
            <w:pPr>
              <w:spacing w:after="0" w:line="185" w:lineRule="exact"/>
              <w:rPr>
                <w:sz w:val="20"/>
                <w:szCs w:val="20"/>
                <w:color w:val="auto"/>
              </w:rPr>
            </w:pPr>
            <w:r>
              <w:rPr>
                <w:rFonts w:ascii="Arial" w:cs="Arial" w:eastAsia="Arial" w:hAnsi="Arial"/>
                <w:sz w:val="17"/>
                <w:szCs w:val="17"/>
                <w:color w:val="auto"/>
              </w:rPr>
              <w:t>10.20†</w:t>
            </w:r>
          </w:p>
        </w:tc>
        <w:tc>
          <w:tcPr>
            <w:tcW w:w="5020" w:type="dxa"/>
            <w:vAlign w:val="bottom"/>
            <w:gridSpan w:val="29"/>
          </w:tcPr>
          <w:p>
            <w:pPr>
              <w:spacing w:after="0" w:line="185" w:lineRule="exact"/>
              <w:rPr>
                <w:rFonts w:ascii="Arial" w:cs="Arial" w:eastAsia="Arial" w:hAnsi="Arial"/>
                <w:sz w:val="17"/>
                <w:szCs w:val="17"/>
                <w:color w:val="0000EE"/>
                <w:w w:val="93"/>
              </w:rPr>
            </w:pPr>
            <w:hyperlink w:anchor="page159">
              <w:r>
                <w:rPr>
                  <w:rFonts w:ascii="Arial" w:cs="Arial" w:eastAsia="Arial" w:hAnsi="Arial"/>
                  <w:sz w:val="17"/>
                  <w:szCs w:val="17"/>
                  <w:color w:val="0000EE"/>
                  <w:w w:val="93"/>
                </w:rPr>
                <w:t>Amendment No. 1 to Takeda License Agreement, dated September 21,</w:t>
              </w:r>
            </w:hyperlink>
          </w:p>
        </w:tc>
      </w:tr>
      <w:tr>
        <w:trPr>
          <w:trHeight w:val="186"/>
        </w:trPr>
        <w:tc>
          <w:tcPr>
            <w:tcW w:w="1780" w:type="dxa"/>
            <w:vAlign w:val="bottom"/>
          </w:tcPr>
          <w:p>
            <w:pPr>
              <w:spacing w:after="0"/>
              <w:rPr>
                <w:sz w:val="16"/>
                <w:szCs w:val="16"/>
                <w:color w:val="auto"/>
              </w:rPr>
            </w:pPr>
          </w:p>
        </w:tc>
        <w:tc>
          <w:tcPr>
            <w:tcW w:w="320" w:type="dxa"/>
            <w:vAlign w:val="bottom"/>
            <w:tcBorders>
              <w:top w:val="single" w:sz="8" w:color="0000EE"/>
              <w:bottom w:val="single" w:sz="8" w:color="0000EE"/>
            </w:tcBorders>
          </w:tcPr>
          <w:p>
            <w:pPr>
              <w:spacing w:after="0" w:line="185" w:lineRule="exact"/>
              <w:rPr>
                <w:rFonts w:ascii="Arial" w:cs="Arial" w:eastAsia="Arial" w:hAnsi="Arial"/>
                <w:sz w:val="17"/>
                <w:szCs w:val="17"/>
                <w:color w:val="0000EE"/>
                <w:w w:val="79"/>
              </w:rPr>
            </w:pPr>
            <w:hyperlink w:anchor="page159">
              <w:r>
                <w:rPr>
                  <w:rFonts w:ascii="Arial" w:cs="Arial" w:eastAsia="Arial" w:hAnsi="Arial"/>
                  <w:sz w:val="17"/>
                  <w:szCs w:val="17"/>
                  <w:color w:val="0000EE"/>
                  <w:w w:val="79"/>
                </w:rPr>
                <w:t>2020</w:t>
              </w:r>
            </w:hyperlink>
          </w:p>
        </w:tc>
        <w:tc>
          <w:tcPr>
            <w:tcW w:w="64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6"/>
        </w:trPr>
        <w:tc>
          <w:tcPr>
            <w:tcW w:w="1780" w:type="dxa"/>
            <w:vAlign w:val="bottom"/>
          </w:tcPr>
          <w:p>
            <w:pPr>
              <w:spacing w:after="0" w:line="185" w:lineRule="exact"/>
              <w:rPr>
                <w:sz w:val="20"/>
                <w:szCs w:val="20"/>
                <w:color w:val="auto"/>
              </w:rPr>
            </w:pPr>
            <w:r>
              <w:rPr>
                <w:rFonts w:ascii="Arial" w:cs="Arial" w:eastAsia="Arial" w:hAnsi="Arial"/>
                <w:sz w:val="17"/>
                <w:szCs w:val="17"/>
                <w:color w:val="auto"/>
              </w:rPr>
              <w:t>10.21†</w:t>
            </w:r>
          </w:p>
        </w:tc>
        <w:tc>
          <w:tcPr>
            <w:tcW w:w="5020" w:type="dxa"/>
            <w:vAlign w:val="bottom"/>
            <w:gridSpan w:val="29"/>
          </w:tcPr>
          <w:p>
            <w:pPr>
              <w:spacing w:after="0" w:line="185" w:lineRule="exact"/>
              <w:rPr>
                <w:rFonts w:ascii="Arial" w:cs="Arial" w:eastAsia="Arial" w:hAnsi="Arial"/>
                <w:sz w:val="17"/>
                <w:szCs w:val="17"/>
                <w:color w:val="0000EE"/>
                <w:w w:val="96"/>
              </w:rPr>
            </w:pPr>
            <w:hyperlink w:anchor="page162">
              <w:r>
                <w:rPr>
                  <w:rFonts w:ascii="Arial" w:cs="Arial" w:eastAsia="Arial" w:hAnsi="Arial"/>
                  <w:sz w:val="17"/>
                  <w:szCs w:val="17"/>
                  <w:color w:val="0000EE"/>
                  <w:w w:val="96"/>
                </w:rPr>
                <w:t>Supply and Packaging Services Agreement, by and between Sandoz</w:t>
              </w:r>
            </w:hyperlink>
          </w:p>
        </w:tc>
      </w:tr>
      <w:tr>
        <w:trPr>
          <w:trHeight w:val="186"/>
        </w:trPr>
        <w:tc>
          <w:tcPr>
            <w:tcW w:w="1780" w:type="dxa"/>
            <w:vAlign w:val="bottom"/>
          </w:tcPr>
          <w:p>
            <w:pPr>
              <w:spacing w:after="0"/>
              <w:rPr>
                <w:sz w:val="16"/>
                <w:szCs w:val="16"/>
                <w:color w:val="auto"/>
              </w:rPr>
            </w:pPr>
          </w:p>
        </w:tc>
        <w:tc>
          <w:tcPr>
            <w:tcW w:w="4640" w:type="dxa"/>
            <w:vAlign w:val="bottom"/>
            <w:tcBorders>
              <w:top w:val="single" w:sz="8" w:color="0000EE"/>
            </w:tcBorders>
            <w:gridSpan w:val="19"/>
          </w:tcPr>
          <w:p>
            <w:pPr>
              <w:spacing w:after="0" w:line="185" w:lineRule="exact"/>
              <w:rPr>
                <w:rFonts w:ascii="Arial" w:cs="Arial" w:eastAsia="Arial" w:hAnsi="Arial"/>
                <w:sz w:val="17"/>
                <w:szCs w:val="17"/>
                <w:color w:val="0000EE"/>
              </w:rPr>
            </w:pPr>
            <w:hyperlink w:anchor="page162">
              <w:r>
                <w:rPr>
                  <w:rFonts w:ascii="Arial" w:cs="Arial" w:eastAsia="Arial" w:hAnsi="Arial"/>
                  <w:sz w:val="17"/>
                  <w:szCs w:val="17"/>
                  <w:color w:val="0000EE"/>
                </w:rPr>
                <w:t>GmbH and the Registrant, dated December 30, 2020</w:t>
              </w:r>
            </w:hyperlink>
          </w:p>
        </w:tc>
        <w:tc>
          <w:tcPr>
            <w:tcW w:w="380" w:type="dxa"/>
            <w:vAlign w:val="bottom"/>
            <w:gridSpan w:val="10"/>
          </w:tcPr>
          <w:p>
            <w:pPr>
              <w:spacing w:after="0"/>
              <w:rPr>
                <w:sz w:val="16"/>
                <w:szCs w:val="16"/>
                <w:color w:val="auto"/>
              </w:rPr>
            </w:pPr>
          </w:p>
        </w:tc>
      </w:tr>
      <w:tr>
        <w:trPr>
          <w:trHeight w:val="20"/>
        </w:trPr>
        <w:tc>
          <w:tcPr>
            <w:tcW w:w="1780" w:type="dxa"/>
            <w:vAlign w:val="bottom"/>
            <w:tcBorders>
              <w:right w:val="single" w:sz="8" w:color="0000EE"/>
            </w:tcBorders>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186"/>
        </w:trPr>
        <w:tc>
          <w:tcPr>
            <w:tcW w:w="1780" w:type="dxa"/>
            <w:vAlign w:val="bottom"/>
          </w:tcPr>
          <w:p>
            <w:pPr>
              <w:spacing w:after="0" w:line="185" w:lineRule="exact"/>
              <w:rPr>
                <w:sz w:val="20"/>
                <w:szCs w:val="20"/>
                <w:color w:val="auto"/>
              </w:rPr>
            </w:pPr>
            <w:r>
              <w:rPr>
                <w:rFonts w:ascii="Arial" w:cs="Arial" w:eastAsia="Arial" w:hAnsi="Arial"/>
                <w:sz w:val="17"/>
                <w:szCs w:val="17"/>
                <w:color w:val="auto"/>
              </w:rPr>
              <w:t>10.22</w:t>
            </w:r>
          </w:p>
        </w:tc>
        <w:tc>
          <w:tcPr>
            <w:tcW w:w="4780" w:type="dxa"/>
            <w:vAlign w:val="bottom"/>
            <w:tcBorders>
              <w:bottom w:val="single" w:sz="8" w:color="0000EE"/>
            </w:tcBorders>
            <w:gridSpan w:val="21"/>
          </w:tcPr>
          <w:p>
            <w:pPr>
              <w:spacing w:after="0" w:line="185" w:lineRule="exact"/>
              <w:rPr>
                <w:rFonts w:ascii="Arial" w:cs="Arial" w:eastAsia="Arial" w:hAnsi="Arial"/>
                <w:sz w:val="17"/>
                <w:szCs w:val="17"/>
                <w:color w:val="0000EE"/>
                <w:w w:val="91"/>
              </w:rPr>
            </w:pPr>
            <w:hyperlink w:anchor="page189">
              <w:r>
                <w:rPr>
                  <w:rFonts w:ascii="Arial" w:cs="Arial" w:eastAsia="Arial" w:hAnsi="Arial"/>
                  <w:sz w:val="17"/>
                  <w:szCs w:val="17"/>
                  <w:color w:val="0000EE"/>
                  <w:w w:val="91"/>
                </w:rPr>
                <w:t>Amendment No. 1 to Commercial Supply Agreement by and between</w:t>
              </w:r>
            </w:hyperlink>
          </w:p>
        </w:tc>
        <w:tc>
          <w:tcPr>
            <w:tcW w:w="240" w:type="dxa"/>
            <w:vAlign w:val="bottom"/>
            <w:gridSpan w:val="8"/>
          </w:tcPr>
          <w:p>
            <w:pPr>
              <w:spacing w:after="0"/>
              <w:rPr>
                <w:sz w:val="16"/>
                <w:szCs w:val="16"/>
                <w:color w:val="auto"/>
              </w:rPr>
            </w:pPr>
          </w:p>
        </w:tc>
      </w:tr>
      <w:tr>
        <w:trPr>
          <w:trHeight w:val="186"/>
        </w:trPr>
        <w:tc>
          <w:tcPr>
            <w:tcW w:w="1780" w:type="dxa"/>
            <w:vAlign w:val="bottom"/>
          </w:tcPr>
          <w:p>
            <w:pPr>
              <w:spacing w:after="0"/>
              <w:rPr>
                <w:sz w:val="16"/>
                <w:szCs w:val="16"/>
                <w:color w:val="auto"/>
              </w:rPr>
            </w:pPr>
          </w:p>
        </w:tc>
        <w:tc>
          <w:tcPr>
            <w:tcW w:w="4880" w:type="dxa"/>
            <w:vAlign w:val="bottom"/>
            <w:tcBorders>
              <w:bottom w:val="single" w:sz="8" w:color="0000EE"/>
            </w:tcBorders>
            <w:gridSpan w:val="25"/>
          </w:tcPr>
          <w:p>
            <w:pPr>
              <w:spacing w:after="0" w:line="185" w:lineRule="exact"/>
              <w:rPr>
                <w:rFonts w:ascii="Arial" w:cs="Arial" w:eastAsia="Arial" w:hAnsi="Arial"/>
                <w:sz w:val="17"/>
                <w:szCs w:val="17"/>
                <w:color w:val="0000EE"/>
                <w:w w:val="89"/>
              </w:rPr>
            </w:pPr>
            <w:hyperlink w:anchor="page189">
              <w:r>
                <w:rPr>
                  <w:rFonts w:ascii="Arial" w:cs="Arial" w:eastAsia="Arial" w:hAnsi="Arial"/>
                  <w:sz w:val="17"/>
                  <w:szCs w:val="17"/>
                  <w:color w:val="0000EE"/>
                  <w:w w:val="89"/>
                </w:rPr>
                <w:t>Takeda Pharmaceuticals Company Limited and the Registrant, dated as</w:t>
              </w:r>
            </w:hyperlink>
          </w:p>
        </w:tc>
        <w:tc>
          <w:tcPr>
            <w:tcW w:w="140" w:type="dxa"/>
            <w:vAlign w:val="bottom"/>
            <w:gridSpan w:val="4"/>
          </w:tcPr>
          <w:p>
            <w:pPr>
              <w:spacing w:after="0"/>
              <w:rPr>
                <w:sz w:val="16"/>
                <w:szCs w:val="16"/>
                <w:color w:val="auto"/>
              </w:rPr>
            </w:pPr>
          </w:p>
        </w:tc>
      </w:tr>
      <w:tr>
        <w:trPr>
          <w:trHeight w:val="186"/>
        </w:trPr>
        <w:tc>
          <w:tcPr>
            <w:tcW w:w="1780" w:type="dxa"/>
            <w:vAlign w:val="bottom"/>
          </w:tcPr>
          <w:p>
            <w:pPr>
              <w:spacing w:after="0"/>
              <w:rPr>
                <w:sz w:val="16"/>
                <w:szCs w:val="16"/>
                <w:color w:val="auto"/>
              </w:rPr>
            </w:pPr>
          </w:p>
        </w:tc>
        <w:tc>
          <w:tcPr>
            <w:tcW w:w="5020" w:type="dxa"/>
            <w:vAlign w:val="bottom"/>
            <w:gridSpan w:val="29"/>
          </w:tcPr>
          <w:p>
            <w:pPr>
              <w:spacing w:after="0" w:line="185" w:lineRule="exact"/>
              <w:rPr>
                <w:rFonts w:ascii="Arial" w:cs="Arial" w:eastAsia="Arial" w:hAnsi="Arial"/>
                <w:sz w:val="17"/>
                <w:szCs w:val="17"/>
                <w:color w:val="0000EE"/>
              </w:rPr>
            </w:pPr>
            <w:hyperlink w:anchor="page189">
              <w:r>
                <w:rPr>
                  <w:rFonts w:ascii="Arial" w:cs="Arial" w:eastAsia="Arial" w:hAnsi="Arial"/>
                  <w:sz w:val="17"/>
                  <w:szCs w:val="17"/>
                  <w:color w:val="0000EE"/>
                </w:rPr>
                <w:t>of December 1, 2020</w:t>
              </w:r>
            </w:hyperlink>
          </w:p>
        </w:tc>
      </w:tr>
      <w:tr>
        <w:trPr>
          <w:trHeight w:val="20"/>
        </w:trPr>
        <w:tc>
          <w:tcPr>
            <w:tcW w:w="1780" w:type="dxa"/>
            <w:vAlign w:val="bottom"/>
            <w:tcBorders>
              <w:right w:val="single" w:sz="8" w:color="0000EE"/>
            </w:tcBorders>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86"/>
        </w:trPr>
        <w:tc>
          <w:tcPr>
            <w:tcW w:w="1780" w:type="dxa"/>
            <w:vAlign w:val="bottom"/>
          </w:tcPr>
          <w:p>
            <w:pPr>
              <w:spacing w:after="0" w:line="185" w:lineRule="exact"/>
              <w:rPr>
                <w:sz w:val="20"/>
                <w:szCs w:val="20"/>
                <w:color w:val="auto"/>
              </w:rPr>
            </w:pPr>
            <w:r>
              <w:rPr>
                <w:rFonts w:ascii="Arial" w:cs="Arial" w:eastAsia="Arial" w:hAnsi="Arial"/>
                <w:sz w:val="17"/>
                <w:szCs w:val="17"/>
                <w:color w:val="auto"/>
              </w:rPr>
              <w:t>23.1</w:t>
            </w:r>
          </w:p>
        </w:tc>
        <w:tc>
          <w:tcPr>
            <w:tcW w:w="5020" w:type="dxa"/>
            <w:vAlign w:val="bottom"/>
            <w:gridSpan w:val="29"/>
          </w:tcPr>
          <w:p>
            <w:pPr>
              <w:spacing w:after="0" w:line="185" w:lineRule="exact"/>
              <w:rPr>
                <w:rFonts w:ascii="Arial" w:cs="Arial" w:eastAsia="Arial" w:hAnsi="Arial"/>
                <w:sz w:val="17"/>
                <w:szCs w:val="17"/>
                <w:color w:val="0000EE"/>
              </w:rPr>
            </w:pPr>
            <w:hyperlink w:anchor="page192">
              <w:r>
                <w:rPr>
                  <w:rFonts w:ascii="Arial" w:cs="Arial" w:eastAsia="Arial" w:hAnsi="Arial"/>
                  <w:sz w:val="17"/>
                  <w:szCs w:val="17"/>
                  <w:color w:val="0000EE"/>
                </w:rPr>
                <w:t>Consent of independent registered public accounting firm</w:t>
              </w:r>
            </w:hyperlink>
          </w:p>
        </w:tc>
      </w:tr>
      <w:tr>
        <w:trPr>
          <w:trHeight w:val="186"/>
        </w:trPr>
        <w:tc>
          <w:tcPr>
            <w:tcW w:w="1780" w:type="dxa"/>
            <w:vAlign w:val="bottom"/>
          </w:tcPr>
          <w:p>
            <w:pPr>
              <w:spacing w:after="0" w:line="185" w:lineRule="exact"/>
              <w:rPr>
                <w:sz w:val="20"/>
                <w:szCs w:val="20"/>
                <w:color w:val="auto"/>
              </w:rPr>
            </w:pPr>
            <w:r>
              <w:rPr>
                <w:rFonts w:ascii="Arial" w:cs="Arial" w:eastAsia="Arial" w:hAnsi="Arial"/>
                <w:sz w:val="17"/>
                <w:szCs w:val="17"/>
                <w:color w:val="auto"/>
              </w:rPr>
              <w:t>24.1</w:t>
            </w:r>
          </w:p>
        </w:tc>
        <w:tc>
          <w:tcPr>
            <w:tcW w:w="1260" w:type="dxa"/>
            <w:vAlign w:val="bottom"/>
            <w:tcBorders>
              <w:top w:val="single" w:sz="8" w:color="0000EE"/>
              <w:bottom w:val="single" w:sz="8" w:color="0000EE"/>
            </w:tcBorders>
            <w:gridSpan w:val="3"/>
          </w:tcPr>
          <w:p>
            <w:pPr>
              <w:spacing w:after="0" w:line="185" w:lineRule="exact"/>
              <w:rPr>
                <w:rFonts w:ascii="Arial" w:cs="Arial" w:eastAsia="Arial" w:hAnsi="Arial"/>
                <w:sz w:val="17"/>
                <w:szCs w:val="17"/>
                <w:color w:val="0000EE"/>
                <w:w w:val="91"/>
              </w:rPr>
            </w:pPr>
            <w:hyperlink w:anchor="page193">
              <w:r>
                <w:rPr>
                  <w:rFonts w:ascii="Arial" w:cs="Arial" w:eastAsia="Arial" w:hAnsi="Arial"/>
                  <w:sz w:val="17"/>
                  <w:szCs w:val="17"/>
                  <w:color w:val="0000EE"/>
                  <w:w w:val="91"/>
                </w:rPr>
                <w:t>Power of Attorney</w:t>
              </w:r>
            </w:hyperlink>
          </w:p>
        </w:tc>
        <w:tc>
          <w:tcPr>
            <w:tcW w:w="2660" w:type="dxa"/>
            <w:vAlign w:val="bottom"/>
            <w:tcBorders>
              <w:top w:val="single" w:sz="8" w:color="0000EE"/>
            </w:tcBorders>
            <w:gridSpan w:val="11"/>
          </w:tcPr>
          <w:p>
            <w:pPr>
              <w:spacing w:after="0"/>
              <w:rPr>
                <w:sz w:val="16"/>
                <w:szCs w:val="16"/>
                <w:color w:val="auto"/>
              </w:rPr>
            </w:pPr>
          </w:p>
        </w:tc>
        <w:tc>
          <w:tcPr>
            <w:tcW w:w="1100" w:type="dxa"/>
            <w:vAlign w:val="bottom"/>
            <w:gridSpan w:val="15"/>
          </w:tcPr>
          <w:p>
            <w:pPr>
              <w:spacing w:after="0"/>
              <w:rPr>
                <w:sz w:val="16"/>
                <w:szCs w:val="16"/>
                <w:color w:val="auto"/>
              </w:rPr>
            </w:pPr>
          </w:p>
        </w:tc>
      </w:tr>
      <w:tr>
        <w:trPr>
          <w:trHeight w:val="186"/>
        </w:trPr>
        <w:tc>
          <w:tcPr>
            <w:tcW w:w="1780" w:type="dxa"/>
            <w:vAlign w:val="bottom"/>
          </w:tcPr>
          <w:p>
            <w:pPr>
              <w:spacing w:after="0" w:line="185" w:lineRule="exact"/>
              <w:rPr>
                <w:sz w:val="20"/>
                <w:szCs w:val="20"/>
                <w:color w:val="auto"/>
              </w:rPr>
            </w:pPr>
            <w:r>
              <w:rPr>
                <w:rFonts w:ascii="Arial" w:cs="Arial" w:eastAsia="Arial" w:hAnsi="Arial"/>
                <w:sz w:val="17"/>
                <w:szCs w:val="17"/>
                <w:color w:val="auto"/>
              </w:rPr>
              <w:t>31.1</w:t>
            </w:r>
          </w:p>
        </w:tc>
        <w:tc>
          <w:tcPr>
            <w:tcW w:w="5020" w:type="dxa"/>
            <w:vAlign w:val="bottom"/>
            <w:gridSpan w:val="29"/>
          </w:tcPr>
          <w:p>
            <w:pPr>
              <w:spacing w:after="0" w:line="185" w:lineRule="exact"/>
              <w:rPr>
                <w:rFonts w:ascii="Arial" w:cs="Arial" w:eastAsia="Arial" w:hAnsi="Arial"/>
                <w:sz w:val="17"/>
                <w:szCs w:val="17"/>
                <w:color w:val="0000EE"/>
                <w:w w:val="97"/>
              </w:rPr>
            </w:pPr>
            <w:hyperlink w:anchor="page194">
              <w:r>
                <w:rPr>
                  <w:rFonts w:ascii="Arial" w:cs="Arial" w:eastAsia="Arial" w:hAnsi="Arial"/>
                  <w:sz w:val="17"/>
                  <w:szCs w:val="17"/>
                  <w:color w:val="0000EE"/>
                  <w:w w:val="97"/>
                </w:rPr>
                <w:t>Certification of Chief Executive Officer of Phathom Pharmaceuticals,</w:t>
              </w:r>
            </w:hyperlink>
          </w:p>
        </w:tc>
      </w:tr>
      <w:tr>
        <w:trPr>
          <w:trHeight w:val="186"/>
        </w:trPr>
        <w:tc>
          <w:tcPr>
            <w:tcW w:w="1780" w:type="dxa"/>
            <w:vAlign w:val="bottom"/>
          </w:tcPr>
          <w:p>
            <w:pPr>
              <w:spacing w:after="0"/>
              <w:rPr>
                <w:sz w:val="16"/>
                <w:szCs w:val="16"/>
                <w:color w:val="auto"/>
              </w:rPr>
            </w:pPr>
          </w:p>
        </w:tc>
        <w:tc>
          <w:tcPr>
            <w:tcW w:w="4760" w:type="dxa"/>
            <w:vAlign w:val="bottom"/>
            <w:tcBorders>
              <w:top w:val="single" w:sz="8" w:color="0000EE"/>
            </w:tcBorders>
            <w:gridSpan w:val="20"/>
          </w:tcPr>
          <w:p>
            <w:pPr>
              <w:spacing w:after="0" w:line="185" w:lineRule="exact"/>
              <w:rPr>
                <w:rFonts w:ascii="Arial" w:cs="Arial" w:eastAsia="Arial" w:hAnsi="Arial"/>
                <w:sz w:val="17"/>
                <w:szCs w:val="17"/>
                <w:color w:val="0000EE"/>
                <w:w w:val="99"/>
              </w:rPr>
            </w:pPr>
            <w:hyperlink w:anchor="page194">
              <w:r>
                <w:rPr>
                  <w:rFonts w:ascii="Arial" w:cs="Arial" w:eastAsia="Arial" w:hAnsi="Arial"/>
                  <w:sz w:val="17"/>
                  <w:szCs w:val="17"/>
                  <w:color w:val="0000EE"/>
                  <w:w w:val="99"/>
                </w:rPr>
                <w:t>Inc., as required by Rule 13a-14(a) or Rule 15d-14(a) under the</w:t>
              </w:r>
            </w:hyperlink>
          </w:p>
        </w:tc>
        <w:tc>
          <w:tcPr>
            <w:tcW w:w="260" w:type="dxa"/>
            <w:vAlign w:val="bottom"/>
            <w:gridSpan w:val="9"/>
          </w:tcPr>
          <w:p>
            <w:pPr>
              <w:spacing w:after="0"/>
              <w:rPr>
                <w:sz w:val="16"/>
                <w:szCs w:val="16"/>
                <w:color w:val="auto"/>
              </w:rPr>
            </w:pPr>
          </w:p>
        </w:tc>
      </w:tr>
      <w:tr>
        <w:trPr>
          <w:trHeight w:val="186"/>
        </w:trPr>
        <w:tc>
          <w:tcPr>
            <w:tcW w:w="1780" w:type="dxa"/>
            <w:vAlign w:val="bottom"/>
          </w:tcPr>
          <w:p>
            <w:pPr>
              <w:spacing w:after="0"/>
              <w:rPr>
                <w:sz w:val="16"/>
                <w:szCs w:val="16"/>
                <w:color w:val="auto"/>
              </w:rPr>
            </w:pPr>
          </w:p>
        </w:tc>
        <w:tc>
          <w:tcPr>
            <w:tcW w:w="4320" w:type="dxa"/>
            <w:vAlign w:val="bottom"/>
            <w:tcBorders>
              <w:top w:val="single" w:sz="8" w:color="0000EE"/>
            </w:tcBorders>
            <w:gridSpan w:val="15"/>
          </w:tcPr>
          <w:p>
            <w:pPr>
              <w:spacing w:after="0" w:line="185" w:lineRule="exact"/>
              <w:rPr>
                <w:rFonts w:ascii="Arial" w:cs="Arial" w:eastAsia="Arial" w:hAnsi="Arial"/>
                <w:sz w:val="17"/>
                <w:szCs w:val="17"/>
                <w:color w:val="0000EE"/>
              </w:rPr>
            </w:pPr>
            <w:hyperlink w:anchor="page194">
              <w:r>
                <w:rPr>
                  <w:rFonts w:ascii="Arial" w:cs="Arial" w:eastAsia="Arial" w:hAnsi="Arial"/>
                  <w:sz w:val="17"/>
                  <w:szCs w:val="17"/>
                  <w:color w:val="0000EE"/>
                </w:rPr>
                <w:t>Securities Exchange Act of 1934, as amended</w:t>
              </w:r>
            </w:hyperlink>
          </w:p>
        </w:tc>
        <w:tc>
          <w:tcPr>
            <w:tcW w:w="700" w:type="dxa"/>
            <w:vAlign w:val="bottom"/>
            <w:gridSpan w:val="14"/>
          </w:tcPr>
          <w:p>
            <w:pPr>
              <w:spacing w:after="0"/>
              <w:rPr>
                <w:sz w:val="16"/>
                <w:szCs w:val="16"/>
                <w:color w:val="auto"/>
              </w:rPr>
            </w:pPr>
          </w:p>
        </w:tc>
      </w:tr>
      <w:tr>
        <w:trPr>
          <w:trHeight w:val="20"/>
        </w:trPr>
        <w:tc>
          <w:tcPr>
            <w:tcW w:w="1780" w:type="dxa"/>
            <w:vAlign w:val="bottom"/>
            <w:tcBorders>
              <w:right w:val="single" w:sz="8" w:color="0000EE"/>
            </w:tcBorders>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86"/>
        </w:trPr>
        <w:tc>
          <w:tcPr>
            <w:tcW w:w="1780" w:type="dxa"/>
            <w:vAlign w:val="bottom"/>
          </w:tcPr>
          <w:p>
            <w:pPr>
              <w:spacing w:after="0" w:line="185" w:lineRule="exact"/>
              <w:rPr>
                <w:sz w:val="20"/>
                <w:szCs w:val="20"/>
                <w:color w:val="auto"/>
              </w:rPr>
            </w:pPr>
            <w:r>
              <w:rPr>
                <w:rFonts w:ascii="Arial" w:cs="Arial" w:eastAsia="Arial" w:hAnsi="Arial"/>
                <w:sz w:val="17"/>
                <w:szCs w:val="17"/>
                <w:color w:val="auto"/>
              </w:rPr>
              <w:t>31.2</w:t>
            </w:r>
          </w:p>
        </w:tc>
        <w:tc>
          <w:tcPr>
            <w:tcW w:w="5020" w:type="dxa"/>
            <w:vAlign w:val="bottom"/>
            <w:gridSpan w:val="29"/>
          </w:tcPr>
          <w:p>
            <w:pPr>
              <w:spacing w:after="0" w:line="185" w:lineRule="exact"/>
              <w:rPr>
                <w:rFonts w:ascii="Arial" w:cs="Arial" w:eastAsia="Arial" w:hAnsi="Arial"/>
                <w:sz w:val="17"/>
                <w:szCs w:val="17"/>
                <w:color w:val="0000EE"/>
              </w:rPr>
            </w:pPr>
            <w:hyperlink w:anchor="page196">
              <w:r>
                <w:rPr>
                  <w:rFonts w:ascii="Arial" w:cs="Arial" w:eastAsia="Arial" w:hAnsi="Arial"/>
                  <w:sz w:val="17"/>
                  <w:szCs w:val="17"/>
                  <w:color w:val="0000EE"/>
                </w:rPr>
                <w:t>Certification of Chief Financial Officer of Phathom</w:t>
              </w:r>
            </w:hyperlink>
          </w:p>
        </w:tc>
      </w:tr>
      <w:tr>
        <w:trPr>
          <w:trHeight w:val="20"/>
        </w:trPr>
        <w:tc>
          <w:tcPr>
            <w:tcW w:w="1780" w:type="dxa"/>
            <w:vAlign w:val="bottom"/>
            <w:tcBorders>
              <w:right w:val="single" w:sz="8" w:color="0000EE"/>
            </w:tcBorders>
          </w:tcPr>
          <w:p>
            <w:pPr>
              <w:spacing w:after="0" w:line="20" w:lineRule="exact"/>
              <w:rPr>
                <w:sz w:val="1"/>
                <w:szCs w:val="1"/>
                <w:color w:val="auto"/>
              </w:rPr>
            </w:pPr>
          </w:p>
        </w:tc>
        <w:tc>
          <w:tcPr>
            <w:tcW w:w="19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gridSpan w:val="4"/>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186"/>
        </w:trPr>
        <w:tc>
          <w:tcPr>
            <w:tcW w:w="1780" w:type="dxa"/>
            <w:vAlign w:val="bottom"/>
          </w:tcPr>
          <w:p>
            <w:pPr>
              <w:spacing w:after="0"/>
              <w:rPr>
                <w:sz w:val="16"/>
                <w:szCs w:val="16"/>
                <w:color w:val="auto"/>
              </w:rPr>
            </w:pPr>
          </w:p>
        </w:tc>
        <w:tc>
          <w:tcPr>
            <w:tcW w:w="4860" w:type="dxa"/>
            <w:vAlign w:val="bottom"/>
            <w:tcBorders>
              <w:bottom w:val="single" w:sz="8" w:color="0000EE"/>
            </w:tcBorders>
            <w:gridSpan w:val="24"/>
          </w:tcPr>
          <w:p>
            <w:pPr>
              <w:spacing w:after="0" w:line="185" w:lineRule="exact"/>
              <w:rPr>
                <w:rFonts w:ascii="Arial" w:cs="Arial" w:eastAsia="Arial" w:hAnsi="Arial"/>
                <w:sz w:val="17"/>
                <w:szCs w:val="17"/>
                <w:color w:val="0000EE"/>
                <w:w w:val="90"/>
              </w:rPr>
            </w:pPr>
            <w:hyperlink w:anchor="page196">
              <w:r>
                <w:rPr>
                  <w:rFonts w:ascii="Arial" w:cs="Arial" w:eastAsia="Arial" w:hAnsi="Arial"/>
                  <w:sz w:val="17"/>
                  <w:szCs w:val="17"/>
                  <w:color w:val="0000EE"/>
                  <w:w w:val="90"/>
                </w:rPr>
                <w:t>Pharmaceuticals, Inc., as required by Rule 13a-14(a) or Rule 15d-14(a)</w:t>
              </w:r>
            </w:hyperlink>
          </w:p>
        </w:tc>
        <w:tc>
          <w:tcPr>
            <w:tcW w:w="160" w:type="dxa"/>
            <w:vAlign w:val="bottom"/>
            <w:gridSpan w:val="5"/>
          </w:tcPr>
          <w:p>
            <w:pPr>
              <w:spacing w:after="0"/>
              <w:rPr>
                <w:sz w:val="16"/>
                <w:szCs w:val="16"/>
                <w:color w:val="auto"/>
              </w:rPr>
            </w:pPr>
          </w:p>
        </w:tc>
      </w:tr>
      <w:tr>
        <w:trPr>
          <w:trHeight w:val="186"/>
        </w:trPr>
        <w:tc>
          <w:tcPr>
            <w:tcW w:w="1780" w:type="dxa"/>
            <w:vAlign w:val="bottom"/>
          </w:tcPr>
          <w:p>
            <w:pPr>
              <w:spacing w:after="0"/>
              <w:rPr>
                <w:sz w:val="16"/>
                <w:szCs w:val="16"/>
                <w:color w:val="auto"/>
              </w:rPr>
            </w:pPr>
          </w:p>
        </w:tc>
        <w:tc>
          <w:tcPr>
            <w:tcW w:w="3820" w:type="dxa"/>
            <w:vAlign w:val="bottom"/>
            <w:tcBorders>
              <w:bottom w:val="single" w:sz="8" w:color="0000EE"/>
            </w:tcBorders>
            <w:gridSpan w:val="13"/>
          </w:tcPr>
          <w:p>
            <w:pPr>
              <w:spacing w:after="0" w:line="185" w:lineRule="exact"/>
              <w:rPr>
                <w:rFonts w:ascii="Arial" w:cs="Arial" w:eastAsia="Arial" w:hAnsi="Arial"/>
                <w:sz w:val="17"/>
                <w:szCs w:val="17"/>
                <w:color w:val="0000EE"/>
                <w:w w:val="89"/>
              </w:rPr>
            </w:pPr>
            <w:hyperlink w:anchor="page196">
              <w:r>
                <w:rPr>
                  <w:rFonts w:ascii="Arial" w:cs="Arial" w:eastAsia="Arial" w:hAnsi="Arial"/>
                  <w:sz w:val="17"/>
                  <w:szCs w:val="17"/>
                  <w:color w:val="0000EE"/>
                  <w:w w:val="89"/>
                </w:rPr>
                <w:t>under the Securities Exchange Act of 1934, as amended</w:t>
              </w:r>
            </w:hyperlink>
          </w:p>
        </w:tc>
        <w:tc>
          <w:tcPr>
            <w:tcW w:w="1200" w:type="dxa"/>
            <w:vAlign w:val="bottom"/>
            <w:gridSpan w:val="16"/>
          </w:tcPr>
          <w:p>
            <w:pPr>
              <w:spacing w:after="0"/>
              <w:rPr>
                <w:sz w:val="16"/>
                <w:szCs w:val="16"/>
                <w:color w:val="auto"/>
              </w:rPr>
            </w:pPr>
          </w:p>
        </w:tc>
      </w:tr>
      <w:tr>
        <w:trPr>
          <w:trHeight w:val="186"/>
        </w:trPr>
        <w:tc>
          <w:tcPr>
            <w:tcW w:w="1780" w:type="dxa"/>
            <w:vAlign w:val="bottom"/>
          </w:tcPr>
          <w:p>
            <w:pPr>
              <w:spacing w:after="0" w:line="185" w:lineRule="exact"/>
              <w:rPr>
                <w:sz w:val="20"/>
                <w:szCs w:val="20"/>
                <w:color w:val="auto"/>
              </w:rPr>
            </w:pPr>
            <w:r>
              <w:rPr>
                <w:rFonts w:ascii="Arial" w:cs="Arial" w:eastAsia="Arial" w:hAnsi="Arial"/>
                <w:sz w:val="17"/>
                <w:szCs w:val="17"/>
                <w:color w:val="auto"/>
              </w:rPr>
              <w:t>32.1*</w:t>
            </w:r>
          </w:p>
        </w:tc>
        <w:tc>
          <w:tcPr>
            <w:tcW w:w="5020" w:type="dxa"/>
            <w:vAlign w:val="bottom"/>
            <w:gridSpan w:val="29"/>
          </w:tcPr>
          <w:p>
            <w:pPr>
              <w:spacing w:after="0" w:line="185" w:lineRule="exact"/>
              <w:rPr>
                <w:rFonts w:ascii="Arial" w:cs="Arial" w:eastAsia="Arial" w:hAnsi="Arial"/>
                <w:sz w:val="17"/>
                <w:szCs w:val="17"/>
                <w:color w:val="0000EE"/>
                <w:w w:val="96"/>
              </w:rPr>
            </w:pPr>
            <w:hyperlink w:anchor="page198">
              <w:r>
                <w:rPr>
                  <w:rFonts w:ascii="Arial" w:cs="Arial" w:eastAsia="Arial" w:hAnsi="Arial"/>
                  <w:sz w:val="17"/>
                  <w:szCs w:val="17"/>
                  <w:color w:val="0000EE"/>
                  <w:w w:val="96"/>
                </w:rPr>
                <w:t>Certification of Chief Executive Officer pursuant to Section 906 of the</w:t>
              </w:r>
            </w:hyperlink>
          </w:p>
        </w:tc>
      </w:tr>
      <w:tr>
        <w:trPr>
          <w:trHeight w:val="186"/>
        </w:trPr>
        <w:tc>
          <w:tcPr>
            <w:tcW w:w="1780" w:type="dxa"/>
            <w:vAlign w:val="bottom"/>
          </w:tcPr>
          <w:p>
            <w:pPr>
              <w:spacing w:after="0"/>
              <w:rPr>
                <w:sz w:val="16"/>
                <w:szCs w:val="16"/>
                <w:color w:val="auto"/>
              </w:rPr>
            </w:pPr>
          </w:p>
        </w:tc>
        <w:tc>
          <w:tcPr>
            <w:tcW w:w="1960" w:type="dxa"/>
            <w:vAlign w:val="bottom"/>
            <w:tcBorders>
              <w:top w:val="single" w:sz="8" w:color="0000EE"/>
              <w:bottom w:val="single" w:sz="8" w:color="0000EE"/>
            </w:tcBorders>
            <w:gridSpan w:val="6"/>
          </w:tcPr>
          <w:p>
            <w:pPr>
              <w:spacing w:after="0" w:line="185" w:lineRule="exact"/>
              <w:rPr>
                <w:rFonts w:ascii="Arial" w:cs="Arial" w:eastAsia="Arial" w:hAnsi="Arial"/>
                <w:sz w:val="17"/>
                <w:szCs w:val="17"/>
                <w:color w:val="0000EE"/>
                <w:w w:val="91"/>
              </w:rPr>
            </w:pPr>
            <w:hyperlink w:anchor="page198">
              <w:r>
                <w:rPr>
                  <w:rFonts w:ascii="Arial" w:cs="Arial" w:eastAsia="Arial" w:hAnsi="Arial"/>
                  <w:sz w:val="17"/>
                  <w:szCs w:val="17"/>
                  <w:color w:val="0000EE"/>
                  <w:w w:val="91"/>
                </w:rPr>
                <w:t>Sarbanes-Oxley Act of 2002</w:t>
              </w:r>
            </w:hyperlink>
          </w:p>
        </w:tc>
        <w:tc>
          <w:tcPr>
            <w:tcW w:w="2860" w:type="dxa"/>
            <w:vAlign w:val="bottom"/>
            <w:tcBorders>
              <w:top w:val="single" w:sz="8" w:color="0000EE"/>
            </w:tcBorders>
            <w:gridSpan w:val="16"/>
          </w:tcPr>
          <w:p>
            <w:pPr>
              <w:spacing w:after="0"/>
              <w:rPr>
                <w:sz w:val="16"/>
                <w:szCs w:val="16"/>
                <w:color w:val="auto"/>
              </w:rPr>
            </w:pPr>
          </w:p>
        </w:tc>
        <w:tc>
          <w:tcPr>
            <w:tcW w:w="200" w:type="dxa"/>
            <w:vAlign w:val="bottom"/>
            <w:gridSpan w:val="7"/>
          </w:tcPr>
          <w:p>
            <w:pPr>
              <w:spacing w:after="0"/>
              <w:rPr>
                <w:sz w:val="16"/>
                <w:szCs w:val="16"/>
                <w:color w:val="auto"/>
              </w:rPr>
            </w:pPr>
          </w:p>
        </w:tc>
      </w:tr>
      <w:tr>
        <w:trPr>
          <w:trHeight w:val="186"/>
        </w:trPr>
        <w:tc>
          <w:tcPr>
            <w:tcW w:w="1780" w:type="dxa"/>
            <w:vAlign w:val="bottom"/>
          </w:tcPr>
          <w:p>
            <w:pPr>
              <w:spacing w:after="0" w:line="185" w:lineRule="exact"/>
              <w:rPr>
                <w:sz w:val="20"/>
                <w:szCs w:val="20"/>
                <w:color w:val="auto"/>
              </w:rPr>
            </w:pPr>
            <w:r>
              <w:rPr>
                <w:rFonts w:ascii="Arial" w:cs="Arial" w:eastAsia="Arial" w:hAnsi="Arial"/>
                <w:sz w:val="17"/>
                <w:szCs w:val="17"/>
                <w:color w:val="auto"/>
              </w:rPr>
              <w:t>32.2*</w:t>
            </w:r>
          </w:p>
        </w:tc>
        <w:tc>
          <w:tcPr>
            <w:tcW w:w="4780" w:type="dxa"/>
            <w:vAlign w:val="bottom"/>
            <w:tcBorders>
              <w:bottom w:val="single" w:sz="8" w:color="0000EE"/>
            </w:tcBorders>
            <w:gridSpan w:val="21"/>
          </w:tcPr>
          <w:p>
            <w:pPr>
              <w:spacing w:after="0" w:line="185" w:lineRule="exact"/>
              <w:rPr>
                <w:rFonts w:ascii="Arial" w:cs="Arial" w:eastAsia="Arial" w:hAnsi="Arial"/>
                <w:sz w:val="17"/>
                <w:szCs w:val="17"/>
                <w:color w:val="0000EE"/>
                <w:w w:val="92"/>
              </w:rPr>
            </w:pPr>
            <w:hyperlink w:anchor="page199">
              <w:r>
                <w:rPr>
                  <w:rFonts w:ascii="Arial" w:cs="Arial" w:eastAsia="Arial" w:hAnsi="Arial"/>
                  <w:sz w:val="17"/>
                  <w:szCs w:val="17"/>
                  <w:color w:val="0000EE"/>
                  <w:w w:val="92"/>
                </w:rPr>
                <w:t>Certification of Chief Financial Officer pursuant to Section 906 of the</w:t>
              </w:r>
            </w:hyperlink>
          </w:p>
        </w:tc>
        <w:tc>
          <w:tcPr>
            <w:tcW w:w="240" w:type="dxa"/>
            <w:vAlign w:val="bottom"/>
            <w:gridSpan w:val="8"/>
          </w:tcPr>
          <w:p>
            <w:pPr>
              <w:spacing w:after="0"/>
              <w:rPr>
                <w:sz w:val="16"/>
                <w:szCs w:val="16"/>
                <w:color w:val="auto"/>
              </w:rPr>
            </w:pPr>
          </w:p>
        </w:tc>
      </w:tr>
      <w:tr>
        <w:trPr>
          <w:trHeight w:val="186"/>
        </w:trPr>
        <w:tc>
          <w:tcPr>
            <w:tcW w:w="1780" w:type="dxa"/>
            <w:vAlign w:val="bottom"/>
          </w:tcPr>
          <w:p>
            <w:pPr>
              <w:spacing w:after="0"/>
              <w:rPr>
                <w:sz w:val="16"/>
                <w:szCs w:val="16"/>
                <w:color w:val="auto"/>
              </w:rPr>
            </w:pPr>
          </w:p>
        </w:tc>
        <w:tc>
          <w:tcPr>
            <w:tcW w:w="1940" w:type="dxa"/>
            <w:vAlign w:val="bottom"/>
            <w:tcBorders>
              <w:bottom w:val="single" w:sz="8" w:color="0000EE"/>
            </w:tcBorders>
            <w:gridSpan w:val="5"/>
          </w:tcPr>
          <w:p>
            <w:pPr>
              <w:spacing w:after="0" w:line="185" w:lineRule="exact"/>
              <w:rPr>
                <w:rFonts w:ascii="Arial" w:cs="Arial" w:eastAsia="Arial" w:hAnsi="Arial"/>
                <w:sz w:val="17"/>
                <w:szCs w:val="17"/>
                <w:color w:val="0000EE"/>
                <w:w w:val="90"/>
              </w:rPr>
            </w:pPr>
            <w:hyperlink w:anchor="page199">
              <w:r>
                <w:rPr>
                  <w:rFonts w:ascii="Arial" w:cs="Arial" w:eastAsia="Arial" w:hAnsi="Arial"/>
                  <w:sz w:val="17"/>
                  <w:szCs w:val="17"/>
                  <w:color w:val="0000EE"/>
                  <w:w w:val="90"/>
                </w:rPr>
                <w:t>Sarbanes-Oxley Act of 2002</w:t>
              </w:r>
            </w:hyperlink>
          </w:p>
        </w:tc>
        <w:tc>
          <w:tcPr>
            <w:tcW w:w="3080" w:type="dxa"/>
            <w:vAlign w:val="bottom"/>
            <w:gridSpan w:val="24"/>
          </w:tcPr>
          <w:p>
            <w:pPr>
              <w:spacing w:after="0"/>
              <w:rPr>
                <w:sz w:val="16"/>
                <w:szCs w:val="16"/>
                <w:color w:val="auto"/>
              </w:rPr>
            </w:pPr>
          </w:p>
        </w:tc>
      </w:tr>
      <w:tr>
        <w:trPr>
          <w:trHeight w:val="212"/>
        </w:trPr>
        <w:tc>
          <w:tcPr>
            <w:tcW w:w="1780" w:type="dxa"/>
            <w:vAlign w:val="bottom"/>
          </w:tcPr>
          <w:p>
            <w:pPr>
              <w:spacing w:after="0"/>
              <w:rPr>
                <w:sz w:val="20"/>
                <w:szCs w:val="20"/>
                <w:color w:val="auto"/>
              </w:rPr>
            </w:pPr>
            <w:r>
              <w:rPr>
                <w:rFonts w:ascii="Arial" w:cs="Arial" w:eastAsia="Arial" w:hAnsi="Arial"/>
                <w:sz w:val="17"/>
                <w:szCs w:val="17"/>
                <w:color w:val="auto"/>
              </w:rPr>
              <w:t>101.INS</w:t>
            </w:r>
          </w:p>
        </w:tc>
        <w:tc>
          <w:tcPr>
            <w:tcW w:w="5020" w:type="dxa"/>
            <w:vAlign w:val="bottom"/>
            <w:gridSpan w:val="29"/>
          </w:tcPr>
          <w:p>
            <w:pPr>
              <w:spacing w:after="0"/>
              <w:rPr>
                <w:sz w:val="20"/>
                <w:szCs w:val="20"/>
                <w:color w:val="auto"/>
              </w:rPr>
            </w:pPr>
            <w:r>
              <w:rPr>
                <w:rFonts w:ascii="Arial" w:cs="Arial" w:eastAsia="Arial" w:hAnsi="Arial"/>
                <w:sz w:val="17"/>
                <w:szCs w:val="17"/>
                <w:color w:val="auto"/>
              </w:rPr>
              <w:t>XBRL Instance Document</w:t>
            </w:r>
          </w:p>
        </w:tc>
      </w:tr>
      <w:tr>
        <w:trPr>
          <w:trHeight w:val="206"/>
        </w:trPr>
        <w:tc>
          <w:tcPr>
            <w:tcW w:w="1780" w:type="dxa"/>
            <w:vAlign w:val="bottom"/>
          </w:tcPr>
          <w:p>
            <w:pPr>
              <w:spacing w:after="0"/>
              <w:rPr>
                <w:sz w:val="20"/>
                <w:szCs w:val="20"/>
                <w:color w:val="auto"/>
              </w:rPr>
            </w:pPr>
            <w:r>
              <w:rPr>
                <w:rFonts w:ascii="Arial" w:cs="Arial" w:eastAsia="Arial" w:hAnsi="Arial"/>
                <w:sz w:val="17"/>
                <w:szCs w:val="17"/>
                <w:color w:val="auto"/>
              </w:rPr>
              <w:t>101.SCH</w:t>
            </w:r>
          </w:p>
        </w:tc>
        <w:tc>
          <w:tcPr>
            <w:tcW w:w="5020" w:type="dxa"/>
            <w:vAlign w:val="bottom"/>
            <w:gridSpan w:val="29"/>
          </w:tcPr>
          <w:p>
            <w:pPr>
              <w:spacing w:after="0"/>
              <w:rPr>
                <w:sz w:val="20"/>
                <w:szCs w:val="20"/>
                <w:color w:val="auto"/>
              </w:rPr>
            </w:pPr>
            <w:r>
              <w:rPr>
                <w:rFonts w:ascii="Arial" w:cs="Arial" w:eastAsia="Arial" w:hAnsi="Arial"/>
                <w:sz w:val="17"/>
                <w:szCs w:val="17"/>
                <w:color w:val="auto"/>
              </w:rPr>
              <w:t>XBRL Taxonomy Extension Schema Document</w:t>
            </w:r>
          </w:p>
        </w:tc>
      </w:tr>
      <w:tr>
        <w:trPr>
          <w:trHeight w:val="206"/>
        </w:trPr>
        <w:tc>
          <w:tcPr>
            <w:tcW w:w="1780" w:type="dxa"/>
            <w:vAlign w:val="bottom"/>
          </w:tcPr>
          <w:p>
            <w:pPr>
              <w:spacing w:after="0"/>
              <w:rPr>
                <w:sz w:val="20"/>
                <w:szCs w:val="20"/>
                <w:color w:val="auto"/>
              </w:rPr>
            </w:pPr>
            <w:r>
              <w:rPr>
                <w:rFonts w:ascii="Arial" w:cs="Arial" w:eastAsia="Arial" w:hAnsi="Arial"/>
                <w:sz w:val="17"/>
                <w:szCs w:val="17"/>
                <w:color w:val="auto"/>
              </w:rPr>
              <w:t>101.CAL</w:t>
            </w:r>
          </w:p>
        </w:tc>
        <w:tc>
          <w:tcPr>
            <w:tcW w:w="5020" w:type="dxa"/>
            <w:vAlign w:val="bottom"/>
            <w:gridSpan w:val="29"/>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206"/>
        </w:trPr>
        <w:tc>
          <w:tcPr>
            <w:tcW w:w="1780" w:type="dxa"/>
            <w:vAlign w:val="bottom"/>
          </w:tcPr>
          <w:p>
            <w:pPr>
              <w:spacing w:after="0"/>
              <w:rPr>
                <w:sz w:val="20"/>
                <w:szCs w:val="20"/>
                <w:color w:val="auto"/>
              </w:rPr>
            </w:pPr>
            <w:r>
              <w:rPr>
                <w:rFonts w:ascii="Arial" w:cs="Arial" w:eastAsia="Arial" w:hAnsi="Arial"/>
                <w:sz w:val="17"/>
                <w:szCs w:val="17"/>
                <w:color w:val="auto"/>
              </w:rPr>
              <w:t>101.DEF</w:t>
            </w:r>
          </w:p>
        </w:tc>
        <w:tc>
          <w:tcPr>
            <w:tcW w:w="5020" w:type="dxa"/>
            <w:vAlign w:val="bottom"/>
            <w:gridSpan w:val="29"/>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06"/>
        </w:trPr>
        <w:tc>
          <w:tcPr>
            <w:tcW w:w="1780" w:type="dxa"/>
            <w:vAlign w:val="bottom"/>
          </w:tcPr>
          <w:p>
            <w:pPr>
              <w:spacing w:after="0"/>
              <w:rPr>
                <w:sz w:val="20"/>
                <w:szCs w:val="20"/>
                <w:color w:val="auto"/>
              </w:rPr>
            </w:pPr>
            <w:r>
              <w:rPr>
                <w:rFonts w:ascii="Arial" w:cs="Arial" w:eastAsia="Arial" w:hAnsi="Arial"/>
                <w:sz w:val="17"/>
                <w:szCs w:val="17"/>
                <w:color w:val="auto"/>
              </w:rPr>
              <w:t>101.LAB</w:t>
            </w:r>
          </w:p>
        </w:tc>
        <w:tc>
          <w:tcPr>
            <w:tcW w:w="5020" w:type="dxa"/>
            <w:vAlign w:val="bottom"/>
            <w:gridSpan w:val="29"/>
          </w:tcPr>
          <w:p>
            <w:pPr>
              <w:spacing w:after="0"/>
              <w:rPr>
                <w:sz w:val="20"/>
                <w:szCs w:val="20"/>
                <w:color w:val="auto"/>
              </w:rPr>
            </w:pPr>
            <w:r>
              <w:rPr>
                <w:rFonts w:ascii="Arial" w:cs="Arial" w:eastAsia="Arial" w:hAnsi="Arial"/>
                <w:sz w:val="17"/>
                <w:szCs w:val="17"/>
                <w:color w:val="auto"/>
              </w:rPr>
              <w:t>XBRL Taxonomy Extension Labels Linkbase Document</w:t>
            </w:r>
          </w:p>
        </w:tc>
      </w:tr>
      <w:tr>
        <w:trPr>
          <w:trHeight w:val="217"/>
        </w:trPr>
        <w:tc>
          <w:tcPr>
            <w:tcW w:w="1780" w:type="dxa"/>
            <w:vAlign w:val="bottom"/>
          </w:tcPr>
          <w:p>
            <w:pPr>
              <w:spacing w:after="0"/>
              <w:rPr>
                <w:sz w:val="20"/>
                <w:szCs w:val="20"/>
                <w:color w:val="auto"/>
              </w:rPr>
            </w:pPr>
            <w:r>
              <w:rPr>
                <w:rFonts w:ascii="Arial" w:cs="Arial" w:eastAsia="Arial" w:hAnsi="Arial"/>
                <w:sz w:val="17"/>
                <w:szCs w:val="17"/>
                <w:color w:val="auto"/>
              </w:rPr>
              <w:t>101.PRE</w:t>
            </w:r>
          </w:p>
        </w:tc>
        <w:tc>
          <w:tcPr>
            <w:tcW w:w="5020" w:type="dxa"/>
            <w:vAlign w:val="bottom"/>
            <w:gridSpan w:val="29"/>
          </w:tcPr>
          <w:p>
            <w:pPr>
              <w:spacing w:after="0"/>
              <w:rPr>
                <w:sz w:val="20"/>
                <w:szCs w:val="20"/>
                <w:color w:val="auto"/>
              </w:rPr>
            </w:pPr>
            <w:r>
              <w:rPr>
                <w:rFonts w:ascii="Arial" w:cs="Arial" w:eastAsia="Arial" w:hAnsi="Arial"/>
                <w:sz w:val="17"/>
                <w:szCs w:val="17"/>
                <w:color w:val="auto"/>
              </w:rPr>
              <w:t>XBRL Taxonomy Extension Presentation Linkbase Document</w:t>
            </w:r>
          </w:p>
        </w:tc>
      </w:tr>
    </w:tbl>
    <w:p>
      <w:pPr>
        <w:spacing w:after="0" w:line="195" w:lineRule="exact"/>
        <w:rPr>
          <w:sz w:val="20"/>
          <w:szCs w:val="20"/>
          <w:color w:val="auto"/>
        </w:rPr>
      </w:pPr>
    </w:p>
    <w:p>
      <w:pPr>
        <w:ind w:left="420" w:hanging="417"/>
        <w:spacing w:after="0"/>
        <w:tabs>
          <w:tab w:leader="none" w:pos="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w:t>
      </w:r>
    </w:p>
    <w:p>
      <w:pPr>
        <w:spacing w:after="0" w:line="113" w:lineRule="exact"/>
        <w:rPr>
          <w:sz w:val="20"/>
          <w:szCs w:val="20"/>
          <w:color w:val="auto"/>
        </w:rPr>
      </w:pPr>
    </w:p>
    <w:p>
      <w:pPr>
        <w:ind w:left="420" w:hanging="417"/>
        <w:spacing w:after="0"/>
        <w:tabs>
          <w:tab w:leader="none" w:pos="42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Portions of this exhibit have been omitted for confidentiality purposes.</w:t>
      </w:r>
    </w:p>
    <w:p>
      <w:pPr>
        <w:spacing w:after="0" w:line="200" w:lineRule="exact"/>
        <w:rPr>
          <w:sz w:val="20"/>
          <w:szCs w:val="20"/>
          <w:color w:val="auto"/>
        </w:rPr>
      </w:pPr>
    </w:p>
    <w:p>
      <w:pPr>
        <w:spacing w:after="0" w:line="221"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197485</wp:posOffset>
            </wp:positionV>
            <wp:extent cx="718058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60" w:type="dxa"/>
            <w:vAlign w:val="bottom"/>
          </w:tcPr>
          <w:p>
            <w:pPr>
              <w:jc w:val="right"/>
              <w:ind w:right="214"/>
              <w:spacing w:after="0"/>
              <w:rPr>
                <w:sz w:val="20"/>
                <w:szCs w:val="20"/>
                <w:color w:val="auto"/>
              </w:rPr>
            </w:pPr>
            <w:r>
              <w:rPr>
                <w:rFonts w:ascii="Arial" w:cs="Arial" w:eastAsia="Arial" w:hAnsi="Arial"/>
                <w:sz w:val="17"/>
                <w:szCs w:val="17"/>
                <w:color w:val="auto"/>
              </w:rPr>
              <w:t>S-1</w:t>
            </w:r>
          </w:p>
        </w:tc>
        <w:tc>
          <w:tcPr>
            <w:tcW w:w="1340" w:type="dxa"/>
            <w:vAlign w:val="bottom"/>
          </w:tcPr>
          <w:p>
            <w:pPr>
              <w:jc w:val="right"/>
              <w:ind w:right="234"/>
              <w:spacing w:after="0"/>
              <w:rPr>
                <w:sz w:val="20"/>
                <w:szCs w:val="20"/>
                <w:color w:val="auto"/>
              </w:rPr>
            </w:pPr>
            <w:r>
              <w:rPr>
                <w:rFonts w:ascii="Arial" w:cs="Arial" w:eastAsia="Arial" w:hAnsi="Arial"/>
                <w:sz w:val="17"/>
                <w:szCs w:val="17"/>
                <w:color w:val="auto"/>
              </w:rPr>
              <w:t>9-30-2019</w:t>
            </w:r>
          </w:p>
        </w:tc>
        <w:tc>
          <w:tcPr>
            <w:tcW w:w="700" w:type="dxa"/>
            <w:vAlign w:val="bottom"/>
          </w:tcPr>
          <w:p>
            <w:pPr>
              <w:jc w:val="right"/>
              <w:spacing w:after="0"/>
              <w:rPr>
                <w:sz w:val="20"/>
                <w:szCs w:val="20"/>
                <w:color w:val="auto"/>
              </w:rPr>
            </w:pPr>
            <w:r>
              <w:rPr>
                <w:rFonts w:ascii="Arial" w:cs="Arial" w:eastAsia="Arial" w:hAnsi="Arial"/>
                <w:sz w:val="17"/>
                <w:szCs w:val="17"/>
                <w:color w:val="auto"/>
              </w:rPr>
              <w:t>10.12</w:t>
            </w:r>
          </w:p>
        </w:tc>
      </w:tr>
      <w:tr>
        <w:trPr>
          <w:trHeight w:val="411"/>
        </w:trPr>
        <w:tc>
          <w:tcPr>
            <w:tcW w:w="660" w:type="dxa"/>
            <w:vAlign w:val="bottom"/>
          </w:tcPr>
          <w:p>
            <w:pPr>
              <w:jc w:val="right"/>
              <w:ind w:right="214"/>
              <w:spacing w:after="0"/>
              <w:rPr>
                <w:sz w:val="20"/>
                <w:szCs w:val="20"/>
                <w:color w:val="auto"/>
              </w:rPr>
            </w:pPr>
            <w:r>
              <w:rPr>
                <w:rFonts w:ascii="Arial" w:cs="Arial" w:eastAsia="Arial" w:hAnsi="Arial"/>
                <w:sz w:val="17"/>
                <w:szCs w:val="17"/>
                <w:color w:val="auto"/>
              </w:rPr>
              <w:t>S-1</w:t>
            </w:r>
          </w:p>
        </w:tc>
        <w:tc>
          <w:tcPr>
            <w:tcW w:w="1340" w:type="dxa"/>
            <w:vAlign w:val="bottom"/>
          </w:tcPr>
          <w:p>
            <w:pPr>
              <w:jc w:val="right"/>
              <w:ind w:right="234"/>
              <w:spacing w:after="0"/>
              <w:rPr>
                <w:sz w:val="20"/>
                <w:szCs w:val="20"/>
                <w:color w:val="auto"/>
              </w:rPr>
            </w:pPr>
            <w:r>
              <w:rPr>
                <w:rFonts w:ascii="Arial" w:cs="Arial" w:eastAsia="Arial" w:hAnsi="Arial"/>
                <w:sz w:val="17"/>
                <w:szCs w:val="17"/>
                <w:color w:val="auto"/>
              </w:rPr>
              <w:t>9-30-2019</w:t>
            </w:r>
          </w:p>
        </w:tc>
        <w:tc>
          <w:tcPr>
            <w:tcW w:w="700" w:type="dxa"/>
            <w:vAlign w:val="bottom"/>
          </w:tcPr>
          <w:p>
            <w:pPr>
              <w:jc w:val="right"/>
              <w:spacing w:after="0"/>
              <w:rPr>
                <w:sz w:val="20"/>
                <w:szCs w:val="20"/>
                <w:color w:val="auto"/>
              </w:rPr>
            </w:pPr>
            <w:r>
              <w:rPr>
                <w:rFonts w:ascii="Arial" w:cs="Arial" w:eastAsia="Arial" w:hAnsi="Arial"/>
                <w:sz w:val="17"/>
                <w:szCs w:val="17"/>
                <w:color w:val="auto"/>
              </w:rPr>
              <w:t>10.13</w:t>
            </w:r>
          </w:p>
        </w:tc>
      </w:tr>
      <w:tr>
        <w:trPr>
          <w:trHeight w:val="617"/>
        </w:trPr>
        <w:tc>
          <w:tcPr>
            <w:tcW w:w="660" w:type="dxa"/>
            <w:vAlign w:val="bottom"/>
          </w:tcPr>
          <w:p>
            <w:pPr>
              <w:jc w:val="right"/>
              <w:ind w:right="214"/>
              <w:spacing w:after="0"/>
              <w:rPr>
                <w:sz w:val="20"/>
                <w:szCs w:val="20"/>
                <w:color w:val="auto"/>
              </w:rPr>
            </w:pPr>
            <w:r>
              <w:rPr>
                <w:rFonts w:ascii="Arial" w:cs="Arial" w:eastAsia="Arial" w:hAnsi="Arial"/>
                <w:sz w:val="17"/>
                <w:szCs w:val="17"/>
                <w:color w:val="auto"/>
                <w:w w:val="89"/>
              </w:rPr>
              <w:t>10-Q</w:t>
            </w:r>
          </w:p>
        </w:tc>
        <w:tc>
          <w:tcPr>
            <w:tcW w:w="1340" w:type="dxa"/>
            <w:vAlign w:val="bottom"/>
          </w:tcPr>
          <w:p>
            <w:pPr>
              <w:jc w:val="right"/>
              <w:ind w:right="234"/>
              <w:spacing w:after="0"/>
              <w:rPr>
                <w:sz w:val="20"/>
                <w:szCs w:val="20"/>
                <w:color w:val="auto"/>
              </w:rPr>
            </w:pPr>
            <w:r>
              <w:rPr>
                <w:rFonts w:ascii="Arial" w:cs="Arial" w:eastAsia="Arial" w:hAnsi="Arial"/>
                <w:sz w:val="17"/>
                <w:szCs w:val="17"/>
                <w:color w:val="auto"/>
              </w:rPr>
              <w:t>5-12-2020</w:t>
            </w:r>
          </w:p>
        </w:tc>
        <w:tc>
          <w:tcPr>
            <w:tcW w:w="700" w:type="dxa"/>
            <w:vAlign w:val="bottom"/>
          </w:tcPr>
          <w:p>
            <w:pPr>
              <w:jc w:val="right"/>
              <w:spacing w:after="0"/>
              <w:rPr>
                <w:sz w:val="20"/>
                <w:szCs w:val="20"/>
                <w:color w:val="auto"/>
              </w:rPr>
            </w:pPr>
            <w:r>
              <w:rPr>
                <w:rFonts w:ascii="Arial" w:cs="Arial" w:eastAsia="Arial" w:hAnsi="Arial"/>
                <w:sz w:val="17"/>
                <w:szCs w:val="17"/>
                <w:color w:val="auto"/>
              </w:rPr>
              <w:t>10.2</w:t>
            </w:r>
          </w:p>
        </w:tc>
      </w:tr>
      <w:tr>
        <w:trPr>
          <w:trHeight w:val="617"/>
        </w:trPr>
        <w:tc>
          <w:tcPr>
            <w:tcW w:w="660" w:type="dxa"/>
            <w:vAlign w:val="bottom"/>
          </w:tcPr>
          <w:p>
            <w:pPr>
              <w:jc w:val="right"/>
              <w:ind w:right="214"/>
              <w:spacing w:after="0"/>
              <w:rPr>
                <w:sz w:val="20"/>
                <w:szCs w:val="20"/>
                <w:color w:val="auto"/>
              </w:rPr>
            </w:pPr>
            <w:r>
              <w:rPr>
                <w:rFonts w:ascii="Arial" w:cs="Arial" w:eastAsia="Arial" w:hAnsi="Arial"/>
                <w:sz w:val="17"/>
                <w:szCs w:val="17"/>
                <w:color w:val="auto"/>
              </w:rPr>
              <w:t>S-1</w:t>
            </w:r>
          </w:p>
        </w:tc>
        <w:tc>
          <w:tcPr>
            <w:tcW w:w="1340" w:type="dxa"/>
            <w:vAlign w:val="bottom"/>
          </w:tcPr>
          <w:p>
            <w:pPr>
              <w:jc w:val="right"/>
              <w:ind w:right="234"/>
              <w:spacing w:after="0"/>
              <w:rPr>
                <w:sz w:val="20"/>
                <w:szCs w:val="20"/>
                <w:color w:val="auto"/>
              </w:rPr>
            </w:pPr>
            <w:r>
              <w:rPr>
                <w:rFonts w:ascii="Arial" w:cs="Arial" w:eastAsia="Arial" w:hAnsi="Arial"/>
                <w:sz w:val="17"/>
                <w:szCs w:val="17"/>
                <w:color w:val="auto"/>
              </w:rPr>
              <w:t>9-30-2019</w:t>
            </w:r>
          </w:p>
        </w:tc>
        <w:tc>
          <w:tcPr>
            <w:tcW w:w="700" w:type="dxa"/>
            <w:vAlign w:val="bottom"/>
          </w:tcPr>
          <w:p>
            <w:pPr>
              <w:jc w:val="right"/>
              <w:spacing w:after="0"/>
              <w:rPr>
                <w:sz w:val="20"/>
                <w:szCs w:val="20"/>
                <w:color w:val="auto"/>
              </w:rPr>
            </w:pPr>
            <w:r>
              <w:rPr>
                <w:rFonts w:ascii="Arial" w:cs="Arial" w:eastAsia="Arial" w:hAnsi="Arial"/>
                <w:sz w:val="17"/>
                <w:szCs w:val="17"/>
                <w:color w:val="auto"/>
              </w:rPr>
              <w:t>10.14</w:t>
            </w:r>
          </w:p>
        </w:tc>
      </w:tr>
      <w:tr>
        <w:trPr>
          <w:trHeight w:val="411"/>
        </w:trPr>
        <w:tc>
          <w:tcPr>
            <w:tcW w:w="660" w:type="dxa"/>
            <w:vAlign w:val="bottom"/>
          </w:tcPr>
          <w:p>
            <w:pPr>
              <w:jc w:val="right"/>
              <w:ind w:right="214"/>
              <w:spacing w:after="0"/>
              <w:rPr>
                <w:sz w:val="20"/>
                <w:szCs w:val="20"/>
                <w:color w:val="auto"/>
              </w:rPr>
            </w:pPr>
            <w:r>
              <w:rPr>
                <w:rFonts w:ascii="Arial" w:cs="Arial" w:eastAsia="Arial" w:hAnsi="Arial"/>
                <w:sz w:val="17"/>
                <w:szCs w:val="17"/>
                <w:color w:val="auto"/>
                <w:w w:val="89"/>
              </w:rPr>
              <w:t>10-Q</w:t>
            </w:r>
          </w:p>
        </w:tc>
        <w:tc>
          <w:tcPr>
            <w:tcW w:w="1340" w:type="dxa"/>
            <w:vAlign w:val="bottom"/>
          </w:tcPr>
          <w:p>
            <w:pPr>
              <w:jc w:val="right"/>
              <w:ind w:right="234"/>
              <w:spacing w:after="0"/>
              <w:rPr>
                <w:sz w:val="20"/>
                <w:szCs w:val="20"/>
                <w:color w:val="auto"/>
              </w:rPr>
            </w:pPr>
            <w:r>
              <w:rPr>
                <w:rFonts w:ascii="Arial" w:cs="Arial" w:eastAsia="Arial" w:hAnsi="Arial"/>
                <w:sz w:val="17"/>
                <w:szCs w:val="17"/>
                <w:color w:val="auto"/>
              </w:rPr>
              <w:t>8-6-2020</w:t>
            </w:r>
          </w:p>
        </w:tc>
        <w:tc>
          <w:tcPr>
            <w:tcW w:w="700" w:type="dxa"/>
            <w:vAlign w:val="bottom"/>
          </w:tcPr>
          <w:p>
            <w:pPr>
              <w:jc w:val="right"/>
              <w:spacing w:after="0"/>
              <w:rPr>
                <w:sz w:val="20"/>
                <w:szCs w:val="20"/>
                <w:color w:val="auto"/>
              </w:rPr>
            </w:pPr>
            <w:r>
              <w:rPr>
                <w:rFonts w:ascii="Arial" w:cs="Arial" w:eastAsia="Arial" w:hAnsi="Arial"/>
                <w:sz w:val="17"/>
                <w:szCs w:val="17"/>
                <w:color w:val="auto"/>
              </w:rPr>
              <w:t>10.1</w:t>
            </w:r>
          </w:p>
        </w:tc>
      </w:tr>
    </w:tbl>
    <w:p>
      <w:pPr>
        <w:spacing w:after="0" w:line="195"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X</w:t>
      </w:r>
    </w:p>
    <w:p>
      <w:pPr>
        <w:spacing w:after="0" w:line="216"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X</w:t>
      </w:r>
    </w:p>
    <w:p>
      <w:pPr>
        <w:spacing w:after="0" w:line="216"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21"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X</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X</w:t>
      </w:r>
    </w:p>
    <w:p>
      <w:pPr>
        <w:spacing w:after="0" w:line="10"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10"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21"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X</w:t>
      </w:r>
    </w:p>
    <w:p>
      <w:pPr>
        <w:spacing w:after="0" w:line="216"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X</w:t>
      </w:r>
    </w:p>
    <w:p>
      <w:pPr>
        <w:spacing w:after="0" w:line="216"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X</w:t>
      </w:r>
    </w:p>
    <w:p>
      <w:pPr>
        <w:spacing w:after="0" w:line="21"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X</w:t>
      </w:r>
    </w:p>
    <w:p>
      <w:pPr>
        <w:spacing w:after="0" w:line="10"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X</w:t>
      </w:r>
    </w:p>
    <w:p>
      <w:pPr>
        <w:spacing w:after="0" w:line="10"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X</w:t>
      </w:r>
    </w:p>
    <w:p>
      <w:pPr>
        <w:spacing w:after="0" w:line="10"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X</w:t>
      </w:r>
    </w:p>
    <w:p>
      <w:pPr>
        <w:spacing w:after="0" w:line="10"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6880" w:space="720"/>
            <w:col w:w="3640"/>
          </w:cols>
          <w:pgMar w:left="320" w:top="317" w:right="339" w:bottom="1440" w:gutter="0" w:footer="0" w:header="0"/>
        </w:sectPr>
      </w:pPr>
    </w:p>
    <w:bookmarkStart w:id="152" w:name="page153"/>
    <w:bookmarkEnd w:id="152"/>
    <w:p>
      <w:pPr>
        <w:ind w:left="417" w:hanging="417"/>
        <w:spacing w:after="0" w:line="265" w:lineRule="auto"/>
        <w:tabs>
          <w:tab w:leader="none" w:pos="417"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380" w:lineRule="exact"/>
        <w:rPr>
          <w:sz w:val="20"/>
          <w:szCs w:val="20"/>
          <w:color w:val="auto"/>
        </w:rPr>
      </w:pPr>
    </w:p>
    <w:p>
      <w:pPr>
        <w:jc w:val="center"/>
        <w:ind w:right="-116"/>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197485</wp:posOffset>
            </wp:positionV>
            <wp:extent cx="718058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137"/>
          </w:cols>
          <w:pgMar w:left="323" w:top="436" w:right="4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7"/>
          <w:szCs w:val="17"/>
          <w:b w:val="1"/>
          <w:bCs w:val="1"/>
          <w:color w:val="auto"/>
        </w:rPr>
        <w:t>SIGNATURES</w:t>
      </w:r>
    </w:p>
    <w:p>
      <w:pPr>
        <w:spacing w:after="0" w:line="183" w:lineRule="exact"/>
        <w:rPr>
          <w:sz w:val="20"/>
          <w:szCs w:val="20"/>
          <w:color w:val="auto"/>
        </w:rPr>
      </w:pPr>
    </w:p>
    <w:p>
      <w:pPr>
        <w:ind w:right="180" w:firstLine="589"/>
        <w:spacing w:after="0" w:line="27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annual report to be signed on its behalf by the undersigned, thereunto duly authorized.</w:t>
      </w:r>
    </w:p>
    <w:p>
      <w:pPr>
        <w:spacing w:after="0" w:line="158"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PHATHOM PHARMACEUTICALS, INC.</w:t>
      </w:r>
    </w:p>
    <w:p>
      <w:pPr>
        <w:spacing w:after="0" w:line="222" w:lineRule="exact"/>
        <w:rPr>
          <w:sz w:val="20"/>
          <w:szCs w:val="20"/>
          <w:color w:val="auto"/>
        </w:rPr>
      </w:pPr>
    </w:p>
    <w:p>
      <w:pPr>
        <w:ind w:left="8440"/>
        <w:spacing w:after="0"/>
        <w:rPr>
          <w:sz w:val="20"/>
          <w:szCs w:val="20"/>
          <w:color w:val="auto"/>
        </w:rPr>
      </w:pPr>
      <w:r>
        <w:rPr>
          <w:rFonts w:ascii="Arial" w:cs="Arial" w:eastAsia="Arial" w:hAnsi="Arial"/>
          <w:sz w:val="17"/>
          <w:szCs w:val="17"/>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14605</wp:posOffset>
            </wp:positionV>
            <wp:extent cx="285559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2855595" cy="8255"/>
                    </a:xfrm>
                    <a:prstGeom prst="rect">
                      <a:avLst/>
                    </a:prstGeom>
                    <a:noFill/>
                  </pic:spPr>
                </pic:pic>
              </a:graphicData>
            </a:graphic>
          </wp:anchor>
        </w:drawing>
      </w:r>
    </w:p>
    <w:p>
      <w:pPr>
        <w:spacing w:after="0" w:line="3" w:lineRule="exact"/>
        <w:rPr>
          <w:sz w:val="20"/>
          <w:szCs w:val="20"/>
          <w:color w:val="auto"/>
        </w:rPr>
      </w:pPr>
    </w:p>
    <w:p>
      <w:pPr>
        <w:ind w:left="8540"/>
        <w:spacing w:after="0"/>
        <w:rPr>
          <w:sz w:val="20"/>
          <w:szCs w:val="20"/>
          <w:color w:val="auto"/>
        </w:rPr>
      </w:pPr>
      <w:r>
        <w:rPr>
          <w:rFonts w:ascii="Arial" w:cs="Arial" w:eastAsia="Arial" w:hAnsi="Arial"/>
          <w:sz w:val="17"/>
          <w:szCs w:val="17"/>
          <w:color w:val="auto"/>
        </w:rPr>
        <w:t>Terrie Curran</w:t>
      </w:r>
    </w:p>
    <w:p>
      <w:pPr>
        <w:spacing w:after="0" w:line="21" w:lineRule="exact"/>
        <w:rPr>
          <w:sz w:val="20"/>
          <w:szCs w:val="20"/>
          <w:color w:val="auto"/>
        </w:rPr>
      </w:pPr>
    </w:p>
    <w:p>
      <w:pPr>
        <w:ind w:left="8180"/>
        <w:spacing w:after="0"/>
        <w:rPr>
          <w:sz w:val="20"/>
          <w:szCs w:val="20"/>
          <w:color w:val="auto"/>
        </w:rPr>
      </w:pPr>
      <w:r>
        <w:rPr>
          <w:rFonts w:ascii="Arial" w:cs="Arial" w:eastAsia="Arial" w:hAnsi="Arial"/>
          <w:sz w:val="17"/>
          <w:szCs w:val="17"/>
          <w:color w:val="auto"/>
        </w:rPr>
        <w:t>Chief Executive Officer</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Date: March 30, 2021</w:t>
      </w:r>
    </w:p>
    <w:p>
      <w:pPr>
        <w:spacing w:after="0" w:line="190" w:lineRule="exact"/>
        <w:rPr>
          <w:sz w:val="20"/>
          <w:szCs w:val="20"/>
          <w:color w:val="auto"/>
        </w:rPr>
      </w:pPr>
    </w:p>
    <w:p>
      <w:pPr>
        <w:ind w:right="220" w:firstLine="589"/>
        <w:spacing w:after="0" w:line="278" w:lineRule="auto"/>
        <w:rPr>
          <w:sz w:val="20"/>
          <w:szCs w:val="20"/>
          <w:color w:val="auto"/>
        </w:rPr>
      </w:pPr>
      <w:r>
        <w:rPr>
          <w:rFonts w:ascii="Arial" w:cs="Arial" w:eastAsia="Arial" w:hAnsi="Arial"/>
          <w:sz w:val="17"/>
          <w:szCs w:val="17"/>
          <w:color w:val="auto"/>
        </w:rPr>
        <w:t>Pursuant to the requirements of the Securities Exchange Act of 1934, this annual report has been signed below by the following persons on behalf of the registrant and in the capacities and on the dates indicated.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6"/>
              </w:rPr>
              <w:t>Signature</w:t>
            </w:r>
          </w:p>
        </w:tc>
        <w:tc>
          <w:tcPr>
            <w:tcW w:w="120" w:type="dxa"/>
            <w:vAlign w:val="bottom"/>
          </w:tcPr>
          <w:p>
            <w:pPr>
              <w:spacing w:after="0"/>
              <w:rPr>
                <w:sz w:val="14"/>
                <w:szCs w:val="14"/>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Title</w:t>
            </w:r>
          </w:p>
        </w:tc>
        <w:tc>
          <w:tcPr>
            <w:tcW w:w="120" w:type="dxa"/>
            <w:vAlign w:val="bottom"/>
          </w:tcPr>
          <w:p>
            <w:pPr>
              <w:spacing w:after="0"/>
              <w:rPr>
                <w:sz w:val="14"/>
                <w:szCs w:val="14"/>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03"/>
        </w:trPr>
        <w:tc>
          <w:tcPr>
            <w:tcW w:w="3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7"/>
                <w:szCs w:val="17"/>
                <w:color w:val="auto"/>
                <w:w w:val="90"/>
              </w:rPr>
              <w:t>/s/ Terrie Curran</w:t>
            </w:r>
          </w:p>
        </w:tc>
        <w:tc>
          <w:tcPr>
            <w:tcW w:w="1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7"/>
                <w:szCs w:val="17"/>
                <w:color w:val="auto"/>
                <w:w w:val="92"/>
              </w:rPr>
              <w:t>President, Chief Executive Officer and</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r>
      <w:tr>
        <w:trPr>
          <w:trHeight w:val="217"/>
        </w:trPr>
        <w:tc>
          <w:tcPr>
            <w:tcW w:w="380" w:type="dxa"/>
            <w:vAlign w:val="bottom"/>
          </w:tcPr>
          <w:p>
            <w:pPr>
              <w:spacing w:after="0"/>
              <w:rPr>
                <w:sz w:val="18"/>
                <w:szCs w:val="18"/>
                <w:color w:val="auto"/>
              </w:rPr>
            </w:pPr>
          </w:p>
        </w:tc>
        <w:tc>
          <w:tcPr>
            <w:tcW w:w="29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6"/>
              </w:rPr>
              <w:t>Terrie Curran</w:t>
            </w:r>
          </w:p>
        </w:tc>
        <w:tc>
          <w:tcPr>
            <w:tcW w:w="12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Arial" w:cs="Arial" w:eastAsia="Arial" w:hAnsi="Arial"/>
                <w:sz w:val="17"/>
                <w:szCs w:val="17"/>
                <w:color w:val="auto"/>
                <w:w w:val="95"/>
              </w:rPr>
              <w:t>Director (Principal Executive Officer)</w:t>
            </w:r>
          </w:p>
        </w:tc>
        <w:tc>
          <w:tcPr>
            <w:tcW w:w="12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406"/>
        </w:trPr>
        <w:tc>
          <w:tcPr>
            <w:tcW w:w="3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7"/>
                <w:szCs w:val="17"/>
                <w:color w:val="auto"/>
                <w:w w:val="90"/>
              </w:rPr>
              <w:t>/s/ Todd P. Branning</w:t>
            </w:r>
          </w:p>
        </w:tc>
        <w:tc>
          <w:tcPr>
            <w:tcW w:w="1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7"/>
                <w:szCs w:val="17"/>
                <w:color w:val="auto"/>
                <w:w w:val="94"/>
              </w:rPr>
              <w:t>Chief Financial Officer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r>
      <w:tr>
        <w:trPr>
          <w:trHeight w:val="175"/>
        </w:trPr>
        <w:tc>
          <w:tcPr>
            <w:tcW w:w="380" w:type="dxa"/>
            <w:vAlign w:val="bottom"/>
          </w:tcPr>
          <w:p>
            <w:pPr>
              <w:spacing w:after="0"/>
              <w:rPr>
                <w:sz w:val="15"/>
                <w:szCs w:val="15"/>
                <w:color w:val="auto"/>
              </w:rPr>
            </w:pPr>
          </w:p>
        </w:tc>
        <w:tc>
          <w:tcPr>
            <w:tcW w:w="2900" w:type="dxa"/>
            <w:vAlign w:val="bottom"/>
            <w:gridSpan w:val="2"/>
          </w:tcPr>
          <w:p>
            <w:pPr>
              <w:jc w:val="center"/>
              <w:ind w:right="380"/>
              <w:spacing w:after="0" w:line="175" w:lineRule="exact"/>
              <w:rPr>
                <w:sz w:val="20"/>
                <w:szCs w:val="20"/>
                <w:color w:val="auto"/>
              </w:rPr>
            </w:pPr>
            <w:r>
              <w:rPr>
                <w:rFonts w:ascii="Arial" w:cs="Arial" w:eastAsia="Arial" w:hAnsi="Arial"/>
                <w:sz w:val="17"/>
                <w:szCs w:val="17"/>
                <w:b w:val="1"/>
                <w:bCs w:val="1"/>
                <w:color w:val="auto"/>
                <w:w w:val="90"/>
              </w:rPr>
              <w:t>Todd P. Branning</w:t>
            </w:r>
          </w:p>
        </w:tc>
        <w:tc>
          <w:tcPr>
            <w:tcW w:w="120" w:type="dxa"/>
            <w:vAlign w:val="bottom"/>
          </w:tcPr>
          <w:p>
            <w:pPr>
              <w:spacing w:after="0"/>
              <w:rPr>
                <w:sz w:val="15"/>
                <w:szCs w:val="15"/>
                <w:color w:val="auto"/>
              </w:rPr>
            </w:pPr>
          </w:p>
        </w:tc>
        <w:tc>
          <w:tcPr>
            <w:tcW w:w="4460" w:type="dxa"/>
            <w:vAlign w:val="bottom"/>
          </w:tcPr>
          <w:p>
            <w:pPr>
              <w:jc w:val="center"/>
              <w:spacing w:after="0" w:line="175" w:lineRule="exact"/>
              <w:rPr>
                <w:sz w:val="20"/>
                <w:szCs w:val="20"/>
                <w:color w:val="auto"/>
              </w:rPr>
            </w:pPr>
            <w:r>
              <w:rPr>
                <w:rFonts w:ascii="Arial" w:cs="Arial" w:eastAsia="Arial" w:hAnsi="Arial"/>
                <w:sz w:val="17"/>
                <w:szCs w:val="17"/>
                <w:color w:val="auto"/>
                <w:w w:val="93"/>
              </w:rPr>
              <w:t>(Principal Financial and</w:t>
            </w:r>
          </w:p>
        </w:tc>
        <w:tc>
          <w:tcPr>
            <w:tcW w:w="12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217"/>
        </w:trPr>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60" w:type="dxa"/>
            <w:vAlign w:val="bottom"/>
          </w:tcPr>
          <w:p>
            <w:pPr>
              <w:jc w:val="center"/>
              <w:spacing w:after="0"/>
              <w:rPr>
                <w:sz w:val="20"/>
                <w:szCs w:val="20"/>
                <w:color w:val="auto"/>
              </w:rPr>
            </w:pPr>
            <w:r>
              <w:rPr>
                <w:rFonts w:ascii="Arial" w:cs="Arial" w:eastAsia="Arial" w:hAnsi="Arial"/>
                <w:sz w:val="17"/>
                <w:szCs w:val="17"/>
                <w:color w:val="auto"/>
                <w:w w:val="95"/>
              </w:rPr>
              <w:t>Accounting Officer)</w:t>
            </w:r>
          </w:p>
        </w:tc>
        <w:tc>
          <w:tcPr>
            <w:tcW w:w="12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425"/>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7"/>
                <w:szCs w:val="17"/>
                <w:color w:val="auto"/>
                <w:w w:val="92"/>
              </w:rPr>
              <w:t>Chairman of the Board of Directors</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r>
      <w:tr>
        <w:trPr>
          <w:trHeight w:val="216"/>
        </w:trPr>
        <w:tc>
          <w:tcPr>
            <w:tcW w:w="380" w:type="dxa"/>
            <w:vAlign w:val="bottom"/>
          </w:tcPr>
          <w:p>
            <w:pPr>
              <w:spacing w:after="0"/>
              <w:rPr>
                <w:sz w:val="18"/>
                <w:szCs w:val="18"/>
                <w:color w:val="auto"/>
              </w:rPr>
            </w:pPr>
          </w:p>
        </w:tc>
        <w:tc>
          <w:tcPr>
            <w:tcW w:w="29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5"/>
              </w:rPr>
              <w:t>Tadataka Yamada, M.D.</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406"/>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r>
      <w:tr>
        <w:trPr>
          <w:trHeight w:val="216"/>
        </w:trPr>
        <w:tc>
          <w:tcPr>
            <w:tcW w:w="380" w:type="dxa"/>
            <w:vAlign w:val="bottom"/>
          </w:tcPr>
          <w:p>
            <w:pPr>
              <w:spacing w:after="0"/>
              <w:rPr>
                <w:sz w:val="18"/>
                <w:szCs w:val="18"/>
                <w:color w:val="auto"/>
              </w:rPr>
            </w:pPr>
          </w:p>
        </w:tc>
        <w:tc>
          <w:tcPr>
            <w:tcW w:w="29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3"/>
              </w:rPr>
              <w:t>Michael F. Cola</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406"/>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r>
      <w:tr>
        <w:trPr>
          <w:trHeight w:val="216"/>
        </w:trPr>
        <w:tc>
          <w:tcPr>
            <w:tcW w:w="380" w:type="dxa"/>
            <w:vAlign w:val="bottom"/>
          </w:tcPr>
          <w:p>
            <w:pPr>
              <w:spacing w:after="0"/>
              <w:rPr>
                <w:sz w:val="18"/>
                <w:szCs w:val="18"/>
                <w:color w:val="auto"/>
              </w:rPr>
            </w:pPr>
          </w:p>
        </w:tc>
        <w:tc>
          <w:tcPr>
            <w:tcW w:w="29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5"/>
              </w:rPr>
              <w:t>Heidi Kunz</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432"/>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r>
      <w:tr>
        <w:trPr>
          <w:trHeight w:val="216"/>
        </w:trPr>
        <w:tc>
          <w:tcPr>
            <w:tcW w:w="380" w:type="dxa"/>
            <w:vAlign w:val="bottom"/>
          </w:tcPr>
          <w:p>
            <w:pPr>
              <w:spacing w:after="0"/>
              <w:rPr>
                <w:sz w:val="18"/>
                <w:szCs w:val="18"/>
                <w:color w:val="auto"/>
              </w:rPr>
            </w:pPr>
          </w:p>
        </w:tc>
        <w:tc>
          <w:tcPr>
            <w:tcW w:w="29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6"/>
              </w:rPr>
              <w:t>Asit Parikh, M.D., Ph.D.</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93"/>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r>
      <w:tr>
        <w:trPr>
          <w:trHeight w:val="216"/>
        </w:trPr>
        <w:tc>
          <w:tcPr>
            <w:tcW w:w="380" w:type="dxa"/>
            <w:vAlign w:val="bottom"/>
          </w:tcPr>
          <w:p>
            <w:pPr>
              <w:spacing w:after="0"/>
              <w:rPr>
                <w:sz w:val="18"/>
                <w:szCs w:val="18"/>
                <w:color w:val="auto"/>
              </w:rPr>
            </w:pPr>
          </w:p>
        </w:tc>
        <w:tc>
          <w:tcPr>
            <w:tcW w:w="29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David Socks</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406"/>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r>
      <w:tr>
        <w:trPr>
          <w:trHeight w:val="216"/>
        </w:trPr>
        <w:tc>
          <w:tcPr>
            <w:tcW w:w="380" w:type="dxa"/>
            <w:vAlign w:val="bottom"/>
          </w:tcPr>
          <w:p>
            <w:pPr>
              <w:spacing w:after="0"/>
              <w:rPr>
                <w:sz w:val="18"/>
                <w:szCs w:val="18"/>
                <w:color w:val="auto"/>
              </w:rPr>
            </w:pPr>
          </w:p>
        </w:tc>
        <w:tc>
          <w:tcPr>
            <w:tcW w:w="29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1"/>
              </w:rPr>
              <w:t>Mark Stenhouse</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393"/>
        </w:trPr>
        <w:tc>
          <w:tcPr>
            <w:tcW w:w="32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4460" w:type="dxa"/>
            <w:vAlign w:val="bottom"/>
          </w:tcPr>
          <w:p>
            <w:pPr>
              <w:jc w:val="center"/>
              <w:spacing w:after="0"/>
              <w:rPr>
                <w:sz w:val="20"/>
                <w:szCs w:val="20"/>
                <w:color w:val="auto"/>
              </w:rPr>
            </w:pPr>
            <w:r>
              <w:rPr>
                <w:rFonts w:ascii="Arial" w:cs="Arial" w:eastAsia="Arial" w:hAnsi="Arial"/>
                <w:sz w:val="17"/>
                <w:szCs w:val="17"/>
                <w:color w:val="auto"/>
                <w:w w:val="97"/>
              </w:rPr>
              <w:t>Director</w:t>
            </w:r>
          </w:p>
        </w:tc>
        <w:tc>
          <w:tcPr>
            <w:tcW w:w="120" w:type="dxa"/>
            <w:vAlign w:val="bottom"/>
          </w:tcPr>
          <w:p>
            <w:pPr>
              <w:spacing w:after="0"/>
              <w:rPr>
                <w:sz w:val="24"/>
                <w:szCs w:val="24"/>
                <w:color w:val="auto"/>
              </w:rPr>
            </w:pPr>
          </w:p>
        </w:tc>
        <w:tc>
          <w:tcPr>
            <w:tcW w:w="3260" w:type="dxa"/>
            <w:vAlign w:val="bottom"/>
          </w:tcPr>
          <w:p>
            <w:pPr>
              <w:jc w:val="center"/>
              <w:spacing w:after="0"/>
              <w:rPr>
                <w:sz w:val="20"/>
                <w:szCs w:val="20"/>
                <w:color w:val="auto"/>
              </w:rPr>
            </w:pPr>
            <w:r>
              <w:rPr>
                <w:rFonts w:ascii="Arial" w:cs="Arial" w:eastAsia="Arial" w:hAnsi="Arial"/>
                <w:sz w:val="17"/>
                <w:szCs w:val="17"/>
                <w:color w:val="auto"/>
                <w:w w:val="93"/>
              </w:rPr>
              <w:t>March 30, 2021</w:t>
            </w:r>
          </w:p>
        </w:tc>
      </w:tr>
      <w:tr>
        <w:trPr>
          <w:trHeight w:val="216"/>
        </w:trPr>
        <w:tc>
          <w:tcPr>
            <w:tcW w:w="380" w:type="dxa"/>
            <w:vAlign w:val="bottom"/>
          </w:tcPr>
          <w:p>
            <w:pPr>
              <w:spacing w:after="0"/>
              <w:rPr>
                <w:sz w:val="18"/>
                <w:szCs w:val="18"/>
                <w:color w:val="auto"/>
              </w:rPr>
            </w:pPr>
          </w:p>
        </w:tc>
        <w:tc>
          <w:tcPr>
            <w:tcW w:w="29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1"/>
              </w:rPr>
              <w:t>James Topper, M.D., Ph.D.</w:t>
            </w:r>
          </w:p>
        </w:tc>
        <w:tc>
          <w:tcPr>
            <w:tcW w:w="1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574"/>
        </w:trPr>
        <w:tc>
          <w:tcPr>
            <w:tcW w:w="3280" w:type="dxa"/>
            <w:vAlign w:val="bottom"/>
            <w:gridSpan w:val="3"/>
          </w:tcPr>
          <w:p>
            <w:pPr>
              <w:spacing w:after="0"/>
              <w:rPr>
                <w:sz w:val="20"/>
                <w:szCs w:val="20"/>
                <w:color w:val="auto"/>
              </w:rPr>
            </w:pPr>
            <w:r>
              <w:rPr>
                <w:rFonts w:ascii="Arial" w:cs="Arial" w:eastAsia="Arial" w:hAnsi="Arial"/>
                <w:sz w:val="17"/>
                <w:szCs w:val="17"/>
                <w:color w:val="auto"/>
              </w:rPr>
              <w:t>*By: /s/ Terrie Curran</w:t>
            </w:r>
          </w:p>
        </w:tc>
        <w:tc>
          <w:tcPr>
            <w:tcW w:w="1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23"/>
        </w:trPr>
        <w:tc>
          <w:tcPr>
            <w:tcW w:w="3280" w:type="dxa"/>
            <w:vAlign w:val="bottom"/>
            <w:gridSpan w:val="3"/>
          </w:tcPr>
          <w:p>
            <w:pPr>
              <w:spacing w:after="0"/>
              <w:rPr>
                <w:sz w:val="20"/>
                <w:szCs w:val="20"/>
                <w:color w:val="auto"/>
              </w:rPr>
            </w:pPr>
            <w:r>
              <w:rPr>
                <w:rFonts w:ascii="Arial" w:cs="Arial" w:eastAsia="Arial" w:hAnsi="Arial"/>
                <w:sz w:val="17"/>
                <w:szCs w:val="17"/>
                <w:color w:val="auto"/>
              </w:rPr>
              <w:t>Terrie Curran, Attorney-in-fact</w:t>
            </w:r>
          </w:p>
        </w:tc>
        <w:tc>
          <w:tcPr>
            <w:tcW w:w="1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60" w:type="dxa"/>
            <w:vAlign w:val="bottom"/>
          </w:tcPr>
          <w:p>
            <w:pPr>
              <w:spacing w:after="0"/>
              <w:rPr>
                <w:sz w:val="19"/>
                <w:szCs w:val="19"/>
                <w:color w:val="auto"/>
              </w:rPr>
            </w:pPr>
          </w:p>
        </w:tc>
      </w:tr>
      <w:tr>
        <w:trPr>
          <w:trHeight w:val="822"/>
        </w:trPr>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580" w:type="dxa"/>
            <w:vAlign w:val="bottom"/>
            <w:gridSpan w:val="2"/>
          </w:tcPr>
          <w:p>
            <w:pPr>
              <w:jc w:val="center"/>
              <w:ind w:left="34"/>
              <w:spacing w:after="0"/>
              <w:rPr>
                <w:sz w:val="20"/>
                <w:szCs w:val="20"/>
                <w:color w:val="auto"/>
              </w:rPr>
            </w:pPr>
            <w:r>
              <w:rPr>
                <w:rFonts w:ascii="Arial" w:cs="Arial" w:eastAsia="Arial" w:hAnsi="Arial"/>
                <w:sz w:val="17"/>
                <w:szCs w:val="17"/>
                <w:color w:val="auto"/>
                <w:w w:val="91"/>
              </w:rPr>
              <w:t>129</w:t>
            </w:r>
          </w:p>
        </w:tc>
        <w:tc>
          <w:tcPr>
            <w:tcW w:w="120" w:type="dxa"/>
            <w:vAlign w:val="bottom"/>
          </w:tcPr>
          <w:p>
            <w:pPr>
              <w:spacing w:after="0"/>
              <w:rPr>
                <w:sz w:val="24"/>
                <w:szCs w:val="24"/>
                <w:color w:val="auto"/>
              </w:rPr>
            </w:pPr>
          </w:p>
        </w:tc>
        <w:tc>
          <w:tcPr>
            <w:tcW w:w="3260" w:type="dxa"/>
            <w:vAlign w:val="bottom"/>
          </w:tcPr>
          <w:p>
            <w:pPr>
              <w:spacing w:after="0"/>
              <w:rPr>
                <w:sz w:val="24"/>
                <w:szCs w:val="24"/>
                <w:color w:val="auto"/>
              </w:rPr>
            </w:pPr>
          </w:p>
        </w:tc>
      </w:tr>
    </w:tbl>
    <w:p>
      <w:pPr>
        <w:sectPr>
          <w:pgSz w:w="11900" w:h="16838" w:orient="portrait"/>
          <w:cols w:equalWidth="0" w:num="1">
            <w:col w:w="11240"/>
          </w:cols>
          <w:pgMar w:left="320" w:top="327"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9"/>
          <w:szCs w:val="19"/>
          <w:b w:val="1"/>
          <w:bCs w:val="1"/>
          <w:color w:val="auto"/>
        </w:rPr>
        <w:t>Exhibit 4.6</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9"/>
          <w:szCs w:val="19"/>
          <w:b w:val="1"/>
          <w:bCs w:val="1"/>
          <w:color w:val="auto"/>
        </w:rPr>
        <w:t>Exhibit 4.6</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9"/>
          <w:szCs w:val="19"/>
          <w:b w:val="1"/>
          <w:bCs w:val="1"/>
          <w:u w:val="single" w:color="auto"/>
          <w:color w:val="auto"/>
        </w:rPr>
        <w:t>DESCRIPTION OF THE REGISTRANT’S SECURITIES REGISTERED PURSUANT TO SECTION 12 OF THE SECURITIES</w:t>
      </w:r>
    </w:p>
    <w:p>
      <w:pPr>
        <w:ind w:left="4500"/>
        <w:spacing w:after="0"/>
        <w:rPr>
          <w:sz w:val="20"/>
          <w:szCs w:val="20"/>
          <w:color w:val="auto"/>
        </w:rPr>
      </w:pPr>
      <w:r>
        <w:rPr>
          <w:rFonts w:ascii="Arial" w:cs="Arial" w:eastAsia="Arial" w:hAnsi="Arial"/>
          <w:sz w:val="19"/>
          <w:szCs w:val="19"/>
          <w:b w:val="1"/>
          <w:bCs w:val="1"/>
          <w:u w:val="single" w:color="auto"/>
          <w:color w:val="auto"/>
        </w:rPr>
        <w:t>EXCHANGE ACT OF 1934</w:t>
      </w:r>
    </w:p>
    <w:p>
      <w:pPr>
        <w:spacing w:after="0" w:line="87" w:lineRule="exact"/>
        <w:rPr>
          <w:sz w:val="20"/>
          <w:szCs w:val="20"/>
          <w:color w:val="auto"/>
        </w:rPr>
      </w:pPr>
    </w:p>
    <w:p>
      <w:pPr>
        <w:jc w:val="both"/>
        <w:ind w:right="80"/>
        <w:spacing w:after="0" w:line="263" w:lineRule="auto"/>
        <w:rPr>
          <w:sz w:val="20"/>
          <w:szCs w:val="20"/>
          <w:color w:val="auto"/>
        </w:rPr>
      </w:pPr>
      <w:r>
        <w:rPr>
          <w:rFonts w:ascii="Arial" w:cs="Arial" w:eastAsia="Arial" w:hAnsi="Arial"/>
          <w:sz w:val="19"/>
          <w:szCs w:val="19"/>
          <w:color w:val="auto"/>
        </w:rPr>
        <w:t>As of December 31, 2020, Phathom Pharmaceuticals, Inc. (“we,” “us” and “our”) had one class of securities registered pursuant to Section 12 of the Securities Exchange Act of 1934, as amended: our common stock.</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General</w:t>
      </w:r>
    </w:p>
    <w:p>
      <w:pPr>
        <w:spacing w:after="0" w:line="10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following description summarizes some of the terms of our common stock. Because it is only a summary, it does not contain all the information that may be important to you and is subject to and qualified in its entirety by reference to our amended and restated certificate of incorporation (the “certificate of incorporation”), and amended and restated Bylaws (“bylaws”), which are filed as exhibits to our most recent Annual Report on Form 10-K and are incorporated by reference herein. We encourage you to read our certificate of incorporation and our bylaws for additional information.</w:t>
      </w:r>
    </w:p>
    <w:p>
      <w:pPr>
        <w:spacing w:after="0" w:line="45" w:lineRule="exact"/>
        <w:rPr>
          <w:sz w:val="20"/>
          <w:szCs w:val="20"/>
          <w:color w:val="auto"/>
        </w:rPr>
      </w:pPr>
    </w:p>
    <w:p>
      <w:pPr>
        <w:ind w:right="760"/>
        <w:spacing w:after="0" w:line="263" w:lineRule="auto"/>
        <w:rPr>
          <w:sz w:val="20"/>
          <w:szCs w:val="20"/>
          <w:color w:val="auto"/>
        </w:rPr>
      </w:pPr>
      <w:r>
        <w:rPr>
          <w:rFonts w:ascii="Arial" w:cs="Arial" w:eastAsia="Arial" w:hAnsi="Arial"/>
          <w:sz w:val="19"/>
          <w:szCs w:val="19"/>
          <w:color w:val="auto"/>
        </w:rPr>
        <w:t>As of December 31, 2020, our authorized capital stock consisted of 400,000,000 shares of common stock, $0.0001 par value per share, and 40,000,000 shares of preferred stock, $0.0001 par value per share.</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Voting Rights</w:t>
      </w:r>
    </w:p>
    <w:p>
      <w:pPr>
        <w:spacing w:after="0" w:line="10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w:t>
      </w:r>
    </w:p>
    <w:p>
      <w:pPr>
        <w:spacing w:after="0" w:line="7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Dividend Rights</w:t>
      </w:r>
    </w:p>
    <w:p>
      <w:pPr>
        <w:spacing w:after="0" w:line="103" w:lineRule="exact"/>
        <w:rPr>
          <w:sz w:val="20"/>
          <w:szCs w:val="20"/>
          <w:color w:val="auto"/>
        </w:rPr>
      </w:pPr>
    </w:p>
    <w:p>
      <w:pPr>
        <w:ind w:right="140"/>
        <w:spacing w:after="0" w:line="263" w:lineRule="auto"/>
        <w:rPr>
          <w:sz w:val="20"/>
          <w:szCs w:val="20"/>
          <w:color w:val="auto"/>
        </w:rPr>
      </w:pPr>
      <w:r>
        <w:rPr>
          <w:rFonts w:ascii="Arial" w:cs="Arial" w:eastAsia="Arial" w:hAnsi="Arial"/>
          <w:sz w:val="19"/>
          <w:szCs w:val="19"/>
          <w:color w:val="auto"/>
        </w:rPr>
        <w:t>Subject to preferences that may be applicable to any then outstanding preferred stock, holders of common stock are entitled to receive ratably those dividends, if any, as may be declared by the board of directors out of legally available funds.</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Liquidation Rights</w:t>
      </w:r>
    </w:p>
    <w:p>
      <w:pPr>
        <w:spacing w:after="0" w:line="103" w:lineRule="exact"/>
        <w:rPr>
          <w:sz w:val="20"/>
          <w:szCs w:val="20"/>
          <w:color w:val="auto"/>
        </w:rPr>
      </w:pPr>
    </w:p>
    <w:p>
      <w:pPr>
        <w:ind w:right="60"/>
        <w:spacing w:after="0" w:line="251" w:lineRule="auto"/>
        <w:rPr>
          <w:sz w:val="20"/>
          <w:szCs w:val="20"/>
          <w:color w:val="auto"/>
        </w:rPr>
      </w:pPr>
      <w:r>
        <w:rPr>
          <w:rFonts w:ascii="Arial" w:cs="Arial" w:eastAsia="Arial" w:hAnsi="Arial"/>
          <w:sz w:val="19"/>
          <w:szCs w:val="19"/>
          <w:color w:val="auto"/>
        </w:rPr>
        <w:t>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Rights and Preferences</w:t>
      </w:r>
    </w:p>
    <w:p>
      <w:pPr>
        <w:spacing w:after="0" w:line="103" w:lineRule="exact"/>
        <w:rPr>
          <w:sz w:val="20"/>
          <w:szCs w:val="20"/>
          <w:color w:val="auto"/>
        </w:rPr>
      </w:pPr>
    </w:p>
    <w:p>
      <w:pPr>
        <w:ind w:right="680"/>
        <w:spacing w:after="0" w:line="263" w:lineRule="auto"/>
        <w:rPr>
          <w:sz w:val="20"/>
          <w:szCs w:val="20"/>
          <w:color w:val="auto"/>
        </w:rPr>
      </w:pPr>
      <w:r>
        <w:rPr>
          <w:rFonts w:ascii="Arial" w:cs="Arial" w:eastAsia="Arial" w:hAnsi="Arial"/>
          <w:sz w:val="19"/>
          <w:szCs w:val="19"/>
          <w:color w:val="auto"/>
        </w:rPr>
        <w:t>Holders of common stock have no preemptive or conversion rights or other subscription rights and there are no redemption or sinking funds provisions applicable to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306070</wp:posOffset>
            </wp:positionV>
            <wp:extent cx="718058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5" w:name="page156"/>
    <w:bookmarkEnd w:id="155"/>
    <w:p>
      <w:pPr>
        <w:spacing w:after="0"/>
        <w:rPr>
          <w:sz w:val="20"/>
          <w:szCs w:val="20"/>
          <w:color w:val="auto"/>
        </w:rPr>
      </w:pPr>
      <w:r>
        <w:rPr>
          <w:rFonts w:ascii="Arial" w:cs="Arial" w:eastAsia="Arial" w:hAnsi="Arial"/>
          <w:sz w:val="19"/>
          <w:szCs w:val="19"/>
          <w:i w:val="1"/>
          <w:iCs w:val="1"/>
          <w:color w:val="auto"/>
        </w:rPr>
        <w:t>Fully paid and nonassessable</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The outstanding shares of common stock are duly authorized, validly issued, fully paid and nonassessable.</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Transfer Agent and Registrar</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The transfer agent and registrar for our common stock is Computershare Trust Company, N.A.</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The Nasdaq Global Market Listing</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Our common stock is listed and traded on the Nasdaq Global Select Market under the ticker symbol “PHAT.”</w:t>
      </w:r>
    </w:p>
    <w:p>
      <w:pPr>
        <w:spacing w:after="0" w:line="9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Anti-Takeover Effects of Delaware Law and Our Certificate of Incorporation and Bylaws</w:t>
      </w:r>
    </w:p>
    <w:p>
      <w:pPr>
        <w:spacing w:after="0" w:line="109"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These provisions, summarized below, are intended to discourage coercive takeover practices and inadequate takeover bids.</w:t>
      </w:r>
    </w:p>
    <w:p>
      <w:pPr>
        <w:spacing w:after="0" w:line="68"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color w:val="auto"/>
        </w:rPr>
        <w:t>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Undesignated Preferred Stock</w:t>
      </w:r>
    </w:p>
    <w:p>
      <w:pPr>
        <w:spacing w:after="0" w:line="103" w:lineRule="exact"/>
        <w:rPr>
          <w:sz w:val="20"/>
          <w:szCs w:val="20"/>
          <w:color w:val="auto"/>
        </w:rPr>
      </w:pPr>
    </w:p>
    <w:p>
      <w:pPr>
        <w:spacing w:after="0" w:line="295" w:lineRule="auto"/>
        <w:rPr>
          <w:sz w:val="20"/>
          <w:szCs w:val="20"/>
          <w:color w:val="auto"/>
        </w:rPr>
      </w:pPr>
      <w:r>
        <w:rPr>
          <w:rFonts w:ascii="Arial" w:cs="Arial" w:eastAsia="Arial" w:hAnsi="Arial"/>
          <w:sz w:val="17"/>
          <w:szCs w:val="17"/>
          <w:color w:val="auto"/>
        </w:rPr>
        <w:t>The ability of our board of directors, without action by the stockholders, to issue up to 40,000,000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Stockholder Meetings</w:t>
      </w:r>
    </w:p>
    <w:p>
      <w:pPr>
        <w:spacing w:after="0" w:line="103"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Requirements for Advance Notification of Stockholder Nominations and Proposals</w:t>
      </w:r>
    </w:p>
    <w:p>
      <w:pPr>
        <w:spacing w:after="0" w:line="103" w:lineRule="exact"/>
        <w:rPr>
          <w:sz w:val="20"/>
          <w:szCs w:val="20"/>
          <w:color w:val="auto"/>
        </w:rPr>
      </w:pPr>
    </w:p>
    <w:p>
      <w:pPr>
        <w:ind w:right="160"/>
        <w:spacing w:after="0" w:line="251" w:lineRule="auto"/>
        <w:rPr>
          <w:sz w:val="20"/>
          <w:szCs w:val="20"/>
          <w:color w:val="auto"/>
        </w:rPr>
      </w:pPr>
      <w:r>
        <w:rPr>
          <w:rFonts w:ascii="Arial" w:cs="Arial" w:eastAsia="Arial" w:hAnsi="Arial"/>
          <w:sz w:val="19"/>
          <w:szCs w:val="19"/>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Elimination of Stockholder Action by Written Consent</w:t>
      </w:r>
    </w:p>
    <w:p>
      <w:pPr>
        <w:spacing w:after="0" w:line="103" w:lineRule="exact"/>
        <w:rPr>
          <w:sz w:val="20"/>
          <w:szCs w:val="20"/>
          <w:color w:val="auto"/>
        </w:rPr>
      </w:pPr>
    </w:p>
    <w:p>
      <w:pPr>
        <w:ind w:right="100"/>
        <w:spacing w:after="0" w:line="263" w:lineRule="auto"/>
        <w:rPr>
          <w:sz w:val="20"/>
          <w:szCs w:val="20"/>
          <w:color w:val="auto"/>
        </w:rPr>
      </w:pPr>
      <w:r>
        <w:rPr>
          <w:rFonts w:ascii="Arial" w:cs="Arial" w:eastAsia="Arial" w:hAnsi="Arial"/>
          <w:sz w:val="19"/>
          <w:szCs w:val="19"/>
          <w:color w:val="auto"/>
        </w:rPr>
        <w:t>Our amended and restated certificate of incorporation and amended and restated bylaws eliminate the right of stockholders to act by written consent without a meeting.</w:t>
      </w:r>
    </w:p>
    <w:p>
      <w:pPr>
        <w:spacing w:after="0" w:line="6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Staggered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128270</wp:posOffset>
            </wp:positionV>
            <wp:extent cx="718058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6" w:name="page157"/>
    <w:bookmarkEnd w:id="156"/>
    <w:p>
      <w:pPr>
        <w:ind w:right="120"/>
        <w:spacing w:after="0" w:line="251" w:lineRule="auto"/>
        <w:rPr>
          <w:sz w:val="20"/>
          <w:szCs w:val="20"/>
          <w:color w:val="auto"/>
        </w:rPr>
      </w:pPr>
      <w:r>
        <w:rPr>
          <w:rFonts w:ascii="Arial" w:cs="Arial" w:eastAsia="Arial" w:hAnsi="Arial"/>
          <w:sz w:val="19"/>
          <w:szCs w:val="19"/>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attempting to obtain control of us, because it generally makes it more difficult for stockholders to replace a majority of the directors.</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Removal of Directors</w:t>
      </w:r>
    </w:p>
    <w:p>
      <w:pPr>
        <w:spacing w:after="0" w:line="103" w:lineRule="exact"/>
        <w:rPr>
          <w:sz w:val="20"/>
          <w:szCs w:val="20"/>
          <w:color w:val="auto"/>
        </w:rPr>
      </w:pPr>
    </w:p>
    <w:p>
      <w:pPr>
        <w:ind w:right="360"/>
        <w:spacing w:after="0" w:line="251" w:lineRule="auto"/>
        <w:rPr>
          <w:sz w:val="20"/>
          <w:szCs w:val="20"/>
          <w:color w:val="auto"/>
        </w:rPr>
      </w:pPr>
      <w:r>
        <w:rPr>
          <w:rFonts w:ascii="Arial" w:cs="Arial" w:eastAsia="Arial" w:hAnsi="Arial"/>
          <w:sz w:val="19"/>
          <w:szCs w:val="19"/>
          <w:color w:val="auto"/>
        </w:rPr>
        <w:t>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Stockholders Not Entitled to Cumulative Voting</w:t>
      </w:r>
    </w:p>
    <w:p>
      <w:pPr>
        <w:spacing w:after="0" w:line="103"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Delaware Anti-Takeover Statute</w:t>
      </w:r>
    </w:p>
    <w:p>
      <w:pPr>
        <w:spacing w:after="0" w:line="103" w:lineRule="exact"/>
        <w:rPr>
          <w:sz w:val="20"/>
          <w:szCs w:val="20"/>
          <w:color w:val="auto"/>
        </w:rPr>
      </w:pPr>
    </w:p>
    <w:p>
      <w:pPr>
        <w:ind w:right="40"/>
        <w:spacing w:after="0" w:line="243" w:lineRule="auto"/>
        <w:rPr>
          <w:sz w:val="20"/>
          <w:szCs w:val="20"/>
          <w:color w:val="auto"/>
        </w:rPr>
      </w:pPr>
      <w:r>
        <w:rPr>
          <w:rFonts w:ascii="Arial" w:cs="Arial" w:eastAsia="Arial" w:hAnsi="Arial"/>
          <w:sz w:val="19"/>
          <w:szCs w:val="19"/>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80"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Choice of Forum</w:t>
      </w:r>
    </w:p>
    <w:p>
      <w:pPr>
        <w:spacing w:after="0" w:line="10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form, the Court of Chancery of the State of Delaware will be the sole and exclusive forum under Delaware statutory or common law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This provision would not apply to suits brought to enforce a duty or liability created by the Securities Exchange Act of 1934 (the “Exchange Act”), or any other claim for which the federal courts have exclusive jurisdiction.</w:t>
      </w:r>
    </w:p>
    <w:p>
      <w:pPr>
        <w:spacing w:after="0" w:line="5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addition, our bylaws provide that unless we consent in writing to the selection of an alternative forum, the federal district courts of the United States shall be the exclusive forum for the resolution of any complaint asserting a cause of action arising under the Securities Act of 1933, as amended (the “Securities Act”). Our certificate of incorporation and bylaws each provide that any person or entity purchasing or otherwise acquiring any interest in shares of our capital stock will be deemed to have notice of and to have consented to this choice of forum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91440</wp:posOffset>
            </wp:positionV>
            <wp:extent cx="718058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57" w:name="page158"/>
    <w:bookmarkEnd w:id="157"/>
    <w:p>
      <w:pPr>
        <w:jc w:val="both"/>
        <w:ind w:right="100"/>
        <w:spacing w:after="0" w:line="247" w:lineRule="auto"/>
        <w:rPr>
          <w:sz w:val="20"/>
          <w:szCs w:val="20"/>
          <w:color w:val="auto"/>
        </w:rPr>
      </w:pPr>
      <w:r>
        <w:rPr>
          <w:rFonts w:ascii="Arial" w:cs="Arial" w:eastAsia="Arial" w:hAnsi="Arial"/>
          <w:sz w:val="19"/>
          <w:szCs w:val="19"/>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Amendment of Charter Provisions</w:t>
      </w:r>
    </w:p>
    <w:p>
      <w:pPr>
        <w:spacing w:after="0" w:line="103" w:lineRule="exact"/>
        <w:rPr>
          <w:sz w:val="20"/>
          <w:szCs w:val="20"/>
          <w:color w:val="auto"/>
        </w:rPr>
      </w:pPr>
    </w:p>
    <w:p>
      <w:pPr>
        <w:ind w:right="40"/>
        <w:spacing w:after="0" w:line="263" w:lineRule="auto"/>
        <w:rPr>
          <w:sz w:val="20"/>
          <w:szCs w:val="20"/>
          <w:color w:val="auto"/>
        </w:rPr>
      </w:pPr>
      <w:r>
        <w:rPr>
          <w:rFonts w:ascii="Arial" w:cs="Arial" w:eastAsia="Arial" w:hAnsi="Arial"/>
          <w:sz w:val="19"/>
          <w:szCs w:val="19"/>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6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sectPr>
          <w:pgSz w:w="11900" w:h="16838" w:orient="portrait"/>
          <w:cols w:equalWidth="0" w:num="1">
            <w:col w:w="11220"/>
          </w:cols>
          <w:pgMar w:left="320" w:top="341" w:right="359" w:bottom="1440" w:gutter="0" w:footer="0" w:header="0"/>
        </w:sectPr>
      </w:pPr>
    </w:p>
    <w:bookmarkStart w:id="158" w:name="page159"/>
    <w:bookmarkEnd w:id="158"/>
    <w:p>
      <w:pPr>
        <w:ind w:left="10280"/>
        <w:spacing w:after="0"/>
        <w:rPr>
          <w:sz w:val="20"/>
          <w:szCs w:val="20"/>
          <w:color w:val="auto"/>
        </w:rPr>
      </w:pPr>
      <w:r>
        <w:rPr>
          <w:rFonts w:ascii="Arial" w:cs="Arial" w:eastAsia="Arial" w:hAnsi="Arial"/>
          <w:sz w:val="15"/>
          <w:szCs w:val="15"/>
          <w:b w:val="1"/>
          <w:bCs w:val="1"/>
          <w:color w:val="auto"/>
        </w:rPr>
        <w:t>Exhibit 10.20</w:t>
      </w:r>
    </w:p>
    <w:p>
      <w:pPr>
        <w:spacing w:after="0" w:line="239" w:lineRule="exact"/>
        <w:rPr>
          <w:sz w:val="20"/>
          <w:szCs w:val="20"/>
          <w:color w:val="auto"/>
        </w:rPr>
      </w:pPr>
    </w:p>
    <w:p>
      <w:pPr>
        <w:ind w:right="300"/>
        <w:spacing w:after="0" w:line="269" w:lineRule="auto"/>
        <w:rPr>
          <w:sz w:val="20"/>
          <w:szCs w:val="20"/>
          <w:color w:val="auto"/>
        </w:rPr>
      </w:pPr>
      <w:r>
        <w:rPr>
          <w:rFonts w:ascii="Arial" w:cs="Arial" w:eastAsia="Arial" w:hAnsi="Arial"/>
          <w:sz w:val="17"/>
          <w:szCs w:val="17"/>
          <w:b w:val="1"/>
          <w:bCs w:val="1"/>
          <w:color w:val="auto"/>
        </w:rPr>
        <w:t>CERTAIN IDENTIFIED INFORMATION HAS BEEN EXCLUDED FROM THIS EXHIBIT BECAUSE IT IS NOT MATERIAL AND WOULD LIKELY CAUSE COMPETITIVE HARM TO THE REGISTRANT IF PUBLICLY DISCLOSED. THE OMISSIONS HAVE BEEN INDICATED BY “[***].”</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AMENDMENT NO. 1 TO LICENSE AGREEMENT</w:t>
      </w:r>
    </w:p>
    <w:p>
      <w:pPr>
        <w:spacing w:after="0" w:line="157" w:lineRule="exact"/>
        <w:rPr>
          <w:sz w:val="20"/>
          <w:szCs w:val="20"/>
          <w:color w:val="auto"/>
        </w:rPr>
      </w:pPr>
    </w:p>
    <w:p>
      <w:pPr>
        <w:jc w:val="both"/>
        <w:spacing w:after="0" w:line="304" w:lineRule="auto"/>
        <w:rPr>
          <w:sz w:val="20"/>
          <w:szCs w:val="20"/>
          <w:color w:val="auto"/>
        </w:rPr>
      </w:pPr>
      <w:r>
        <w:rPr>
          <w:rFonts w:ascii="Arial" w:cs="Arial" w:eastAsia="Arial" w:hAnsi="Arial"/>
          <w:sz w:val="17"/>
          <w:szCs w:val="17"/>
          <w:color w:val="auto"/>
        </w:rPr>
        <w:t>This Amendment No. 1 (“</w:t>
      </w:r>
      <w:r>
        <w:rPr>
          <w:rFonts w:ascii="Arial" w:cs="Arial" w:eastAsia="Arial" w:hAnsi="Arial"/>
          <w:sz w:val="17"/>
          <w:szCs w:val="17"/>
          <w:u w:val="single" w:color="auto"/>
          <w:color w:val="auto"/>
        </w:rPr>
        <w:t>Amendment</w:t>
      </w:r>
      <w:r>
        <w:rPr>
          <w:rFonts w:ascii="Arial" w:cs="Arial" w:eastAsia="Arial" w:hAnsi="Arial"/>
          <w:sz w:val="17"/>
          <w:szCs w:val="17"/>
          <w:color w:val="auto"/>
        </w:rPr>
        <w:t>”) is made effective as of September 21, 2020 (the “</w:t>
      </w: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by and between Phathom Pharmaceuticals, Inc., a company incorporated under the laws of Delaware having its principal place of business at 100 Campus Drive, Suite 102, Florham Park, NJ 07932 , U.S.A (“Licensee”), and Takeda Pharmaceutical Company Limited, a company incorporated under the laws of Japan having its principal place of business at 1-1, Doshomachi 4-chome, Chuo-ku, Osaka 540-8645, Japan (“</w:t>
      </w:r>
      <w:r>
        <w:rPr>
          <w:rFonts w:ascii="Arial" w:cs="Arial" w:eastAsia="Arial" w:hAnsi="Arial"/>
          <w:sz w:val="17"/>
          <w:szCs w:val="17"/>
          <w:u w:val="single" w:color="auto"/>
          <w:color w:val="auto"/>
        </w:rPr>
        <w:t>Takeda</w:t>
      </w:r>
      <w:r>
        <w:rPr>
          <w:rFonts w:ascii="Arial" w:cs="Arial" w:eastAsia="Arial" w:hAnsi="Arial"/>
          <w:sz w:val="17"/>
          <w:szCs w:val="17"/>
          <w:color w:val="auto"/>
        </w:rPr>
        <w:t>”) (Licensee and Takeda may be referred to 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98" w:lineRule="exact"/>
        <w:rPr>
          <w:sz w:val="20"/>
          <w:szCs w:val="20"/>
          <w:color w:val="auto"/>
        </w:rPr>
      </w:pPr>
    </w:p>
    <w:p>
      <w:pPr>
        <w:ind w:left="860" w:right="2320"/>
        <w:spacing w:after="0" w:line="434" w:lineRule="auto"/>
        <w:rPr>
          <w:sz w:val="20"/>
          <w:szCs w:val="20"/>
          <w:color w:val="auto"/>
        </w:rPr>
      </w:pPr>
      <w:r>
        <w:rPr>
          <w:rFonts w:ascii="Arial" w:cs="Arial" w:eastAsia="Arial" w:hAnsi="Arial"/>
          <w:sz w:val="21"/>
          <w:szCs w:val="21"/>
          <w:color w:val="auto"/>
        </w:rPr>
        <w:t>Whereas, the Parties entered into a License Agreement as of May 7, 2019 (the “</w:t>
      </w:r>
      <w:r>
        <w:rPr>
          <w:rFonts w:ascii="Arial" w:cs="Arial" w:eastAsia="Arial" w:hAnsi="Arial"/>
          <w:sz w:val="21"/>
          <w:szCs w:val="21"/>
          <w:u w:val="single" w:color="auto"/>
          <w:color w:val="auto"/>
        </w:rPr>
        <w:t>Agreement</w:t>
      </w:r>
      <w:r>
        <w:rPr>
          <w:rFonts w:ascii="Arial" w:cs="Arial" w:eastAsia="Arial" w:hAnsi="Arial"/>
          <w:sz w:val="21"/>
          <w:szCs w:val="21"/>
          <w:color w:val="auto"/>
        </w:rPr>
        <w:t>”); and Whereas, the Parties desire to amend the Agreement.</w:t>
      </w:r>
    </w:p>
    <w:p>
      <w:pPr>
        <w:jc w:val="both"/>
        <w:ind w:firstLine="864"/>
        <w:spacing w:after="0" w:line="251" w:lineRule="auto"/>
        <w:rPr>
          <w:sz w:val="20"/>
          <w:szCs w:val="20"/>
          <w:color w:val="auto"/>
        </w:rPr>
      </w:pPr>
      <w:r>
        <w:rPr>
          <w:rFonts w:ascii="Arial" w:cs="Arial" w:eastAsia="Arial" w:hAnsi="Arial"/>
          <w:sz w:val="21"/>
          <w:szCs w:val="21"/>
          <w:color w:val="auto"/>
        </w:rPr>
        <w:t>Now, Therefore, in consideration of the mutual covenants contained herein, and for other good and valuable consideration, the Parties hereto, intending to be legally bound, hereby agree as follows:</w:t>
      </w:r>
    </w:p>
    <w:p>
      <w:pPr>
        <w:spacing w:after="0" w:line="163" w:lineRule="exact"/>
        <w:rPr>
          <w:sz w:val="20"/>
          <w:szCs w:val="20"/>
          <w:color w:val="auto"/>
        </w:rPr>
      </w:pPr>
    </w:p>
    <w:tbl>
      <w:tblPr>
        <w:tblLayout w:type="fixed"/>
        <w:tblInd w:w="860" w:type="dxa"/>
        <w:tblCellMar>
          <w:top w:w="0" w:type="dxa"/>
          <w:left w:w="0" w:type="dxa"/>
          <w:bottom w:w="0" w:type="dxa"/>
          <w:right w:w="0" w:type="dxa"/>
        </w:tblCellMar>
      </w:tblPr>
      <w:tr>
        <w:trPr>
          <w:trHeight w:val="263"/>
        </w:trPr>
        <w:tc>
          <w:tcPr>
            <w:tcW w:w="300" w:type="dxa"/>
            <w:vAlign w:val="bottom"/>
          </w:tcPr>
          <w:p>
            <w:pPr>
              <w:jc w:val="right"/>
              <w:ind w:right="37"/>
              <w:spacing w:after="0"/>
              <w:rPr>
                <w:sz w:val="20"/>
                <w:szCs w:val="20"/>
                <w:color w:val="auto"/>
              </w:rPr>
            </w:pPr>
            <w:r>
              <w:rPr>
                <w:rFonts w:ascii="Arial" w:cs="Arial" w:eastAsia="Arial" w:hAnsi="Arial"/>
                <w:sz w:val="21"/>
                <w:szCs w:val="21"/>
                <w:color w:val="auto"/>
                <w:w w:val="79"/>
              </w:rPr>
              <w:t>1.</w:t>
            </w:r>
          </w:p>
        </w:tc>
        <w:tc>
          <w:tcPr>
            <w:tcW w:w="5280" w:type="dxa"/>
            <w:vAlign w:val="bottom"/>
            <w:gridSpan w:val="6"/>
          </w:tcPr>
          <w:p>
            <w:pPr>
              <w:ind w:left="120"/>
              <w:spacing w:after="0"/>
              <w:rPr>
                <w:sz w:val="20"/>
                <w:szCs w:val="20"/>
                <w:color w:val="auto"/>
              </w:rPr>
            </w:pPr>
            <w:r>
              <w:rPr>
                <w:rFonts w:ascii="Arial" w:cs="Arial" w:eastAsia="Arial" w:hAnsi="Arial"/>
                <w:sz w:val="21"/>
                <w:szCs w:val="21"/>
                <w:color w:val="auto"/>
              </w:rPr>
              <w:t>The following shall be added as new Section 1.113:</w:t>
            </w: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8"/>
        </w:trPr>
        <w:tc>
          <w:tcPr>
            <w:tcW w:w="300" w:type="dxa"/>
            <w:vAlign w:val="bottom"/>
          </w:tcPr>
          <w:p>
            <w:pPr>
              <w:spacing w:after="0"/>
              <w:rPr>
                <w:sz w:val="24"/>
                <w:szCs w:val="24"/>
                <w:color w:val="auto"/>
              </w:rPr>
            </w:pPr>
          </w:p>
        </w:tc>
        <w:tc>
          <w:tcPr>
            <w:tcW w:w="10080" w:type="dxa"/>
            <w:vAlign w:val="bottom"/>
            <w:gridSpan w:val="9"/>
          </w:tcPr>
          <w:p>
            <w:pPr>
              <w:ind w:left="140"/>
              <w:spacing w:after="0"/>
              <w:rPr>
                <w:sz w:val="20"/>
                <w:szCs w:val="20"/>
                <w:color w:val="auto"/>
              </w:rPr>
            </w:pPr>
            <w:r>
              <w:rPr>
                <w:rFonts w:ascii="Arial" w:cs="Arial" w:eastAsia="Arial" w:hAnsi="Arial"/>
                <w:sz w:val="21"/>
                <w:szCs w:val="21"/>
                <w:color w:val="auto"/>
                <w:w w:val="92"/>
              </w:rPr>
              <w:t>“Takeda Korean FPN Patents” shall mean the following patents solely to the extent Controlled by Takeda during the</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00" w:type="dxa"/>
            <w:vAlign w:val="bottom"/>
          </w:tcPr>
          <w:p>
            <w:pPr>
              <w:spacing w:after="0"/>
              <w:rPr>
                <w:sz w:val="22"/>
                <w:szCs w:val="22"/>
                <w:color w:val="auto"/>
              </w:rPr>
            </w:pPr>
          </w:p>
        </w:tc>
        <w:tc>
          <w:tcPr>
            <w:tcW w:w="1360" w:type="dxa"/>
            <w:vAlign w:val="bottom"/>
            <w:gridSpan w:val="3"/>
          </w:tcPr>
          <w:p>
            <w:pPr>
              <w:ind w:left="140"/>
              <w:spacing w:after="0"/>
              <w:rPr>
                <w:sz w:val="20"/>
                <w:szCs w:val="20"/>
                <w:color w:val="auto"/>
              </w:rPr>
            </w:pPr>
            <w:r>
              <w:rPr>
                <w:rFonts w:ascii="Arial" w:cs="Arial" w:eastAsia="Arial" w:hAnsi="Arial"/>
                <w:sz w:val="21"/>
                <w:szCs w:val="21"/>
                <w:color w:val="auto"/>
              </w:rPr>
              <w:t>Term:</w:t>
            </w:r>
          </w:p>
        </w:tc>
        <w:tc>
          <w:tcPr>
            <w:tcW w:w="1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0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gridSpan w:val="2"/>
            <w:vMerge w:val="restart"/>
            <w:shd w:val="clear" w:color="auto" w:fill="DCE6F1"/>
          </w:tcPr>
          <w:p>
            <w:pPr>
              <w:spacing w:after="0"/>
              <w:rPr>
                <w:sz w:val="20"/>
                <w:szCs w:val="20"/>
                <w:color w:val="auto"/>
              </w:rPr>
            </w:pPr>
            <w:r>
              <w:rPr>
                <w:rFonts w:ascii="Arial" w:cs="Arial" w:eastAsia="Arial" w:hAnsi="Arial"/>
                <w:sz w:val="17"/>
                <w:szCs w:val="17"/>
                <w:b w:val="1"/>
                <w:bCs w:val="1"/>
                <w:color w:val="auto"/>
              </w:rPr>
              <w:t>Country</w:t>
            </w:r>
          </w:p>
        </w:tc>
        <w:tc>
          <w:tcPr>
            <w:tcW w:w="1260" w:type="dxa"/>
            <w:vAlign w:val="bottom"/>
            <w:tcBorders>
              <w:right w:val="single" w:sz="8" w:color="auto"/>
            </w:tcBorders>
            <w:shd w:val="clear" w:color="auto" w:fill="DCE6F1"/>
          </w:tcPr>
          <w:p>
            <w:pPr>
              <w:spacing w:after="0" w:line="178" w:lineRule="exact"/>
              <w:rPr>
                <w:sz w:val="20"/>
                <w:szCs w:val="20"/>
                <w:color w:val="auto"/>
              </w:rPr>
            </w:pPr>
            <w:r>
              <w:rPr>
                <w:rFonts w:ascii="Arial" w:cs="Arial" w:eastAsia="Arial" w:hAnsi="Arial"/>
                <w:sz w:val="17"/>
                <w:szCs w:val="17"/>
                <w:b w:val="1"/>
                <w:bCs w:val="1"/>
                <w:color w:val="auto"/>
              </w:rPr>
              <w:t>Application</w:t>
            </w:r>
          </w:p>
        </w:tc>
        <w:tc>
          <w:tcPr>
            <w:tcW w:w="1440" w:type="dxa"/>
            <w:vAlign w:val="bottom"/>
            <w:tcBorders>
              <w:right w:val="single" w:sz="8" w:color="auto"/>
            </w:tcBorders>
            <w:vMerge w:val="restart"/>
            <w:shd w:val="clear" w:color="auto" w:fill="DCE6F1"/>
          </w:tcPr>
          <w:p>
            <w:pPr>
              <w:spacing w:after="0"/>
              <w:rPr>
                <w:sz w:val="20"/>
                <w:szCs w:val="20"/>
                <w:color w:val="auto"/>
              </w:rPr>
            </w:pPr>
            <w:r>
              <w:rPr>
                <w:rFonts w:ascii="Arial" w:cs="Arial" w:eastAsia="Arial" w:hAnsi="Arial"/>
                <w:sz w:val="17"/>
                <w:szCs w:val="17"/>
                <w:b w:val="1"/>
                <w:bCs w:val="1"/>
                <w:color w:val="auto"/>
              </w:rPr>
              <w:t>Application No.</w:t>
            </w:r>
          </w:p>
        </w:tc>
        <w:tc>
          <w:tcPr>
            <w:tcW w:w="1220" w:type="dxa"/>
            <w:vAlign w:val="bottom"/>
            <w:tcBorders>
              <w:right w:val="single" w:sz="8" w:color="auto"/>
            </w:tcBorders>
            <w:vMerge w:val="restart"/>
            <w:shd w:val="clear" w:color="auto" w:fill="DCE6F1"/>
          </w:tcPr>
          <w:p>
            <w:pPr>
              <w:spacing w:after="0"/>
              <w:rPr>
                <w:sz w:val="20"/>
                <w:szCs w:val="20"/>
                <w:color w:val="auto"/>
              </w:rPr>
            </w:pPr>
            <w:r>
              <w:rPr>
                <w:rFonts w:ascii="Arial" w:cs="Arial" w:eastAsia="Arial" w:hAnsi="Arial"/>
                <w:sz w:val="17"/>
                <w:szCs w:val="17"/>
                <w:b w:val="1"/>
                <w:bCs w:val="1"/>
                <w:color w:val="auto"/>
              </w:rPr>
              <w:t>Issue Date</w:t>
            </w:r>
          </w:p>
        </w:tc>
        <w:tc>
          <w:tcPr>
            <w:tcW w:w="1080" w:type="dxa"/>
            <w:vAlign w:val="bottom"/>
            <w:tcBorders>
              <w:right w:val="single" w:sz="8" w:color="auto"/>
            </w:tcBorders>
            <w:vMerge w:val="restart"/>
            <w:shd w:val="clear" w:color="auto" w:fill="DCE6F1"/>
          </w:tcPr>
          <w:p>
            <w:pPr>
              <w:spacing w:after="0"/>
              <w:rPr>
                <w:sz w:val="20"/>
                <w:szCs w:val="20"/>
                <w:color w:val="auto"/>
              </w:rPr>
            </w:pPr>
            <w:r>
              <w:rPr>
                <w:rFonts w:ascii="Arial" w:cs="Arial" w:eastAsia="Arial" w:hAnsi="Arial"/>
                <w:sz w:val="17"/>
                <w:szCs w:val="17"/>
                <w:b w:val="1"/>
                <w:bCs w:val="1"/>
                <w:color w:val="auto"/>
              </w:rPr>
              <w:t>Patent No.</w:t>
            </w:r>
          </w:p>
        </w:tc>
        <w:tc>
          <w:tcPr>
            <w:tcW w:w="1060" w:type="dxa"/>
            <w:vAlign w:val="bottom"/>
            <w:tcBorders>
              <w:right w:val="single" w:sz="8" w:color="auto"/>
            </w:tcBorders>
            <w:vMerge w:val="restart"/>
            <w:shd w:val="clear" w:color="auto" w:fill="DCE6F1"/>
          </w:tcPr>
          <w:p>
            <w:pPr>
              <w:spacing w:after="0"/>
              <w:rPr>
                <w:sz w:val="20"/>
                <w:szCs w:val="20"/>
                <w:color w:val="auto"/>
              </w:rPr>
            </w:pPr>
            <w:r>
              <w:rPr>
                <w:rFonts w:ascii="Arial" w:cs="Arial" w:eastAsia="Arial" w:hAnsi="Arial"/>
                <w:sz w:val="17"/>
                <w:szCs w:val="17"/>
                <w:b w:val="1"/>
                <w:bCs w:val="1"/>
                <w:color w:val="auto"/>
              </w:rPr>
              <w:t>Expiry Date</w:t>
            </w:r>
          </w:p>
        </w:tc>
        <w:tc>
          <w:tcPr>
            <w:tcW w:w="2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200" w:type="dxa"/>
            <w:vAlign w:val="bottom"/>
            <w:tcBorders>
              <w:right w:val="single" w:sz="8" w:color="auto"/>
            </w:tcBorders>
            <w:gridSpan w:val="2"/>
            <w:vMerge w:val="continue"/>
            <w:shd w:val="clear" w:color="auto" w:fill="DCE6F1"/>
          </w:tcPr>
          <w:p>
            <w:pPr>
              <w:spacing w:after="0"/>
              <w:rPr>
                <w:sz w:val="11"/>
                <w:szCs w:val="11"/>
                <w:color w:val="auto"/>
              </w:rPr>
            </w:pPr>
          </w:p>
        </w:tc>
        <w:tc>
          <w:tcPr>
            <w:tcW w:w="1260" w:type="dxa"/>
            <w:vAlign w:val="bottom"/>
            <w:tcBorders>
              <w:right w:val="single" w:sz="8" w:color="auto"/>
            </w:tcBorders>
            <w:vMerge w:val="restart"/>
            <w:shd w:val="clear" w:color="auto" w:fill="DCE6F1"/>
          </w:tcPr>
          <w:p>
            <w:pPr>
              <w:spacing w:after="0"/>
              <w:rPr>
                <w:sz w:val="20"/>
                <w:szCs w:val="20"/>
                <w:color w:val="auto"/>
              </w:rPr>
            </w:pPr>
            <w:r>
              <w:rPr>
                <w:rFonts w:ascii="Arial" w:cs="Arial" w:eastAsia="Arial" w:hAnsi="Arial"/>
                <w:sz w:val="17"/>
                <w:szCs w:val="17"/>
                <w:b w:val="1"/>
                <w:bCs w:val="1"/>
                <w:color w:val="auto"/>
              </w:rPr>
              <w:t>Date</w:t>
            </w:r>
          </w:p>
        </w:tc>
        <w:tc>
          <w:tcPr>
            <w:tcW w:w="1440" w:type="dxa"/>
            <w:vAlign w:val="bottom"/>
            <w:tcBorders>
              <w:right w:val="single" w:sz="8" w:color="auto"/>
            </w:tcBorders>
            <w:vMerge w:val="continue"/>
            <w:shd w:val="clear" w:color="auto" w:fill="DCE6F1"/>
          </w:tcPr>
          <w:p>
            <w:pPr>
              <w:spacing w:after="0"/>
              <w:rPr>
                <w:sz w:val="11"/>
                <w:szCs w:val="11"/>
                <w:color w:val="auto"/>
              </w:rPr>
            </w:pPr>
          </w:p>
        </w:tc>
        <w:tc>
          <w:tcPr>
            <w:tcW w:w="1220" w:type="dxa"/>
            <w:vAlign w:val="bottom"/>
            <w:tcBorders>
              <w:right w:val="single" w:sz="8" w:color="auto"/>
            </w:tcBorders>
            <w:vMerge w:val="continue"/>
            <w:shd w:val="clear" w:color="auto" w:fill="DCE6F1"/>
          </w:tcPr>
          <w:p>
            <w:pPr>
              <w:spacing w:after="0"/>
              <w:rPr>
                <w:sz w:val="11"/>
                <w:szCs w:val="11"/>
                <w:color w:val="auto"/>
              </w:rPr>
            </w:pPr>
          </w:p>
        </w:tc>
        <w:tc>
          <w:tcPr>
            <w:tcW w:w="1080" w:type="dxa"/>
            <w:vAlign w:val="bottom"/>
            <w:tcBorders>
              <w:right w:val="single" w:sz="8" w:color="auto"/>
            </w:tcBorders>
            <w:vMerge w:val="continue"/>
            <w:shd w:val="clear" w:color="auto" w:fill="DCE6F1"/>
          </w:tcPr>
          <w:p>
            <w:pPr>
              <w:spacing w:after="0"/>
              <w:rPr>
                <w:sz w:val="11"/>
                <w:szCs w:val="11"/>
                <w:color w:val="auto"/>
              </w:rPr>
            </w:pPr>
          </w:p>
        </w:tc>
        <w:tc>
          <w:tcPr>
            <w:tcW w:w="1060" w:type="dxa"/>
            <w:vAlign w:val="bottom"/>
            <w:tcBorders>
              <w:right w:val="single" w:sz="8" w:color="auto"/>
            </w:tcBorders>
            <w:vMerge w:val="continue"/>
            <w:shd w:val="clear" w:color="auto" w:fill="DCE6F1"/>
          </w:tcPr>
          <w:p>
            <w:pPr>
              <w:spacing w:after="0"/>
              <w:rPr>
                <w:sz w:val="11"/>
                <w:szCs w:val="11"/>
                <w:color w:val="auto"/>
              </w:rPr>
            </w:pPr>
          </w:p>
        </w:tc>
        <w:tc>
          <w:tcPr>
            <w:tcW w:w="2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160" w:type="dxa"/>
            <w:vAlign w:val="bottom"/>
            <w:tcBorders>
              <w:right w:val="single" w:sz="8" w:color="auto"/>
            </w:tcBorders>
          </w:tcPr>
          <w:p>
            <w:pPr>
              <w:spacing w:after="0"/>
              <w:rPr>
                <w:sz w:val="8"/>
                <w:szCs w:val="8"/>
                <w:color w:val="auto"/>
              </w:rPr>
            </w:pPr>
          </w:p>
        </w:tc>
        <w:tc>
          <w:tcPr>
            <w:tcW w:w="80" w:type="dxa"/>
            <w:vAlign w:val="bottom"/>
            <w:tcBorders>
              <w:bottom w:val="single" w:sz="8" w:color="auto"/>
            </w:tcBorders>
            <w:shd w:val="clear" w:color="auto" w:fill="DCE6F1"/>
          </w:tcPr>
          <w:p>
            <w:pPr>
              <w:spacing w:after="0"/>
              <w:rPr>
                <w:sz w:val="8"/>
                <w:szCs w:val="8"/>
                <w:color w:val="auto"/>
              </w:rPr>
            </w:pPr>
          </w:p>
        </w:tc>
        <w:tc>
          <w:tcPr>
            <w:tcW w:w="1120" w:type="dxa"/>
            <w:vAlign w:val="bottom"/>
            <w:tcBorders>
              <w:bottom w:val="single" w:sz="8" w:color="auto"/>
              <w:right w:val="single" w:sz="8" w:color="auto"/>
            </w:tcBorders>
            <w:shd w:val="clear" w:color="auto" w:fill="DCE6F1"/>
          </w:tcPr>
          <w:p>
            <w:pPr>
              <w:spacing w:after="0"/>
              <w:rPr>
                <w:sz w:val="8"/>
                <w:szCs w:val="8"/>
                <w:color w:val="auto"/>
              </w:rPr>
            </w:pPr>
          </w:p>
        </w:tc>
        <w:tc>
          <w:tcPr>
            <w:tcW w:w="1260" w:type="dxa"/>
            <w:vAlign w:val="bottom"/>
            <w:tcBorders>
              <w:bottom w:val="single" w:sz="8" w:color="auto"/>
              <w:right w:val="single" w:sz="8" w:color="auto"/>
            </w:tcBorders>
            <w:vMerge w:val="continue"/>
            <w:shd w:val="clear" w:color="auto" w:fill="DCE6F1"/>
          </w:tcPr>
          <w:p>
            <w:pPr>
              <w:spacing w:after="0"/>
              <w:rPr>
                <w:sz w:val="8"/>
                <w:szCs w:val="8"/>
                <w:color w:val="auto"/>
              </w:rPr>
            </w:pPr>
          </w:p>
        </w:tc>
        <w:tc>
          <w:tcPr>
            <w:tcW w:w="1440" w:type="dxa"/>
            <w:vAlign w:val="bottom"/>
            <w:tcBorders>
              <w:bottom w:val="single" w:sz="8" w:color="auto"/>
              <w:right w:val="single" w:sz="8" w:color="auto"/>
            </w:tcBorders>
            <w:shd w:val="clear" w:color="auto" w:fill="DCE6F1"/>
          </w:tcPr>
          <w:p>
            <w:pPr>
              <w:spacing w:after="0"/>
              <w:rPr>
                <w:sz w:val="8"/>
                <w:szCs w:val="8"/>
                <w:color w:val="auto"/>
              </w:rPr>
            </w:pPr>
          </w:p>
        </w:tc>
        <w:tc>
          <w:tcPr>
            <w:tcW w:w="1220" w:type="dxa"/>
            <w:vAlign w:val="bottom"/>
            <w:tcBorders>
              <w:bottom w:val="single" w:sz="8" w:color="auto"/>
              <w:right w:val="single" w:sz="8" w:color="auto"/>
            </w:tcBorders>
            <w:shd w:val="clear" w:color="auto" w:fill="DCE6F1"/>
          </w:tcPr>
          <w:p>
            <w:pPr>
              <w:spacing w:after="0"/>
              <w:rPr>
                <w:sz w:val="8"/>
                <w:szCs w:val="8"/>
                <w:color w:val="auto"/>
              </w:rPr>
            </w:pPr>
          </w:p>
        </w:tc>
        <w:tc>
          <w:tcPr>
            <w:tcW w:w="1080" w:type="dxa"/>
            <w:vAlign w:val="bottom"/>
            <w:tcBorders>
              <w:bottom w:val="single" w:sz="8" w:color="auto"/>
              <w:right w:val="single" w:sz="8" w:color="auto"/>
            </w:tcBorders>
            <w:shd w:val="clear" w:color="auto" w:fill="DCE6F1"/>
          </w:tcPr>
          <w:p>
            <w:pPr>
              <w:spacing w:after="0"/>
              <w:rPr>
                <w:sz w:val="8"/>
                <w:szCs w:val="8"/>
                <w:color w:val="auto"/>
              </w:rPr>
            </w:pPr>
          </w:p>
        </w:tc>
        <w:tc>
          <w:tcPr>
            <w:tcW w:w="1060" w:type="dxa"/>
            <w:vAlign w:val="bottom"/>
            <w:tcBorders>
              <w:bottom w:val="single" w:sz="8" w:color="auto"/>
              <w:right w:val="single" w:sz="8" w:color="auto"/>
            </w:tcBorders>
            <w:shd w:val="clear" w:color="auto" w:fill="DCE6F1"/>
          </w:tcPr>
          <w:p>
            <w:pPr>
              <w:spacing w:after="0"/>
              <w:rPr>
                <w:sz w:val="8"/>
                <w:szCs w:val="8"/>
                <w:color w:val="auto"/>
              </w:rPr>
            </w:pPr>
          </w:p>
        </w:tc>
        <w:tc>
          <w:tcPr>
            <w:tcW w:w="2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1"/>
        </w:trPr>
        <w:tc>
          <w:tcPr>
            <w:tcW w:w="3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Korea</w:t>
            </w:r>
          </w:p>
        </w:tc>
        <w:tc>
          <w:tcPr>
            <w:tcW w:w="1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2010/02/24</w:t>
            </w: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2017-7008990</w:t>
            </w:r>
          </w:p>
        </w:tc>
        <w:tc>
          <w:tcPr>
            <w:tcW w:w="1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2017/12/26</w:t>
            </w:r>
          </w:p>
        </w:tc>
        <w:tc>
          <w:tcPr>
            <w:tcW w:w="1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1814357</w:t>
            </w:r>
          </w:p>
        </w:tc>
        <w:tc>
          <w:tcPr>
            <w:tcW w:w="1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2030/02/24</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7"/>
                <w:szCs w:val="17"/>
                <w:color w:val="auto"/>
              </w:rPr>
              <w:t>Korea</w:t>
            </w:r>
          </w:p>
        </w:tc>
        <w:tc>
          <w:tcPr>
            <w:tcW w:w="1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2016/06/29</w:t>
            </w: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2018-7001712</w:t>
            </w:r>
          </w:p>
        </w:tc>
        <w:tc>
          <w:tcPr>
            <w:tcW w:w="1220" w:type="dxa"/>
            <w:vAlign w:val="bottom"/>
            <w:tcBorders>
              <w:bottom w:val="single" w:sz="8" w:color="auto"/>
              <w:right w:val="single" w:sz="8" w:color="auto"/>
            </w:tcBorders>
          </w:tcPr>
          <w:p>
            <w:pPr>
              <w:spacing w:after="0"/>
              <w:rPr>
                <w:sz w:val="19"/>
                <w:szCs w:val="19"/>
                <w:color w:val="auto"/>
              </w:rPr>
            </w:pPr>
          </w:p>
        </w:tc>
        <w:tc>
          <w:tcPr>
            <w:tcW w:w="1080" w:type="dxa"/>
            <w:vAlign w:val="bottom"/>
            <w:tcBorders>
              <w:bottom w:val="single" w:sz="8" w:color="auto"/>
              <w:right w:val="single" w:sz="8" w:color="auto"/>
            </w:tcBorders>
          </w:tcPr>
          <w:p>
            <w:pPr>
              <w:spacing w:after="0"/>
              <w:rPr>
                <w:sz w:val="19"/>
                <w:szCs w:val="19"/>
                <w:color w:val="auto"/>
              </w:rPr>
            </w:pPr>
          </w:p>
        </w:tc>
        <w:tc>
          <w:tcPr>
            <w:tcW w:w="1060" w:type="dxa"/>
            <w:vAlign w:val="bottom"/>
            <w:tcBorders>
              <w:bottom w:val="single" w:sz="8" w:color="auto"/>
              <w:right w:val="single" w:sz="8" w:color="auto"/>
            </w:tcBorders>
          </w:tcPr>
          <w:p>
            <w:pPr>
              <w:spacing w:after="0"/>
              <w:rPr>
                <w:sz w:val="19"/>
                <w:szCs w:val="19"/>
                <w:color w:val="auto"/>
              </w:rPr>
            </w:pPr>
          </w:p>
        </w:tc>
        <w:tc>
          <w:tcPr>
            <w:tcW w:w="2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2"/>
        </w:trPr>
        <w:tc>
          <w:tcPr>
            <w:tcW w:w="300" w:type="dxa"/>
            <w:vAlign w:val="bottom"/>
          </w:tcPr>
          <w:p>
            <w:pPr>
              <w:jc w:val="right"/>
              <w:ind w:right="37"/>
              <w:spacing w:after="0"/>
              <w:rPr>
                <w:sz w:val="20"/>
                <w:szCs w:val="20"/>
                <w:color w:val="auto"/>
              </w:rPr>
            </w:pPr>
            <w:r>
              <w:rPr>
                <w:rFonts w:ascii="Arial" w:cs="Arial" w:eastAsia="Arial" w:hAnsi="Arial"/>
                <w:sz w:val="21"/>
                <w:szCs w:val="21"/>
                <w:color w:val="auto"/>
                <w:w w:val="79"/>
              </w:rPr>
              <w:t>2.</w:t>
            </w:r>
          </w:p>
        </w:tc>
        <w:tc>
          <w:tcPr>
            <w:tcW w:w="10080" w:type="dxa"/>
            <w:vAlign w:val="bottom"/>
            <w:gridSpan w:val="9"/>
          </w:tcPr>
          <w:p>
            <w:pPr>
              <w:ind w:left="120"/>
              <w:spacing w:after="0"/>
              <w:rPr>
                <w:sz w:val="20"/>
                <w:szCs w:val="20"/>
                <w:color w:val="auto"/>
              </w:rPr>
            </w:pPr>
            <w:r>
              <w:rPr>
                <w:rFonts w:ascii="Arial" w:cs="Arial" w:eastAsia="Arial" w:hAnsi="Arial"/>
                <w:sz w:val="21"/>
                <w:szCs w:val="21"/>
                <w:color w:val="auto"/>
              </w:rPr>
              <w:t>Section 1.95 is hereby amended by adding the following at the end of the current language:</w:t>
            </w:r>
          </w:p>
        </w:tc>
        <w:tc>
          <w:tcPr>
            <w:tcW w:w="0" w:type="dxa"/>
            <w:vAlign w:val="bottom"/>
          </w:tcPr>
          <w:p>
            <w:pPr>
              <w:spacing w:after="0"/>
              <w:rPr>
                <w:sz w:val="1"/>
                <w:szCs w:val="1"/>
                <w:color w:val="auto"/>
              </w:rPr>
            </w:pPr>
          </w:p>
        </w:tc>
      </w:tr>
      <w:tr>
        <w:trPr>
          <w:trHeight w:val="437"/>
        </w:trPr>
        <w:tc>
          <w:tcPr>
            <w:tcW w:w="300" w:type="dxa"/>
            <w:vAlign w:val="bottom"/>
          </w:tcPr>
          <w:p>
            <w:pPr>
              <w:spacing w:after="0"/>
              <w:rPr>
                <w:sz w:val="24"/>
                <w:szCs w:val="24"/>
                <w:color w:val="auto"/>
              </w:rPr>
            </w:pPr>
          </w:p>
        </w:tc>
        <w:tc>
          <w:tcPr>
            <w:tcW w:w="10080" w:type="dxa"/>
            <w:vAlign w:val="bottom"/>
            <w:gridSpan w:val="9"/>
          </w:tcPr>
          <w:p>
            <w:pPr>
              <w:ind w:left="140"/>
              <w:spacing w:after="0"/>
              <w:rPr>
                <w:sz w:val="20"/>
                <w:szCs w:val="20"/>
                <w:color w:val="auto"/>
              </w:rPr>
            </w:pPr>
            <w:r>
              <w:rPr>
                <w:rFonts w:ascii="Arial" w:cs="Arial" w:eastAsia="Arial" w:hAnsi="Arial"/>
                <w:sz w:val="21"/>
                <w:szCs w:val="21"/>
                <w:color w:val="auto"/>
              </w:rPr>
              <w:t>The Takeda Korean FPN Patents shall be deemed to be Takeda General Patents.</w:t>
            </w:r>
          </w:p>
        </w:tc>
        <w:tc>
          <w:tcPr>
            <w:tcW w:w="0" w:type="dxa"/>
            <w:vAlign w:val="bottom"/>
          </w:tcPr>
          <w:p>
            <w:pPr>
              <w:spacing w:after="0"/>
              <w:rPr>
                <w:sz w:val="1"/>
                <w:szCs w:val="1"/>
                <w:color w:val="auto"/>
              </w:rPr>
            </w:pPr>
          </w:p>
        </w:tc>
      </w:tr>
      <w:tr>
        <w:trPr>
          <w:trHeight w:val="405"/>
        </w:trPr>
        <w:tc>
          <w:tcPr>
            <w:tcW w:w="300" w:type="dxa"/>
            <w:vAlign w:val="bottom"/>
          </w:tcPr>
          <w:p>
            <w:pPr>
              <w:jc w:val="right"/>
              <w:ind w:right="37"/>
              <w:spacing w:after="0"/>
              <w:rPr>
                <w:sz w:val="20"/>
                <w:szCs w:val="20"/>
                <w:color w:val="auto"/>
              </w:rPr>
            </w:pPr>
            <w:r>
              <w:rPr>
                <w:rFonts w:ascii="Arial" w:cs="Arial" w:eastAsia="Arial" w:hAnsi="Arial"/>
                <w:sz w:val="21"/>
                <w:szCs w:val="21"/>
                <w:color w:val="auto"/>
                <w:w w:val="79"/>
              </w:rPr>
              <w:t>3.</w:t>
            </w:r>
          </w:p>
        </w:tc>
        <w:tc>
          <w:tcPr>
            <w:tcW w:w="10080" w:type="dxa"/>
            <w:vAlign w:val="bottom"/>
            <w:gridSpan w:val="9"/>
          </w:tcPr>
          <w:p>
            <w:pPr>
              <w:ind w:left="120"/>
              <w:spacing w:after="0"/>
              <w:rPr>
                <w:sz w:val="20"/>
                <w:szCs w:val="20"/>
                <w:color w:val="auto"/>
              </w:rPr>
            </w:pPr>
            <w:r>
              <w:rPr>
                <w:rFonts w:ascii="Arial" w:cs="Arial" w:eastAsia="Arial" w:hAnsi="Arial"/>
                <w:sz w:val="21"/>
                <w:szCs w:val="21"/>
                <w:color w:val="auto"/>
                <w:w w:val="89"/>
              </w:rPr>
              <w:t>Exhibit A, Initial Development Plan, is hereby amended to include under the heading “Other Studies” the study attached</w:t>
            </w:r>
          </w:p>
        </w:tc>
        <w:tc>
          <w:tcPr>
            <w:tcW w:w="0" w:type="dxa"/>
            <w:vAlign w:val="bottom"/>
          </w:tcPr>
          <w:p>
            <w:pPr>
              <w:spacing w:after="0"/>
              <w:rPr>
                <w:sz w:val="1"/>
                <w:szCs w:val="1"/>
                <w:color w:val="auto"/>
              </w:rPr>
            </w:pPr>
          </w:p>
        </w:tc>
      </w:tr>
      <w:tr>
        <w:trPr>
          <w:trHeight w:val="263"/>
        </w:trPr>
        <w:tc>
          <w:tcPr>
            <w:tcW w:w="30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1"/>
                <w:szCs w:val="21"/>
                <w:color w:val="auto"/>
              </w:rPr>
              <w:t>hereto as Attachment 1.</w:t>
            </w:r>
          </w:p>
        </w:tc>
        <w:tc>
          <w:tcPr>
            <w:tcW w:w="14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Unless otherwise expressly provided for herein, capitalized words in this Amendment shall have the meanings specified in the Agreement.</w:t>
      </w:r>
    </w:p>
    <w:p>
      <w:pPr>
        <w:spacing w:after="0" w:line="163" w:lineRule="exact"/>
        <w:rPr>
          <w:sz w:val="20"/>
          <w:szCs w:val="20"/>
          <w:color w:val="auto"/>
        </w:rPr>
      </w:pPr>
    </w:p>
    <w:p>
      <w:pPr>
        <w:ind w:left="860"/>
        <w:spacing w:after="0"/>
        <w:rPr>
          <w:sz w:val="20"/>
          <w:szCs w:val="20"/>
          <w:color w:val="auto"/>
        </w:rPr>
      </w:pPr>
      <w:r>
        <w:rPr>
          <w:rFonts w:ascii="Arial" w:cs="Arial" w:eastAsia="Arial" w:hAnsi="Arial"/>
          <w:sz w:val="19"/>
          <w:szCs w:val="19"/>
          <w:color w:val="auto"/>
        </w:rPr>
        <w:t>Except as expressly modified by this Amendment, the Agreement shall remain in full force and effect in accordance with its</w:t>
      </w:r>
    </w:p>
    <w:p>
      <w:pPr>
        <w:spacing w:after="0" w:line="31" w:lineRule="exact"/>
        <w:rPr>
          <w:sz w:val="20"/>
          <w:szCs w:val="20"/>
          <w:color w:val="auto"/>
        </w:rPr>
      </w:pPr>
    </w:p>
    <w:p>
      <w:pPr>
        <w:spacing w:after="0"/>
        <w:rPr>
          <w:sz w:val="20"/>
          <w:szCs w:val="20"/>
          <w:color w:val="auto"/>
        </w:rPr>
      </w:pPr>
      <w:r>
        <w:rPr>
          <w:rFonts w:ascii="Arial" w:cs="Arial" w:eastAsia="Arial" w:hAnsi="Arial"/>
          <w:sz w:val="21"/>
          <w:szCs w:val="2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586740</wp:posOffset>
            </wp:positionV>
            <wp:extent cx="718058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ind w:right="40" w:firstLine="864"/>
        <w:spacing w:after="0" w:line="251" w:lineRule="auto"/>
        <w:rPr>
          <w:sz w:val="20"/>
          <w:szCs w:val="20"/>
          <w:color w:val="auto"/>
        </w:rPr>
      </w:pPr>
      <w:r>
        <w:rPr>
          <w:rFonts w:ascii="Arial" w:cs="Arial" w:eastAsia="Arial" w:hAnsi="Arial"/>
          <w:sz w:val="21"/>
          <w:szCs w:val="21"/>
          <w:color w:val="auto"/>
        </w:rPr>
        <w:t>IN WITNESS WHEREOF, the undersigned duly authorized parties have set forth their signatures as of the dates indicated below their respective signatures.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TAKEDA PHARMACEUTICAL COMPANY LIMITED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80" w:type="dxa"/>
            <w:vAlign w:val="bottom"/>
          </w:tcPr>
          <w:p>
            <w:pPr>
              <w:spacing w:after="0"/>
              <w:rPr>
                <w:sz w:val="20"/>
                <w:szCs w:val="20"/>
                <w:color w:val="auto"/>
              </w:rPr>
            </w:pPr>
            <w:r>
              <w:rPr>
                <w:rFonts w:ascii="Arial" w:cs="Arial" w:eastAsia="Arial" w:hAnsi="Arial"/>
                <w:sz w:val="21"/>
                <w:szCs w:val="21"/>
                <w:color w:val="auto"/>
              </w:rPr>
              <w:t>By:</w:t>
            </w:r>
          </w:p>
        </w:tc>
        <w:tc>
          <w:tcPr>
            <w:tcW w:w="10400" w:type="dxa"/>
            <w:vAlign w:val="bottom"/>
          </w:tcPr>
          <w:p>
            <w:pPr>
              <w:ind w:left="340"/>
              <w:spacing w:after="0"/>
              <w:rPr>
                <w:sz w:val="20"/>
                <w:szCs w:val="20"/>
                <w:color w:val="auto"/>
              </w:rPr>
            </w:pPr>
            <w:r>
              <w:rPr>
                <w:rFonts w:ascii="Arial" w:cs="Arial" w:eastAsia="Arial" w:hAnsi="Arial"/>
                <w:sz w:val="21"/>
                <w:szCs w:val="21"/>
                <w:color w:val="auto"/>
              </w:rPr>
              <w:t>/s/ Kentaro Kume</w:t>
            </w:r>
          </w:p>
        </w:tc>
      </w:tr>
      <w:tr>
        <w:trPr>
          <w:trHeight w:val="334"/>
        </w:trPr>
        <w:tc>
          <w:tcPr>
            <w:tcW w:w="880" w:type="dxa"/>
            <w:vAlign w:val="bottom"/>
          </w:tcPr>
          <w:p>
            <w:pPr>
              <w:spacing w:after="0"/>
              <w:rPr>
                <w:sz w:val="20"/>
                <w:szCs w:val="20"/>
                <w:color w:val="auto"/>
              </w:rPr>
            </w:pPr>
            <w:r>
              <w:rPr>
                <w:rFonts w:ascii="Arial" w:cs="Arial" w:eastAsia="Arial" w:hAnsi="Arial"/>
                <w:sz w:val="21"/>
                <w:szCs w:val="21"/>
                <w:color w:val="auto"/>
              </w:rPr>
              <w:t>Name:</w:t>
            </w:r>
          </w:p>
        </w:tc>
        <w:tc>
          <w:tcPr>
            <w:tcW w:w="10400" w:type="dxa"/>
            <w:vAlign w:val="bottom"/>
          </w:tcPr>
          <w:p>
            <w:pPr>
              <w:ind w:left="600"/>
              <w:spacing w:after="0"/>
              <w:rPr>
                <w:sz w:val="20"/>
                <w:szCs w:val="20"/>
                <w:color w:val="auto"/>
              </w:rPr>
            </w:pPr>
            <w:r>
              <w:rPr>
                <w:rFonts w:ascii="Arial" w:cs="Arial" w:eastAsia="Arial" w:hAnsi="Arial"/>
                <w:sz w:val="21"/>
                <w:szCs w:val="21"/>
                <w:color w:val="auto"/>
              </w:rPr>
              <w:t>Kentaro Kume</w:t>
            </w:r>
          </w:p>
        </w:tc>
      </w:tr>
      <w:tr>
        <w:trPr>
          <w:trHeight w:val="334"/>
        </w:trPr>
        <w:tc>
          <w:tcPr>
            <w:tcW w:w="880" w:type="dxa"/>
            <w:vAlign w:val="bottom"/>
          </w:tcPr>
          <w:p>
            <w:pPr>
              <w:spacing w:after="0"/>
              <w:rPr>
                <w:sz w:val="20"/>
                <w:szCs w:val="20"/>
                <w:color w:val="auto"/>
              </w:rPr>
            </w:pPr>
            <w:r>
              <w:rPr>
                <w:rFonts w:ascii="Arial" w:cs="Arial" w:eastAsia="Arial" w:hAnsi="Arial"/>
                <w:sz w:val="21"/>
                <w:szCs w:val="21"/>
                <w:color w:val="auto"/>
              </w:rPr>
              <w:t>Title:</w:t>
            </w:r>
          </w:p>
        </w:tc>
        <w:tc>
          <w:tcPr>
            <w:tcW w:w="10400" w:type="dxa"/>
            <w:vAlign w:val="bottom"/>
          </w:tcPr>
          <w:p>
            <w:pPr>
              <w:ind w:left="580"/>
              <w:spacing w:after="0"/>
              <w:rPr>
                <w:sz w:val="20"/>
                <w:szCs w:val="20"/>
                <w:color w:val="auto"/>
              </w:rPr>
            </w:pPr>
            <w:r>
              <w:rPr>
                <w:rFonts w:ascii="Arial" w:cs="Arial" w:eastAsia="Arial" w:hAnsi="Arial"/>
                <w:sz w:val="21"/>
                <w:szCs w:val="21"/>
                <w:color w:val="auto"/>
              </w:rPr>
              <w:t>Head of R&amp;D Partnership Office APAC</w:t>
            </w:r>
          </w:p>
        </w:tc>
      </w:tr>
      <w:tr>
        <w:trPr>
          <w:trHeight w:val="334"/>
        </w:trPr>
        <w:tc>
          <w:tcPr>
            <w:tcW w:w="880" w:type="dxa"/>
            <w:vAlign w:val="bottom"/>
          </w:tcPr>
          <w:p>
            <w:pPr>
              <w:spacing w:after="0"/>
              <w:rPr>
                <w:sz w:val="20"/>
                <w:szCs w:val="20"/>
                <w:color w:val="auto"/>
              </w:rPr>
            </w:pPr>
            <w:r>
              <w:rPr>
                <w:rFonts w:ascii="Arial" w:cs="Arial" w:eastAsia="Arial" w:hAnsi="Arial"/>
                <w:sz w:val="21"/>
                <w:szCs w:val="21"/>
                <w:color w:val="auto"/>
              </w:rPr>
              <w:t>Date:</w:t>
            </w:r>
          </w:p>
        </w:tc>
        <w:tc>
          <w:tcPr>
            <w:tcW w:w="10400" w:type="dxa"/>
            <w:vAlign w:val="bottom"/>
          </w:tcPr>
          <w:p>
            <w:pPr>
              <w:ind w:left="500"/>
              <w:spacing w:after="0"/>
              <w:rPr>
                <w:sz w:val="20"/>
                <w:szCs w:val="20"/>
                <w:color w:val="auto"/>
              </w:rPr>
            </w:pPr>
            <w:r>
              <w:rPr>
                <w:rFonts w:ascii="Arial" w:cs="Arial" w:eastAsia="Arial" w:hAnsi="Arial"/>
                <w:sz w:val="21"/>
                <w:szCs w:val="21"/>
                <w:color w:val="auto"/>
              </w:rPr>
              <w:t>9/24/2020</w:t>
            </w:r>
          </w:p>
        </w:tc>
      </w:tr>
      <w:tr>
        <w:trPr>
          <w:trHeight w:val="720"/>
        </w:trPr>
        <w:tc>
          <w:tcPr>
            <w:tcW w:w="11280" w:type="dxa"/>
            <w:vAlign w:val="bottom"/>
            <w:gridSpan w:val="2"/>
          </w:tcPr>
          <w:p>
            <w:pPr>
              <w:spacing w:after="0"/>
              <w:rPr>
                <w:sz w:val="20"/>
                <w:szCs w:val="20"/>
                <w:color w:val="auto"/>
              </w:rPr>
            </w:pPr>
            <w:r>
              <w:rPr>
                <w:rFonts w:ascii="Arial" w:cs="Arial" w:eastAsia="Arial" w:hAnsi="Arial"/>
                <w:sz w:val="21"/>
                <w:szCs w:val="21"/>
                <w:b w:val="1"/>
                <w:bCs w:val="1"/>
                <w:color w:val="auto"/>
              </w:rPr>
              <w:t>PHATHOM PHARMACEUTICALS, INC.</w:t>
            </w:r>
          </w:p>
        </w:tc>
      </w:tr>
      <w:tr>
        <w:trPr>
          <w:trHeight w:val="385"/>
        </w:trPr>
        <w:tc>
          <w:tcPr>
            <w:tcW w:w="880" w:type="dxa"/>
            <w:vAlign w:val="bottom"/>
          </w:tcPr>
          <w:p>
            <w:pPr>
              <w:spacing w:after="0"/>
              <w:rPr>
                <w:sz w:val="20"/>
                <w:szCs w:val="20"/>
                <w:color w:val="auto"/>
              </w:rPr>
            </w:pPr>
            <w:r>
              <w:rPr>
                <w:rFonts w:ascii="Arial" w:cs="Arial" w:eastAsia="Arial" w:hAnsi="Arial"/>
                <w:sz w:val="21"/>
                <w:szCs w:val="21"/>
                <w:color w:val="auto"/>
              </w:rPr>
              <w:t>By:</w:t>
            </w:r>
          </w:p>
        </w:tc>
        <w:tc>
          <w:tcPr>
            <w:tcW w:w="10400" w:type="dxa"/>
            <w:vAlign w:val="bottom"/>
          </w:tcPr>
          <w:p>
            <w:pPr>
              <w:ind w:left="340"/>
              <w:spacing w:after="0"/>
              <w:rPr>
                <w:sz w:val="20"/>
                <w:szCs w:val="20"/>
                <w:color w:val="auto"/>
              </w:rPr>
            </w:pPr>
            <w:r>
              <w:rPr>
                <w:rFonts w:ascii="Arial" w:cs="Arial" w:eastAsia="Arial" w:hAnsi="Arial"/>
                <w:sz w:val="21"/>
                <w:szCs w:val="21"/>
                <w:color w:val="auto"/>
              </w:rPr>
              <w:t>/s/ Azmi Nabulsi</w:t>
            </w:r>
          </w:p>
        </w:tc>
      </w:tr>
      <w:tr>
        <w:trPr>
          <w:trHeight w:val="334"/>
        </w:trPr>
        <w:tc>
          <w:tcPr>
            <w:tcW w:w="880" w:type="dxa"/>
            <w:vAlign w:val="bottom"/>
          </w:tcPr>
          <w:p>
            <w:pPr>
              <w:spacing w:after="0"/>
              <w:rPr>
                <w:sz w:val="20"/>
                <w:szCs w:val="20"/>
                <w:color w:val="auto"/>
              </w:rPr>
            </w:pPr>
            <w:r>
              <w:rPr>
                <w:rFonts w:ascii="Arial" w:cs="Arial" w:eastAsia="Arial" w:hAnsi="Arial"/>
                <w:sz w:val="21"/>
                <w:szCs w:val="21"/>
                <w:color w:val="auto"/>
              </w:rPr>
              <w:t>Name:</w:t>
            </w:r>
          </w:p>
        </w:tc>
        <w:tc>
          <w:tcPr>
            <w:tcW w:w="10400" w:type="dxa"/>
            <w:vAlign w:val="bottom"/>
          </w:tcPr>
          <w:p>
            <w:pPr>
              <w:ind w:left="600"/>
              <w:spacing w:after="0"/>
              <w:rPr>
                <w:sz w:val="20"/>
                <w:szCs w:val="20"/>
                <w:color w:val="auto"/>
              </w:rPr>
            </w:pPr>
            <w:r>
              <w:rPr>
                <w:rFonts w:ascii="Arial" w:cs="Arial" w:eastAsia="Arial" w:hAnsi="Arial"/>
                <w:sz w:val="21"/>
                <w:szCs w:val="21"/>
                <w:color w:val="auto"/>
              </w:rPr>
              <w:t>Azmi Nabulsi</w:t>
            </w:r>
          </w:p>
        </w:tc>
      </w:tr>
      <w:tr>
        <w:trPr>
          <w:trHeight w:val="334"/>
        </w:trPr>
        <w:tc>
          <w:tcPr>
            <w:tcW w:w="880" w:type="dxa"/>
            <w:vAlign w:val="bottom"/>
          </w:tcPr>
          <w:p>
            <w:pPr>
              <w:spacing w:after="0"/>
              <w:rPr>
                <w:sz w:val="20"/>
                <w:szCs w:val="20"/>
                <w:color w:val="auto"/>
              </w:rPr>
            </w:pPr>
            <w:r>
              <w:rPr>
                <w:rFonts w:ascii="Arial" w:cs="Arial" w:eastAsia="Arial" w:hAnsi="Arial"/>
                <w:sz w:val="21"/>
                <w:szCs w:val="21"/>
                <w:color w:val="auto"/>
              </w:rPr>
              <w:t>Title:</w:t>
            </w:r>
          </w:p>
        </w:tc>
        <w:tc>
          <w:tcPr>
            <w:tcW w:w="10400" w:type="dxa"/>
            <w:vAlign w:val="bottom"/>
          </w:tcPr>
          <w:p>
            <w:pPr>
              <w:ind w:left="580"/>
              <w:spacing w:after="0"/>
              <w:rPr>
                <w:sz w:val="20"/>
                <w:szCs w:val="20"/>
                <w:color w:val="auto"/>
              </w:rPr>
            </w:pPr>
            <w:r>
              <w:rPr>
                <w:rFonts w:ascii="Arial" w:cs="Arial" w:eastAsia="Arial" w:hAnsi="Arial"/>
                <w:sz w:val="21"/>
                <w:szCs w:val="21"/>
                <w:color w:val="auto"/>
              </w:rPr>
              <w:t>Chief Operating Officer</w:t>
            </w:r>
          </w:p>
        </w:tc>
      </w:tr>
      <w:tr>
        <w:trPr>
          <w:trHeight w:val="334"/>
        </w:trPr>
        <w:tc>
          <w:tcPr>
            <w:tcW w:w="880" w:type="dxa"/>
            <w:vAlign w:val="bottom"/>
          </w:tcPr>
          <w:p>
            <w:pPr>
              <w:spacing w:after="0"/>
              <w:rPr>
                <w:sz w:val="20"/>
                <w:szCs w:val="20"/>
                <w:color w:val="auto"/>
              </w:rPr>
            </w:pPr>
            <w:r>
              <w:rPr>
                <w:rFonts w:ascii="Arial" w:cs="Arial" w:eastAsia="Arial" w:hAnsi="Arial"/>
                <w:sz w:val="21"/>
                <w:szCs w:val="21"/>
                <w:color w:val="auto"/>
              </w:rPr>
              <w:t>Date:</w:t>
            </w:r>
          </w:p>
        </w:tc>
        <w:tc>
          <w:tcPr>
            <w:tcW w:w="10400" w:type="dxa"/>
            <w:vAlign w:val="bottom"/>
          </w:tcPr>
          <w:p>
            <w:pPr>
              <w:ind w:left="500"/>
              <w:spacing w:after="0"/>
              <w:rPr>
                <w:sz w:val="20"/>
                <w:szCs w:val="20"/>
                <w:color w:val="auto"/>
              </w:rPr>
            </w:pPr>
            <w:r>
              <w:rPr>
                <w:rFonts w:ascii="Arial" w:cs="Arial" w:eastAsia="Arial" w:hAnsi="Arial"/>
                <w:sz w:val="21"/>
                <w:szCs w:val="21"/>
                <w:color w:val="auto"/>
              </w:rPr>
              <w:t>9/21/2020</w:t>
            </w:r>
          </w:p>
        </w:tc>
      </w:tr>
      <w:tr>
        <w:trPr>
          <w:trHeight w:val="843"/>
        </w:trPr>
        <w:tc>
          <w:tcPr>
            <w:tcW w:w="880" w:type="dxa"/>
            <w:vAlign w:val="bottom"/>
            <w:tcBorders>
              <w:bottom w:val="single" w:sz="8" w:color="9A9A9A"/>
            </w:tcBorders>
          </w:tcPr>
          <w:p>
            <w:pPr>
              <w:spacing w:after="0"/>
              <w:rPr>
                <w:sz w:val="24"/>
                <w:szCs w:val="24"/>
                <w:color w:val="auto"/>
              </w:rPr>
            </w:pPr>
          </w:p>
        </w:tc>
        <w:tc>
          <w:tcPr>
            <w:tcW w:w="10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774" w:right="299" w:bottom="1440" w:gutter="0" w:footer="0" w:header="0"/>
        </w:sectPr>
      </w:pPr>
    </w:p>
    <w:bookmarkStart w:id="160" w:name="page161"/>
    <w:bookmarkEnd w:id="160"/>
    <w:p>
      <w:pPr>
        <w:jc w:val="right"/>
        <w:ind w:right="3319"/>
        <w:spacing w:after="0"/>
        <w:rPr>
          <w:sz w:val="20"/>
          <w:szCs w:val="20"/>
          <w:color w:val="auto"/>
        </w:rPr>
      </w:pPr>
      <w:r>
        <w:rPr>
          <w:rFonts w:ascii="Arial" w:cs="Arial" w:eastAsia="Arial" w:hAnsi="Arial"/>
          <w:sz w:val="21"/>
          <w:szCs w:val="21"/>
          <w:color w:val="auto"/>
        </w:rPr>
        <w:t>ATTACHMENT 1</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0139"/>
          </w:cols>
          <w:pgMar w:left="320" w:top="337" w:right="1440" w:bottom="1440" w:gutter="0" w:footer="0" w:header="0"/>
        </w:sectPr>
      </w:pPr>
    </w:p>
    <w:bookmarkStart w:id="161" w:name="page162"/>
    <w:bookmarkEnd w:id="161"/>
    <w:p>
      <w:pPr>
        <w:ind w:left="10180"/>
        <w:spacing w:after="0"/>
        <w:rPr>
          <w:sz w:val="20"/>
          <w:szCs w:val="20"/>
          <w:color w:val="auto"/>
        </w:rPr>
      </w:pPr>
      <w:r>
        <w:rPr>
          <w:rFonts w:ascii="Arial" w:cs="Arial" w:eastAsia="Arial" w:hAnsi="Arial"/>
          <w:sz w:val="17"/>
          <w:szCs w:val="17"/>
          <w:b w:val="1"/>
          <w:bCs w:val="1"/>
          <w:color w:val="auto"/>
        </w:rPr>
        <w:t>Exhibit 10.21</w:t>
      </w:r>
    </w:p>
    <w:p>
      <w:pPr>
        <w:spacing w:after="0" w:line="24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b w:val="1"/>
          <w:bCs w:val="1"/>
          <w:color w:val="auto"/>
        </w:rPr>
        <w:t>CERTAIN IDENTIFIED INFORMATION HAS BEEN EXCLUDED FROM THIS EXHIBIT BECAUSE IT IS NOT MATERIAL AND WOULD LIKELY CAUSE COMPETITIVE HARM TO THE REGISTRANT IF PUBLICLY DISCLOSED. THE OMISSIONS HAVE BEEN INDICATED BY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SUPPLY AND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PACKAGING SERVICES AGREEMENT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by and between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Phathom Pharmaceuticals,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2150 E. Lake Cook Road, Suite 800, Buffalo Grove, IL 60089, U.S.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and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Sandoz GmbH</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Biochemiestrasse 10, 6250 Kundl, Austria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1163320</wp:posOffset>
            </wp:positionV>
            <wp:extent cx="718058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2" w:name="page163"/>
    <w:bookmarkEnd w:id="162"/>
    <w:p>
      <w:pPr>
        <w:ind w:left="452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00" w:lineRule="exact"/>
        <w:rPr>
          <w:sz w:val="20"/>
          <w:szCs w:val="20"/>
          <w:color w:val="auto"/>
        </w:rPr>
      </w:pPr>
    </w:p>
    <w:p>
      <w:pPr>
        <w:spacing w:after="0" w:line="231" w:lineRule="exact"/>
        <w:rPr>
          <w:sz w:val="20"/>
          <w:szCs w:val="20"/>
          <w:color w:val="auto"/>
        </w:rPr>
      </w:pPr>
    </w:p>
    <w:tbl>
      <w:tblPr>
        <w:tblLayout w:type="fixed"/>
        <w:tblInd w:w="2700" w:type="dxa"/>
        <w:tblCellMar>
          <w:top w:w="0" w:type="dxa"/>
          <w:left w:w="0" w:type="dxa"/>
          <w:bottom w:w="0" w:type="dxa"/>
          <w:right w:w="0" w:type="dxa"/>
        </w:tblCellMar>
      </w:tblPr>
      <w:tr>
        <w:trPr>
          <w:trHeight w:val="218"/>
        </w:trPr>
        <w:tc>
          <w:tcPr>
            <w:tcW w:w="740" w:type="dxa"/>
            <w:vAlign w:val="bottom"/>
          </w:tcPr>
          <w:p>
            <w:pPr>
              <w:jc w:val="right"/>
              <w:ind w:right="506"/>
              <w:spacing w:after="0"/>
              <w:rPr>
                <w:sz w:val="20"/>
                <w:szCs w:val="20"/>
                <w:color w:val="auto"/>
              </w:rPr>
            </w:pPr>
            <w:r>
              <w:rPr>
                <w:rFonts w:ascii="Arial" w:cs="Arial" w:eastAsia="Arial" w:hAnsi="Arial"/>
                <w:sz w:val="19"/>
                <w:szCs w:val="19"/>
                <w:b w:val="1"/>
                <w:bCs w:val="1"/>
                <w:color w:val="auto"/>
                <w:w w:val="75"/>
              </w:rPr>
              <w:t>1.</w:t>
            </w:r>
          </w:p>
        </w:tc>
        <w:tc>
          <w:tcPr>
            <w:tcW w:w="4420" w:type="dxa"/>
            <w:vAlign w:val="bottom"/>
            <w:gridSpan w:val="5"/>
          </w:tcPr>
          <w:p>
            <w:pPr>
              <w:jc w:val="center"/>
              <w:spacing w:after="0"/>
              <w:rPr>
                <w:sz w:val="20"/>
                <w:szCs w:val="20"/>
                <w:color w:val="auto"/>
              </w:rPr>
            </w:pPr>
            <w:r>
              <w:rPr>
                <w:rFonts w:ascii="Arial" w:cs="Arial" w:eastAsia="Arial" w:hAnsi="Arial"/>
                <w:sz w:val="19"/>
                <w:szCs w:val="19"/>
                <w:b w:val="1"/>
                <w:bCs w:val="1"/>
                <w:color w:val="auto"/>
                <w:w w:val="99"/>
              </w:rPr>
              <w:t>SCOPE AND STRUCTURE OF THIS AGREEMENT</w:t>
            </w:r>
          </w:p>
        </w:tc>
        <w:tc>
          <w:tcPr>
            <w:tcW w:w="680" w:type="dxa"/>
            <w:vAlign w:val="bottom"/>
          </w:tcPr>
          <w:p>
            <w:pPr>
              <w:jc w:val="right"/>
              <w:spacing w:after="0"/>
              <w:rPr>
                <w:sz w:val="20"/>
                <w:szCs w:val="20"/>
                <w:color w:val="auto"/>
              </w:rPr>
            </w:pPr>
            <w:r>
              <w:rPr>
                <w:rFonts w:ascii="Arial" w:cs="Arial" w:eastAsia="Arial" w:hAnsi="Arial"/>
                <w:sz w:val="19"/>
                <w:szCs w:val="19"/>
                <w:b w:val="1"/>
                <w:bCs w:val="1"/>
                <w:color w:val="auto"/>
              </w:rPr>
              <w:t>3</w:t>
            </w:r>
          </w:p>
        </w:tc>
      </w:tr>
      <w:tr>
        <w:trPr>
          <w:trHeight w:val="218"/>
        </w:trPr>
        <w:tc>
          <w:tcPr>
            <w:tcW w:w="740" w:type="dxa"/>
            <w:vAlign w:val="bottom"/>
          </w:tcPr>
          <w:p>
            <w:pPr>
              <w:spacing w:after="0"/>
              <w:rPr>
                <w:sz w:val="18"/>
                <w:szCs w:val="18"/>
                <w:color w:val="auto"/>
              </w:rPr>
            </w:pPr>
          </w:p>
        </w:tc>
        <w:tc>
          <w:tcPr>
            <w:tcW w:w="780" w:type="dxa"/>
            <w:vAlign w:val="bottom"/>
          </w:tcPr>
          <w:p>
            <w:pPr>
              <w:jc w:val="right"/>
              <w:ind w:right="6"/>
              <w:spacing w:after="0"/>
              <w:rPr>
                <w:sz w:val="20"/>
                <w:szCs w:val="20"/>
                <w:color w:val="auto"/>
              </w:rPr>
            </w:pPr>
            <w:r>
              <w:rPr>
                <w:rFonts w:ascii="Arial" w:cs="Arial" w:eastAsia="Arial" w:hAnsi="Arial"/>
                <w:sz w:val="19"/>
                <w:szCs w:val="19"/>
                <w:b w:val="1"/>
                <w:bCs w:val="1"/>
                <w:color w:val="auto"/>
              </w:rPr>
              <w:t>2.</w:t>
            </w:r>
          </w:p>
        </w:tc>
        <w:tc>
          <w:tcPr>
            <w:tcW w:w="4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9"/>
                <w:szCs w:val="19"/>
                <w:b w:val="1"/>
                <w:bCs w:val="1"/>
                <w:color w:val="auto"/>
              </w:rPr>
              <w:t>SET-UP ACTIVITIES</w:t>
            </w:r>
          </w:p>
        </w:tc>
        <w:tc>
          <w:tcPr>
            <w:tcW w:w="46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9"/>
                <w:szCs w:val="19"/>
                <w:b w:val="1"/>
                <w:bCs w:val="1"/>
                <w:color w:val="auto"/>
              </w:rPr>
              <w:t>4</w:t>
            </w:r>
          </w:p>
        </w:tc>
        <w:tc>
          <w:tcPr>
            <w:tcW w:w="680" w:type="dxa"/>
            <w:vAlign w:val="bottom"/>
          </w:tcPr>
          <w:p>
            <w:pPr>
              <w:spacing w:after="0"/>
              <w:rPr>
                <w:sz w:val="18"/>
                <w:szCs w:val="18"/>
                <w:color w:val="auto"/>
              </w:rPr>
            </w:pPr>
          </w:p>
        </w:tc>
      </w:tr>
      <w:tr>
        <w:trPr>
          <w:trHeight w:val="218"/>
        </w:trPr>
        <w:tc>
          <w:tcPr>
            <w:tcW w:w="74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Arial" w:cs="Arial" w:eastAsia="Arial" w:hAnsi="Arial"/>
                <w:sz w:val="19"/>
                <w:szCs w:val="19"/>
                <w:b w:val="1"/>
                <w:bCs w:val="1"/>
                <w:color w:val="auto"/>
              </w:rPr>
              <w:t>3.</w:t>
            </w:r>
          </w:p>
        </w:tc>
        <w:tc>
          <w:tcPr>
            <w:tcW w:w="2860" w:type="dxa"/>
            <w:vAlign w:val="bottom"/>
            <w:gridSpan w:val="3"/>
          </w:tcPr>
          <w:p>
            <w:pPr>
              <w:jc w:val="center"/>
              <w:spacing w:after="0"/>
              <w:rPr>
                <w:sz w:val="20"/>
                <w:szCs w:val="20"/>
                <w:color w:val="auto"/>
              </w:rPr>
            </w:pPr>
            <w:r>
              <w:rPr>
                <w:rFonts w:ascii="Arial" w:cs="Arial" w:eastAsia="Arial" w:hAnsi="Arial"/>
                <w:sz w:val="19"/>
                <w:szCs w:val="19"/>
                <w:b w:val="1"/>
                <w:bCs w:val="1"/>
                <w:color w:val="auto"/>
                <w:w w:val="97"/>
              </w:rPr>
              <w:t>PACKAGING AND SUPPLY</w:t>
            </w:r>
          </w:p>
        </w:tc>
        <w:tc>
          <w:tcPr>
            <w:tcW w:w="780" w:type="dxa"/>
            <w:vAlign w:val="bottom"/>
          </w:tcPr>
          <w:p>
            <w:pPr>
              <w:jc w:val="right"/>
              <w:ind w:right="226"/>
              <w:spacing w:after="0"/>
              <w:rPr>
                <w:sz w:val="20"/>
                <w:szCs w:val="20"/>
                <w:color w:val="auto"/>
              </w:rPr>
            </w:pPr>
            <w:r>
              <w:rPr>
                <w:rFonts w:ascii="Arial" w:cs="Arial" w:eastAsia="Arial" w:hAnsi="Arial"/>
                <w:sz w:val="19"/>
                <w:szCs w:val="19"/>
                <w:b w:val="1"/>
                <w:bCs w:val="1"/>
                <w:color w:val="auto"/>
              </w:rPr>
              <w:t>5</w:t>
            </w:r>
          </w:p>
        </w:tc>
        <w:tc>
          <w:tcPr>
            <w:tcW w:w="680" w:type="dxa"/>
            <w:vAlign w:val="bottom"/>
          </w:tcPr>
          <w:p>
            <w:pPr>
              <w:spacing w:after="0"/>
              <w:rPr>
                <w:sz w:val="18"/>
                <w:szCs w:val="18"/>
                <w:color w:val="auto"/>
              </w:rPr>
            </w:pPr>
          </w:p>
        </w:tc>
      </w:tr>
      <w:tr>
        <w:trPr>
          <w:trHeight w:val="218"/>
        </w:trPr>
        <w:tc>
          <w:tcPr>
            <w:tcW w:w="740" w:type="dxa"/>
            <w:vAlign w:val="bottom"/>
          </w:tcPr>
          <w:p>
            <w:pPr>
              <w:jc w:val="right"/>
              <w:spacing w:after="0"/>
              <w:rPr>
                <w:sz w:val="20"/>
                <w:szCs w:val="20"/>
                <w:color w:val="auto"/>
              </w:rPr>
            </w:pPr>
            <w:r>
              <w:rPr>
                <w:rFonts w:ascii="Arial" w:cs="Arial" w:eastAsia="Arial" w:hAnsi="Arial"/>
                <w:sz w:val="19"/>
                <w:szCs w:val="19"/>
                <w:b w:val="1"/>
                <w:bCs w:val="1"/>
                <w:color w:val="auto"/>
              </w:rPr>
              <w:t>4.</w:t>
            </w:r>
          </w:p>
        </w:tc>
        <w:tc>
          <w:tcPr>
            <w:tcW w:w="4420" w:type="dxa"/>
            <w:vAlign w:val="bottom"/>
            <w:gridSpan w:val="5"/>
          </w:tcPr>
          <w:p>
            <w:pPr>
              <w:jc w:val="center"/>
              <w:spacing w:after="0"/>
              <w:rPr>
                <w:sz w:val="20"/>
                <w:szCs w:val="20"/>
                <w:color w:val="auto"/>
              </w:rPr>
            </w:pPr>
            <w:r>
              <w:rPr>
                <w:rFonts w:ascii="Arial" w:cs="Arial" w:eastAsia="Arial" w:hAnsi="Arial"/>
                <w:sz w:val="19"/>
                <w:szCs w:val="19"/>
                <w:b w:val="1"/>
                <w:bCs w:val="1"/>
                <w:color w:val="auto"/>
                <w:w w:val="99"/>
              </w:rPr>
              <w:t>CUSTOMER SUPPLIED MATERIALS</w:t>
            </w:r>
          </w:p>
        </w:tc>
        <w:tc>
          <w:tcPr>
            <w:tcW w:w="680" w:type="dxa"/>
            <w:vAlign w:val="bottom"/>
          </w:tcPr>
          <w:p>
            <w:pPr>
              <w:jc w:val="right"/>
              <w:ind w:right="466"/>
              <w:spacing w:after="0"/>
              <w:rPr>
                <w:sz w:val="20"/>
                <w:szCs w:val="20"/>
                <w:color w:val="auto"/>
              </w:rPr>
            </w:pPr>
            <w:r>
              <w:rPr>
                <w:rFonts w:ascii="Arial" w:cs="Arial" w:eastAsia="Arial" w:hAnsi="Arial"/>
                <w:sz w:val="19"/>
                <w:szCs w:val="19"/>
                <w:b w:val="1"/>
                <w:bCs w:val="1"/>
                <w:color w:val="auto"/>
                <w:w w:val="94"/>
              </w:rPr>
              <w:t>6</w:t>
            </w:r>
          </w:p>
        </w:tc>
      </w:tr>
      <w:tr>
        <w:trPr>
          <w:trHeight w:val="218"/>
        </w:trPr>
        <w:tc>
          <w:tcPr>
            <w:tcW w:w="740" w:type="dxa"/>
            <w:vAlign w:val="bottom"/>
          </w:tcPr>
          <w:p>
            <w:pPr>
              <w:jc w:val="right"/>
              <w:ind w:right="186"/>
              <w:spacing w:after="0"/>
              <w:rPr>
                <w:sz w:val="20"/>
                <w:szCs w:val="20"/>
                <w:color w:val="auto"/>
              </w:rPr>
            </w:pPr>
            <w:r>
              <w:rPr>
                <w:rFonts w:ascii="Arial" w:cs="Arial" w:eastAsia="Arial" w:hAnsi="Arial"/>
                <w:sz w:val="19"/>
                <w:szCs w:val="19"/>
                <w:b w:val="1"/>
                <w:bCs w:val="1"/>
                <w:color w:val="auto"/>
              </w:rPr>
              <w:t>5.</w:t>
            </w:r>
          </w:p>
        </w:tc>
        <w:tc>
          <w:tcPr>
            <w:tcW w:w="4420" w:type="dxa"/>
            <w:vAlign w:val="bottom"/>
            <w:gridSpan w:val="5"/>
          </w:tcPr>
          <w:p>
            <w:pPr>
              <w:jc w:val="center"/>
              <w:spacing w:after="0"/>
              <w:rPr>
                <w:sz w:val="20"/>
                <w:szCs w:val="20"/>
                <w:color w:val="auto"/>
              </w:rPr>
            </w:pPr>
            <w:r>
              <w:rPr>
                <w:rFonts w:ascii="Arial" w:cs="Arial" w:eastAsia="Arial" w:hAnsi="Arial"/>
                <w:sz w:val="19"/>
                <w:szCs w:val="19"/>
                <w:b w:val="1"/>
                <w:bCs w:val="1"/>
                <w:color w:val="auto"/>
                <w:w w:val="99"/>
              </w:rPr>
              <w:t>FORECASTING, ORDERS AND DELIVERY</w:t>
            </w:r>
          </w:p>
        </w:tc>
        <w:tc>
          <w:tcPr>
            <w:tcW w:w="680" w:type="dxa"/>
            <w:vAlign w:val="bottom"/>
          </w:tcPr>
          <w:p>
            <w:pPr>
              <w:jc w:val="right"/>
              <w:ind w:right="206"/>
              <w:spacing w:after="0"/>
              <w:rPr>
                <w:sz w:val="20"/>
                <w:szCs w:val="20"/>
                <w:color w:val="auto"/>
              </w:rPr>
            </w:pPr>
            <w:r>
              <w:rPr>
                <w:rFonts w:ascii="Arial" w:cs="Arial" w:eastAsia="Arial" w:hAnsi="Arial"/>
                <w:sz w:val="19"/>
                <w:szCs w:val="19"/>
                <w:b w:val="1"/>
                <w:bCs w:val="1"/>
                <w:color w:val="auto"/>
              </w:rPr>
              <w:t>7</w:t>
            </w:r>
          </w:p>
        </w:tc>
      </w:tr>
      <w:tr>
        <w:trPr>
          <w:trHeight w:val="218"/>
        </w:trPr>
        <w:tc>
          <w:tcPr>
            <w:tcW w:w="740" w:type="dxa"/>
            <w:vAlign w:val="bottom"/>
          </w:tcPr>
          <w:p>
            <w:pPr>
              <w:spacing w:after="0"/>
              <w:rPr>
                <w:sz w:val="18"/>
                <w:szCs w:val="18"/>
                <w:color w:val="auto"/>
              </w:rPr>
            </w:pPr>
          </w:p>
        </w:tc>
        <w:tc>
          <w:tcPr>
            <w:tcW w:w="780" w:type="dxa"/>
            <w:vAlign w:val="bottom"/>
          </w:tcPr>
          <w:p>
            <w:pPr>
              <w:jc w:val="right"/>
              <w:ind w:right="506"/>
              <w:spacing w:after="0"/>
              <w:rPr>
                <w:sz w:val="20"/>
                <w:szCs w:val="20"/>
                <w:color w:val="auto"/>
              </w:rPr>
            </w:pPr>
            <w:r>
              <w:rPr>
                <w:rFonts w:ascii="Arial" w:cs="Arial" w:eastAsia="Arial" w:hAnsi="Arial"/>
                <w:sz w:val="19"/>
                <w:szCs w:val="19"/>
                <w:b w:val="1"/>
                <w:bCs w:val="1"/>
                <w:color w:val="auto"/>
              </w:rPr>
              <w:t>6.</w:t>
            </w:r>
          </w:p>
        </w:tc>
        <w:tc>
          <w:tcPr>
            <w:tcW w:w="2860" w:type="dxa"/>
            <w:vAlign w:val="bottom"/>
            <w:gridSpan w:val="3"/>
          </w:tcPr>
          <w:p>
            <w:pPr>
              <w:jc w:val="center"/>
              <w:spacing w:after="0"/>
              <w:rPr>
                <w:sz w:val="20"/>
                <w:szCs w:val="20"/>
                <w:color w:val="auto"/>
              </w:rPr>
            </w:pPr>
            <w:r>
              <w:rPr>
                <w:rFonts w:ascii="Arial" w:cs="Arial" w:eastAsia="Arial" w:hAnsi="Arial"/>
                <w:sz w:val="19"/>
                <w:szCs w:val="19"/>
                <w:b w:val="1"/>
                <w:bCs w:val="1"/>
                <w:color w:val="auto"/>
                <w:w w:val="98"/>
              </w:rPr>
              <w:t>PRICES AND PAYMENT TERMS</w:t>
            </w: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9</w:t>
            </w:r>
          </w:p>
        </w:tc>
        <w:tc>
          <w:tcPr>
            <w:tcW w:w="680" w:type="dxa"/>
            <w:vAlign w:val="bottom"/>
          </w:tcPr>
          <w:p>
            <w:pPr>
              <w:spacing w:after="0"/>
              <w:rPr>
                <w:sz w:val="18"/>
                <w:szCs w:val="18"/>
                <w:color w:val="auto"/>
              </w:rPr>
            </w:pPr>
          </w:p>
        </w:tc>
      </w:tr>
      <w:tr>
        <w:trPr>
          <w:trHeight w:val="218"/>
        </w:trPr>
        <w:tc>
          <w:tcPr>
            <w:tcW w:w="740" w:type="dxa"/>
            <w:vAlign w:val="bottom"/>
          </w:tcPr>
          <w:p>
            <w:pPr>
              <w:spacing w:after="0"/>
              <w:rPr>
                <w:sz w:val="18"/>
                <w:szCs w:val="18"/>
                <w:color w:val="auto"/>
              </w:rPr>
            </w:pPr>
          </w:p>
        </w:tc>
        <w:tc>
          <w:tcPr>
            <w:tcW w:w="780" w:type="dxa"/>
            <w:vAlign w:val="bottom"/>
          </w:tcPr>
          <w:p>
            <w:pPr>
              <w:jc w:val="right"/>
              <w:ind w:right="446"/>
              <w:spacing w:after="0"/>
              <w:rPr>
                <w:sz w:val="20"/>
                <w:szCs w:val="20"/>
                <w:color w:val="auto"/>
              </w:rPr>
            </w:pPr>
            <w:r>
              <w:rPr>
                <w:rFonts w:ascii="Arial" w:cs="Arial" w:eastAsia="Arial" w:hAnsi="Arial"/>
                <w:sz w:val="19"/>
                <w:szCs w:val="19"/>
                <w:b w:val="1"/>
                <w:bCs w:val="1"/>
                <w:color w:val="auto"/>
              </w:rPr>
              <w:t>7.</w:t>
            </w:r>
          </w:p>
        </w:tc>
        <w:tc>
          <w:tcPr>
            <w:tcW w:w="2860" w:type="dxa"/>
            <w:vAlign w:val="bottom"/>
            <w:gridSpan w:val="3"/>
          </w:tcPr>
          <w:p>
            <w:pPr>
              <w:jc w:val="center"/>
              <w:ind w:right="46"/>
              <w:spacing w:after="0"/>
              <w:rPr>
                <w:sz w:val="20"/>
                <w:szCs w:val="20"/>
                <w:color w:val="auto"/>
              </w:rPr>
            </w:pPr>
            <w:r>
              <w:rPr>
                <w:rFonts w:ascii="Arial" w:cs="Arial" w:eastAsia="Arial" w:hAnsi="Arial"/>
                <w:sz w:val="19"/>
                <w:szCs w:val="19"/>
                <w:b w:val="1"/>
                <w:bCs w:val="1"/>
                <w:color w:val="auto"/>
              </w:rPr>
              <w:t>INTELLECTUAL PROPERTY</w:t>
            </w:r>
          </w:p>
        </w:tc>
        <w:tc>
          <w:tcPr>
            <w:tcW w:w="780" w:type="dxa"/>
            <w:vAlign w:val="bottom"/>
          </w:tcPr>
          <w:p>
            <w:pPr>
              <w:jc w:val="right"/>
              <w:ind w:right="46"/>
              <w:spacing w:after="0"/>
              <w:rPr>
                <w:sz w:val="20"/>
                <w:szCs w:val="20"/>
                <w:color w:val="auto"/>
              </w:rPr>
            </w:pPr>
            <w:r>
              <w:rPr>
                <w:rFonts w:ascii="Arial" w:cs="Arial" w:eastAsia="Arial" w:hAnsi="Arial"/>
                <w:sz w:val="19"/>
                <w:szCs w:val="19"/>
                <w:b w:val="1"/>
                <w:bCs w:val="1"/>
                <w:color w:val="auto"/>
              </w:rPr>
              <w:t>10</w:t>
            </w:r>
          </w:p>
        </w:tc>
        <w:tc>
          <w:tcPr>
            <w:tcW w:w="680" w:type="dxa"/>
            <w:vAlign w:val="bottom"/>
          </w:tcPr>
          <w:p>
            <w:pPr>
              <w:spacing w:after="0"/>
              <w:rPr>
                <w:sz w:val="18"/>
                <w:szCs w:val="18"/>
                <w:color w:val="auto"/>
              </w:rPr>
            </w:pPr>
          </w:p>
        </w:tc>
      </w:tr>
      <w:tr>
        <w:trPr>
          <w:trHeight w:val="218"/>
        </w:trPr>
        <w:tc>
          <w:tcPr>
            <w:tcW w:w="740" w:type="dxa"/>
            <w:vAlign w:val="bottom"/>
          </w:tcPr>
          <w:p>
            <w:pPr>
              <w:jc w:val="right"/>
              <w:ind w:right="286"/>
              <w:spacing w:after="0"/>
              <w:rPr>
                <w:sz w:val="20"/>
                <w:szCs w:val="20"/>
                <w:color w:val="auto"/>
              </w:rPr>
            </w:pPr>
            <w:r>
              <w:rPr>
                <w:rFonts w:ascii="Arial" w:cs="Arial" w:eastAsia="Arial" w:hAnsi="Arial"/>
                <w:sz w:val="19"/>
                <w:szCs w:val="19"/>
                <w:b w:val="1"/>
                <w:bCs w:val="1"/>
                <w:color w:val="auto"/>
              </w:rPr>
              <w:t>8.</w:t>
            </w:r>
          </w:p>
        </w:tc>
        <w:tc>
          <w:tcPr>
            <w:tcW w:w="4420" w:type="dxa"/>
            <w:vAlign w:val="bottom"/>
            <w:gridSpan w:val="5"/>
          </w:tcPr>
          <w:p>
            <w:pPr>
              <w:ind w:left="240"/>
              <w:spacing w:after="0"/>
              <w:rPr>
                <w:sz w:val="20"/>
                <w:szCs w:val="20"/>
                <w:color w:val="auto"/>
              </w:rPr>
            </w:pPr>
            <w:r>
              <w:rPr>
                <w:rFonts w:ascii="Arial" w:cs="Arial" w:eastAsia="Arial" w:hAnsi="Arial"/>
                <w:sz w:val="19"/>
                <w:szCs w:val="19"/>
                <w:b w:val="1"/>
                <w:bCs w:val="1"/>
                <w:color w:val="auto"/>
              </w:rPr>
              <w:t>WARRANTIES AND DEFECTIVE PRODUCT</w:t>
            </w:r>
          </w:p>
        </w:tc>
        <w:tc>
          <w:tcPr>
            <w:tcW w:w="680" w:type="dxa"/>
            <w:vAlign w:val="bottom"/>
          </w:tcPr>
          <w:p>
            <w:pPr>
              <w:jc w:val="right"/>
              <w:ind w:right="126"/>
              <w:spacing w:after="0"/>
              <w:rPr>
                <w:sz w:val="20"/>
                <w:szCs w:val="20"/>
                <w:color w:val="auto"/>
              </w:rPr>
            </w:pPr>
            <w:r>
              <w:rPr>
                <w:rFonts w:ascii="Arial" w:cs="Arial" w:eastAsia="Arial" w:hAnsi="Arial"/>
                <w:sz w:val="19"/>
                <w:szCs w:val="19"/>
                <w:b w:val="1"/>
                <w:bCs w:val="1"/>
                <w:color w:val="auto"/>
              </w:rPr>
              <w:t>11</w:t>
            </w:r>
          </w:p>
        </w:tc>
      </w:tr>
      <w:tr>
        <w:trPr>
          <w:trHeight w:val="218"/>
        </w:trPr>
        <w:tc>
          <w:tcPr>
            <w:tcW w:w="740" w:type="dxa"/>
            <w:vAlign w:val="bottom"/>
          </w:tcPr>
          <w:p>
            <w:pPr>
              <w:jc w:val="right"/>
              <w:ind w:right="86"/>
              <w:spacing w:after="0"/>
              <w:rPr>
                <w:sz w:val="20"/>
                <w:szCs w:val="20"/>
                <w:color w:val="auto"/>
              </w:rPr>
            </w:pPr>
            <w:r>
              <w:rPr>
                <w:rFonts w:ascii="Arial" w:cs="Arial" w:eastAsia="Arial" w:hAnsi="Arial"/>
                <w:sz w:val="19"/>
                <w:szCs w:val="19"/>
                <w:b w:val="1"/>
                <w:bCs w:val="1"/>
                <w:color w:val="auto"/>
              </w:rPr>
              <w:t>9.</w:t>
            </w:r>
          </w:p>
        </w:tc>
        <w:tc>
          <w:tcPr>
            <w:tcW w:w="4420" w:type="dxa"/>
            <w:vAlign w:val="bottom"/>
            <w:gridSpan w:val="5"/>
          </w:tcPr>
          <w:p>
            <w:pPr>
              <w:jc w:val="center"/>
              <w:ind w:right="6"/>
              <w:spacing w:after="0"/>
              <w:rPr>
                <w:sz w:val="20"/>
                <w:szCs w:val="20"/>
                <w:color w:val="auto"/>
              </w:rPr>
            </w:pPr>
            <w:r>
              <w:rPr>
                <w:rFonts w:ascii="Arial" w:cs="Arial" w:eastAsia="Arial" w:hAnsi="Arial"/>
                <w:sz w:val="19"/>
                <w:szCs w:val="19"/>
                <w:b w:val="1"/>
                <w:bCs w:val="1"/>
                <w:color w:val="auto"/>
              </w:rPr>
              <w:t>INDEMNIFICATION AND LIABILITIES</w:t>
            </w:r>
          </w:p>
        </w:tc>
        <w:tc>
          <w:tcPr>
            <w:tcW w:w="680" w:type="dxa"/>
            <w:vAlign w:val="bottom"/>
          </w:tcPr>
          <w:p>
            <w:pPr>
              <w:jc w:val="right"/>
              <w:ind w:right="306"/>
              <w:spacing w:after="0"/>
              <w:rPr>
                <w:sz w:val="20"/>
                <w:szCs w:val="20"/>
                <w:color w:val="auto"/>
              </w:rPr>
            </w:pPr>
            <w:r>
              <w:rPr>
                <w:rFonts w:ascii="Arial" w:cs="Arial" w:eastAsia="Arial" w:hAnsi="Arial"/>
                <w:sz w:val="19"/>
                <w:szCs w:val="19"/>
                <w:b w:val="1"/>
                <w:bCs w:val="1"/>
                <w:color w:val="auto"/>
              </w:rPr>
              <w:t>14</w:t>
            </w:r>
          </w:p>
        </w:tc>
      </w:tr>
      <w:tr>
        <w:trPr>
          <w:trHeight w:val="218"/>
        </w:trPr>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9"/>
                <w:szCs w:val="19"/>
                <w:b w:val="1"/>
                <w:bCs w:val="1"/>
                <w:color w:val="auto"/>
              </w:rPr>
              <w:t>10.</w:t>
            </w:r>
          </w:p>
        </w:tc>
        <w:tc>
          <w:tcPr>
            <w:tcW w:w="1960" w:type="dxa"/>
            <w:vAlign w:val="bottom"/>
          </w:tcPr>
          <w:p>
            <w:pPr>
              <w:jc w:val="center"/>
              <w:spacing w:after="0"/>
              <w:rPr>
                <w:sz w:val="20"/>
                <w:szCs w:val="20"/>
                <w:color w:val="auto"/>
              </w:rPr>
            </w:pPr>
            <w:r>
              <w:rPr>
                <w:rFonts w:ascii="Arial" w:cs="Arial" w:eastAsia="Arial" w:hAnsi="Arial"/>
                <w:sz w:val="19"/>
                <w:szCs w:val="19"/>
                <w:b w:val="1"/>
                <w:bCs w:val="1"/>
                <w:color w:val="auto"/>
              </w:rPr>
              <w:t>QUALITY</w:t>
            </w:r>
          </w:p>
        </w:tc>
        <w:tc>
          <w:tcPr>
            <w:tcW w:w="460" w:type="dxa"/>
            <w:vAlign w:val="bottom"/>
          </w:tcPr>
          <w:p>
            <w:pPr>
              <w:jc w:val="right"/>
              <w:ind w:right="86"/>
              <w:spacing w:after="0"/>
              <w:rPr>
                <w:sz w:val="20"/>
                <w:szCs w:val="20"/>
                <w:color w:val="auto"/>
              </w:rPr>
            </w:pPr>
            <w:r>
              <w:rPr>
                <w:rFonts w:ascii="Arial" w:cs="Arial" w:eastAsia="Arial" w:hAnsi="Arial"/>
                <w:sz w:val="19"/>
                <w:szCs w:val="19"/>
                <w:b w:val="1"/>
                <w:bCs w:val="1"/>
                <w:color w:val="auto"/>
              </w:rPr>
              <w:t>14</w:t>
            </w: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8"/>
        </w:trPr>
        <w:tc>
          <w:tcPr>
            <w:tcW w:w="740" w:type="dxa"/>
            <w:vAlign w:val="bottom"/>
          </w:tcPr>
          <w:p>
            <w:pPr>
              <w:spacing w:after="0"/>
              <w:rPr>
                <w:sz w:val="18"/>
                <w:szCs w:val="18"/>
                <w:color w:val="auto"/>
              </w:rPr>
            </w:pPr>
          </w:p>
        </w:tc>
        <w:tc>
          <w:tcPr>
            <w:tcW w:w="780" w:type="dxa"/>
            <w:vAlign w:val="bottom"/>
          </w:tcPr>
          <w:p>
            <w:pPr>
              <w:ind w:left="260"/>
              <w:spacing w:after="0"/>
              <w:rPr>
                <w:sz w:val="20"/>
                <w:szCs w:val="20"/>
                <w:color w:val="auto"/>
              </w:rPr>
            </w:pPr>
            <w:r>
              <w:rPr>
                <w:rFonts w:ascii="Arial" w:cs="Arial" w:eastAsia="Arial" w:hAnsi="Arial"/>
                <w:sz w:val="19"/>
                <w:szCs w:val="19"/>
                <w:b w:val="1"/>
                <w:bCs w:val="1"/>
                <w:color w:val="auto"/>
              </w:rPr>
              <w:t>11.</w:t>
            </w:r>
          </w:p>
        </w:tc>
        <w:tc>
          <w:tcPr>
            <w:tcW w:w="2860" w:type="dxa"/>
            <w:vAlign w:val="bottom"/>
            <w:gridSpan w:val="3"/>
          </w:tcPr>
          <w:p>
            <w:pPr>
              <w:jc w:val="center"/>
              <w:spacing w:after="0"/>
              <w:rPr>
                <w:sz w:val="20"/>
                <w:szCs w:val="20"/>
                <w:color w:val="auto"/>
              </w:rPr>
            </w:pPr>
            <w:r>
              <w:rPr>
                <w:rFonts w:ascii="Arial" w:cs="Arial" w:eastAsia="Arial" w:hAnsi="Arial"/>
                <w:sz w:val="19"/>
                <w:szCs w:val="19"/>
                <w:b w:val="1"/>
                <w:bCs w:val="1"/>
                <w:color w:val="auto"/>
              </w:rPr>
              <w:t>PHARMACOVIGILANCE</w:t>
            </w:r>
          </w:p>
        </w:tc>
        <w:tc>
          <w:tcPr>
            <w:tcW w:w="780" w:type="dxa"/>
            <w:vAlign w:val="bottom"/>
          </w:tcPr>
          <w:p>
            <w:pPr>
              <w:jc w:val="right"/>
              <w:ind w:right="206"/>
              <w:spacing w:after="0"/>
              <w:rPr>
                <w:sz w:val="20"/>
                <w:szCs w:val="20"/>
                <w:color w:val="auto"/>
              </w:rPr>
            </w:pPr>
            <w:r>
              <w:rPr>
                <w:rFonts w:ascii="Arial" w:cs="Arial" w:eastAsia="Arial" w:hAnsi="Arial"/>
                <w:sz w:val="19"/>
                <w:szCs w:val="19"/>
                <w:b w:val="1"/>
                <w:bCs w:val="1"/>
                <w:color w:val="auto"/>
              </w:rPr>
              <w:t>15</w:t>
            </w:r>
          </w:p>
        </w:tc>
        <w:tc>
          <w:tcPr>
            <w:tcW w:w="680" w:type="dxa"/>
            <w:vAlign w:val="bottom"/>
          </w:tcPr>
          <w:p>
            <w:pPr>
              <w:spacing w:after="0"/>
              <w:rPr>
                <w:sz w:val="18"/>
                <w:szCs w:val="18"/>
                <w:color w:val="auto"/>
              </w:rPr>
            </w:pPr>
          </w:p>
        </w:tc>
      </w:tr>
      <w:tr>
        <w:trPr>
          <w:trHeight w:val="218"/>
        </w:trPr>
        <w:tc>
          <w:tcPr>
            <w:tcW w:w="7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12.</w:t>
            </w:r>
          </w:p>
        </w:tc>
        <w:tc>
          <w:tcPr>
            <w:tcW w:w="44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9"/>
                <w:szCs w:val="19"/>
                <w:b w:val="1"/>
                <w:bCs w:val="1"/>
                <w:color w:val="auto"/>
              </w:rPr>
              <w:t>CONFIDENTIALITY</w:t>
            </w:r>
          </w:p>
        </w:tc>
        <w:tc>
          <w:tcPr>
            <w:tcW w:w="46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Arial" w:cs="Arial" w:eastAsia="Arial" w:hAnsi="Arial"/>
                <w:sz w:val="19"/>
                <w:szCs w:val="19"/>
                <w:b w:val="1"/>
                <w:bCs w:val="1"/>
                <w:color w:val="auto"/>
              </w:rPr>
              <w:t>15</w:t>
            </w:r>
          </w:p>
        </w:tc>
        <w:tc>
          <w:tcPr>
            <w:tcW w:w="680" w:type="dxa"/>
            <w:vAlign w:val="bottom"/>
          </w:tcPr>
          <w:p>
            <w:pPr>
              <w:spacing w:after="0"/>
              <w:rPr>
                <w:sz w:val="18"/>
                <w:szCs w:val="18"/>
                <w:color w:val="auto"/>
              </w:rPr>
            </w:pPr>
          </w:p>
        </w:tc>
      </w:tr>
      <w:tr>
        <w:trPr>
          <w:trHeight w:val="218"/>
        </w:trPr>
        <w:tc>
          <w:tcPr>
            <w:tcW w:w="740" w:type="dxa"/>
            <w:vAlign w:val="bottom"/>
          </w:tcPr>
          <w:p>
            <w:pPr>
              <w:spacing w:after="0"/>
              <w:rPr>
                <w:sz w:val="18"/>
                <w:szCs w:val="18"/>
                <w:color w:val="auto"/>
              </w:rPr>
            </w:pPr>
          </w:p>
        </w:tc>
        <w:tc>
          <w:tcPr>
            <w:tcW w:w="780" w:type="dxa"/>
            <w:vAlign w:val="bottom"/>
          </w:tcPr>
          <w:p>
            <w:pPr>
              <w:jc w:val="right"/>
              <w:ind w:right="326"/>
              <w:spacing w:after="0"/>
              <w:rPr>
                <w:sz w:val="20"/>
                <w:szCs w:val="20"/>
                <w:color w:val="auto"/>
              </w:rPr>
            </w:pPr>
            <w:r>
              <w:rPr>
                <w:rFonts w:ascii="Arial" w:cs="Arial" w:eastAsia="Arial" w:hAnsi="Arial"/>
                <w:sz w:val="19"/>
                <w:szCs w:val="19"/>
                <w:b w:val="1"/>
                <w:bCs w:val="1"/>
                <w:color w:val="auto"/>
              </w:rPr>
              <w:t>13.</w:t>
            </w:r>
          </w:p>
        </w:tc>
        <w:tc>
          <w:tcPr>
            <w:tcW w:w="2860" w:type="dxa"/>
            <w:vAlign w:val="bottom"/>
            <w:gridSpan w:val="3"/>
          </w:tcPr>
          <w:p>
            <w:pPr>
              <w:jc w:val="center"/>
              <w:spacing w:after="0"/>
              <w:rPr>
                <w:sz w:val="20"/>
                <w:szCs w:val="20"/>
                <w:color w:val="auto"/>
              </w:rPr>
            </w:pPr>
            <w:r>
              <w:rPr>
                <w:rFonts w:ascii="Arial" w:cs="Arial" w:eastAsia="Arial" w:hAnsi="Arial"/>
                <w:sz w:val="19"/>
                <w:szCs w:val="19"/>
                <w:b w:val="1"/>
                <w:bCs w:val="1"/>
                <w:color w:val="auto"/>
              </w:rPr>
              <w:t>TERM AND TERMINATION</w:t>
            </w:r>
          </w:p>
        </w:tc>
        <w:tc>
          <w:tcPr>
            <w:tcW w:w="780" w:type="dxa"/>
            <w:vAlign w:val="bottom"/>
          </w:tcPr>
          <w:p>
            <w:pPr>
              <w:jc w:val="right"/>
              <w:ind w:right="86"/>
              <w:spacing w:after="0"/>
              <w:rPr>
                <w:sz w:val="20"/>
                <w:szCs w:val="20"/>
                <w:color w:val="auto"/>
              </w:rPr>
            </w:pPr>
            <w:r>
              <w:rPr>
                <w:rFonts w:ascii="Arial" w:cs="Arial" w:eastAsia="Arial" w:hAnsi="Arial"/>
                <w:sz w:val="19"/>
                <w:szCs w:val="19"/>
                <w:b w:val="1"/>
                <w:bCs w:val="1"/>
                <w:color w:val="auto"/>
              </w:rPr>
              <w:t>16</w:t>
            </w:r>
          </w:p>
        </w:tc>
        <w:tc>
          <w:tcPr>
            <w:tcW w:w="680" w:type="dxa"/>
            <w:vAlign w:val="bottom"/>
          </w:tcPr>
          <w:p>
            <w:pPr>
              <w:spacing w:after="0"/>
              <w:rPr>
                <w:sz w:val="18"/>
                <w:szCs w:val="18"/>
                <w:color w:val="auto"/>
              </w:rPr>
            </w:pPr>
          </w:p>
        </w:tc>
      </w:tr>
      <w:tr>
        <w:trPr>
          <w:trHeight w:val="218"/>
        </w:trPr>
        <w:tc>
          <w:tcPr>
            <w:tcW w:w="740" w:type="dxa"/>
            <w:vAlign w:val="bottom"/>
          </w:tcPr>
          <w:p>
            <w:pPr>
              <w:jc w:val="right"/>
              <w:ind w:right="86"/>
              <w:spacing w:after="0"/>
              <w:rPr>
                <w:sz w:val="20"/>
                <w:szCs w:val="20"/>
                <w:color w:val="auto"/>
              </w:rPr>
            </w:pPr>
            <w:r>
              <w:rPr>
                <w:rFonts w:ascii="Arial" w:cs="Arial" w:eastAsia="Arial" w:hAnsi="Arial"/>
                <w:sz w:val="19"/>
                <w:szCs w:val="19"/>
                <w:b w:val="1"/>
                <w:bCs w:val="1"/>
                <w:color w:val="auto"/>
              </w:rPr>
              <w:t>14.</w:t>
            </w:r>
          </w:p>
        </w:tc>
        <w:tc>
          <w:tcPr>
            <w:tcW w:w="4420" w:type="dxa"/>
            <w:vAlign w:val="bottom"/>
            <w:gridSpan w:val="5"/>
          </w:tcPr>
          <w:p>
            <w:pPr>
              <w:jc w:val="center"/>
              <w:spacing w:after="0"/>
              <w:rPr>
                <w:sz w:val="20"/>
                <w:szCs w:val="20"/>
                <w:color w:val="auto"/>
              </w:rPr>
            </w:pPr>
            <w:r>
              <w:rPr>
                <w:rFonts w:ascii="Arial" w:cs="Arial" w:eastAsia="Arial" w:hAnsi="Arial"/>
                <w:sz w:val="19"/>
                <w:szCs w:val="19"/>
                <w:b w:val="1"/>
                <w:bCs w:val="1"/>
                <w:color w:val="auto"/>
              </w:rPr>
              <w:t>GOVERNING LAW AND JURISDICTION</w:t>
            </w:r>
          </w:p>
        </w:tc>
        <w:tc>
          <w:tcPr>
            <w:tcW w:w="680" w:type="dxa"/>
            <w:vAlign w:val="bottom"/>
          </w:tcPr>
          <w:p>
            <w:pPr>
              <w:jc w:val="right"/>
              <w:ind w:right="226"/>
              <w:spacing w:after="0"/>
              <w:rPr>
                <w:sz w:val="20"/>
                <w:szCs w:val="20"/>
                <w:color w:val="auto"/>
              </w:rPr>
            </w:pPr>
            <w:r>
              <w:rPr>
                <w:rFonts w:ascii="Arial" w:cs="Arial" w:eastAsia="Arial" w:hAnsi="Arial"/>
                <w:sz w:val="19"/>
                <w:szCs w:val="19"/>
                <w:b w:val="1"/>
                <w:bCs w:val="1"/>
                <w:color w:val="auto"/>
              </w:rPr>
              <w:t>16</w:t>
            </w:r>
          </w:p>
        </w:tc>
      </w:tr>
      <w:tr>
        <w:trPr>
          <w:trHeight w:val="246"/>
        </w:trPr>
        <w:tc>
          <w:tcPr>
            <w:tcW w:w="7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b w:val="1"/>
                <w:bCs w:val="1"/>
                <w:color w:val="auto"/>
              </w:rPr>
              <w:t>15.</w:t>
            </w:r>
          </w:p>
        </w:tc>
        <w:tc>
          <w:tcPr>
            <w:tcW w:w="44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Arial" w:cs="Arial" w:eastAsia="Arial" w:hAnsi="Arial"/>
                <w:sz w:val="19"/>
                <w:szCs w:val="19"/>
                <w:b w:val="1"/>
                <w:bCs w:val="1"/>
                <w:color w:val="auto"/>
              </w:rPr>
              <w:t>MISCELLANEOUS</w:t>
            </w:r>
          </w:p>
        </w:tc>
        <w:tc>
          <w:tcPr>
            <w:tcW w:w="460" w:type="dxa"/>
            <w:vAlign w:val="bottom"/>
          </w:tcPr>
          <w:p>
            <w:pPr>
              <w:spacing w:after="0"/>
              <w:rPr>
                <w:sz w:val="21"/>
                <w:szCs w:val="21"/>
                <w:color w:val="auto"/>
              </w:rPr>
            </w:pPr>
          </w:p>
        </w:tc>
        <w:tc>
          <w:tcPr>
            <w:tcW w:w="780" w:type="dxa"/>
            <w:vAlign w:val="bottom"/>
          </w:tcPr>
          <w:p>
            <w:pPr>
              <w:jc w:val="right"/>
              <w:ind w:right="486"/>
              <w:spacing w:after="0"/>
              <w:rPr>
                <w:sz w:val="20"/>
                <w:szCs w:val="20"/>
                <w:color w:val="auto"/>
              </w:rPr>
            </w:pPr>
            <w:r>
              <w:rPr>
                <w:rFonts w:ascii="Arial" w:cs="Arial" w:eastAsia="Arial" w:hAnsi="Arial"/>
                <w:sz w:val="19"/>
                <w:szCs w:val="19"/>
                <w:b w:val="1"/>
                <w:bCs w:val="1"/>
                <w:color w:val="auto"/>
                <w:w w:val="84"/>
              </w:rPr>
              <w:t>17</w:t>
            </w:r>
          </w:p>
        </w:tc>
        <w:tc>
          <w:tcPr>
            <w:tcW w:w="680" w:type="dxa"/>
            <w:vAlign w:val="bottom"/>
          </w:tcPr>
          <w:p>
            <w:pPr>
              <w:spacing w:after="0"/>
              <w:rPr>
                <w:sz w:val="21"/>
                <w:szCs w:val="21"/>
                <w:color w:val="auto"/>
              </w:rPr>
            </w:pPr>
          </w:p>
        </w:tc>
      </w:tr>
    </w:tbl>
    <w:p>
      <w:pPr>
        <w:spacing w:after="0" w:line="392" w:lineRule="exact"/>
        <w:rPr>
          <w:sz w:val="20"/>
          <w:szCs w:val="20"/>
          <w:color w:val="auto"/>
        </w:rPr>
      </w:pPr>
    </w:p>
    <w:p>
      <w:pPr>
        <w:ind w:left="4600"/>
        <w:spacing w:after="0"/>
        <w:rPr>
          <w:sz w:val="20"/>
          <w:szCs w:val="20"/>
          <w:color w:val="auto"/>
        </w:rPr>
      </w:pPr>
      <w:r>
        <w:rPr>
          <w:rFonts w:ascii="Arial" w:cs="Arial" w:eastAsia="Arial" w:hAnsi="Arial"/>
          <w:sz w:val="21"/>
          <w:szCs w:val="21"/>
          <w:b w:val="1"/>
          <w:bCs w:val="1"/>
          <w:u w:val="single" w:color="auto"/>
          <w:color w:val="auto"/>
        </w:rPr>
        <w:t>TABLE OF ANNEXES</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Annex 1 – Definitions and Interpretation</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Annex 2 – Letter of Intent</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Annex 3 – Further Implementation Services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Annex 4 – Bulk Specifications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Annex 5 – Packaging Process</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Annex 6 –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349250</wp:posOffset>
            </wp:positionV>
            <wp:extent cx="71386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2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0139"/>
          </w:cols>
          <w:pgMar w:left="320" w:top="626" w:right="1440" w:bottom="1440" w:gutter="0" w:footer="0" w:header="0"/>
        </w:sectPr>
      </w:pPr>
    </w:p>
    <w:bookmarkStart w:id="163" w:name="page164"/>
    <w:bookmarkEnd w:id="163"/>
    <w:p>
      <w:pPr>
        <w:spacing w:after="0"/>
        <w:rPr>
          <w:sz w:val="20"/>
          <w:szCs w:val="20"/>
          <w:color w:val="auto"/>
        </w:rPr>
      </w:pPr>
      <w:r>
        <w:rPr>
          <w:rFonts w:ascii="Arial" w:cs="Arial" w:eastAsia="Arial" w:hAnsi="Arial"/>
          <w:sz w:val="19"/>
          <w:szCs w:val="19"/>
          <w:color w:val="auto"/>
        </w:rPr>
        <w:t>This Agreement is made on the date of the last signature of the Parties below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BETWEEN</w:t>
      </w:r>
    </w:p>
    <w:p>
      <w:pPr>
        <w:spacing w:after="0" w:line="206" w:lineRule="exact"/>
        <w:rPr>
          <w:sz w:val="20"/>
          <w:szCs w:val="20"/>
          <w:color w:val="auto"/>
        </w:rPr>
      </w:pPr>
    </w:p>
    <w:p>
      <w:pPr>
        <w:jc w:val="both"/>
        <w:ind w:left="880" w:hanging="877"/>
        <w:spacing w:after="0" w:line="254" w:lineRule="auto"/>
        <w:tabs>
          <w:tab w:leader="none" w:pos="880" w:val="left"/>
        </w:tabs>
        <w:numPr>
          <w:ilvl w:val="0"/>
          <w:numId w:val="74"/>
        </w:numPr>
        <w:rPr>
          <w:rFonts w:ascii="Arial" w:cs="Arial" w:eastAsia="Arial" w:hAnsi="Arial"/>
          <w:sz w:val="19"/>
          <w:szCs w:val="19"/>
          <w:color w:val="auto"/>
        </w:rPr>
      </w:pPr>
      <w:r>
        <w:rPr>
          <w:rFonts w:ascii="Arial" w:cs="Arial" w:eastAsia="Arial" w:hAnsi="Arial"/>
          <w:sz w:val="19"/>
          <w:szCs w:val="19"/>
          <w:b w:val="1"/>
          <w:bCs w:val="1"/>
          <w:color w:val="auto"/>
        </w:rPr>
        <w:t>Sandoz GmbH</w:t>
      </w:r>
      <w:r>
        <w:rPr>
          <w:rFonts w:ascii="Arial" w:cs="Arial" w:eastAsia="Arial" w:hAnsi="Arial"/>
          <w:sz w:val="19"/>
          <w:szCs w:val="19"/>
          <w:color w:val="auto"/>
        </w:rPr>
        <w:t>, a limited liability company organized and existing under the laws of Austria, registered with the commercial register of</w:t>
      </w:r>
      <w:r>
        <w:rPr>
          <w:rFonts w:ascii="Arial" w:cs="Arial" w:eastAsia="Arial" w:hAnsi="Arial"/>
          <w:sz w:val="19"/>
          <w:szCs w:val="19"/>
          <w:b w:val="1"/>
          <w:bCs w:val="1"/>
          <w:color w:val="auto"/>
        </w:rPr>
        <w:t xml:space="preserve"> </w:t>
      </w:r>
      <w:r>
        <w:rPr>
          <w:rFonts w:ascii="Arial" w:cs="Arial" w:eastAsia="Arial" w:hAnsi="Arial"/>
          <w:sz w:val="19"/>
          <w:szCs w:val="19"/>
          <w:color w:val="auto"/>
        </w:rPr>
        <w:t>the district court (</w:t>
      </w:r>
      <w:r>
        <w:rPr>
          <w:rFonts w:ascii="Arial" w:cs="Arial" w:eastAsia="Arial" w:hAnsi="Arial"/>
          <w:sz w:val="19"/>
          <w:szCs w:val="19"/>
          <w:i w:val="1"/>
          <w:iCs w:val="1"/>
          <w:color w:val="auto"/>
        </w:rPr>
        <w:t>Landesgericht</w:t>
      </w:r>
      <w:r>
        <w:rPr>
          <w:rFonts w:ascii="Arial" w:cs="Arial" w:eastAsia="Arial" w:hAnsi="Arial"/>
          <w:sz w:val="19"/>
          <w:szCs w:val="19"/>
          <w:color w:val="auto"/>
        </w:rPr>
        <w:t>) Innsbruck under FN 50587v, with its registered address at Biochemiestrasse 10, 6250 Kundl, Austria (“</w:t>
      </w:r>
      <w:r>
        <w:rPr>
          <w:rFonts w:ascii="Arial" w:cs="Arial" w:eastAsia="Arial" w:hAnsi="Arial"/>
          <w:sz w:val="19"/>
          <w:szCs w:val="19"/>
          <w:b w:val="1"/>
          <w:bCs w:val="1"/>
          <w:color w:val="auto"/>
        </w:rPr>
        <w:t>Supplier</w:t>
      </w:r>
      <w:r>
        <w:rPr>
          <w:rFonts w:ascii="Arial" w:cs="Arial" w:eastAsia="Arial" w:hAnsi="Arial"/>
          <w:sz w:val="19"/>
          <w:szCs w:val="19"/>
          <w:color w:val="auto"/>
        </w:rPr>
        <w:t>”); and</w:t>
      </w:r>
    </w:p>
    <w:p>
      <w:pPr>
        <w:spacing w:after="0" w:line="180" w:lineRule="exact"/>
        <w:rPr>
          <w:rFonts w:ascii="Arial" w:cs="Arial" w:eastAsia="Arial" w:hAnsi="Arial"/>
          <w:sz w:val="19"/>
          <w:szCs w:val="19"/>
          <w:color w:val="auto"/>
        </w:rPr>
      </w:pPr>
    </w:p>
    <w:p>
      <w:pPr>
        <w:ind w:left="880" w:hanging="877"/>
        <w:spacing w:after="0" w:line="269" w:lineRule="auto"/>
        <w:tabs>
          <w:tab w:leader="none" w:pos="880" w:val="left"/>
        </w:tabs>
        <w:numPr>
          <w:ilvl w:val="0"/>
          <w:numId w:val="74"/>
        </w:numPr>
        <w:rPr>
          <w:rFonts w:ascii="Arial" w:cs="Arial" w:eastAsia="Arial" w:hAnsi="Arial"/>
          <w:sz w:val="19"/>
          <w:szCs w:val="19"/>
          <w:color w:val="auto"/>
        </w:rPr>
      </w:pPr>
      <w:r>
        <w:rPr>
          <w:rFonts w:ascii="Arial" w:cs="Arial" w:eastAsia="Arial" w:hAnsi="Arial"/>
          <w:sz w:val="19"/>
          <w:szCs w:val="19"/>
          <w:b w:val="1"/>
          <w:bCs w:val="1"/>
          <w:color w:val="auto"/>
        </w:rPr>
        <w:t xml:space="preserve">Phathom Pharmaceuticals, Inc, </w:t>
      </w:r>
      <w:r>
        <w:rPr>
          <w:rFonts w:ascii="Arial" w:cs="Arial" w:eastAsia="Arial" w:hAnsi="Arial"/>
          <w:sz w:val="19"/>
          <w:szCs w:val="19"/>
          <w:color w:val="auto"/>
        </w:rPr>
        <w:t>a corporation validly existing under the laws of the State of Delaware, located at 2150 E. Lake Cook</w:t>
      </w:r>
      <w:r>
        <w:rPr>
          <w:rFonts w:ascii="Arial" w:cs="Arial" w:eastAsia="Arial" w:hAnsi="Arial"/>
          <w:sz w:val="19"/>
          <w:szCs w:val="19"/>
          <w:b w:val="1"/>
          <w:bCs w:val="1"/>
          <w:color w:val="auto"/>
        </w:rPr>
        <w:t xml:space="preserve"> </w:t>
      </w:r>
      <w:r>
        <w:rPr>
          <w:rFonts w:ascii="Arial" w:cs="Arial" w:eastAsia="Arial" w:hAnsi="Arial"/>
          <w:sz w:val="19"/>
          <w:szCs w:val="19"/>
          <w:color w:val="auto"/>
        </w:rPr>
        <w:t>Road, Suite 800, Buffalo Grove, IL 60089, U.S. (“</w:t>
      </w:r>
      <w:r>
        <w:rPr>
          <w:rFonts w:ascii="Arial" w:cs="Arial" w:eastAsia="Arial" w:hAnsi="Arial"/>
          <w:sz w:val="19"/>
          <w:szCs w:val="19"/>
          <w:b w:val="1"/>
          <w:bCs w:val="1"/>
          <w:color w:val="auto"/>
        </w:rPr>
        <w:t>Customer</w:t>
      </w:r>
      <w:r>
        <w:rPr>
          <w:rFonts w:ascii="Arial" w:cs="Arial" w:eastAsia="Arial" w:hAnsi="Arial"/>
          <w:sz w:val="19"/>
          <w:szCs w:val="19"/>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WHEREAS:</w:t>
      </w:r>
    </w:p>
    <w:p>
      <w:pPr>
        <w:spacing w:after="0" w:line="212" w:lineRule="exact"/>
        <w:rPr>
          <w:sz w:val="20"/>
          <w:szCs w:val="20"/>
          <w:color w:val="auto"/>
        </w:rPr>
      </w:pPr>
    </w:p>
    <w:p>
      <w:pPr>
        <w:ind w:left="880" w:hanging="877"/>
        <w:spacing w:after="0"/>
        <w:tabs>
          <w:tab w:leader="none" w:pos="8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Customer is engaged in the marketing and sales of pharmaceutical products.</w:t>
      </w:r>
    </w:p>
    <w:p>
      <w:pPr>
        <w:spacing w:after="0" w:line="102" w:lineRule="exact"/>
        <w:rPr>
          <w:rFonts w:ascii="Arial" w:cs="Arial" w:eastAsia="Arial" w:hAnsi="Arial"/>
          <w:sz w:val="19"/>
          <w:szCs w:val="19"/>
          <w:color w:val="auto"/>
        </w:rPr>
      </w:pPr>
    </w:p>
    <w:p>
      <w:pPr>
        <w:ind w:left="880" w:hanging="877"/>
        <w:spacing w:after="0" w:line="263" w:lineRule="auto"/>
        <w:tabs>
          <w:tab w:leader="none" w:pos="8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Supplier is a company engaged </w:t>
      </w:r>
      <w:r>
        <w:rPr>
          <w:rFonts w:ascii="Arial" w:cs="Arial" w:eastAsia="Arial" w:hAnsi="Arial"/>
          <w:sz w:val="19"/>
          <w:szCs w:val="19"/>
          <w:i w:val="1"/>
          <w:iCs w:val="1"/>
          <w:color w:val="auto"/>
        </w:rPr>
        <w:t>inter alia</w:t>
      </w:r>
      <w:r>
        <w:rPr>
          <w:rFonts w:ascii="Arial" w:cs="Arial" w:eastAsia="Arial" w:hAnsi="Arial"/>
          <w:sz w:val="19"/>
          <w:szCs w:val="19"/>
          <w:color w:val="auto"/>
        </w:rPr>
        <w:t xml:space="preserve"> in the manufacturing of pharmaceutical products, including the manufacture of bulk products and provision of packaging services for pharmaceutical products.</w:t>
      </w:r>
    </w:p>
    <w:p>
      <w:pPr>
        <w:spacing w:after="0" w:line="60" w:lineRule="exact"/>
        <w:rPr>
          <w:rFonts w:ascii="Arial" w:cs="Arial" w:eastAsia="Arial" w:hAnsi="Arial"/>
          <w:sz w:val="19"/>
          <w:szCs w:val="19"/>
          <w:color w:val="auto"/>
        </w:rPr>
      </w:pPr>
    </w:p>
    <w:p>
      <w:pPr>
        <w:ind w:left="880" w:hanging="877"/>
        <w:spacing w:after="0" w:line="263" w:lineRule="auto"/>
        <w:tabs>
          <w:tab w:leader="none" w:pos="8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Customer desires to entrust Supplier to supply certain bulk products and to perform certain packaging services relating to certain proprietary pharmaceutical products pursuant to the terms and conditions of this Agreement.</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in consideration of the mutual covenants and agreements set forth herein the Parties hereby agree as follows:</w:t>
      </w:r>
    </w:p>
    <w:p>
      <w:pPr>
        <w:spacing w:after="0" w:line="200" w:lineRule="exact"/>
        <w:rPr>
          <w:sz w:val="20"/>
          <w:szCs w:val="20"/>
          <w:color w:val="auto"/>
        </w:rPr>
      </w:pPr>
    </w:p>
    <w:p>
      <w:pPr>
        <w:spacing w:after="0" w:line="211" w:lineRule="exact"/>
        <w:rPr>
          <w:sz w:val="20"/>
          <w:szCs w:val="20"/>
          <w:color w:val="auto"/>
        </w:rPr>
      </w:pPr>
    </w:p>
    <w:p>
      <w:pPr>
        <w:ind w:left="880" w:hanging="877"/>
        <w:spacing w:after="0"/>
        <w:tabs>
          <w:tab w:leader="none" w:pos="880"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color w:val="auto"/>
        </w:rPr>
        <w:t>SCOPE AND STRUCTURE OF THIS AGREEMENT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1.1</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0"/>
              </w:rPr>
              <w:t xml:space="preserve">Definitions and Interpretation. </w:t>
            </w:r>
            <w:r>
              <w:rPr>
                <w:rFonts w:ascii="Arial" w:cs="Arial" w:eastAsia="Arial" w:hAnsi="Arial"/>
                <w:sz w:val="19"/>
                <w:szCs w:val="19"/>
                <w:color w:val="auto"/>
                <w:w w:val="90"/>
              </w:rPr>
              <w:t>Unless the context requires otherwise, capitalized terms not defined in the main body of this Agreement</w:t>
            </w:r>
          </w:p>
        </w:tc>
      </w:tr>
      <w:tr>
        <w:trPr>
          <w:trHeight w:val="224"/>
        </w:trPr>
        <w:tc>
          <w:tcPr>
            <w:tcW w:w="5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3"/>
              </w:rPr>
              <w:t xml:space="preserve">shall have the meaning given to such terms in </w:t>
            </w:r>
            <w:r>
              <w:rPr>
                <w:rFonts w:ascii="Arial" w:cs="Arial" w:eastAsia="Arial" w:hAnsi="Arial"/>
                <w:sz w:val="19"/>
                <w:szCs w:val="19"/>
                <w:b w:val="1"/>
                <w:bCs w:val="1"/>
                <w:color w:val="auto"/>
                <w:w w:val="93"/>
              </w:rPr>
              <w:t>Annex 1 (Definitions and Interpretation)</w:t>
            </w:r>
            <w:r>
              <w:rPr>
                <w:rFonts w:ascii="Arial" w:cs="Arial" w:eastAsia="Arial" w:hAnsi="Arial"/>
                <w:sz w:val="19"/>
                <w:szCs w:val="19"/>
                <w:color w:val="auto"/>
                <w:w w:val="93"/>
              </w:rPr>
              <w:t xml:space="preserve"> and this Agreement shall be interpreted in</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accordance with the rules specified therein.</w:t>
            </w:r>
          </w:p>
        </w:tc>
      </w:tr>
      <w:tr>
        <w:trPr>
          <w:trHeight w:val="294"/>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1.2</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4"/>
              </w:rPr>
              <w:t xml:space="preserve">Subject Matter. </w:t>
            </w:r>
            <w:r>
              <w:rPr>
                <w:rFonts w:ascii="Arial" w:cs="Arial" w:eastAsia="Arial" w:hAnsi="Arial"/>
                <w:sz w:val="19"/>
                <w:szCs w:val="19"/>
                <w:color w:val="auto"/>
                <w:w w:val="94"/>
              </w:rPr>
              <w:t>Subject matter of this Agreement is (i) the supply of Supplier Provided Bulk Products in line with the Supplier Bulk</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3"/>
              </w:rPr>
              <w:t>Specifications (the “</w:t>
            </w:r>
            <w:r>
              <w:rPr>
                <w:rFonts w:ascii="Arial" w:cs="Arial" w:eastAsia="Arial" w:hAnsi="Arial"/>
                <w:sz w:val="19"/>
                <w:szCs w:val="19"/>
                <w:b w:val="1"/>
                <w:bCs w:val="1"/>
                <w:color w:val="auto"/>
                <w:w w:val="93"/>
              </w:rPr>
              <w:t>Supplier Bulk Supply</w:t>
            </w:r>
            <w:r>
              <w:rPr>
                <w:rFonts w:ascii="Arial" w:cs="Arial" w:eastAsia="Arial" w:hAnsi="Arial"/>
                <w:sz w:val="19"/>
                <w:szCs w:val="19"/>
                <w:color w:val="auto"/>
                <w:w w:val="93"/>
              </w:rPr>
              <w:t>”) and (ii) the provision of packaging services for Bulk Products in line with the Packaging</w:t>
            </w:r>
          </w:p>
        </w:tc>
      </w:tr>
      <w:tr>
        <w:trPr>
          <w:trHeight w:val="224"/>
        </w:trPr>
        <w:tc>
          <w:tcPr>
            <w:tcW w:w="5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5"/>
              </w:rPr>
              <w:t>Process (the “</w:t>
            </w:r>
            <w:r>
              <w:rPr>
                <w:rFonts w:ascii="Arial" w:cs="Arial" w:eastAsia="Arial" w:hAnsi="Arial"/>
                <w:sz w:val="19"/>
                <w:szCs w:val="19"/>
                <w:b w:val="1"/>
                <w:bCs w:val="1"/>
                <w:color w:val="auto"/>
                <w:w w:val="95"/>
              </w:rPr>
              <w:t>Packaging Services</w:t>
            </w:r>
            <w:r>
              <w:rPr>
                <w:rFonts w:ascii="Arial" w:cs="Arial" w:eastAsia="Arial" w:hAnsi="Arial"/>
                <w:sz w:val="19"/>
                <w:szCs w:val="19"/>
                <w:color w:val="auto"/>
                <w:w w:val="95"/>
              </w:rPr>
              <w:t>”) by Supplier (and/or its Affiliates) to Customer (and/or its Affiliates). Supplier Bulk Supply and</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Packaging Services shall be subject to one single ordering and invoicing mechanism for the Final Product.</w:t>
            </w:r>
          </w:p>
        </w:tc>
      </w:tr>
      <w:tr>
        <w:trPr>
          <w:trHeight w:val="294"/>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1.3</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1"/>
              </w:rPr>
              <w:t xml:space="preserve">Bulk Products. </w:t>
            </w:r>
            <w:r>
              <w:rPr>
                <w:rFonts w:ascii="Arial" w:cs="Arial" w:eastAsia="Arial" w:hAnsi="Arial"/>
                <w:sz w:val="19"/>
                <w:szCs w:val="19"/>
                <w:color w:val="auto"/>
                <w:w w:val="91"/>
              </w:rPr>
              <w:t>The bulk products to be packaged under this agreement are Clarithromycin 500 mg FCT, Amoxicillin 500 mg HGC and</w:t>
            </w:r>
          </w:p>
        </w:tc>
      </w:tr>
      <w:tr>
        <w:trPr>
          <w:trHeight w:val="246"/>
        </w:trPr>
        <w:tc>
          <w:tcPr>
            <w:tcW w:w="560" w:type="dxa"/>
            <w:vAlign w:val="bottom"/>
          </w:tcPr>
          <w:p>
            <w:pPr>
              <w:spacing w:after="0"/>
              <w:rPr>
                <w:sz w:val="21"/>
                <w:szCs w:val="21"/>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Vonoprazan 20 mg FCT (jointly referred to as “</w:t>
            </w:r>
            <w:r>
              <w:rPr>
                <w:rFonts w:ascii="Arial" w:cs="Arial" w:eastAsia="Arial" w:hAnsi="Arial"/>
                <w:sz w:val="19"/>
                <w:szCs w:val="19"/>
                <w:b w:val="1"/>
                <w:bCs w:val="1"/>
                <w:color w:val="auto"/>
              </w:rPr>
              <w:t>Bulk Products</w:t>
            </w:r>
            <w:r>
              <w:rPr>
                <w:rFonts w:ascii="Arial" w:cs="Arial" w:eastAsia="Arial" w:hAnsi="Arial"/>
                <w:sz w:val="19"/>
                <w:szCs w:val="19"/>
                <w:color w:val="auto"/>
              </w:rPr>
              <w:t>” and each of them a “</w:t>
            </w:r>
            <w:r>
              <w:rPr>
                <w:rFonts w:ascii="Arial" w:cs="Arial" w:eastAsia="Arial" w:hAnsi="Arial"/>
                <w:sz w:val="19"/>
                <w:szCs w:val="19"/>
                <w:b w:val="1"/>
                <w:bCs w:val="1"/>
                <w:color w:val="auto"/>
              </w:rPr>
              <w:t>Bulk Product</w:t>
            </w:r>
            <w:r>
              <w:rPr>
                <w:rFonts w:ascii="Arial" w:cs="Arial" w:eastAsia="Arial" w:hAnsi="Arial"/>
                <w:sz w:val="19"/>
                <w:szCs w:val="19"/>
                <w:color w:val="auto"/>
              </w:rPr>
              <w:t>”).</w:t>
            </w:r>
          </w:p>
        </w:tc>
      </w:tr>
      <w:tr>
        <w:trPr>
          <w:trHeight w:val="294"/>
        </w:trPr>
        <w:tc>
          <w:tcPr>
            <w:tcW w:w="560" w:type="dxa"/>
            <w:vAlign w:val="bottom"/>
          </w:tcPr>
          <w:p>
            <w:pPr>
              <w:spacing w:after="0"/>
              <w:rPr>
                <w:sz w:val="24"/>
                <w:szCs w:val="24"/>
                <w:color w:val="auto"/>
              </w:rPr>
            </w:pPr>
          </w:p>
        </w:tc>
        <w:tc>
          <w:tcPr>
            <w:tcW w:w="10680" w:type="dxa"/>
            <w:vAlign w:val="bottom"/>
          </w:tcPr>
          <w:p>
            <w:pPr>
              <w:ind w:left="340"/>
              <w:spacing w:after="0"/>
              <w:rPr>
                <w:sz w:val="20"/>
                <w:szCs w:val="20"/>
                <w:color w:val="auto"/>
              </w:rPr>
            </w:pPr>
            <w:r>
              <w:rPr>
                <w:rFonts w:ascii="Arial" w:cs="Arial" w:eastAsia="Arial" w:hAnsi="Arial"/>
                <w:sz w:val="19"/>
                <w:szCs w:val="19"/>
                <w:color w:val="auto"/>
                <w:w w:val="92"/>
              </w:rPr>
              <w:t>Vonoprazan 20 mg FCT shall be provided by Customer (the “</w:t>
            </w:r>
            <w:r>
              <w:rPr>
                <w:rFonts w:ascii="Arial" w:cs="Arial" w:eastAsia="Arial" w:hAnsi="Arial"/>
                <w:sz w:val="19"/>
                <w:szCs w:val="19"/>
                <w:b w:val="1"/>
                <w:bCs w:val="1"/>
                <w:color w:val="auto"/>
                <w:w w:val="92"/>
              </w:rPr>
              <w:t>Customer Provided Bulk Products</w:t>
            </w:r>
            <w:r>
              <w:rPr>
                <w:rFonts w:ascii="Arial" w:cs="Arial" w:eastAsia="Arial" w:hAnsi="Arial"/>
                <w:sz w:val="19"/>
                <w:szCs w:val="19"/>
                <w:color w:val="auto"/>
                <w:w w:val="92"/>
              </w:rPr>
              <w:t>”), whereas Clarithromycin 500 mg</w:t>
            </w:r>
          </w:p>
        </w:tc>
      </w:tr>
      <w:tr>
        <w:trPr>
          <w:trHeight w:val="246"/>
        </w:trPr>
        <w:tc>
          <w:tcPr>
            <w:tcW w:w="560" w:type="dxa"/>
            <w:vAlign w:val="bottom"/>
          </w:tcPr>
          <w:p>
            <w:pPr>
              <w:spacing w:after="0"/>
              <w:rPr>
                <w:sz w:val="21"/>
                <w:szCs w:val="21"/>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FCTs, Amoxicillin 500 mg HGCs shall be provided by Supplier (the “</w:t>
            </w:r>
            <w:r>
              <w:rPr>
                <w:rFonts w:ascii="Arial" w:cs="Arial" w:eastAsia="Arial" w:hAnsi="Arial"/>
                <w:sz w:val="19"/>
                <w:szCs w:val="19"/>
                <w:b w:val="1"/>
                <w:bCs w:val="1"/>
                <w:color w:val="auto"/>
              </w:rPr>
              <w:t>Supplier Provided Bulk Products</w:t>
            </w:r>
            <w:r>
              <w:rPr>
                <w:rFonts w:ascii="Arial" w:cs="Arial" w:eastAsia="Arial" w:hAnsi="Arial"/>
                <w:sz w:val="19"/>
                <w:szCs w:val="19"/>
                <w:color w:val="auto"/>
              </w:rPr>
              <w:t>”).</w:t>
            </w:r>
          </w:p>
        </w:tc>
      </w:tr>
      <w:tr>
        <w:trPr>
          <w:trHeight w:val="403"/>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1.4</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89"/>
              </w:rPr>
              <w:t xml:space="preserve">Nature of Services. </w:t>
            </w:r>
            <w:r>
              <w:rPr>
                <w:rFonts w:ascii="Arial" w:cs="Arial" w:eastAsia="Arial" w:hAnsi="Arial"/>
                <w:sz w:val="19"/>
                <w:szCs w:val="19"/>
                <w:color w:val="auto"/>
                <w:w w:val="89"/>
              </w:rPr>
              <w:t>The process to be followed by Supplier when providing the Packaging Services (the “</w:t>
            </w:r>
            <w:r>
              <w:rPr>
                <w:rFonts w:ascii="Arial" w:cs="Arial" w:eastAsia="Arial" w:hAnsi="Arial"/>
                <w:sz w:val="19"/>
                <w:szCs w:val="19"/>
                <w:b w:val="1"/>
                <w:bCs w:val="1"/>
                <w:color w:val="auto"/>
                <w:w w:val="89"/>
              </w:rPr>
              <w:t>Packaging Process</w:t>
            </w:r>
            <w:r>
              <w:rPr>
                <w:rFonts w:ascii="Arial" w:cs="Arial" w:eastAsia="Arial" w:hAnsi="Arial"/>
                <w:sz w:val="19"/>
                <w:szCs w:val="19"/>
                <w:color w:val="auto"/>
                <w:w w:val="89"/>
              </w:rPr>
              <w:t>”) shall be</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5"/>
              </w:rPr>
              <w:t>owned by and fall within the sole responsibility of Customer (i.e., contract manufacturing). The manufacturing process for Supplier</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Provided Bulk Products is owned by and falls within the responsibility of Supplier.</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1.5</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7"/>
              </w:rPr>
              <w:t xml:space="preserve">Supplier’s Affiliates. </w:t>
            </w:r>
            <w:r>
              <w:rPr>
                <w:rFonts w:ascii="Arial" w:cs="Arial" w:eastAsia="Arial" w:hAnsi="Arial"/>
                <w:sz w:val="19"/>
                <w:szCs w:val="19"/>
                <w:color w:val="auto"/>
                <w:w w:val="97"/>
              </w:rPr>
              <w:t>Customer acknowledges and agrees that Supplier may, upon prior written notice to Customer, satisfy its</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5"/>
              </w:rPr>
              <w:t>obligations under this Agreement either directly or indirectly by subcontracting some or all of its obligations to any of its Affiliates,</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provided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386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7"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3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64" w:name="page165"/>
    <w:bookmarkEnd w:id="164"/>
    <w:p>
      <w:pPr>
        <w:jc w:val="both"/>
        <w:ind w:left="880" w:right="40"/>
        <w:spacing w:after="0" w:line="259" w:lineRule="auto"/>
        <w:rPr>
          <w:sz w:val="20"/>
          <w:szCs w:val="20"/>
          <w:color w:val="auto"/>
        </w:rPr>
      </w:pPr>
      <w:r>
        <w:rPr>
          <w:rFonts w:ascii="Arial" w:cs="Arial" w:eastAsia="Arial" w:hAnsi="Arial"/>
          <w:sz w:val="18"/>
          <w:szCs w:val="18"/>
          <w:color w:val="auto"/>
        </w:rPr>
        <w:t>that at all times Supplier shall remain the principal obligor for the performance of Supplier’s obligations under this Agreement to the extent not satisfied by an Affiliate of Supplier. This shall include the possibility for Supplier to nominate an Affiliate for order placement and invoicing purposes. Notwithstanding the foregoing, if within [***] following receipt of a notice referred to in the first sentence of this Clause 1.5, Customer notifies Supplier in writing that such proposed Affiliate subcontract by Supplier could impact the Registration for the Final Product, then Supplier agrees not to proceed with such subcontract absent Customer’s prior written consent, which consent shall not be unreasonably delayed, withheld or conditioned, and the Parties will work together in good faith on a plan that would allow Supplier to proceed with such subcontract without impacting the Registration for the Final Product.</w:t>
      </w:r>
    </w:p>
    <w:p>
      <w:pPr>
        <w:spacing w:after="0" w:line="62" w:lineRule="exact"/>
        <w:rPr>
          <w:sz w:val="20"/>
          <w:szCs w:val="20"/>
          <w:color w:val="auto"/>
        </w:rPr>
      </w:pPr>
    </w:p>
    <w:p>
      <w:pPr>
        <w:jc w:val="both"/>
        <w:ind w:left="880" w:right="40" w:hanging="873"/>
        <w:spacing w:after="0" w:line="249" w:lineRule="auto"/>
        <w:tabs>
          <w:tab w:leader="none" w:pos="860" w:val="left"/>
        </w:tabs>
        <w:rPr>
          <w:sz w:val="20"/>
          <w:szCs w:val="20"/>
          <w:color w:val="auto"/>
        </w:rPr>
      </w:pPr>
      <w:r>
        <w:rPr>
          <w:rFonts w:ascii="Arial" w:cs="Arial" w:eastAsia="Arial" w:hAnsi="Arial"/>
          <w:sz w:val="19"/>
          <w:szCs w:val="19"/>
          <w:b w:val="1"/>
          <w:bCs w:val="1"/>
          <w:color w:val="auto"/>
        </w:rPr>
        <w:t>1.6</w:t>
      </w:r>
      <w:r>
        <w:rPr>
          <w:sz w:val="20"/>
          <w:szCs w:val="20"/>
          <w:color w:val="auto"/>
        </w:rPr>
        <w:tab/>
      </w:r>
      <w:r>
        <w:rPr>
          <w:rFonts w:ascii="Arial" w:cs="Arial" w:eastAsia="Arial" w:hAnsi="Arial"/>
          <w:sz w:val="19"/>
          <w:szCs w:val="19"/>
          <w:b w:val="1"/>
          <w:bCs w:val="1"/>
          <w:color w:val="auto"/>
        </w:rPr>
        <w:t xml:space="preserve">Phases of Cooperation. </w:t>
      </w:r>
      <w:r>
        <w:rPr>
          <w:rFonts w:ascii="Arial" w:cs="Arial" w:eastAsia="Arial" w:hAnsi="Arial"/>
          <w:sz w:val="19"/>
          <w:szCs w:val="19"/>
          <w:color w:val="auto"/>
        </w:rPr>
        <w:t>The cooperation of the Parties hereunder shall go through two (2) phases: In the first phase, Supplier’s</w:t>
      </w:r>
      <w:r>
        <w:rPr>
          <w:rFonts w:ascii="Arial" w:cs="Arial" w:eastAsia="Arial" w:hAnsi="Arial"/>
          <w:sz w:val="19"/>
          <w:szCs w:val="19"/>
          <w:b w:val="1"/>
          <w:bCs w:val="1"/>
          <w:color w:val="auto"/>
        </w:rPr>
        <w:t xml:space="preserve"> </w:t>
      </w:r>
      <w:r>
        <w:rPr>
          <w:rFonts w:ascii="Arial" w:cs="Arial" w:eastAsia="Arial" w:hAnsi="Arial"/>
          <w:sz w:val="19"/>
          <w:szCs w:val="19"/>
          <w:color w:val="auto"/>
        </w:rPr>
        <w:t>packaging and supply activities are set up (the “</w:t>
      </w:r>
      <w:r>
        <w:rPr>
          <w:rFonts w:ascii="Arial" w:cs="Arial" w:eastAsia="Arial" w:hAnsi="Arial"/>
          <w:sz w:val="19"/>
          <w:szCs w:val="19"/>
          <w:b w:val="1"/>
          <w:bCs w:val="1"/>
          <w:color w:val="auto"/>
        </w:rPr>
        <w:t>Set-up Phase</w:t>
      </w:r>
      <w:r>
        <w:rPr>
          <w:rFonts w:ascii="Arial" w:cs="Arial" w:eastAsia="Arial" w:hAnsi="Arial"/>
          <w:sz w:val="19"/>
          <w:szCs w:val="19"/>
          <w:color w:val="auto"/>
        </w:rPr>
        <w:t>”). The second phase covers the actual Supplier Bulk Supply and Packaging Services once set-up is completed (the “</w:t>
      </w:r>
      <w:r>
        <w:rPr>
          <w:rFonts w:ascii="Arial" w:cs="Arial" w:eastAsia="Arial" w:hAnsi="Arial"/>
          <w:sz w:val="19"/>
          <w:szCs w:val="19"/>
          <w:b w:val="1"/>
          <w:bCs w:val="1"/>
          <w:color w:val="auto"/>
        </w:rPr>
        <w:t>Manufacturing Phase</w:t>
      </w:r>
      <w:r>
        <w:rPr>
          <w:rFonts w:ascii="Arial" w:cs="Arial" w:eastAsia="Arial" w:hAnsi="Arial"/>
          <w:sz w:val="19"/>
          <w:szCs w:val="19"/>
          <w:color w:val="auto"/>
        </w:rPr>
        <w:t>”). The Set-up Phase shall be governed by Clause 2, the Manufacturing Phase by Clauses 3-9.</w:t>
      </w:r>
    </w:p>
    <w:p>
      <w:pPr>
        <w:spacing w:after="0" w:line="65" w:lineRule="exact"/>
        <w:rPr>
          <w:sz w:val="20"/>
          <w:szCs w:val="20"/>
          <w:color w:val="auto"/>
        </w:rPr>
      </w:pPr>
    </w:p>
    <w:p>
      <w:pPr>
        <w:jc w:val="both"/>
        <w:ind w:left="880" w:right="40" w:hanging="873"/>
        <w:spacing w:after="0" w:line="249" w:lineRule="auto"/>
        <w:tabs>
          <w:tab w:leader="none" w:pos="860" w:val="left"/>
        </w:tabs>
        <w:rPr>
          <w:sz w:val="20"/>
          <w:szCs w:val="20"/>
          <w:color w:val="auto"/>
        </w:rPr>
      </w:pPr>
      <w:r>
        <w:rPr>
          <w:rFonts w:ascii="Arial" w:cs="Arial" w:eastAsia="Arial" w:hAnsi="Arial"/>
          <w:sz w:val="19"/>
          <w:szCs w:val="19"/>
          <w:b w:val="1"/>
          <w:bCs w:val="1"/>
          <w:color w:val="auto"/>
        </w:rPr>
        <w:t>1.7</w:t>
      </w:r>
      <w:r>
        <w:rPr>
          <w:sz w:val="20"/>
          <w:szCs w:val="20"/>
          <w:color w:val="auto"/>
        </w:rPr>
        <w:tab/>
      </w:r>
      <w:r>
        <w:rPr>
          <w:rFonts w:ascii="Arial" w:cs="Arial" w:eastAsia="Arial" w:hAnsi="Arial"/>
          <w:sz w:val="21"/>
          <w:szCs w:val="21"/>
          <w:b w:val="1"/>
          <w:bCs w:val="1"/>
          <w:color w:val="auto"/>
        </w:rPr>
        <w:t xml:space="preserve">Extension of Scope. </w:t>
      </w:r>
      <w:r>
        <w:rPr>
          <w:rFonts w:ascii="Arial" w:cs="Arial" w:eastAsia="Arial" w:hAnsi="Arial"/>
          <w:sz w:val="18"/>
          <w:szCs w:val="18"/>
          <w:color w:val="auto"/>
        </w:rPr>
        <w:t>The cooperation of the Parties shall in the first instance be limited to Packaging Services, and other services,</w:t>
      </w:r>
      <w:r>
        <w:rPr>
          <w:rFonts w:ascii="Arial" w:cs="Arial" w:eastAsia="Arial" w:hAnsi="Arial"/>
          <w:sz w:val="21"/>
          <w:szCs w:val="21"/>
          <w:b w:val="1"/>
          <w:bCs w:val="1"/>
          <w:color w:val="auto"/>
        </w:rPr>
        <w:t xml:space="preserve"> </w:t>
      </w:r>
      <w:r>
        <w:rPr>
          <w:rFonts w:ascii="Arial" w:cs="Arial" w:eastAsia="Arial" w:hAnsi="Arial"/>
          <w:sz w:val="18"/>
          <w:szCs w:val="18"/>
          <w:color w:val="auto"/>
        </w:rPr>
        <w:t>related to the Final Product to be marketed in the Territory (as defined below). However, Customer intends potentially to launch the Final Product in other regions, and to launch the Additional Product in the Territory and potentially in other regions. In case of such additional launches the scope of this Agreement shall be extended, and the terms modified, solely to the extent necessary to address such expanded scope, e.g., for the Additional Product the Parties would need to agree, among other things, to set up activities, specifications, and pricing, all of which are subject always to mutual agreement of the Parties.</w:t>
      </w:r>
    </w:p>
    <w:p>
      <w:pPr>
        <w:spacing w:after="0" w:line="276" w:lineRule="exact"/>
        <w:rPr>
          <w:sz w:val="20"/>
          <w:szCs w:val="20"/>
          <w:color w:val="auto"/>
        </w:rPr>
      </w:pPr>
    </w:p>
    <w:p>
      <w:pPr>
        <w:ind w:left="880" w:hanging="877"/>
        <w:spacing w:after="0"/>
        <w:tabs>
          <w:tab w:leader="none" w:pos="880"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SET-UP ACTIVITIES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0" w:type="dxa"/>
            <w:vAlign w:val="bottom"/>
          </w:tcPr>
          <w:p>
            <w:pPr>
              <w:spacing w:after="0"/>
              <w:rPr>
                <w:sz w:val="20"/>
                <w:szCs w:val="20"/>
                <w:color w:val="auto"/>
              </w:rPr>
            </w:pPr>
            <w:r>
              <w:rPr>
                <w:rFonts w:ascii="Arial" w:cs="Arial" w:eastAsia="Arial" w:hAnsi="Arial"/>
                <w:sz w:val="19"/>
                <w:szCs w:val="19"/>
                <w:b w:val="1"/>
                <w:bCs w:val="1"/>
                <w:color w:val="auto"/>
              </w:rPr>
              <w:t>2.1</w:t>
            </w:r>
          </w:p>
        </w:tc>
        <w:tc>
          <w:tcPr>
            <w:tcW w:w="10680" w:type="dxa"/>
            <w:vAlign w:val="bottom"/>
            <w:gridSpan w:val="3"/>
          </w:tcPr>
          <w:p>
            <w:pPr>
              <w:ind w:left="320"/>
              <w:spacing w:after="0"/>
              <w:rPr>
                <w:sz w:val="20"/>
                <w:szCs w:val="20"/>
                <w:color w:val="auto"/>
              </w:rPr>
            </w:pPr>
            <w:r>
              <w:rPr>
                <w:rFonts w:ascii="Arial" w:cs="Arial" w:eastAsia="Arial" w:hAnsi="Arial"/>
                <w:sz w:val="19"/>
                <w:szCs w:val="19"/>
                <w:b w:val="1"/>
                <w:bCs w:val="1"/>
                <w:color w:val="auto"/>
                <w:w w:val="90"/>
              </w:rPr>
              <w:t xml:space="preserve">Set-up Activities. </w:t>
            </w:r>
            <w:r>
              <w:rPr>
                <w:rFonts w:ascii="Arial" w:cs="Arial" w:eastAsia="Arial" w:hAnsi="Arial"/>
                <w:sz w:val="19"/>
                <w:szCs w:val="19"/>
                <w:color w:val="auto"/>
                <w:w w:val="90"/>
              </w:rPr>
              <w:t>The Parties will, and have started to, take all commercially reasonable preparatory activities required for a timely and</w:t>
            </w:r>
          </w:p>
        </w:tc>
        <w:tc>
          <w:tcPr>
            <w:tcW w:w="40" w:type="dxa"/>
            <w:vAlign w:val="bottom"/>
          </w:tcPr>
          <w:p>
            <w:pPr>
              <w:spacing w:after="0"/>
              <w:rPr>
                <w:sz w:val="19"/>
                <w:szCs w:val="19"/>
                <w:color w:val="auto"/>
              </w:rPr>
            </w:pPr>
          </w:p>
        </w:tc>
      </w:tr>
      <w:tr>
        <w:trPr>
          <w:trHeight w:val="212"/>
        </w:trPr>
        <w:tc>
          <w:tcPr>
            <w:tcW w:w="560" w:type="dxa"/>
            <w:vAlign w:val="bottom"/>
          </w:tcPr>
          <w:p>
            <w:pPr>
              <w:spacing w:after="0"/>
              <w:rPr>
                <w:sz w:val="18"/>
                <w:szCs w:val="18"/>
                <w:color w:val="auto"/>
              </w:rPr>
            </w:pPr>
          </w:p>
        </w:tc>
        <w:tc>
          <w:tcPr>
            <w:tcW w:w="10680" w:type="dxa"/>
            <w:vAlign w:val="bottom"/>
            <w:gridSpan w:val="3"/>
          </w:tcPr>
          <w:p>
            <w:pPr>
              <w:ind w:left="320"/>
              <w:spacing w:after="0" w:line="213" w:lineRule="exact"/>
              <w:rPr>
                <w:sz w:val="20"/>
                <w:szCs w:val="20"/>
                <w:color w:val="auto"/>
              </w:rPr>
            </w:pPr>
            <w:r>
              <w:rPr>
                <w:rFonts w:ascii="Arial" w:cs="Arial" w:eastAsia="Arial" w:hAnsi="Arial"/>
                <w:sz w:val="19"/>
                <w:szCs w:val="19"/>
                <w:color w:val="auto"/>
                <w:w w:val="92"/>
              </w:rPr>
              <w:t>proper commencement of the Packaging Services and Supplier Bulk Supply, including but not limited to the activities described in this</w:t>
            </w:r>
          </w:p>
        </w:tc>
        <w:tc>
          <w:tcPr>
            <w:tcW w:w="40" w:type="dxa"/>
            <w:vAlign w:val="bottom"/>
          </w:tcPr>
          <w:p>
            <w:pPr>
              <w:spacing w:after="0"/>
              <w:rPr>
                <w:sz w:val="18"/>
                <w:szCs w:val="18"/>
                <w:color w:val="auto"/>
              </w:rPr>
            </w:pPr>
          </w:p>
        </w:tc>
      </w:tr>
      <w:tr>
        <w:trPr>
          <w:trHeight w:val="246"/>
        </w:trPr>
        <w:tc>
          <w:tcPr>
            <w:tcW w:w="560" w:type="dxa"/>
            <w:vAlign w:val="bottom"/>
          </w:tcPr>
          <w:p>
            <w:pPr>
              <w:spacing w:after="0"/>
              <w:rPr>
                <w:sz w:val="21"/>
                <w:szCs w:val="21"/>
                <w:color w:val="auto"/>
              </w:rPr>
            </w:pPr>
          </w:p>
        </w:tc>
        <w:tc>
          <w:tcPr>
            <w:tcW w:w="10680" w:type="dxa"/>
            <w:vAlign w:val="bottom"/>
            <w:gridSpan w:val="3"/>
          </w:tcPr>
          <w:p>
            <w:pPr>
              <w:ind w:left="320"/>
              <w:spacing w:after="0"/>
              <w:rPr>
                <w:sz w:val="20"/>
                <w:szCs w:val="20"/>
                <w:color w:val="auto"/>
              </w:rPr>
            </w:pPr>
            <w:r>
              <w:rPr>
                <w:rFonts w:ascii="Arial" w:cs="Arial" w:eastAsia="Arial" w:hAnsi="Arial"/>
                <w:sz w:val="19"/>
                <w:szCs w:val="19"/>
                <w:color w:val="auto"/>
              </w:rPr>
              <w:t>Clause 2 below (the “</w:t>
            </w:r>
            <w:r>
              <w:rPr>
                <w:rFonts w:ascii="Arial" w:cs="Arial" w:eastAsia="Arial" w:hAnsi="Arial"/>
                <w:sz w:val="19"/>
                <w:szCs w:val="19"/>
                <w:b w:val="1"/>
                <w:bCs w:val="1"/>
                <w:color w:val="auto"/>
              </w:rPr>
              <w:t>Set-up Activities</w:t>
            </w:r>
            <w:r>
              <w:rPr>
                <w:rFonts w:ascii="Arial" w:cs="Arial" w:eastAsia="Arial" w:hAnsi="Arial"/>
                <w:sz w:val="19"/>
                <w:szCs w:val="19"/>
                <w:color w:val="auto"/>
              </w:rPr>
              <w:t>”).</w:t>
            </w:r>
          </w:p>
        </w:tc>
        <w:tc>
          <w:tcPr>
            <w:tcW w:w="40" w:type="dxa"/>
            <w:vAlign w:val="bottom"/>
          </w:tcPr>
          <w:p>
            <w:pPr>
              <w:spacing w:after="0"/>
              <w:rPr>
                <w:sz w:val="21"/>
                <w:szCs w:val="21"/>
                <w:color w:val="auto"/>
              </w:rPr>
            </w:pPr>
          </w:p>
        </w:tc>
      </w:tr>
      <w:tr>
        <w:trPr>
          <w:trHeight w:val="300"/>
        </w:trPr>
        <w:tc>
          <w:tcPr>
            <w:tcW w:w="560" w:type="dxa"/>
            <w:vAlign w:val="bottom"/>
          </w:tcPr>
          <w:p>
            <w:pPr>
              <w:spacing w:after="0"/>
              <w:rPr>
                <w:sz w:val="20"/>
                <w:szCs w:val="20"/>
                <w:color w:val="auto"/>
              </w:rPr>
            </w:pPr>
            <w:r>
              <w:rPr>
                <w:rFonts w:ascii="Arial" w:cs="Arial" w:eastAsia="Arial" w:hAnsi="Arial"/>
                <w:sz w:val="19"/>
                <w:szCs w:val="19"/>
                <w:b w:val="1"/>
                <w:bCs w:val="1"/>
                <w:color w:val="auto"/>
              </w:rPr>
              <w:t>2.2</w:t>
            </w:r>
          </w:p>
        </w:tc>
        <w:tc>
          <w:tcPr>
            <w:tcW w:w="10680" w:type="dxa"/>
            <w:vAlign w:val="bottom"/>
            <w:gridSpan w:val="3"/>
          </w:tcPr>
          <w:p>
            <w:pPr>
              <w:ind w:left="320"/>
              <w:spacing w:after="0"/>
              <w:rPr>
                <w:sz w:val="20"/>
                <w:szCs w:val="20"/>
                <w:color w:val="auto"/>
              </w:rPr>
            </w:pPr>
            <w:r>
              <w:rPr>
                <w:rFonts w:ascii="Arial" w:cs="Arial" w:eastAsia="Arial" w:hAnsi="Arial"/>
                <w:sz w:val="19"/>
                <w:szCs w:val="19"/>
                <w:b w:val="1"/>
                <w:bCs w:val="1"/>
                <w:color w:val="auto"/>
                <w:w w:val="92"/>
              </w:rPr>
              <w:t xml:space="preserve">Letter of Intent. </w:t>
            </w:r>
            <w:r>
              <w:rPr>
                <w:rFonts w:ascii="Arial" w:cs="Arial" w:eastAsia="Arial" w:hAnsi="Arial"/>
                <w:sz w:val="19"/>
                <w:szCs w:val="19"/>
                <w:color w:val="auto"/>
                <w:w w:val="92"/>
              </w:rPr>
              <w:t>The Parties have entered into a letter of intent on August 27, 2020, in which they agreed on certain Set-up Activities,</w:t>
            </w:r>
          </w:p>
        </w:tc>
        <w:tc>
          <w:tcPr>
            <w:tcW w:w="40" w:type="dxa"/>
            <w:vAlign w:val="bottom"/>
          </w:tcPr>
          <w:p>
            <w:pPr>
              <w:spacing w:after="0"/>
              <w:rPr>
                <w:sz w:val="24"/>
                <w:szCs w:val="24"/>
                <w:color w:val="auto"/>
              </w:rPr>
            </w:pPr>
          </w:p>
        </w:tc>
      </w:tr>
      <w:tr>
        <w:trPr>
          <w:trHeight w:val="212"/>
        </w:trPr>
        <w:tc>
          <w:tcPr>
            <w:tcW w:w="560" w:type="dxa"/>
            <w:vAlign w:val="bottom"/>
          </w:tcPr>
          <w:p>
            <w:pPr>
              <w:spacing w:after="0"/>
              <w:rPr>
                <w:sz w:val="18"/>
                <w:szCs w:val="18"/>
                <w:color w:val="auto"/>
              </w:rPr>
            </w:pPr>
          </w:p>
        </w:tc>
        <w:tc>
          <w:tcPr>
            <w:tcW w:w="10680" w:type="dxa"/>
            <w:vAlign w:val="bottom"/>
            <w:gridSpan w:val="3"/>
          </w:tcPr>
          <w:p>
            <w:pPr>
              <w:ind w:left="320"/>
              <w:spacing w:after="0" w:line="213" w:lineRule="exact"/>
              <w:rPr>
                <w:sz w:val="20"/>
                <w:szCs w:val="20"/>
                <w:color w:val="auto"/>
              </w:rPr>
            </w:pPr>
            <w:r>
              <w:rPr>
                <w:rFonts w:ascii="Arial" w:cs="Arial" w:eastAsia="Arial" w:hAnsi="Arial"/>
                <w:sz w:val="19"/>
                <w:szCs w:val="19"/>
                <w:color w:val="auto"/>
                <w:w w:val="94"/>
              </w:rPr>
              <w:t>including the procurement of special equipment and the performance of method transfer and process implementation activities (the</w:t>
            </w:r>
          </w:p>
        </w:tc>
        <w:tc>
          <w:tcPr>
            <w:tcW w:w="40" w:type="dxa"/>
            <w:vAlign w:val="bottom"/>
          </w:tcPr>
          <w:p>
            <w:pPr>
              <w:spacing w:after="0"/>
              <w:rPr>
                <w:sz w:val="18"/>
                <w:szCs w:val="18"/>
                <w:color w:val="auto"/>
              </w:rPr>
            </w:pPr>
          </w:p>
        </w:tc>
      </w:tr>
      <w:tr>
        <w:trPr>
          <w:trHeight w:val="246"/>
        </w:trPr>
        <w:tc>
          <w:tcPr>
            <w:tcW w:w="560" w:type="dxa"/>
            <w:vAlign w:val="bottom"/>
          </w:tcPr>
          <w:p>
            <w:pPr>
              <w:spacing w:after="0"/>
              <w:rPr>
                <w:sz w:val="21"/>
                <w:szCs w:val="21"/>
                <w:color w:val="auto"/>
              </w:rPr>
            </w:pPr>
          </w:p>
        </w:tc>
        <w:tc>
          <w:tcPr>
            <w:tcW w:w="10680" w:type="dxa"/>
            <w:vAlign w:val="bottom"/>
            <w:gridSpan w:val="3"/>
          </w:tcPr>
          <w:p>
            <w:pPr>
              <w:ind w:left="3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LoI</w:t>
            </w:r>
            <w:r>
              <w:rPr>
                <w:rFonts w:ascii="Arial" w:cs="Arial" w:eastAsia="Arial" w:hAnsi="Arial"/>
                <w:sz w:val="19"/>
                <w:szCs w:val="19"/>
                <w:color w:val="auto"/>
              </w:rPr>
              <w:t xml:space="preserve">”). A copy of the LoI, which shall remain unaffected hereby, is attached hereto as </w:t>
            </w:r>
            <w:r>
              <w:rPr>
                <w:rFonts w:ascii="Arial" w:cs="Arial" w:eastAsia="Arial" w:hAnsi="Arial"/>
                <w:sz w:val="19"/>
                <w:szCs w:val="19"/>
                <w:b w:val="1"/>
                <w:bCs w:val="1"/>
                <w:color w:val="auto"/>
              </w:rPr>
              <w:t>Annex 2 (Letter of Intent)</w:t>
            </w:r>
            <w:r>
              <w:rPr>
                <w:rFonts w:ascii="Arial" w:cs="Arial" w:eastAsia="Arial" w:hAnsi="Arial"/>
                <w:sz w:val="19"/>
                <w:szCs w:val="19"/>
                <w:color w:val="auto"/>
              </w:rPr>
              <w:t>.</w:t>
            </w:r>
          </w:p>
        </w:tc>
        <w:tc>
          <w:tcPr>
            <w:tcW w:w="40" w:type="dxa"/>
            <w:vAlign w:val="bottom"/>
          </w:tcPr>
          <w:p>
            <w:pPr>
              <w:spacing w:after="0"/>
              <w:rPr>
                <w:sz w:val="21"/>
                <w:szCs w:val="21"/>
                <w:color w:val="auto"/>
              </w:rPr>
            </w:pPr>
          </w:p>
        </w:tc>
      </w:tr>
      <w:tr>
        <w:trPr>
          <w:trHeight w:val="294"/>
        </w:trPr>
        <w:tc>
          <w:tcPr>
            <w:tcW w:w="560" w:type="dxa"/>
            <w:vAlign w:val="bottom"/>
          </w:tcPr>
          <w:p>
            <w:pPr>
              <w:spacing w:after="0"/>
              <w:rPr>
                <w:sz w:val="20"/>
                <w:szCs w:val="20"/>
                <w:color w:val="auto"/>
              </w:rPr>
            </w:pPr>
            <w:r>
              <w:rPr>
                <w:rFonts w:ascii="Arial" w:cs="Arial" w:eastAsia="Arial" w:hAnsi="Arial"/>
                <w:sz w:val="19"/>
                <w:szCs w:val="19"/>
                <w:b w:val="1"/>
                <w:bCs w:val="1"/>
                <w:color w:val="auto"/>
              </w:rPr>
              <w:t>2.3</w:t>
            </w:r>
          </w:p>
        </w:tc>
        <w:tc>
          <w:tcPr>
            <w:tcW w:w="10680" w:type="dxa"/>
            <w:vAlign w:val="bottom"/>
            <w:gridSpan w:val="3"/>
          </w:tcPr>
          <w:p>
            <w:pPr>
              <w:ind w:left="320"/>
              <w:spacing w:after="0"/>
              <w:rPr>
                <w:sz w:val="20"/>
                <w:szCs w:val="20"/>
                <w:color w:val="auto"/>
              </w:rPr>
            </w:pPr>
            <w:r>
              <w:rPr>
                <w:rFonts w:ascii="Arial" w:cs="Arial" w:eastAsia="Arial" w:hAnsi="Arial"/>
                <w:sz w:val="19"/>
                <w:szCs w:val="19"/>
                <w:b w:val="1"/>
                <w:bCs w:val="1"/>
                <w:color w:val="auto"/>
                <w:w w:val="98"/>
              </w:rPr>
              <w:t xml:space="preserve">Further Implementation Services. </w:t>
            </w:r>
            <w:r>
              <w:rPr>
                <w:rFonts w:ascii="Arial" w:cs="Arial" w:eastAsia="Arial" w:hAnsi="Arial"/>
                <w:sz w:val="19"/>
                <w:szCs w:val="19"/>
                <w:color w:val="auto"/>
                <w:w w:val="98"/>
              </w:rPr>
              <w:t>In addition to the Set-up Activities covered by the LoI, Supplier shall provide the following</w:t>
            </w:r>
          </w:p>
        </w:tc>
        <w:tc>
          <w:tcPr>
            <w:tcW w:w="40" w:type="dxa"/>
            <w:vAlign w:val="bottom"/>
          </w:tcPr>
          <w:p>
            <w:pPr>
              <w:spacing w:after="0"/>
              <w:rPr>
                <w:sz w:val="24"/>
                <w:szCs w:val="24"/>
                <w:color w:val="auto"/>
              </w:rPr>
            </w:pPr>
          </w:p>
        </w:tc>
      </w:tr>
      <w:tr>
        <w:trPr>
          <w:trHeight w:val="246"/>
        </w:trPr>
        <w:tc>
          <w:tcPr>
            <w:tcW w:w="560" w:type="dxa"/>
            <w:vAlign w:val="bottom"/>
          </w:tcPr>
          <w:p>
            <w:pPr>
              <w:spacing w:after="0"/>
              <w:rPr>
                <w:sz w:val="21"/>
                <w:szCs w:val="21"/>
                <w:color w:val="auto"/>
              </w:rPr>
            </w:pPr>
          </w:p>
        </w:tc>
        <w:tc>
          <w:tcPr>
            <w:tcW w:w="10680" w:type="dxa"/>
            <w:vAlign w:val="bottom"/>
            <w:gridSpan w:val="3"/>
          </w:tcPr>
          <w:p>
            <w:pPr>
              <w:ind w:left="320"/>
              <w:spacing w:after="0"/>
              <w:rPr>
                <w:sz w:val="20"/>
                <w:szCs w:val="20"/>
                <w:color w:val="auto"/>
              </w:rPr>
            </w:pPr>
            <w:r>
              <w:rPr>
                <w:rFonts w:ascii="Arial" w:cs="Arial" w:eastAsia="Arial" w:hAnsi="Arial"/>
                <w:sz w:val="19"/>
                <w:szCs w:val="19"/>
                <w:color w:val="auto"/>
              </w:rPr>
              <w:t xml:space="preserve">services, as further specified in </w:t>
            </w:r>
            <w:r>
              <w:rPr>
                <w:rFonts w:ascii="Arial" w:cs="Arial" w:eastAsia="Arial" w:hAnsi="Arial"/>
                <w:sz w:val="19"/>
                <w:szCs w:val="19"/>
                <w:b w:val="1"/>
                <w:bCs w:val="1"/>
                <w:color w:val="auto"/>
              </w:rPr>
              <w:t>Annex 3 (Further Implementation Services)</w:t>
            </w:r>
            <w:r>
              <w:rPr>
                <w:rFonts w:ascii="Arial" w:cs="Arial" w:eastAsia="Arial" w:hAnsi="Arial"/>
                <w:sz w:val="19"/>
                <w:szCs w:val="19"/>
                <w:color w:val="auto"/>
              </w:rPr>
              <w:t xml:space="preserve"> (the </w:t>
            </w:r>
            <w:r>
              <w:rPr>
                <w:rFonts w:ascii="Arial" w:cs="Arial" w:eastAsia="Arial" w:hAnsi="Arial"/>
                <w:sz w:val="19"/>
                <w:szCs w:val="19"/>
                <w:b w:val="1"/>
                <w:bCs w:val="1"/>
                <w:color w:val="auto"/>
              </w:rPr>
              <w:t>“Further Implementation Services</w:t>
            </w:r>
            <w:r>
              <w:rPr>
                <w:rFonts w:ascii="Arial" w:cs="Arial" w:eastAsia="Arial" w:hAnsi="Arial"/>
                <w:sz w:val="19"/>
                <w:szCs w:val="19"/>
                <w:color w:val="auto"/>
              </w:rPr>
              <w:t>”):</w:t>
            </w:r>
          </w:p>
        </w:tc>
        <w:tc>
          <w:tcPr>
            <w:tcW w:w="40" w:type="dxa"/>
            <w:vAlign w:val="bottom"/>
          </w:tcPr>
          <w:p>
            <w:pPr>
              <w:spacing w:after="0"/>
              <w:rPr>
                <w:sz w:val="21"/>
                <w:szCs w:val="21"/>
                <w:color w:val="auto"/>
              </w:rPr>
            </w:pPr>
          </w:p>
        </w:tc>
      </w:tr>
      <w:tr>
        <w:trPr>
          <w:trHeight w:val="321"/>
        </w:trPr>
        <w:tc>
          <w:tcPr>
            <w:tcW w:w="56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19"/>
                <w:szCs w:val="19"/>
                <w:color w:val="auto"/>
              </w:rPr>
              <w:t>(a)</w:t>
            </w:r>
          </w:p>
        </w:tc>
        <w:tc>
          <w:tcPr>
            <w:tcW w:w="9820" w:type="dxa"/>
            <w:vAlign w:val="bottom"/>
            <w:gridSpan w:val="2"/>
          </w:tcPr>
          <w:p>
            <w:pPr>
              <w:ind w:left="160"/>
              <w:spacing w:after="0"/>
              <w:rPr>
                <w:sz w:val="20"/>
                <w:szCs w:val="20"/>
                <w:color w:val="auto"/>
              </w:rPr>
            </w:pPr>
            <w:r>
              <w:rPr>
                <w:rFonts w:ascii="Arial" w:cs="Arial" w:eastAsia="Arial" w:hAnsi="Arial"/>
                <w:sz w:val="19"/>
                <w:szCs w:val="19"/>
                <w:color w:val="auto"/>
              </w:rPr>
              <w:t>Validation of the Packaging Process; and</w:t>
            </w:r>
          </w:p>
        </w:tc>
        <w:tc>
          <w:tcPr>
            <w:tcW w:w="40" w:type="dxa"/>
            <w:vAlign w:val="bottom"/>
          </w:tcPr>
          <w:p>
            <w:pPr>
              <w:spacing w:after="0"/>
              <w:rPr>
                <w:sz w:val="24"/>
                <w:szCs w:val="24"/>
                <w:color w:val="auto"/>
              </w:rPr>
            </w:pPr>
          </w:p>
        </w:tc>
      </w:tr>
      <w:tr>
        <w:trPr>
          <w:trHeight w:val="321"/>
        </w:trPr>
        <w:tc>
          <w:tcPr>
            <w:tcW w:w="560" w:type="dxa"/>
            <w:vAlign w:val="bottom"/>
          </w:tcPr>
          <w:p>
            <w:pPr>
              <w:spacing w:after="0"/>
              <w:rPr>
                <w:sz w:val="24"/>
                <w:szCs w:val="24"/>
                <w:color w:val="auto"/>
              </w:rPr>
            </w:pPr>
          </w:p>
        </w:tc>
        <w:tc>
          <w:tcPr>
            <w:tcW w:w="860" w:type="dxa"/>
            <w:vAlign w:val="bottom"/>
          </w:tcPr>
          <w:p>
            <w:pPr>
              <w:ind w:left="320"/>
              <w:spacing w:after="0"/>
              <w:rPr>
                <w:sz w:val="20"/>
                <w:szCs w:val="20"/>
                <w:color w:val="auto"/>
              </w:rPr>
            </w:pPr>
            <w:r>
              <w:rPr>
                <w:rFonts w:ascii="Arial" w:cs="Arial" w:eastAsia="Arial" w:hAnsi="Arial"/>
                <w:sz w:val="19"/>
                <w:szCs w:val="19"/>
                <w:color w:val="auto"/>
              </w:rPr>
              <w:t>(b)</w:t>
            </w:r>
          </w:p>
        </w:tc>
        <w:tc>
          <w:tcPr>
            <w:tcW w:w="9820" w:type="dxa"/>
            <w:vAlign w:val="bottom"/>
            <w:gridSpan w:val="2"/>
          </w:tcPr>
          <w:p>
            <w:pPr>
              <w:ind w:left="160"/>
              <w:spacing w:after="0"/>
              <w:rPr>
                <w:sz w:val="20"/>
                <w:szCs w:val="20"/>
                <w:color w:val="auto"/>
              </w:rPr>
            </w:pPr>
            <w:r>
              <w:rPr>
                <w:rFonts w:ascii="Arial" w:cs="Arial" w:eastAsia="Arial" w:hAnsi="Arial"/>
                <w:sz w:val="19"/>
                <w:szCs w:val="19"/>
                <w:color w:val="auto"/>
              </w:rPr>
              <w:t>Stability Study for Submission.</w:t>
            </w:r>
          </w:p>
        </w:tc>
        <w:tc>
          <w:tcPr>
            <w:tcW w:w="40" w:type="dxa"/>
            <w:vAlign w:val="bottom"/>
          </w:tcPr>
          <w:p>
            <w:pPr>
              <w:spacing w:after="0"/>
              <w:rPr>
                <w:sz w:val="24"/>
                <w:szCs w:val="24"/>
                <w:color w:val="auto"/>
              </w:rPr>
            </w:pPr>
          </w:p>
        </w:tc>
      </w:tr>
      <w:tr>
        <w:trPr>
          <w:trHeight w:val="321"/>
        </w:trPr>
        <w:tc>
          <w:tcPr>
            <w:tcW w:w="560" w:type="dxa"/>
            <w:vAlign w:val="bottom"/>
          </w:tcPr>
          <w:p>
            <w:pPr>
              <w:spacing w:after="0"/>
              <w:rPr>
                <w:sz w:val="20"/>
                <w:szCs w:val="20"/>
                <w:color w:val="auto"/>
              </w:rPr>
            </w:pPr>
            <w:r>
              <w:rPr>
                <w:rFonts w:ascii="Arial" w:cs="Arial" w:eastAsia="Arial" w:hAnsi="Arial"/>
                <w:sz w:val="19"/>
                <w:szCs w:val="19"/>
                <w:b w:val="1"/>
                <w:bCs w:val="1"/>
                <w:color w:val="auto"/>
              </w:rPr>
              <w:t>2.4</w:t>
            </w:r>
          </w:p>
        </w:tc>
        <w:tc>
          <w:tcPr>
            <w:tcW w:w="860" w:type="dxa"/>
            <w:vAlign w:val="bottom"/>
          </w:tcPr>
          <w:p>
            <w:pPr>
              <w:ind w:left="320"/>
              <w:spacing w:after="0"/>
              <w:rPr>
                <w:sz w:val="20"/>
                <w:szCs w:val="20"/>
                <w:color w:val="auto"/>
              </w:rPr>
            </w:pPr>
            <w:r>
              <w:rPr>
                <w:rFonts w:ascii="Arial" w:cs="Arial" w:eastAsia="Arial" w:hAnsi="Arial"/>
                <w:sz w:val="19"/>
                <w:szCs w:val="19"/>
                <w:color w:val="auto"/>
              </w:rPr>
              <w:t>[***]</w:t>
            </w:r>
          </w:p>
        </w:tc>
        <w:tc>
          <w:tcPr>
            <w:tcW w:w="98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0"/>
        </w:trPr>
        <w:tc>
          <w:tcPr>
            <w:tcW w:w="560" w:type="dxa"/>
            <w:vAlign w:val="bottom"/>
          </w:tcPr>
          <w:p>
            <w:pPr>
              <w:spacing w:after="0"/>
              <w:rPr>
                <w:sz w:val="20"/>
                <w:szCs w:val="20"/>
                <w:color w:val="auto"/>
              </w:rPr>
            </w:pPr>
            <w:r>
              <w:rPr>
                <w:rFonts w:ascii="Arial" w:cs="Arial" w:eastAsia="Arial" w:hAnsi="Arial"/>
                <w:sz w:val="19"/>
                <w:szCs w:val="19"/>
                <w:b w:val="1"/>
                <w:bCs w:val="1"/>
                <w:color w:val="auto"/>
              </w:rPr>
              <w:t>2.5</w:t>
            </w:r>
          </w:p>
        </w:tc>
        <w:tc>
          <w:tcPr>
            <w:tcW w:w="10680" w:type="dxa"/>
            <w:vAlign w:val="bottom"/>
            <w:gridSpan w:val="3"/>
          </w:tcPr>
          <w:p>
            <w:pPr>
              <w:ind w:left="320"/>
              <w:spacing w:after="0"/>
              <w:rPr>
                <w:sz w:val="20"/>
                <w:szCs w:val="20"/>
                <w:color w:val="auto"/>
              </w:rPr>
            </w:pPr>
            <w:r>
              <w:rPr>
                <w:rFonts w:ascii="Arial" w:cs="Arial" w:eastAsia="Arial" w:hAnsi="Arial"/>
                <w:sz w:val="19"/>
                <w:szCs w:val="19"/>
                <w:b w:val="1"/>
                <w:bCs w:val="1"/>
                <w:color w:val="auto"/>
                <w:w w:val="95"/>
              </w:rPr>
              <w:t xml:space="preserve">Timeline. </w:t>
            </w:r>
            <w:r>
              <w:rPr>
                <w:rFonts w:ascii="Arial" w:cs="Arial" w:eastAsia="Arial" w:hAnsi="Arial"/>
                <w:sz w:val="19"/>
                <w:szCs w:val="19"/>
                <w:color w:val="auto"/>
                <w:w w:val="95"/>
              </w:rPr>
              <w:t>The Parties intend that all Set-up Activities shall be completed by [***] except for the stability study which shall have an</w:t>
            </w:r>
          </w:p>
        </w:tc>
        <w:tc>
          <w:tcPr>
            <w:tcW w:w="40" w:type="dxa"/>
            <w:vAlign w:val="bottom"/>
          </w:tcPr>
          <w:p>
            <w:pPr>
              <w:spacing w:after="0"/>
              <w:rPr>
                <w:sz w:val="24"/>
                <w:szCs w:val="24"/>
                <w:color w:val="auto"/>
              </w:rPr>
            </w:pPr>
          </w:p>
        </w:tc>
      </w:tr>
      <w:tr>
        <w:trPr>
          <w:trHeight w:val="218"/>
        </w:trPr>
        <w:tc>
          <w:tcPr>
            <w:tcW w:w="560" w:type="dxa"/>
            <w:vAlign w:val="bottom"/>
          </w:tcPr>
          <w:p>
            <w:pPr>
              <w:spacing w:after="0"/>
              <w:rPr>
                <w:sz w:val="18"/>
                <w:szCs w:val="18"/>
                <w:color w:val="auto"/>
              </w:rPr>
            </w:pPr>
          </w:p>
        </w:tc>
        <w:tc>
          <w:tcPr>
            <w:tcW w:w="10680" w:type="dxa"/>
            <w:vAlign w:val="bottom"/>
            <w:gridSpan w:val="3"/>
          </w:tcPr>
          <w:p>
            <w:pPr>
              <w:ind w:left="320"/>
              <w:spacing w:after="0"/>
              <w:rPr>
                <w:sz w:val="20"/>
                <w:szCs w:val="20"/>
                <w:color w:val="auto"/>
              </w:rPr>
            </w:pPr>
            <w:r>
              <w:rPr>
                <w:rFonts w:ascii="Arial" w:cs="Arial" w:eastAsia="Arial" w:hAnsi="Arial"/>
                <w:sz w:val="19"/>
                <w:szCs w:val="19"/>
                <w:color w:val="auto"/>
                <w:w w:val="93"/>
              </w:rPr>
              <w:t>overall duration of [***]. In the event that any Set-up Activities cannot be successfully performed and completed in such timeline, the</w:t>
            </w:r>
          </w:p>
        </w:tc>
        <w:tc>
          <w:tcPr>
            <w:tcW w:w="40" w:type="dxa"/>
            <w:vAlign w:val="bottom"/>
          </w:tcPr>
          <w:p>
            <w:pPr>
              <w:spacing w:after="0"/>
              <w:rPr>
                <w:sz w:val="18"/>
                <w:szCs w:val="18"/>
                <w:color w:val="auto"/>
              </w:rPr>
            </w:pPr>
          </w:p>
        </w:tc>
      </w:tr>
      <w:tr>
        <w:trPr>
          <w:trHeight w:val="240"/>
        </w:trPr>
        <w:tc>
          <w:tcPr>
            <w:tcW w:w="560" w:type="dxa"/>
            <w:vAlign w:val="bottom"/>
          </w:tcPr>
          <w:p>
            <w:pPr>
              <w:spacing w:after="0"/>
              <w:rPr>
                <w:sz w:val="20"/>
                <w:szCs w:val="20"/>
                <w:color w:val="auto"/>
              </w:rPr>
            </w:pPr>
          </w:p>
        </w:tc>
        <w:tc>
          <w:tcPr>
            <w:tcW w:w="10680" w:type="dxa"/>
            <w:vAlign w:val="bottom"/>
            <w:gridSpan w:val="3"/>
          </w:tcPr>
          <w:p>
            <w:pPr>
              <w:ind w:left="320"/>
              <w:spacing w:after="0"/>
              <w:rPr>
                <w:sz w:val="20"/>
                <w:szCs w:val="20"/>
                <w:color w:val="auto"/>
              </w:rPr>
            </w:pPr>
            <w:r>
              <w:rPr>
                <w:rFonts w:ascii="Arial" w:cs="Arial" w:eastAsia="Arial" w:hAnsi="Arial"/>
                <w:sz w:val="19"/>
                <w:szCs w:val="19"/>
                <w:color w:val="auto"/>
              </w:rPr>
              <w:t>Parties shall promptly meet to discuss a path forward.</w:t>
            </w:r>
          </w:p>
        </w:tc>
        <w:tc>
          <w:tcPr>
            <w:tcW w:w="40" w:type="dxa"/>
            <w:vAlign w:val="bottom"/>
          </w:tcPr>
          <w:p>
            <w:pPr>
              <w:spacing w:after="0"/>
              <w:rPr>
                <w:sz w:val="20"/>
                <w:szCs w:val="20"/>
                <w:color w:val="auto"/>
              </w:rPr>
            </w:pPr>
          </w:p>
        </w:tc>
      </w:tr>
      <w:tr>
        <w:trPr>
          <w:trHeight w:val="304"/>
        </w:trPr>
        <w:tc>
          <w:tcPr>
            <w:tcW w:w="2400" w:type="dxa"/>
            <w:vAlign w:val="bottom"/>
            <w:tcBorders>
              <w:bottom w:val="single" w:sz="8" w:color="auto"/>
            </w:tcBorders>
            <w:gridSpan w:val="3"/>
          </w:tcPr>
          <w:p>
            <w:pPr>
              <w:spacing w:after="0"/>
              <w:rPr>
                <w:sz w:val="24"/>
                <w:szCs w:val="24"/>
                <w:color w:val="auto"/>
              </w:rPr>
            </w:pPr>
          </w:p>
        </w:tc>
        <w:tc>
          <w:tcPr>
            <w:tcW w:w="88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400" w:type="dxa"/>
            <w:vAlign w:val="bottom"/>
            <w:gridSpan w:val="3"/>
          </w:tcPr>
          <w:p>
            <w:pPr>
              <w:spacing w:after="0"/>
              <w:rPr>
                <w:sz w:val="20"/>
                <w:szCs w:val="20"/>
                <w:color w:val="auto"/>
              </w:rPr>
            </w:pPr>
            <w:r>
              <w:rPr>
                <w:rFonts w:ascii="Arial" w:cs="Arial" w:eastAsia="Arial" w:hAnsi="Arial"/>
                <w:sz w:val="17"/>
                <w:szCs w:val="17"/>
                <w:color w:val="auto"/>
              </w:rPr>
              <w:t>Execution Version 2020/12/30</w:t>
            </w:r>
          </w:p>
        </w:tc>
        <w:tc>
          <w:tcPr>
            <w:tcW w:w="8840" w:type="dxa"/>
            <w:vAlign w:val="bottom"/>
          </w:tcPr>
          <w:p>
            <w:pPr>
              <w:ind w:left="300"/>
              <w:spacing w:after="0"/>
              <w:rPr>
                <w:sz w:val="20"/>
                <w:szCs w:val="20"/>
                <w:color w:val="auto"/>
              </w:rPr>
            </w:pPr>
            <w:r>
              <w:rPr>
                <w:rFonts w:ascii="Arial" w:cs="Arial" w:eastAsia="Arial" w:hAnsi="Arial"/>
                <w:sz w:val="17"/>
                <w:szCs w:val="17"/>
                <w:color w:val="auto"/>
              </w:rPr>
              <w:t>Page 4 of 27</w:t>
            </w:r>
          </w:p>
        </w:tc>
        <w:tc>
          <w:tcPr>
            <w:tcW w:w="40" w:type="dxa"/>
            <w:vAlign w:val="bottom"/>
          </w:tcPr>
          <w:p>
            <w:pPr>
              <w:spacing w:after="0"/>
              <w:rPr>
                <w:sz w:val="18"/>
                <w:szCs w:val="18"/>
                <w:color w:val="auto"/>
              </w:rPr>
            </w:pPr>
          </w:p>
        </w:tc>
      </w:tr>
      <w:tr>
        <w:trPr>
          <w:trHeight w:val="110"/>
        </w:trPr>
        <w:tc>
          <w:tcPr>
            <w:tcW w:w="5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88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328" w:right="299" w:bottom="1440" w:gutter="0" w:footer="0" w:header="0"/>
        </w:sectPr>
      </w:pPr>
    </w:p>
    <w:bookmarkStart w:id="165" w:name="page166"/>
    <w:bookmarkEnd w:id="165"/>
    <w:p>
      <w:pPr>
        <w:ind w:left="880" w:hanging="877"/>
        <w:spacing w:after="0"/>
        <w:tabs>
          <w:tab w:leader="none" w:pos="880"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t>PACKAGING AND SUPPLY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3.1</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0"/>
              </w:rPr>
              <w:t xml:space="preserve">Commencement. </w:t>
            </w:r>
            <w:r>
              <w:rPr>
                <w:rFonts w:ascii="Arial" w:cs="Arial" w:eastAsia="Arial" w:hAnsi="Arial"/>
                <w:sz w:val="19"/>
                <w:szCs w:val="19"/>
                <w:color w:val="auto"/>
                <w:w w:val="90"/>
              </w:rPr>
              <w:t>Upon completion of the Set-up Activities (except for the stability study) and subject to payment of the Implementation</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1"/>
              </w:rPr>
              <w:t>Fees, Supplier shall provide the Packaging Services and Deliver Final Products to Customer and its Affiliates throughout the remaining</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1"/>
              </w:rPr>
              <w:t>Term. Supplier hereby agrees to supply to Customer and Customer agrees to purchase and accept delivery of the Final Product on the</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terms and subject to the conditions of this Agreement.</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3.2</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1"/>
              </w:rPr>
              <w:t xml:space="preserve">Bulk Manufacturing and Supply. </w:t>
            </w:r>
            <w:r>
              <w:rPr>
                <w:rFonts w:ascii="Arial" w:cs="Arial" w:eastAsia="Arial" w:hAnsi="Arial"/>
                <w:sz w:val="19"/>
                <w:szCs w:val="19"/>
                <w:color w:val="auto"/>
                <w:w w:val="91"/>
              </w:rPr>
              <w:t>The Bulk Products shall be manufactured by Customer (or by Customer’s contract manufacturer(s))</w:t>
            </w:r>
          </w:p>
        </w:tc>
      </w:tr>
      <w:tr>
        <w:trPr>
          <w:trHeight w:val="212"/>
        </w:trPr>
        <w:tc>
          <w:tcPr>
            <w:tcW w:w="560" w:type="dxa"/>
            <w:vAlign w:val="bottom"/>
          </w:tcPr>
          <w:p>
            <w:pPr>
              <w:spacing w:after="0"/>
              <w:rPr>
                <w:sz w:val="18"/>
                <w:szCs w:val="18"/>
                <w:color w:val="auto"/>
              </w:rPr>
            </w:pPr>
          </w:p>
        </w:tc>
        <w:tc>
          <w:tcPr>
            <w:tcW w:w="10680" w:type="dxa"/>
            <w:vAlign w:val="bottom"/>
          </w:tcPr>
          <w:p>
            <w:pPr>
              <w:ind w:left="320"/>
              <w:spacing w:after="0" w:line="213" w:lineRule="exact"/>
              <w:rPr>
                <w:sz w:val="20"/>
                <w:szCs w:val="20"/>
                <w:color w:val="auto"/>
              </w:rPr>
            </w:pPr>
            <w:r>
              <w:rPr>
                <w:rFonts w:ascii="Arial" w:cs="Arial" w:eastAsia="Arial" w:hAnsi="Arial"/>
                <w:sz w:val="19"/>
                <w:szCs w:val="19"/>
                <w:color w:val="auto"/>
                <w:w w:val="90"/>
              </w:rPr>
              <w:t>and Supplier (or Supplier’s subcontractor(s) agreed to by Customer in writing where such consent is necessary hereunder), respectively,</w:t>
            </w:r>
          </w:p>
        </w:tc>
      </w:tr>
      <w:tr>
        <w:trPr>
          <w:trHeight w:val="224"/>
        </w:trPr>
        <w:tc>
          <w:tcPr>
            <w:tcW w:w="5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1"/>
              </w:rPr>
              <w:t xml:space="preserve">in line with the specifications as defined in </w:t>
            </w:r>
            <w:r>
              <w:rPr>
                <w:rFonts w:ascii="Arial" w:cs="Arial" w:eastAsia="Arial" w:hAnsi="Arial"/>
                <w:sz w:val="19"/>
                <w:szCs w:val="19"/>
                <w:b w:val="1"/>
                <w:bCs w:val="1"/>
                <w:color w:val="auto"/>
                <w:w w:val="91"/>
              </w:rPr>
              <w:t>Annex 4 (Bulk Specifications)</w:t>
            </w:r>
            <w:r>
              <w:rPr>
                <w:rFonts w:ascii="Arial" w:cs="Arial" w:eastAsia="Arial" w:hAnsi="Arial"/>
                <w:sz w:val="19"/>
                <w:szCs w:val="19"/>
                <w:color w:val="auto"/>
                <w:w w:val="91"/>
              </w:rPr>
              <w:t xml:space="preserve"> (the “</w:t>
            </w:r>
            <w:r>
              <w:rPr>
                <w:rFonts w:ascii="Arial" w:cs="Arial" w:eastAsia="Arial" w:hAnsi="Arial"/>
                <w:sz w:val="19"/>
                <w:szCs w:val="19"/>
                <w:b w:val="1"/>
                <w:bCs w:val="1"/>
                <w:color w:val="auto"/>
                <w:w w:val="91"/>
              </w:rPr>
              <w:t>Bulk Specifications</w:t>
            </w:r>
            <w:r>
              <w:rPr>
                <w:rFonts w:ascii="Arial" w:cs="Arial" w:eastAsia="Arial" w:hAnsi="Arial"/>
                <w:sz w:val="19"/>
                <w:szCs w:val="19"/>
                <w:color w:val="auto"/>
                <w:w w:val="91"/>
              </w:rPr>
              <w:t>”), using Customer’s or Supplier’s</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89"/>
              </w:rPr>
              <w:t>own established manufacturing processes. Once manufactured, the Bulk Products will be used by Supplier for the Packaging Process and</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Delivered to Customer as part of the Final Product.</w:t>
            </w:r>
          </w:p>
        </w:tc>
      </w:tr>
      <w:tr>
        <w:trPr>
          <w:trHeight w:val="294"/>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3.3</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1"/>
              </w:rPr>
              <w:t xml:space="preserve">Packaging Process. </w:t>
            </w:r>
            <w:r>
              <w:rPr>
                <w:rFonts w:ascii="Arial" w:cs="Arial" w:eastAsia="Arial" w:hAnsi="Arial"/>
                <w:sz w:val="19"/>
                <w:szCs w:val="19"/>
                <w:color w:val="auto"/>
                <w:w w:val="91"/>
              </w:rPr>
              <w:t>The Packaging Process to be followed by Supplier when providing the Packaging Services is defined in</w:t>
            </w:r>
            <w:r>
              <w:rPr>
                <w:rFonts w:ascii="Arial" w:cs="Arial" w:eastAsia="Arial" w:hAnsi="Arial"/>
                <w:sz w:val="19"/>
                <w:szCs w:val="19"/>
                <w:b w:val="1"/>
                <w:bCs w:val="1"/>
                <w:color w:val="auto"/>
                <w:w w:val="91"/>
              </w:rPr>
              <w:t xml:space="preserve"> Annex 5</w:t>
            </w:r>
          </w:p>
        </w:tc>
      </w:tr>
      <w:tr>
        <w:trPr>
          <w:trHeight w:val="246"/>
        </w:trPr>
        <w:tc>
          <w:tcPr>
            <w:tcW w:w="560" w:type="dxa"/>
            <w:vAlign w:val="bottom"/>
          </w:tcPr>
          <w:p>
            <w:pPr>
              <w:spacing w:after="0"/>
              <w:rPr>
                <w:sz w:val="21"/>
                <w:szCs w:val="21"/>
                <w:color w:val="auto"/>
              </w:rPr>
            </w:pP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rPr>
              <w:t>(Packaging Process)</w:t>
            </w:r>
            <w:r>
              <w:rPr>
                <w:rFonts w:ascii="Arial" w:cs="Arial" w:eastAsia="Arial" w:hAnsi="Arial"/>
                <w:sz w:val="19"/>
                <w:szCs w:val="19"/>
                <w:color w:val="auto"/>
              </w:rPr>
              <w:t>.</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3.4</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1"/>
              </w:rPr>
              <w:t xml:space="preserve">Materials and Equipment. </w:t>
            </w:r>
            <w:r>
              <w:rPr>
                <w:rFonts w:ascii="Arial" w:cs="Arial" w:eastAsia="Arial" w:hAnsi="Arial"/>
                <w:sz w:val="19"/>
                <w:szCs w:val="19"/>
                <w:color w:val="auto"/>
                <w:w w:val="91"/>
              </w:rPr>
              <w:t>Unless explicitly provided otherwise herein, Supplier shall be responsible for procuring or having available,</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1"/>
              </w:rPr>
              <w:t>at its own cost, any and all materials and Equipment necessary for the Packaging Services and the Supplier Bulk Supply, including, for</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the avoidance of doubt, any Packaging Materials.</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3.5</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5"/>
              </w:rPr>
              <w:t>Artwork and Packaging</w:t>
            </w:r>
            <w:r>
              <w:rPr>
                <w:rFonts w:ascii="Arial" w:cs="Arial" w:eastAsia="Arial" w:hAnsi="Arial"/>
                <w:sz w:val="19"/>
                <w:szCs w:val="19"/>
                <w:color w:val="auto"/>
                <w:w w:val="95"/>
              </w:rPr>
              <w:t>. Customer shall provide or approve, prior to the procurement of applicable components, all artwork and</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3"/>
              </w:rPr>
              <w:t>packaging information necessary to Package the Final Product. Customer shall provide artwork for all printed materials (e.g., blister</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4"/>
              </w:rPr>
              <w:t>design, cartons, labels and leaflets) at least [***] prior to the placement of the respective Purchase Order. In case of changes in the</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4"/>
              </w:rPr>
              <w:t>artworks, text of the package inserts or labeling, Customer shall compensate Supplier [***]. Supplier shall be notified of all changes</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5"/>
              </w:rPr>
              <w:t>specific to artworks, package inserts or labeling sufficiently in advance of implementation to allow time for process documentation</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1"/>
              </w:rPr>
              <w:t>changes and stock control. Any artwork, advertising and packaging information is and shall remain the exclusive property of Customer,</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1"/>
              </w:rPr>
              <w:t>and Customer shall be solely responsible for the content thereof and hold Supplier harmless against any third party claims arising from</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0"/>
              </w:rPr>
              <w:t>the use of such artwork etc. in the provision of services hereunder. Such artwork and packaging information or any reproduction thereof</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3"/>
              </w:rPr>
              <w:t>may not be used by Supplier following the termination of this Agreement, or during the Term of this Agreement in any manner other</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than solely for the purpose of performing its obligations hereunder.</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3.6</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1"/>
              </w:rPr>
              <w:t xml:space="preserve">Registration and Regulatory Requirements. </w:t>
            </w:r>
            <w:r>
              <w:rPr>
                <w:rFonts w:ascii="Arial" w:cs="Arial" w:eastAsia="Arial" w:hAnsi="Arial"/>
                <w:sz w:val="19"/>
                <w:szCs w:val="19"/>
                <w:color w:val="auto"/>
                <w:w w:val="91"/>
              </w:rPr>
              <w:t>Customer and its Affiliates shall be responsible for the Registration of the Final Product</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3"/>
              </w:rPr>
              <w:t>with all relevant Regulatory Authorities of all countries of the Territory where they market Final Product. Supplier shall, at Customer’s</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0"/>
              </w:rPr>
              <w:t>cost, provide such assistance and information as Customer or its Affiliates may reasonably request in connection therewith, including the</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grant of a letter of authorization for Supplier’s ANDAs.</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3.7</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89"/>
              </w:rPr>
              <w:t xml:space="preserve">Purchase Obligation. </w:t>
            </w:r>
            <w:r>
              <w:rPr>
                <w:rFonts w:ascii="Arial" w:cs="Arial" w:eastAsia="Arial" w:hAnsi="Arial"/>
                <w:sz w:val="19"/>
                <w:szCs w:val="19"/>
                <w:color w:val="auto"/>
                <w:w w:val="89"/>
              </w:rPr>
              <w:t>Unless this Agreement is terminated or expires earlier, Customer shall source its and its Affiliates’ entire demands</w:t>
            </w:r>
          </w:p>
        </w:tc>
      </w:tr>
      <w:tr>
        <w:trPr>
          <w:trHeight w:val="212"/>
        </w:trPr>
        <w:tc>
          <w:tcPr>
            <w:tcW w:w="560" w:type="dxa"/>
            <w:vAlign w:val="bottom"/>
          </w:tcPr>
          <w:p>
            <w:pPr>
              <w:spacing w:after="0"/>
              <w:rPr>
                <w:sz w:val="18"/>
                <w:szCs w:val="18"/>
                <w:color w:val="auto"/>
              </w:rPr>
            </w:pPr>
          </w:p>
        </w:tc>
        <w:tc>
          <w:tcPr>
            <w:tcW w:w="10680" w:type="dxa"/>
            <w:vAlign w:val="bottom"/>
          </w:tcPr>
          <w:p>
            <w:pPr>
              <w:ind w:left="320"/>
              <w:spacing w:after="0" w:line="213" w:lineRule="exact"/>
              <w:rPr>
                <w:sz w:val="20"/>
                <w:szCs w:val="20"/>
                <w:color w:val="auto"/>
              </w:rPr>
            </w:pPr>
            <w:r>
              <w:rPr>
                <w:rFonts w:ascii="Arial" w:cs="Arial" w:eastAsia="Arial" w:hAnsi="Arial"/>
                <w:sz w:val="19"/>
                <w:szCs w:val="19"/>
                <w:color w:val="auto"/>
                <w:w w:val="92"/>
              </w:rPr>
              <w:t>for Final Product and for Supplier Provided Bulk Products, in each case for sale during the Exclusive Purchase Period in the Territory,</w:t>
            </w:r>
          </w:p>
        </w:tc>
      </w:tr>
      <w:tr>
        <w:trPr>
          <w:trHeight w:val="224"/>
        </w:trPr>
        <w:tc>
          <w:tcPr>
            <w:tcW w:w="5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2"/>
              </w:rPr>
              <w:t>exclusively from Supplier and/or Supplier-designated Affiliate for a period of [***] from the Launch (the “</w:t>
            </w:r>
            <w:r>
              <w:rPr>
                <w:rFonts w:ascii="Arial" w:cs="Arial" w:eastAsia="Arial" w:hAnsi="Arial"/>
                <w:sz w:val="19"/>
                <w:szCs w:val="19"/>
                <w:b w:val="1"/>
                <w:bCs w:val="1"/>
                <w:color w:val="auto"/>
                <w:w w:val="92"/>
              </w:rPr>
              <w:t>Exclusive Purchase Period</w:t>
            </w:r>
            <w:r>
              <w:rPr>
                <w:rFonts w:ascii="Arial" w:cs="Arial" w:eastAsia="Arial" w:hAnsi="Arial"/>
                <w:sz w:val="19"/>
                <w:szCs w:val="19"/>
                <w:color w:val="auto"/>
                <w:w w:val="92"/>
              </w:rPr>
              <w:t>”)</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4"/>
              </w:rPr>
              <w:t>and Customer shall not, either directly or indirectly,  during the Exclusive Purchase Period in the Territory, sell Final Product and/or</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Supplier Provided Bulk Products sourced from any party other than Supplier.</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3.8</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3"/>
              </w:rPr>
              <w:t xml:space="preserve">Affiliate Ordering. </w:t>
            </w:r>
            <w:r>
              <w:rPr>
                <w:rFonts w:ascii="Arial" w:cs="Arial" w:eastAsia="Arial" w:hAnsi="Arial"/>
                <w:sz w:val="19"/>
                <w:szCs w:val="19"/>
                <w:color w:val="auto"/>
                <w:w w:val="93"/>
              </w:rPr>
              <w:t>Supplier agrees that Customer’s Affiliates may order Final Products directly from Supplier in accordance with the</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terms and conditions of this Agreement,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386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7"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5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66" w:name="page167"/>
    <w:bookmarkEnd w:id="166"/>
    <w:p>
      <w:pPr>
        <w:jc w:val="both"/>
        <w:ind w:left="880" w:right="40"/>
        <w:spacing w:after="0" w:line="265" w:lineRule="auto"/>
        <w:rPr>
          <w:sz w:val="20"/>
          <w:szCs w:val="20"/>
          <w:color w:val="auto"/>
        </w:rPr>
      </w:pPr>
      <w:r>
        <w:rPr>
          <w:rFonts w:ascii="Arial" w:cs="Arial" w:eastAsia="Arial" w:hAnsi="Arial"/>
          <w:sz w:val="18"/>
          <w:szCs w:val="18"/>
          <w:color w:val="auto"/>
        </w:rPr>
        <w:t>request that Final Products be Delivered directly to such Customer Affiliate together with the appropriate invoices. Any Order placed by a Customer Affiliate and accepted by Supplier shall form a separate and distinct agreement between the parties to such Order. References to either Party in the terms and conditions of this Agreement shall be read as references to the respective Party to any Order for the purpose of said Order. Only the parties to an order shall be bound by such Order.</w:t>
      </w:r>
    </w:p>
    <w:p>
      <w:pPr>
        <w:spacing w:after="0" w:line="262" w:lineRule="exact"/>
        <w:rPr>
          <w:sz w:val="20"/>
          <w:szCs w:val="20"/>
          <w:color w:val="auto"/>
        </w:rPr>
      </w:pPr>
    </w:p>
    <w:p>
      <w:pPr>
        <w:ind w:left="880" w:hanging="877"/>
        <w:spacing w:after="0"/>
        <w:tabs>
          <w:tab w:leader="none" w:pos="880" w:val="left"/>
        </w:tabs>
        <w:numPr>
          <w:ilvl w:val="0"/>
          <w:numId w:val="79"/>
        </w:numPr>
        <w:rPr>
          <w:rFonts w:ascii="Arial" w:cs="Arial" w:eastAsia="Arial" w:hAnsi="Arial"/>
          <w:sz w:val="19"/>
          <w:szCs w:val="19"/>
          <w:b w:val="1"/>
          <w:bCs w:val="1"/>
          <w:color w:val="auto"/>
        </w:rPr>
      </w:pPr>
      <w:r>
        <w:rPr>
          <w:rFonts w:ascii="Arial" w:cs="Arial" w:eastAsia="Arial" w:hAnsi="Arial"/>
          <w:sz w:val="19"/>
          <w:szCs w:val="19"/>
          <w:b w:val="1"/>
          <w:bCs w:val="1"/>
          <w:color w:val="auto"/>
        </w:rPr>
        <w:t>CUSTOMER SUPPLIED MATERIALS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0" w:type="dxa"/>
            <w:vAlign w:val="bottom"/>
          </w:tcPr>
          <w:p>
            <w:pPr>
              <w:spacing w:after="0"/>
              <w:rPr>
                <w:sz w:val="20"/>
                <w:szCs w:val="20"/>
                <w:color w:val="auto"/>
              </w:rPr>
            </w:pPr>
            <w:r>
              <w:rPr>
                <w:rFonts w:ascii="Arial" w:cs="Arial" w:eastAsia="Arial" w:hAnsi="Arial"/>
                <w:sz w:val="19"/>
                <w:szCs w:val="19"/>
                <w:b w:val="1"/>
                <w:bCs w:val="1"/>
                <w:color w:val="auto"/>
              </w:rPr>
              <w:t>4.1</w:t>
            </w:r>
          </w:p>
        </w:tc>
        <w:tc>
          <w:tcPr>
            <w:tcW w:w="10720" w:type="dxa"/>
            <w:vAlign w:val="bottom"/>
            <w:gridSpan w:val="3"/>
          </w:tcPr>
          <w:p>
            <w:pPr>
              <w:ind w:left="320"/>
              <w:spacing w:after="0"/>
              <w:rPr>
                <w:sz w:val="20"/>
                <w:szCs w:val="20"/>
                <w:color w:val="auto"/>
              </w:rPr>
            </w:pPr>
            <w:r>
              <w:rPr>
                <w:rFonts w:ascii="Arial" w:cs="Arial" w:eastAsia="Arial" w:hAnsi="Arial"/>
                <w:sz w:val="19"/>
                <w:szCs w:val="19"/>
                <w:b w:val="1"/>
                <w:bCs w:val="1"/>
                <w:color w:val="auto"/>
                <w:w w:val="90"/>
              </w:rPr>
              <w:t xml:space="preserve">Supply of Customer Provided Bulk Products. </w:t>
            </w:r>
            <w:r>
              <w:rPr>
                <w:rFonts w:ascii="Arial" w:cs="Arial" w:eastAsia="Arial" w:hAnsi="Arial"/>
                <w:sz w:val="19"/>
                <w:szCs w:val="19"/>
                <w:color w:val="auto"/>
                <w:w w:val="90"/>
              </w:rPr>
              <w:t>Customer shall supply (or have supplied by a designated third party) to Supplier, free of</w:t>
            </w:r>
          </w:p>
        </w:tc>
      </w:tr>
      <w:tr>
        <w:trPr>
          <w:trHeight w:val="218"/>
        </w:trPr>
        <w:tc>
          <w:tcPr>
            <w:tcW w:w="560" w:type="dxa"/>
            <w:vAlign w:val="bottom"/>
          </w:tcPr>
          <w:p>
            <w:pPr>
              <w:spacing w:after="0"/>
              <w:rPr>
                <w:sz w:val="18"/>
                <w:szCs w:val="18"/>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w w:val="89"/>
              </w:rPr>
              <w:t>any charge, Customer Supplied Materials in such quantities as needed for the performance of the Packaging Services by Supplier, on the</w:t>
            </w:r>
          </w:p>
        </w:tc>
      </w:tr>
      <w:tr>
        <w:trPr>
          <w:trHeight w:val="218"/>
        </w:trPr>
        <w:tc>
          <w:tcPr>
            <w:tcW w:w="560" w:type="dxa"/>
            <w:vAlign w:val="bottom"/>
          </w:tcPr>
          <w:p>
            <w:pPr>
              <w:spacing w:after="0"/>
              <w:rPr>
                <w:sz w:val="18"/>
                <w:szCs w:val="18"/>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rPr>
              <w:t>basis of orders to be placed by Supplier from time to time. Customer Supplied Materials shall be delivered to Supplier [***]</w:t>
            </w:r>
          </w:p>
        </w:tc>
      </w:tr>
      <w:tr>
        <w:trPr>
          <w:trHeight w:val="240"/>
        </w:trPr>
        <w:tc>
          <w:tcPr>
            <w:tcW w:w="560" w:type="dxa"/>
            <w:vAlign w:val="bottom"/>
          </w:tcPr>
          <w:p>
            <w:pPr>
              <w:spacing w:after="0"/>
              <w:rPr>
                <w:sz w:val="20"/>
                <w:szCs w:val="20"/>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rPr>
              <w:t>(INCOTERMS® 2020).</w:t>
            </w:r>
          </w:p>
        </w:tc>
      </w:tr>
      <w:tr>
        <w:trPr>
          <w:trHeight w:val="300"/>
        </w:trPr>
        <w:tc>
          <w:tcPr>
            <w:tcW w:w="560" w:type="dxa"/>
            <w:vAlign w:val="bottom"/>
          </w:tcPr>
          <w:p>
            <w:pPr>
              <w:spacing w:after="0"/>
              <w:rPr>
                <w:sz w:val="20"/>
                <w:szCs w:val="20"/>
                <w:color w:val="auto"/>
              </w:rPr>
            </w:pPr>
            <w:r>
              <w:rPr>
                <w:rFonts w:ascii="Arial" w:cs="Arial" w:eastAsia="Arial" w:hAnsi="Arial"/>
                <w:sz w:val="19"/>
                <w:szCs w:val="19"/>
                <w:b w:val="1"/>
                <w:bCs w:val="1"/>
                <w:color w:val="auto"/>
              </w:rPr>
              <w:t>4.2</w:t>
            </w:r>
          </w:p>
        </w:tc>
        <w:tc>
          <w:tcPr>
            <w:tcW w:w="10720" w:type="dxa"/>
            <w:vAlign w:val="bottom"/>
            <w:gridSpan w:val="3"/>
          </w:tcPr>
          <w:p>
            <w:pPr>
              <w:ind w:left="320"/>
              <w:spacing w:after="0"/>
              <w:rPr>
                <w:sz w:val="20"/>
                <w:szCs w:val="20"/>
                <w:color w:val="auto"/>
              </w:rPr>
            </w:pPr>
            <w:r>
              <w:rPr>
                <w:rFonts w:ascii="Arial" w:cs="Arial" w:eastAsia="Arial" w:hAnsi="Arial"/>
                <w:sz w:val="19"/>
                <w:szCs w:val="19"/>
                <w:b w:val="1"/>
                <w:bCs w:val="1"/>
                <w:color w:val="auto"/>
                <w:w w:val="99"/>
              </w:rPr>
              <w:t xml:space="preserve">Specifications. </w:t>
            </w:r>
            <w:r>
              <w:rPr>
                <w:rFonts w:ascii="Arial" w:cs="Arial" w:eastAsia="Arial" w:hAnsi="Arial"/>
                <w:sz w:val="19"/>
                <w:szCs w:val="19"/>
                <w:color w:val="auto"/>
                <w:w w:val="99"/>
              </w:rPr>
              <w:t>The Customer Provided Bulk Products and the Supplier Provided Bulk Products shall meet the relevant Bulk</w:t>
            </w:r>
          </w:p>
        </w:tc>
      </w:tr>
      <w:tr>
        <w:trPr>
          <w:trHeight w:val="218"/>
        </w:trPr>
        <w:tc>
          <w:tcPr>
            <w:tcW w:w="560" w:type="dxa"/>
            <w:vAlign w:val="bottom"/>
          </w:tcPr>
          <w:p>
            <w:pPr>
              <w:spacing w:after="0"/>
              <w:rPr>
                <w:sz w:val="18"/>
                <w:szCs w:val="18"/>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w w:val="93"/>
              </w:rPr>
              <w:t>Specifications identified in Annex 4. The Customer Provided Bulk Products shall have a bulk holding time of at least [***] from receipt</w:t>
            </w:r>
          </w:p>
        </w:tc>
      </w:tr>
      <w:tr>
        <w:trPr>
          <w:trHeight w:val="240"/>
        </w:trPr>
        <w:tc>
          <w:tcPr>
            <w:tcW w:w="560" w:type="dxa"/>
            <w:vAlign w:val="bottom"/>
          </w:tcPr>
          <w:p>
            <w:pPr>
              <w:spacing w:after="0"/>
              <w:rPr>
                <w:sz w:val="20"/>
                <w:szCs w:val="20"/>
                <w:color w:val="auto"/>
              </w:rPr>
            </w:pPr>
          </w:p>
        </w:tc>
        <w:tc>
          <w:tcPr>
            <w:tcW w:w="2040" w:type="dxa"/>
            <w:vAlign w:val="bottom"/>
          </w:tcPr>
          <w:p>
            <w:pPr>
              <w:ind w:left="320"/>
              <w:spacing w:after="0"/>
              <w:rPr>
                <w:sz w:val="20"/>
                <w:szCs w:val="20"/>
                <w:color w:val="auto"/>
              </w:rPr>
            </w:pPr>
            <w:r>
              <w:rPr>
                <w:rFonts w:ascii="Arial" w:cs="Arial" w:eastAsia="Arial" w:hAnsi="Arial"/>
                <w:sz w:val="19"/>
                <w:szCs w:val="19"/>
                <w:color w:val="auto"/>
                <w:w w:val="97"/>
              </w:rPr>
              <w:t>at Supplier’s Facility.</w:t>
            </w:r>
          </w:p>
        </w:tc>
        <w:tc>
          <w:tcPr>
            <w:tcW w:w="8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00"/>
        </w:trPr>
        <w:tc>
          <w:tcPr>
            <w:tcW w:w="560" w:type="dxa"/>
            <w:vAlign w:val="bottom"/>
          </w:tcPr>
          <w:p>
            <w:pPr>
              <w:spacing w:after="0"/>
              <w:rPr>
                <w:sz w:val="20"/>
                <w:szCs w:val="20"/>
                <w:color w:val="auto"/>
              </w:rPr>
            </w:pPr>
            <w:r>
              <w:rPr>
                <w:rFonts w:ascii="Arial" w:cs="Arial" w:eastAsia="Arial" w:hAnsi="Arial"/>
                <w:sz w:val="19"/>
                <w:szCs w:val="19"/>
                <w:b w:val="1"/>
                <w:bCs w:val="1"/>
                <w:color w:val="auto"/>
              </w:rPr>
              <w:t>4.3</w:t>
            </w:r>
          </w:p>
        </w:tc>
        <w:tc>
          <w:tcPr>
            <w:tcW w:w="10720" w:type="dxa"/>
            <w:vAlign w:val="bottom"/>
            <w:gridSpan w:val="3"/>
          </w:tcPr>
          <w:p>
            <w:pPr>
              <w:ind w:left="320"/>
              <w:spacing w:after="0"/>
              <w:rPr>
                <w:sz w:val="20"/>
                <w:szCs w:val="20"/>
                <w:color w:val="auto"/>
              </w:rPr>
            </w:pPr>
            <w:r>
              <w:rPr>
                <w:rFonts w:ascii="Arial" w:cs="Arial" w:eastAsia="Arial" w:hAnsi="Arial"/>
                <w:sz w:val="19"/>
                <w:szCs w:val="19"/>
                <w:b w:val="1"/>
                <w:bCs w:val="1"/>
                <w:color w:val="auto"/>
              </w:rPr>
              <w:t xml:space="preserve">Ownership of Customer Provided Bulk Products. </w:t>
            </w:r>
            <w:r>
              <w:rPr>
                <w:rFonts w:ascii="Arial" w:cs="Arial" w:eastAsia="Arial" w:hAnsi="Arial"/>
                <w:sz w:val="19"/>
                <w:szCs w:val="19"/>
                <w:color w:val="auto"/>
              </w:rPr>
              <w:t>The Customer Provided Bulk Products shall be held by Supplier or the</w:t>
            </w:r>
          </w:p>
        </w:tc>
      </w:tr>
      <w:tr>
        <w:trPr>
          <w:trHeight w:val="218"/>
        </w:trPr>
        <w:tc>
          <w:tcPr>
            <w:tcW w:w="560" w:type="dxa"/>
            <w:vAlign w:val="bottom"/>
          </w:tcPr>
          <w:p>
            <w:pPr>
              <w:spacing w:after="0"/>
              <w:rPr>
                <w:sz w:val="18"/>
                <w:szCs w:val="18"/>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w w:val="92"/>
              </w:rPr>
              <w:t>Subcontractors on behalf of Customer in accordance with the terms of this Agreement. Customer Supplied Materials shall at all times</w:t>
            </w:r>
          </w:p>
        </w:tc>
      </w:tr>
      <w:tr>
        <w:trPr>
          <w:trHeight w:val="240"/>
        </w:trPr>
        <w:tc>
          <w:tcPr>
            <w:tcW w:w="560" w:type="dxa"/>
            <w:vAlign w:val="bottom"/>
          </w:tcPr>
          <w:p>
            <w:pPr>
              <w:spacing w:after="0"/>
              <w:rPr>
                <w:sz w:val="20"/>
                <w:szCs w:val="20"/>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rPr>
              <w:t>remain the property of Customer or of the relevant third party.</w:t>
            </w:r>
          </w:p>
        </w:tc>
      </w:tr>
      <w:tr>
        <w:trPr>
          <w:trHeight w:val="300"/>
        </w:trPr>
        <w:tc>
          <w:tcPr>
            <w:tcW w:w="560" w:type="dxa"/>
            <w:vAlign w:val="bottom"/>
          </w:tcPr>
          <w:p>
            <w:pPr>
              <w:spacing w:after="0"/>
              <w:rPr>
                <w:sz w:val="20"/>
                <w:szCs w:val="20"/>
                <w:color w:val="auto"/>
              </w:rPr>
            </w:pPr>
            <w:r>
              <w:rPr>
                <w:rFonts w:ascii="Arial" w:cs="Arial" w:eastAsia="Arial" w:hAnsi="Arial"/>
                <w:sz w:val="19"/>
                <w:szCs w:val="19"/>
                <w:b w:val="1"/>
                <w:bCs w:val="1"/>
                <w:color w:val="auto"/>
              </w:rPr>
              <w:t>4.4</w:t>
            </w:r>
          </w:p>
        </w:tc>
        <w:tc>
          <w:tcPr>
            <w:tcW w:w="10720" w:type="dxa"/>
            <w:vAlign w:val="bottom"/>
            <w:gridSpan w:val="3"/>
          </w:tcPr>
          <w:p>
            <w:pPr>
              <w:ind w:left="320"/>
              <w:spacing w:after="0"/>
              <w:rPr>
                <w:sz w:val="20"/>
                <w:szCs w:val="20"/>
                <w:color w:val="auto"/>
              </w:rPr>
            </w:pPr>
            <w:r>
              <w:rPr>
                <w:rFonts w:ascii="Arial" w:cs="Arial" w:eastAsia="Arial" w:hAnsi="Arial"/>
                <w:sz w:val="19"/>
                <w:szCs w:val="19"/>
                <w:b w:val="1"/>
                <w:bCs w:val="1"/>
                <w:color w:val="auto"/>
                <w:w w:val="97"/>
              </w:rPr>
              <w:t xml:space="preserve">No Liability of Supplier for Customer Provided Bulk Products. </w:t>
            </w:r>
            <w:r>
              <w:rPr>
                <w:rFonts w:ascii="Arial" w:cs="Arial" w:eastAsia="Arial" w:hAnsi="Arial"/>
                <w:sz w:val="19"/>
                <w:szCs w:val="19"/>
                <w:color w:val="auto"/>
                <w:w w:val="97"/>
              </w:rPr>
              <w:t>Supplier shall not be liable for any non-compliance with this</w:t>
            </w:r>
          </w:p>
        </w:tc>
      </w:tr>
      <w:tr>
        <w:trPr>
          <w:trHeight w:val="218"/>
        </w:trPr>
        <w:tc>
          <w:tcPr>
            <w:tcW w:w="560" w:type="dxa"/>
            <w:vAlign w:val="bottom"/>
          </w:tcPr>
          <w:p>
            <w:pPr>
              <w:spacing w:after="0"/>
              <w:rPr>
                <w:sz w:val="18"/>
                <w:szCs w:val="18"/>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w w:val="92"/>
              </w:rPr>
              <w:t>Agreement to the extent such non-compliance is caused by Customer’s failure to deliver Customer Provided Bulk Products to Supplier</w:t>
            </w:r>
          </w:p>
        </w:tc>
      </w:tr>
      <w:tr>
        <w:trPr>
          <w:trHeight w:val="240"/>
        </w:trPr>
        <w:tc>
          <w:tcPr>
            <w:tcW w:w="560" w:type="dxa"/>
            <w:vAlign w:val="bottom"/>
          </w:tcPr>
          <w:p>
            <w:pPr>
              <w:spacing w:after="0"/>
              <w:rPr>
                <w:sz w:val="20"/>
                <w:szCs w:val="20"/>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rPr>
              <w:t>on time, in the required quantities or as otherwise agreed between the Parties.</w:t>
            </w:r>
          </w:p>
        </w:tc>
      </w:tr>
      <w:tr>
        <w:trPr>
          <w:trHeight w:val="300"/>
        </w:trPr>
        <w:tc>
          <w:tcPr>
            <w:tcW w:w="560" w:type="dxa"/>
            <w:vAlign w:val="bottom"/>
          </w:tcPr>
          <w:p>
            <w:pPr>
              <w:spacing w:after="0"/>
              <w:rPr>
                <w:sz w:val="20"/>
                <w:szCs w:val="20"/>
                <w:color w:val="auto"/>
              </w:rPr>
            </w:pPr>
            <w:r>
              <w:rPr>
                <w:rFonts w:ascii="Arial" w:cs="Arial" w:eastAsia="Arial" w:hAnsi="Arial"/>
                <w:sz w:val="19"/>
                <w:szCs w:val="19"/>
                <w:b w:val="1"/>
                <w:bCs w:val="1"/>
                <w:color w:val="auto"/>
              </w:rPr>
              <w:t>4.5</w:t>
            </w:r>
          </w:p>
        </w:tc>
        <w:tc>
          <w:tcPr>
            <w:tcW w:w="10720" w:type="dxa"/>
            <w:vAlign w:val="bottom"/>
            <w:gridSpan w:val="3"/>
          </w:tcPr>
          <w:p>
            <w:pPr>
              <w:ind w:left="320"/>
              <w:spacing w:after="0"/>
              <w:rPr>
                <w:sz w:val="20"/>
                <w:szCs w:val="20"/>
                <w:color w:val="auto"/>
              </w:rPr>
            </w:pPr>
            <w:r>
              <w:rPr>
                <w:rFonts w:ascii="Arial" w:cs="Arial" w:eastAsia="Arial" w:hAnsi="Arial"/>
                <w:sz w:val="19"/>
                <w:szCs w:val="19"/>
                <w:b w:val="1"/>
                <w:bCs w:val="1"/>
                <w:color w:val="auto"/>
                <w:w w:val="91"/>
              </w:rPr>
              <w:t xml:space="preserve">Handling of Customer Provided Bulk Products. </w:t>
            </w:r>
            <w:r>
              <w:rPr>
                <w:rFonts w:ascii="Arial" w:cs="Arial" w:eastAsia="Arial" w:hAnsi="Arial"/>
                <w:sz w:val="19"/>
                <w:szCs w:val="19"/>
                <w:color w:val="auto"/>
                <w:w w:val="91"/>
              </w:rPr>
              <w:t>As from their Delivery, Supplier shall: (i) store and handle, at its own cost, Customer</w:t>
            </w:r>
          </w:p>
        </w:tc>
      </w:tr>
      <w:tr>
        <w:trPr>
          <w:trHeight w:val="218"/>
        </w:trPr>
        <w:tc>
          <w:tcPr>
            <w:tcW w:w="560" w:type="dxa"/>
            <w:vAlign w:val="bottom"/>
          </w:tcPr>
          <w:p>
            <w:pPr>
              <w:spacing w:after="0"/>
              <w:rPr>
                <w:sz w:val="18"/>
                <w:szCs w:val="18"/>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w w:val="98"/>
              </w:rPr>
              <w:t>Provided Bulk Products in a safe and orderly manner; (ii) identify all such Customer Supplied Materials as goods belonging to</w:t>
            </w:r>
          </w:p>
        </w:tc>
      </w:tr>
      <w:tr>
        <w:trPr>
          <w:trHeight w:val="218"/>
        </w:trPr>
        <w:tc>
          <w:tcPr>
            <w:tcW w:w="560" w:type="dxa"/>
            <w:vAlign w:val="bottom"/>
          </w:tcPr>
          <w:p>
            <w:pPr>
              <w:spacing w:after="0"/>
              <w:rPr>
                <w:sz w:val="18"/>
                <w:szCs w:val="18"/>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w w:val="92"/>
              </w:rPr>
              <w:t>Customer; (iii) not mix, alter or analyze Customer Provided Bulk Products except for the purpose of providing the Packaging Services;</w:t>
            </w:r>
          </w:p>
        </w:tc>
      </w:tr>
      <w:tr>
        <w:trPr>
          <w:trHeight w:val="240"/>
        </w:trPr>
        <w:tc>
          <w:tcPr>
            <w:tcW w:w="560" w:type="dxa"/>
            <w:vAlign w:val="bottom"/>
          </w:tcPr>
          <w:p>
            <w:pPr>
              <w:spacing w:after="0"/>
              <w:rPr>
                <w:sz w:val="20"/>
                <w:szCs w:val="20"/>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rPr>
              <w:t>and (iv) always, except as specifically directed by Customer, use first-expired-first-out (FEFO) methods of usage.</w:t>
            </w:r>
          </w:p>
        </w:tc>
      </w:tr>
      <w:tr>
        <w:trPr>
          <w:trHeight w:val="313"/>
        </w:trPr>
        <w:tc>
          <w:tcPr>
            <w:tcW w:w="560" w:type="dxa"/>
            <w:vAlign w:val="bottom"/>
          </w:tcPr>
          <w:p>
            <w:pPr>
              <w:spacing w:after="0"/>
              <w:rPr>
                <w:sz w:val="20"/>
                <w:szCs w:val="20"/>
                <w:color w:val="auto"/>
              </w:rPr>
            </w:pPr>
            <w:r>
              <w:rPr>
                <w:rFonts w:ascii="Arial" w:cs="Arial" w:eastAsia="Arial" w:hAnsi="Arial"/>
                <w:sz w:val="19"/>
                <w:szCs w:val="19"/>
                <w:b w:val="1"/>
                <w:bCs w:val="1"/>
                <w:color w:val="auto"/>
              </w:rPr>
              <w:t>4.6</w:t>
            </w:r>
          </w:p>
        </w:tc>
        <w:tc>
          <w:tcPr>
            <w:tcW w:w="10720" w:type="dxa"/>
            <w:vAlign w:val="bottom"/>
            <w:gridSpan w:val="3"/>
          </w:tcPr>
          <w:p>
            <w:pPr>
              <w:ind w:left="320"/>
              <w:spacing w:after="0"/>
              <w:rPr>
                <w:sz w:val="20"/>
                <w:szCs w:val="20"/>
                <w:color w:val="auto"/>
              </w:rPr>
            </w:pPr>
            <w:r>
              <w:rPr>
                <w:rFonts w:ascii="Arial" w:cs="Arial" w:eastAsia="Arial" w:hAnsi="Arial"/>
                <w:sz w:val="19"/>
                <w:szCs w:val="19"/>
                <w:b w:val="1"/>
                <w:bCs w:val="1"/>
                <w:color w:val="auto"/>
                <w:w w:val="92"/>
              </w:rPr>
              <w:t xml:space="preserve">Yield and Inventory Reconciliation. </w:t>
            </w:r>
            <w:r>
              <w:rPr>
                <w:rFonts w:ascii="Arial" w:cs="Arial" w:eastAsia="Arial" w:hAnsi="Arial"/>
                <w:sz w:val="19"/>
                <w:szCs w:val="19"/>
                <w:color w:val="auto"/>
                <w:w w:val="92"/>
              </w:rPr>
              <w:t>Once the</w:t>
            </w:r>
            <w:r>
              <w:rPr>
                <w:rFonts w:ascii="Arial" w:cs="Arial" w:eastAsia="Arial" w:hAnsi="Arial"/>
                <w:sz w:val="19"/>
                <w:szCs w:val="19"/>
                <w:b w:val="1"/>
                <w:bCs w:val="1"/>
                <w:color w:val="auto"/>
                <w:w w:val="92"/>
              </w:rPr>
              <w:t xml:space="preserve"> </w:t>
            </w:r>
            <w:r>
              <w:rPr>
                <w:rFonts w:ascii="Arial" w:cs="Arial" w:eastAsia="Arial" w:hAnsi="Arial"/>
                <w:sz w:val="19"/>
                <w:szCs w:val="19"/>
                <w:color w:val="auto"/>
                <w:w w:val="92"/>
              </w:rPr>
              <w:t>Process Performance Qualification</w:t>
            </w:r>
            <w:r>
              <w:rPr>
                <w:rFonts w:ascii="Arial" w:cs="Arial" w:eastAsia="Arial" w:hAnsi="Arial"/>
                <w:sz w:val="19"/>
                <w:szCs w:val="19"/>
                <w:b w:val="1"/>
                <w:bCs w:val="1"/>
                <w:color w:val="auto"/>
                <w:w w:val="92"/>
              </w:rPr>
              <w:t xml:space="preserve"> </w:t>
            </w:r>
            <w:r>
              <w:rPr>
                <w:rFonts w:ascii="Arial" w:cs="Arial" w:eastAsia="Arial" w:hAnsi="Arial"/>
                <w:sz w:val="19"/>
                <w:szCs w:val="19"/>
                <w:color w:val="auto"/>
                <w:w w:val="92"/>
              </w:rPr>
              <w:t>is completed, the Parties will discuss in good faith</w:t>
            </w:r>
          </w:p>
        </w:tc>
      </w:tr>
      <w:tr>
        <w:trPr>
          <w:trHeight w:val="224"/>
        </w:trPr>
        <w:tc>
          <w:tcPr>
            <w:tcW w:w="560" w:type="dxa"/>
            <w:vAlign w:val="bottom"/>
          </w:tcPr>
          <w:p>
            <w:pPr>
              <w:spacing w:after="0"/>
              <w:rPr>
                <w:sz w:val="19"/>
                <w:szCs w:val="19"/>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w w:val="91"/>
              </w:rPr>
              <w:t>and agree on a minimum yield to be achieved by Supplier using the Customer Provided Bulk Product supplied by Customer to Supplier.</w:t>
            </w:r>
          </w:p>
        </w:tc>
      </w:tr>
      <w:tr>
        <w:trPr>
          <w:trHeight w:val="231"/>
        </w:trPr>
        <w:tc>
          <w:tcPr>
            <w:tcW w:w="560" w:type="dxa"/>
            <w:vAlign w:val="bottom"/>
          </w:tcPr>
          <w:p>
            <w:pPr>
              <w:spacing w:after="0"/>
              <w:rPr>
                <w:sz w:val="20"/>
                <w:szCs w:val="20"/>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rPr>
              <w:t>The Parties presently expect that such minimum yield shall be at least [***]. If the data following completion of the Process</w:t>
            </w:r>
          </w:p>
        </w:tc>
      </w:tr>
      <w:tr>
        <w:trPr>
          <w:trHeight w:val="226"/>
        </w:trPr>
        <w:tc>
          <w:tcPr>
            <w:tcW w:w="560" w:type="dxa"/>
            <w:vAlign w:val="bottom"/>
          </w:tcPr>
          <w:p>
            <w:pPr>
              <w:spacing w:after="0"/>
              <w:rPr>
                <w:sz w:val="19"/>
                <w:szCs w:val="19"/>
                <w:color w:val="auto"/>
              </w:rPr>
            </w:pPr>
          </w:p>
        </w:tc>
        <w:tc>
          <w:tcPr>
            <w:tcW w:w="10720" w:type="dxa"/>
            <w:vAlign w:val="bottom"/>
            <w:gridSpan w:val="3"/>
          </w:tcPr>
          <w:p>
            <w:pPr>
              <w:ind w:left="320"/>
              <w:spacing w:after="0" w:line="226" w:lineRule="exact"/>
              <w:rPr>
                <w:sz w:val="20"/>
                <w:szCs w:val="20"/>
                <w:color w:val="auto"/>
              </w:rPr>
            </w:pPr>
            <w:r>
              <w:rPr>
                <w:rFonts w:ascii="Arial" w:cs="Arial" w:eastAsia="Arial" w:hAnsi="Arial"/>
                <w:sz w:val="20"/>
                <w:szCs w:val="20"/>
                <w:color w:val="auto"/>
                <w:w w:val="96"/>
              </w:rPr>
              <w:t xml:space="preserve">Performance Qualification supports a minimum yield that is lower than </w:t>
            </w:r>
            <w:r>
              <w:rPr>
                <w:rFonts w:ascii="Arial" w:cs="Arial" w:eastAsia="Arial" w:hAnsi="Arial"/>
                <w:sz w:val="18"/>
                <w:szCs w:val="18"/>
                <w:color w:val="auto"/>
                <w:w w:val="96"/>
              </w:rPr>
              <w:t>[***]</w:t>
            </w:r>
            <w:r>
              <w:rPr>
                <w:rFonts w:ascii="Arial" w:cs="Arial" w:eastAsia="Arial" w:hAnsi="Arial"/>
                <w:sz w:val="20"/>
                <w:szCs w:val="20"/>
                <w:color w:val="auto"/>
                <w:w w:val="96"/>
              </w:rPr>
              <w:t xml:space="preserve">, the Parties agree </w:t>
            </w:r>
            <w:r>
              <w:rPr>
                <w:rFonts w:ascii="Arial" w:cs="Arial" w:eastAsia="Arial" w:hAnsi="Arial"/>
                <w:sz w:val="18"/>
                <w:szCs w:val="18"/>
                <w:color w:val="auto"/>
                <w:w w:val="96"/>
              </w:rPr>
              <w:t>to work together in good faith to</w:t>
            </w:r>
          </w:p>
        </w:tc>
      </w:tr>
      <w:tr>
        <w:trPr>
          <w:trHeight w:val="218"/>
        </w:trPr>
        <w:tc>
          <w:tcPr>
            <w:tcW w:w="560" w:type="dxa"/>
            <w:vAlign w:val="bottom"/>
          </w:tcPr>
          <w:p>
            <w:pPr>
              <w:spacing w:after="0"/>
              <w:rPr>
                <w:sz w:val="18"/>
                <w:szCs w:val="18"/>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w w:val="93"/>
              </w:rPr>
              <w:t>determine the root cause of the problem. Yield is defined as the relation between the Customer Supplied Bulk Product content of the</w:t>
            </w:r>
          </w:p>
        </w:tc>
      </w:tr>
      <w:tr>
        <w:trPr>
          <w:trHeight w:val="218"/>
        </w:trPr>
        <w:tc>
          <w:tcPr>
            <w:tcW w:w="560" w:type="dxa"/>
            <w:vAlign w:val="bottom"/>
          </w:tcPr>
          <w:p>
            <w:pPr>
              <w:spacing w:after="0"/>
              <w:rPr>
                <w:sz w:val="18"/>
                <w:szCs w:val="18"/>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w w:val="91"/>
              </w:rPr>
              <w:t>Final Product packaged (actual number of tablets included in Final Product), and the actual quantity of Customer Provided Bulk Product</w:t>
            </w:r>
          </w:p>
        </w:tc>
      </w:tr>
      <w:tr>
        <w:trPr>
          <w:trHeight w:val="218"/>
        </w:trPr>
        <w:tc>
          <w:tcPr>
            <w:tcW w:w="560" w:type="dxa"/>
            <w:vAlign w:val="bottom"/>
          </w:tcPr>
          <w:p>
            <w:pPr>
              <w:spacing w:after="0"/>
              <w:rPr>
                <w:sz w:val="18"/>
                <w:szCs w:val="18"/>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w w:val="95"/>
              </w:rPr>
              <w:t>used to manufacture such Final Product.  [***].  Supplier will prepare for Customer on an annual basis a written explanation, by lot</w:t>
            </w:r>
          </w:p>
        </w:tc>
      </w:tr>
      <w:tr>
        <w:trPr>
          <w:trHeight w:val="218"/>
        </w:trPr>
        <w:tc>
          <w:tcPr>
            <w:tcW w:w="560" w:type="dxa"/>
            <w:vAlign w:val="bottom"/>
          </w:tcPr>
          <w:p>
            <w:pPr>
              <w:spacing w:after="0"/>
              <w:rPr>
                <w:sz w:val="18"/>
                <w:szCs w:val="18"/>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w w:val="96"/>
              </w:rPr>
              <w:t>number, of all variances from the minimum yield.  Supplier shall communicate to Customer on a quarterly basis the quantities of</w:t>
            </w:r>
          </w:p>
        </w:tc>
      </w:tr>
      <w:tr>
        <w:trPr>
          <w:trHeight w:val="240"/>
        </w:trPr>
        <w:tc>
          <w:tcPr>
            <w:tcW w:w="560" w:type="dxa"/>
            <w:vAlign w:val="bottom"/>
          </w:tcPr>
          <w:p>
            <w:pPr>
              <w:spacing w:after="0"/>
              <w:rPr>
                <w:sz w:val="20"/>
                <w:szCs w:val="20"/>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rPr>
              <w:t>Customer Supplied Bulk Products in inventory.</w:t>
            </w:r>
          </w:p>
        </w:tc>
      </w:tr>
      <w:tr>
        <w:trPr>
          <w:trHeight w:val="300"/>
        </w:trPr>
        <w:tc>
          <w:tcPr>
            <w:tcW w:w="560" w:type="dxa"/>
            <w:vAlign w:val="bottom"/>
          </w:tcPr>
          <w:p>
            <w:pPr>
              <w:spacing w:after="0"/>
              <w:rPr>
                <w:sz w:val="20"/>
                <w:szCs w:val="20"/>
                <w:color w:val="auto"/>
              </w:rPr>
            </w:pPr>
            <w:r>
              <w:rPr>
                <w:rFonts w:ascii="Arial" w:cs="Arial" w:eastAsia="Arial" w:hAnsi="Arial"/>
                <w:sz w:val="19"/>
                <w:szCs w:val="19"/>
                <w:b w:val="1"/>
                <w:bCs w:val="1"/>
                <w:color w:val="auto"/>
              </w:rPr>
              <w:t>4.7</w:t>
            </w:r>
          </w:p>
        </w:tc>
        <w:tc>
          <w:tcPr>
            <w:tcW w:w="10720" w:type="dxa"/>
            <w:vAlign w:val="bottom"/>
            <w:gridSpan w:val="3"/>
          </w:tcPr>
          <w:p>
            <w:pPr>
              <w:ind w:left="320"/>
              <w:spacing w:after="0"/>
              <w:rPr>
                <w:sz w:val="20"/>
                <w:szCs w:val="20"/>
                <w:color w:val="auto"/>
              </w:rPr>
            </w:pPr>
            <w:r>
              <w:rPr>
                <w:rFonts w:ascii="Arial" w:cs="Arial" w:eastAsia="Arial" w:hAnsi="Arial"/>
                <w:sz w:val="19"/>
                <w:szCs w:val="19"/>
                <w:b w:val="1"/>
                <w:bCs w:val="1"/>
                <w:color w:val="auto"/>
                <w:w w:val="89"/>
              </w:rPr>
              <w:t xml:space="preserve">Defective Customer Provided Bulk Products. </w:t>
            </w:r>
            <w:r>
              <w:rPr>
                <w:rFonts w:ascii="Arial" w:cs="Arial" w:eastAsia="Arial" w:hAnsi="Arial"/>
                <w:sz w:val="19"/>
                <w:szCs w:val="19"/>
                <w:color w:val="auto"/>
                <w:w w:val="89"/>
              </w:rPr>
              <w:t>In providing the Packaging Services, Supplier shall be entitled to use Customer Provided</w:t>
            </w:r>
          </w:p>
        </w:tc>
      </w:tr>
      <w:tr>
        <w:trPr>
          <w:trHeight w:val="218"/>
        </w:trPr>
        <w:tc>
          <w:tcPr>
            <w:tcW w:w="560" w:type="dxa"/>
            <w:vAlign w:val="bottom"/>
          </w:tcPr>
          <w:p>
            <w:pPr>
              <w:spacing w:after="0"/>
              <w:rPr>
                <w:sz w:val="18"/>
                <w:szCs w:val="18"/>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w w:val="91"/>
              </w:rPr>
              <w:t>Bulk Products as provided by Customer. Should Supplier during its performance of the Packaging Services identify any defects or non-</w:t>
            </w:r>
          </w:p>
        </w:tc>
      </w:tr>
      <w:tr>
        <w:trPr>
          <w:trHeight w:val="218"/>
        </w:trPr>
        <w:tc>
          <w:tcPr>
            <w:tcW w:w="560" w:type="dxa"/>
            <w:vAlign w:val="bottom"/>
          </w:tcPr>
          <w:p>
            <w:pPr>
              <w:spacing w:after="0"/>
              <w:rPr>
                <w:sz w:val="18"/>
                <w:szCs w:val="18"/>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w w:val="91"/>
              </w:rPr>
              <w:t>conformity with the Bulk Specifications or any other applicable standards or specifications, Supplier may refuse to use the materials for</w:t>
            </w:r>
          </w:p>
        </w:tc>
      </w:tr>
      <w:tr>
        <w:trPr>
          <w:trHeight w:val="240"/>
        </w:trPr>
        <w:tc>
          <w:tcPr>
            <w:tcW w:w="560" w:type="dxa"/>
            <w:vAlign w:val="bottom"/>
          </w:tcPr>
          <w:p>
            <w:pPr>
              <w:spacing w:after="0"/>
              <w:rPr>
                <w:sz w:val="20"/>
                <w:szCs w:val="20"/>
                <w:color w:val="auto"/>
              </w:rPr>
            </w:pPr>
          </w:p>
        </w:tc>
        <w:tc>
          <w:tcPr>
            <w:tcW w:w="10720" w:type="dxa"/>
            <w:vAlign w:val="bottom"/>
            <w:gridSpan w:val="3"/>
          </w:tcPr>
          <w:p>
            <w:pPr>
              <w:ind w:left="320"/>
              <w:spacing w:after="0"/>
              <w:rPr>
                <w:sz w:val="20"/>
                <w:szCs w:val="20"/>
                <w:color w:val="auto"/>
              </w:rPr>
            </w:pPr>
            <w:r>
              <w:rPr>
                <w:rFonts w:ascii="Arial" w:cs="Arial" w:eastAsia="Arial" w:hAnsi="Arial"/>
                <w:sz w:val="19"/>
                <w:szCs w:val="19"/>
                <w:color w:val="auto"/>
              </w:rPr>
              <w:t>providing the Packaging Services and will inform Customer in order to enable Customer to take any appropriate action at its</w:t>
            </w:r>
          </w:p>
        </w:tc>
      </w:tr>
      <w:tr>
        <w:trPr>
          <w:trHeight w:val="304"/>
        </w:trPr>
        <w:tc>
          <w:tcPr>
            <w:tcW w:w="2600" w:type="dxa"/>
            <w:vAlign w:val="bottom"/>
            <w:tcBorders>
              <w:bottom w:val="single" w:sz="8" w:color="auto"/>
            </w:tcBorders>
            <w:gridSpan w:val="2"/>
          </w:tcPr>
          <w:p>
            <w:pPr>
              <w:spacing w:after="0"/>
              <w:rPr>
                <w:sz w:val="24"/>
                <w:szCs w:val="24"/>
                <w:color w:val="auto"/>
              </w:rPr>
            </w:pPr>
          </w:p>
        </w:tc>
        <w:tc>
          <w:tcPr>
            <w:tcW w:w="8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600" w:type="dxa"/>
            <w:vAlign w:val="bottom"/>
            <w:gridSpan w:val="2"/>
          </w:tcPr>
          <w:p>
            <w:pPr>
              <w:spacing w:after="0"/>
              <w:rPr>
                <w:sz w:val="20"/>
                <w:szCs w:val="20"/>
                <w:color w:val="auto"/>
              </w:rPr>
            </w:pPr>
            <w:r>
              <w:rPr>
                <w:rFonts w:ascii="Arial" w:cs="Arial" w:eastAsia="Arial" w:hAnsi="Arial"/>
                <w:sz w:val="17"/>
                <w:szCs w:val="17"/>
                <w:color w:val="auto"/>
              </w:rPr>
              <w:t>Execution Version 2020/12/30</w:t>
            </w:r>
          </w:p>
        </w:tc>
        <w:tc>
          <w:tcPr>
            <w:tcW w:w="8680" w:type="dxa"/>
            <w:vAlign w:val="bottom"/>
            <w:gridSpan w:val="2"/>
          </w:tcPr>
          <w:p>
            <w:pPr>
              <w:ind w:left="100"/>
              <w:spacing w:after="0"/>
              <w:rPr>
                <w:sz w:val="20"/>
                <w:szCs w:val="20"/>
                <w:color w:val="auto"/>
              </w:rPr>
            </w:pPr>
            <w:r>
              <w:rPr>
                <w:rFonts w:ascii="Arial" w:cs="Arial" w:eastAsia="Arial" w:hAnsi="Arial"/>
                <w:sz w:val="17"/>
                <w:szCs w:val="17"/>
                <w:color w:val="auto"/>
              </w:rPr>
              <w:t>Page 6 of 27</w:t>
            </w:r>
          </w:p>
        </w:tc>
      </w:tr>
      <w:tr>
        <w:trPr>
          <w:trHeight w:val="110"/>
        </w:trPr>
        <w:tc>
          <w:tcPr>
            <w:tcW w:w="56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86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328" w:right="29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89"/>
              </w:rPr>
              <w:t>own costs. Customer shall hold Supplier harmless of any actual, documented losses (including due to production downtime) to the extent</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0"/>
              </w:rPr>
              <w:t>directly resulting from such defects or non-conformity, after Supplier has made reasonable good faith efforts to mitigate any such losses</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(including due to production downtime).</w:t>
            </w:r>
          </w:p>
        </w:tc>
      </w:tr>
      <w:tr>
        <w:trPr>
          <w:trHeight w:val="300"/>
        </w:trPr>
        <w:tc>
          <w:tcPr>
            <w:tcW w:w="560" w:type="dxa"/>
            <w:vAlign w:val="bottom"/>
          </w:tcPr>
          <w:p>
            <w:pPr>
              <w:spacing w:after="0"/>
              <w:rPr>
                <w:sz w:val="20"/>
                <w:szCs w:val="20"/>
                <w:color w:val="auto"/>
              </w:rPr>
            </w:pPr>
            <w:r>
              <w:rPr>
                <w:rFonts w:ascii="Arial" w:cs="Arial" w:eastAsia="Arial" w:hAnsi="Arial"/>
                <w:sz w:val="19"/>
                <w:szCs w:val="19"/>
                <w:b w:val="1"/>
                <w:bCs w:val="1"/>
                <w:color w:val="auto"/>
              </w:rPr>
              <w:t>4.8</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0"/>
              </w:rPr>
              <w:t xml:space="preserve">Dispute Resolution. </w:t>
            </w:r>
            <w:r>
              <w:rPr>
                <w:rFonts w:ascii="Arial" w:cs="Arial" w:eastAsia="Arial" w:hAnsi="Arial"/>
                <w:sz w:val="19"/>
                <w:szCs w:val="19"/>
                <w:color w:val="auto"/>
                <w:w w:val="90"/>
              </w:rPr>
              <w:t>Clause 8.8 shall apply</w:t>
            </w:r>
            <w:r>
              <w:rPr>
                <w:rFonts w:ascii="Arial" w:cs="Arial" w:eastAsia="Arial" w:hAnsi="Arial"/>
                <w:sz w:val="19"/>
                <w:szCs w:val="19"/>
                <w:b w:val="1"/>
                <w:bCs w:val="1"/>
                <w:color w:val="auto"/>
                <w:w w:val="90"/>
              </w:rPr>
              <w:t xml:space="preserve"> </w:t>
            </w:r>
            <w:r>
              <w:rPr>
                <w:rFonts w:ascii="Arial" w:cs="Arial" w:eastAsia="Arial" w:hAnsi="Arial"/>
                <w:sz w:val="19"/>
                <w:szCs w:val="19"/>
                <w:i w:val="1"/>
                <w:iCs w:val="1"/>
                <w:color w:val="auto"/>
                <w:w w:val="90"/>
              </w:rPr>
              <w:t>mutatis mutandis</w:t>
            </w:r>
            <w:r>
              <w:rPr>
                <w:rFonts w:ascii="Arial" w:cs="Arial" w:eastAsia="Arial" w:hAnsi="Arial"/>
                <w:sz w:val="19"/>
                <w:szCs w:val="19"/>
                <w:b w:val="1"/>
                <w:bCs w:val="1"/>
                <w:color w:val="auto"/>
                <w:w w:val="90"/>
              </w:rPr>
              <w:t xml:space="preserve"> </w:t>
            </w:r>
            <w:r>
              <w:rPr>
                <w:rFonts w:ascii="Arial" w:cs="Arial" w:eastAsia="Arial" w:hAnsi="Arial"/>
                <w:sz w:val="19"/>
                <w:szCs w:val="19"/>
                <w:color w:val="auto"/>
                <w:w w:val="90"/>
              </w:rPr>
              <w:t>if an unresolved dispute exists as to the determination of a defect or non-</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conformity of Customer Provided Bulk Products and/or the root cause of such defect or non-conformity.</w:t>
            </w:r>
          </w:p>
        </w:tc>
      </w:tr>
      <w:tr>
        <w:trPr>
          <w:trHeight w:val="527"/>
        </w:trPr>
        <w:tc>
          <w:tcPr>
            <w:tcW w:w="560" w:type="dxa"/>
            <w:vAlign w:val="bottom"/>
          </w:tcPr>
          <w:p>
            <w:pPr>
              <w:spacing w:after="0"/>
              <w:rPr>
                <w:sz w:val="20"/>
                <w:szCs w:val="20"/>
                <w:color w:val="auto"/>
              </w:rPr>
            </w:pPr>
            <w:r>
              <w:rPr>
                <w:rFonts w:ascii="Arial" w:cs="Arial" w:eastAsia="Arial" w:hAnsi="Arial"/>
                <w:sz w:val="19"/>
                <w:szCs w:val="19"/>
                <w:b w:val="1"/>
                <w:bCs w:val="1"/>
                <w:color w:val="auto"/>
              </w:rPr>
              <w:t>5.</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rPr>
              <w:t>FORECASTING, ORDERS AND DELIVERY</w:t>
            </w:r>
          </w:p>
        </w:tc>
      </w:tr>
      <w:tr>
        <w:trPr>
          <w:trHeight w:val="294"/>
        </w:trPr>
        <w:tc>
          <w:tcPr>
            <w:tcW w:w="560" w:type="dxa"/>
            <w:vAlign w:val="bottom"/>
          </w:tcPr>
          <w:p>
            <w:pPr>
              <w:spacing w:after="0"/>
              <w:rPr>
                <w:sz w:val="20"/>
                <w:szCs w:val="20"/>
                <w:color w:val="auto"/>
              </w:rPr>
            </w:pPr>
            <w:r>
              <w:rPr>
                <w:rFonts w:ascii="Arial" w:cs="Arial" w:eastAsia="Arial" w:hAnsi="Arial"/>
                <w:sz w:val="19"/>
                <w:szCs w:val="19"/>
                <w:b w:val="1"/>
                <w:bCs w:val="1"/>
                <w:color w:val="auto"/>
              </w:rPr>
              <w:t>5.1</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3"/>
              </w:rPr>
              <w:t xml:space="preserve">Rolling Monthly Forecasts. </w:t>
            </w:r>
            <w:r>
              <w:rPr>
                <w:rFonts w:ascii="Arial" w:cs="Arial" w:eastAsia="Arial" w:hAnsi="Arial"/>
                <w:sz w:val="19"/>
                <w:szCs w:val="19"/>
                <w:color w:val="auto"/>
                <w:w w:val="93"/>
              </w:rPr>
              <w:t>Within the first [***] of each calendar month during the Term of this Agreement, Customer shall provide</w:t>
            </w:r>
          </w:p>
        </w:tc>
      </w:tr>
      <w:tr>
        <w:trPr>
          <w:trHeight w:val="224"/>
        </w:trPr>
        <w:tc>
          <w:tcPr>
            <w:tcW w:w="5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8"/>
              </w:rPr>
              <w:t>Supplier with a [***] rolling forecast (the “</w:t>
            </w:r>
            <w:r>
              <w:rPr>
                <w:rFonts w:ascii="Arial" w:cs="Arial" w:eastAsia="Arial" w:hAnsi="Arial"/>
                <w:sz w:val="19"/>
                <w:szCs w:val="19"/>
                <w:b w:val="1"/>
                <w:bCs w:val="1"/>
                <w:color w:val="auto"/>
                <w:w w:val="98"/>
              </w:rPr>
              <w:t>Forecast</w:t>
            </w:r>
            <w:r>
              <w:rPr>
                <w:rFonts w:ascii="Arial" w:cs="Arial" w:eastAsia="Arial" w:hAnsi="Arial"/>
                <w:sz w:val="19"/>
                <w:szCs w:val="19"/>
                <w:color w:val="auto"/>
                <w:w w:val="98"/>
              </w:rPr>
              <w:t>”) of its requirements of the Finished Product. [***] calendar month shall not</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4"/>
              </w:rPr>
              <w:t>deviate by more than [***] from the amount stated for the same month in the immediately preceding Forecast. Any larger deviations</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shall be subject to consent from Supplier, which shall not be unreasonably withheld.</w:t>
            </w:r>
          </w:p>
        </w:tc>
      </w:tr>
      <w:tr>
        <w:trPr>
          <w:trHeight w:val="294"/>
        </w:trPr>
        <w:tc>
          <w:tcPr>
            <w:tcW w:w="560" w:type="dxa"/>
            <w:vAlign w:val="bottom"/>
          </w:tcPr>
          <w:p>
            <w:pPr>
              <w:spacing w:after="0"/>
              <w:rPr>
                <w:sz w:val="20"/>
                <w:szCs w:val="20"/>
                <w:color w:val="auto"/>
              </w:rPr>
            </w:pPr>
            <w:r>
              <w:rPr>
                <w:rFonts w:ascii="Arial" w:cs="Arial" w:eastAsia="Arial" w:hAnsi="Arial"/>
                <w:sz w:val="19"/>
                <w:szCs w:val="19"/>
                <w:b w:val="1"/>
                <w:bCs w:val="1"/>
                <w:color w:val="auto"/>
              </w:rPr>
              <w:t>5.2</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5"/>
              </w:rPr>
              <w:t xml:space="preserve">Order Placement and Order Lead Time. </w:t>
            </w:r>
            <w:r>
              <w:rPr>
                <w:rFonts w:ascii="Arial" w:cs="Arial" w:eastAsia="Arial" w:hAnsi="Arial"/>
                <w:sz w:val="19"/>
                <w:szCs w:val="19"/>
                <w:color w:val="auto"/>
                <w:w w:val="95"/>
              </w:rPr>
              <w:t>Customer shall, from time to time throughout the Term of this Agreement, place written</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3"/>
              </w:rPr>
              <w:t>orders for Final Products subject to the terms and conditions of this Agreement (the “</w:t>
            </w:r>
            <w:r>
              <w:rPr>
                <w:rFonts w:ascii="Arial" w:cs="Arial" w:eastAsia="Arial" w:hAnsi="Arial"/>
                <w:sz w:val="19"/>
                <w:szCs w:val="19"/>
                <w:b w:val="1"/>
                <w:bCs w:val="1"/>
                <w:color w:val="auto"/>
                <w:w w:val="93"/>
              </w:rPr>
              <w:t>Order(s)</w:t>
            </w:r>
            <w:r>
              <w:rPr>
                <w:rFonts w:ascii="Arial" w:cs="Arial" w:eastAsia="Arial" w:hAnsi="Arial"/>
                <w:sz w:val="19"/>
                <w:szCs w:val="19"/>
                <w:color w:val="auto"/>
                <w:w w:val="93"/>
              </w:rPr>
              <w:t>”). Any Order must be submitted with a</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6"/>
              </w:rPr>
              <w:t>lead time of at least [***] prior to the earliest Requested Delivery Date (the “</w:t>
            </w:r>
            <w:r>
              <w:rPr>
                <w:rFonts w:ascii="Arial" w:cs="Arial" w:eastAsia="Arial" w:hAnsi="Arial"/>
                <w:sz w:val="19"/>
                <w:szCs w:val="19"/>
                <w:b w:val="1"/>
                <w:bCs w:val="1"/>
                <w:color w:val="auto"/>
                <w:w w:val="96"/>
              </w:rPr>
              <w:t>Order Lead Time</w:t>
            </w:r>
            <w:r>
              <w:rPr>
                <w:rFonts w:ascii="Arial" w:cs="Arial" w:eastAsia="Arial" w:hAnsi="Arial"/>
                <w:sz w:val="19"/>
                <w:szCs w:val="19"/>
                <w:color w:val="auto"/>
                <w:w w:val="96"/>
              </w:rPr>
              <w:t>”) and shall set forth the requested</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1"/>
              </w:rPr>
              <w:t>quantities of the Final Product (the “</w:t>
            </w:r>
            <w:r>
              <w:rPr>
                <w:rFonts w:ascii="Arial" w:cs="Arial" w:eastAsia="Arial" w:hAnsi="Arial"/>
                <w:sz w:val="19"/>
                <w:szCs w:val="19"/>
                <w:b w:val="1"/>
                <w:bCs w:val="1"/>
                <w:color w:val="auto"/>
                <w:w w:val="91"/>
              </w:rPr>
              <w:t>Requested Order Quantities</w:t>
            </w:r>
            <w:r>
              <w:rPr>
                <w:rFonts w:ascii="Arial" w:cs="Arial" w:eastAsia="Arial" w:hAnsi="Arial"/>
                <w:sz w:val="19"/>
                <w:szCs w:val="19"/>
                <w:color w:val="auto"/>
                <w:w w:val="91"/>
              </w:rPr>
              <w:t>”) and the requested Delivery date(s) in accordance with such Order</w:t>
            </w:r>
          </w:p>
        </w:tc>
      </w:tr>
      <w:tr>
        <w:trPr>
          <w:trHeight w:val="246"/>
        </w:trPr>
        <w:tc>
          <w:tcPr>
            <w:tcW w:w="560" w:type="dxa"/>
            <w:vAlign w:val="bottom"/>
          </w:tcPr>
          <w:p>
            <w:pPr>
              <w:spacing w:after="0"/>
              <w:rPr>
                <w:sz w:val="21"/>
                <w:szCs w:val="21"/>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Lead Time (the “</w:t>
            </w:r>
            <w:r>
              <w:rPr>
                <w:rFonts w:ascii="Arial" w:cs="Arial" w:eastAsia="Arial" w:hAnsi="Arial"/>
                <w:sz w:val="19"/>
                <w:szCs w:val="19"/>
                <w:b w:val="1"/>
                <w:bCs w:val="1"/>
                <w:color w:val="auto"/>
              </w:rPr>
              <w:t>Requested Delivery Date(s)</w:t>
            </w:r>
            <w:r>
              <w:rPr>
                <w:rFonts w:ascii="Arial" w:cs="Arial" w:eastAsia="Arial" w:hAnsi="Arial"/>
                <w:sz w:val="19"/>
                <w:szCs w:val="19"/>
                <w:color w:val="auto"/>
              </w:rPr>
              <w:t>”).</w:t>
            </w:r>
          </w:p>
        </w:tc>
      </w:tr>
      <w:tr>
        <w:trPr>
          <w:trHeight w:val="294"/>
        </w:trPr>
        <w:tc>
          <w:tcPr>
            <w:tcW w:w="560" w:type="dxa"/>
            <w:vAlign w:val="bottom"/>
          </w:tcPr>
          <w:p>
            <w:pPr>
              <w:spacing w:after="0"/>
              <w:rPr>
                <w:sz w:val="20"/>
                <w:szCs w:val="20"/>
                <w:color w:val="auto"/>
              </w:rPr>
            </w:pPr>
            <w:r>
              <w:rPr>
                <w:rFonts w:ascii="Arial" w:cs="Arial" w:eastAsia="Arial" w:hAnsi="Arial"/>
                <w:sz w:val="19"/>
                <w:szCs w:val="19"/>
                <w:b w:val="1"/>
                <w:bCs w:val="1"/>
                <w:color w:val="auto"/>
              </w:rPr>
              <w:t>5.3</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6"/>
              </w:rPr>
              <w:t xml:space="preserve">Order Confirmation Process. </w:t>
            </w:r>
            <w:r>
              <w:rPr>
                <w:rFonts w:ascii="Arial" w:cs="Arial" w:eastAsia="Arial" w:hAnsi="Arial"/>
                <w:sz w:val="19"/>
                <w:szCs w:val="19"/>
                <w:color w:val="auto"/>
                <w:w w:val="96"/>
              </w:rPr>
              <w:t>Supplier shall confirm to Customer within [***] of receipt of any Order whether Supplier is able to</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1"/>
              </w:rPr>
              <w:t>Deliver the Requested Order Quantities by the Requested Delivery Date. In case of a confirmation the relevant Order (the “</w:t>
            </w:r>
            <w:r>
              <w:rPr>
                <w:rFonts w:ascii="Arial" w:cs="Arial" w:eastAsia="Arial" w:hAnsi="Arial"/>
                <w:sz w:val="19"/>
                <w:szCs w:val="19"/>
                <w:b w:val="1"/>
                <w:bCs w:val="1"/>
                <w:color w:val="auto"/>
                <w:w w:val="91"/>
              </w:rPr>
              <w:t>Confirmed</w:t>
            </w:r>
          </w:p>
        </w:tc>
      </w:tr>
      <w:tr>
        <w:trPr>
          <w:trHeight w:val="224"/>
        </w:trPr>
        <w:tc>
          <w:tcPr>
            <w:tcW w:w="5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6"/>
              </w:rPr>
              <w:t>Order</w:t>
            </w:r>
            <w:r>
              <w:rPr>
                <w:rFonts w:ascii="Arial" w:cs="Arial" w:eastAsia="Arial" w:hAnsi="Arial"/>
                <w:sz w:val="19"/>
                <w:szCs w:val="19"/>
                <w:color w:val="auto"/>
                <w:w w:val="96"/>
              </w:rPr>
              <w:t>”), including the confirmed Final Product quantities (“</w:t>
            </w:r>
            <w:r>
              <w:rPr>
                <w:rFonts w:ascii="Arial" w:cs="Arial" w:eastAsia="Arial" w:hAnsi="Arial"/>
                <w:sz w:val="19"/>
                <w:szCs w:val="19"/>
                <w:b w:val="1"/>
                <w:bCs w:val="1"/>
                <w:color w:val="auto"/>
                <w:w w:val="96"/>
              </w:rPr>
              <w:t>Confirmed Order Quantities</w:t>
            </w:r>
            <w:r>
              <w:rPr>
                <w:rFonts w:ascii="Arial" w:cs="Arial" w:eastAsia="Arial" w:hAnsi="Arial"/>
                <w:sz w:val="19"/>
                <w:szCs w:val="19"/>
                <w:color w:val="auto"/>
                <w:w w:val="96"/>
              </w:rPr>
              <w:t>”), where, except as otherwise mutually</w:t>
            </w:r>
          </w:p>
        </w:tc>
      </w:tr>
      <w:tr>
        <w:trPr>
          <w:trHeight w:val="212"/>
        </w:trPr>
        <w:tc>
          <w:tcPr>
            <w:tcW w:w="560" w:type="dxa"/>
            <w:vAlign w:val="bottom"/>
          </w:tcPr>
          <w:p>
            <w:pPr>
              <w:spacing w:after="0"/>
              <w:rPr>
                <w:sz w:val="18"/>
                <w:szCs w:val="18"/>
                <w:color w:val="auto"/>
              </w:rPr>
            </w:pPr>
          </w:p>
        </w:tc>
        <w:tc>
          <w:tcPr>
            <w:tcW w:w="10680" w:type="dxa"/>
            <w:vAlign w:val="bottom"/>
          </w:tcPr>
          <w:p>
            <w:pPr>
              <w:ind w:left="320"/>
              <w:spacing w:after="0" w:line="213" w:lineRule="exact"/>
              <w:rPr>
                <w:sz w:val="20"/>
                <w:szCs w:val="20"/>
                <w:color w:val="auto"/>
              </w:rPr>
            </w:pPr>
            <w:r>
              <w:rPr>
                <w:rFonts w:ascii="Arial" w:cs="Arial" w:eastAsia="Arial" w:hAnsi="Arial"/>
                <w:sz w:val="19"/>
                <w:szCs w:val="19"/>
                <w:color w:val="auto"/>
                <w:w w:val="92"/>
              </w:rPr>
              <w:t>agreed to by the Parties, (a) such quantities may deviate plus/minus [***] from the Requested Order Quantities, and (b) the confirmed</w:t>
            </w:r>
          </w:p>
        </w:tc>
      </w:tr>
      <w:tr>
        <w:trPr>
          <w:trHeight w:val="224"/>
        </w:trPr>
        <w:tc>
          <w:tcPr>
            <w:tcW w:w="5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2"/>
              </w:rPr>
              <w:t>delivery date(s) (“</w:t>
            </w:r>
            <w:r>
              <w:rPr>
                <w:rFonts w:ascii="Arial" w:cs="Arial" w:eastAsia="Arial" w:hAnsi="Arial"/>
                <w:sz w:val="19"/>
                <w:szCs w:val="19"/>
                <w:b w:val="1"/>
                <w:bCs w:val="1"/>
                <w:color w:val="auto"/>
                <w:w w:val="92"/>
              </w:rPr>
              <w:t>Confirmed Delivery Date(s)</w:t>
            </w:r>
            <w:r>
              <w:rPr>
                <w:rFonts w:ascii="Arial" w:cs="Arial" w:eastAsia="Arial" w:hAnsi="Arial"/>
                <w:sz w:val="19"/>
                <w:szCs w:val="19"/>
                <w:color w:val="auto"/>
                <w:w w:val="92"/>
              </w:rPr>
              <w:t>”), which date(s) may deviate [***] from the Requested Delivery Dates, shall be binding</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3"/>
              </w:rPr>
              <w:t>on the Parties. Subject to the provisions of Clause 8.5 and Clause 15.6, if Supplier fails to deliver such shipment within [***] following</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5"/>
              </w:rPr>
              <w:t>the Confirmed Delivery Date(s), Supplier shall use reasonable best efforts to deliver the shipment in a prompt manner thereafter,</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provided, however, that nothing in this sentence shall limit the rights and remedies of Customer hereunder.</w:t>
            </w:r>
          </w:p>
        </w:tc>
      </w:tr>
      <w:tr>
        <w:trPr>
          <w:trHeight w:val="300"/>
        </w:trPr>
        <w:tc>
          <w:tcPr>
            <w:tcW w:w="560" w:type="dxa"/>
            <w:vAlign w:val="bottom"/>
          </w:tcPr>
          <w:p>
            <w:pPr>
              <w:spacing w:after="0"/>
              <w:rPr>
                <w:sz w:val="20"/>
                <w:szCs w:val="20"/>
                <w:color w:val="auto"/>
              </w:rPr>
            </w:pPr>
            <w:r>
              <w:rPr>
                <w:rFonts w:ascii="Arial" w:cs="Arial" w:eastAsia="Arial" w:hAnsi="Arial"/>
                <w:sz w:val="19"/>
                <w:szCs w:val="19"/>
                <w:b w:val="1"/>
                <w:bCs w:val="1"/>
                <w:color w:val="auto"/>
              </w:rPr>
              <w:t>5.4</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0"/>
              </w:rPr>
              <w:t xml:space="preserve">Changes to Confirmed Orders. </w:t>
            </w:r>
            <w:r>
              <w:rPr>
                <w:rFonts w:ascii="Arial" w:cs="Arial" w:eastAsia="Arial" w:hAnsi="Arial"/>
                <w:sz w:val="19"/>
                <w:szCs w:val="19"/>
                <w:color w:val="auto"/>
                <w:w w:val="90"/>
              </w:rPr>
              <w:t>Each Party may request changes to a Confirmed Order, including the Confirmed Delivery Dates and/or</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Confirmed Order Quantities, in which case the Parties shall negotiate in good faith the implementation of such change.</w:t>
            </w:r>
          </w:p>
        </w:tc>
      </w:tr>
      <w:tr>
        <w:trPr>
          <w:trHeight w:val="321"/>
        </w:trPr>
        <w:tc>
          <w:tcPr>
            <w:tcW w:w="560" w:type="dxa"/>
            <w:vAlign w:val="bottom"/>
          </w:tcPr>
          <w:p>
            <w:pPr>
              <w:spacing w:after="0"/>
              <w:rPr>
                <w:sz w:val="20"/>
                <w:szCs w:val="20"/>
                <w:color w:val="auto"/>
              </w:rPr>
            </w:pPr>
            <w:r>
              <w:rPr>
                <w:rFonts w:ascii="Arial" w:cs="Arial" w:eastAsia="Arial" w:hAnsi="Arial"/>
                <w:sz w:val="19"/>
                <w:szCs w:val="19"/>
                <w:b w:val="1"/>
                <w:bCs w:val="1"/>
                <w:color w:val="auto"/>
              </w:rPr>
              <w:t>5.5</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rPr>
              <w:t xml:space="preserve">Minimum Capacity. </w:t>
            </w:r>
            <w:r>
              <w:rPr>
                <w:rFonts w:ascii="Arial" w:cs="Arial" w:eastAsia="Arial" w:hAnsi="Arial"/>
                <w:sz w:val="19"/>
                <w:szCs w:val="19"/>
                <w:color w:val="auto"/>
              </w:rPr>
              <w:t>[***]</w:t>
            </w:r>
          </w:p>
        </w:tc>
      </w:tr>
      <w:tr>
        <w:trPr>
          <w:trHeight w:val="294"/>
        </w:trPr>
        <w:tc>
          <w:tcPr>
            <w:tcW w:w="560" w:type="dxa"/>
            <w:vAlign w:val="bottom"/>
          </w:tcPr>
          <w:p>
            <w:pPr>
              <w:spacing w:after="0"/>
              <w:rPr>
                <w:sz w:val="20"/>
                <w:szCs w:val="20"/>
                <w:color w:val="auto"/>
              </w:rPr>
            </w:pPr>
            <w:r>
              <w:rPr>
                <w:rFonts w:ascii="Arial" w:cs="Arial" w:eastAsia="Arial" w:hAnsi="Arial"/>
                <w:sz w:val="19"/>
                <w:szCs w:val="19"/>
                <w:b w:val="1"/>
                <w:bCs w:val="1"/>
                <w:color w:val="auto"/>
              </w:rPr>
              <w:t>5.6</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4"/>
              </w:rPr>
              <w:t xml:space="preserve">Order Quantities. </w:t>
            </w:r>
            <w:r>
              <w:rPr>
                <w:rFonts w:ascii="Arial" w:cs="Arial" w:eastAsia="Arial" w:hAnsi="Arial"/>
                <w:sz w:val="19"/>
                <w:szCs w:val="19"/>
                <w:color w:val="auto"/>
                <w:w w:val="94"/>
              </w:rPr>
              <w:t>Each Order shall be for full batches of the Final Product, and Supplier shall not be required to accept Orders for</w:t>
            </w:r>
          </w:p>
        </w:tc>
      </w:tr>
      <w:tr>
        <w:trPr>
          <w:trHeight w:val="224"/>
        </w:trPr>
        <w:tc>
          <w:tcPr>
            <w:tcW w:w="560" w:type="dxa"/>
            <w:vAlign w:val="bottom"/>
          </w:tcPr>
          <w:p>
            <w:pPr>
              <w:spacing w:after="0"/>
              <w:rPr>
                <w:sz w:val="19"/>
                <w:szCs w:val="19"/>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3"/>
              </w:rPr>
              <w:t xml:space="preserve">lesser quantities than specified in </w:t>
            </w:r>
            <w:r>
              <w:rPr>
                <w:rFonts w:ascii="Arial" w:cs="Arial" w:eastAsia="Arial" w:hAnsi="Arial"/>
                <w:sz w:val="19"/>
                <w:szCs w:val="19"/>
                <w:b w:val="1"/>
                <w:bCs w:val="1"/>
                <w:color w:val="auto"/>
                <w:w w:val="93"/>
              </w:rPr>
              <w:t>Annex 5 (Packaging Process)</w:t>
            </w:r>
            <w:r>
              <w:rPr>
                <w:rFonts w:ascii="Arial" w:cs="Arial" w:eastAsia="Arial" w:hAnsi="Arial"/>
                <w:sz w:val="19"/>
                <w:szCs w:val="19"/>
                <w:color w:val="auto"/>
                <w:w w:val="93"/>
              </w:rPr>
              <w:t>. In the event that Customer wishes to order a quantity of the Final</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5"/>
              </w:rPr>
              <w:t>Product of less than the Minimum Order Quantities or minimum batch sizes, Customer shall specify such quantity in an Order and</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2"/>
              </w:rPr>
              <w:t>Supplier shall notify Customer within [***] of receipt of any such Order of the revised price for the Final Product to reflect the increased</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0"/>
              </w:rPr>
              <w:t>costs to Supplier of producing smaller quantities. Customer may confirm the Order and shall pay such revised price for the Final Product,</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or may increase the quantities set out in the Order to the Minimum Order Quantities.</w:t>
            </w:r>
          </w:p>
        </w:tc>
      </w:tr>
      <w:tr>
        <w:trPr>
          <w:trHeight w:val="294"/>
        </w:trPr>
        <w:tc>
          <w:tcPr>
            <w:tcW w:w="560" w:type="dxa"/>
            <w:vAlign w:val="bottom"/>
          </w:tcPr>
          <w:p>
            <w:pPr>
              <w:spacing w:after="0"/>
              <w:rPr>
                <w:sz w:val="20"/>
                <w:szCs w:val="20"/>
                <w:color w:val="auto"/>
              </w:rPr>
            </w:pPr>
            <w:r>
              <w:rPr>
                <w:rFonts w:ascii="Arial" w:cs="Arial" w:eastAsia="Arial" w:hAnsi="Arial"/>
                <w:sz w:val="19"/>
                <w:szCs w:val="19"/>
                <w:b w:val="1"/>
                <w:bCs w:val="1"/>
                <w:color w:val="auto"/>
              </w:rPr>
              <w:t>5.7</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6"/>
              </w:rPr>
              <w:t xml:space="preserve">Minimum Purchase Quantity. </w:t>
            </w:r>
            <w:r>
              <w:rPr>
                <w:rFonts w:ascii="Arial" w:cs="Arial" w:eastAsia="Arial" w:hAnsi="Arial"/>
                <w:sz w:val="19"/>
                <w:szCs w:val="19"/>
                <w:color w:val="auto"/>
                <w:w w:val="96"/>
              </w:rPr>
              <w:t>Customer shall, during each of the first two Launch Years, place Orders for at least the following</w:t>
            </w:r>
          </w:p>
        </w:tc>
      </w:tr>
      <w:tr>
        <w:trPr>
          <w:trHeight w:val="246"/>
        </w:trPr>
        <w:tc>
          <w:tcPr>
            <w:tcW w:w="560" w:type="dxa"/>
            <w:vAlign w:val="bottom"/>
          </w:tcPr>
          <w:p>
            <w:pPr>
              <w:spacing w:after="0"/>
              <w:rPr>
                <w:sz w:val="21"/>
                <w:szCs w:val="21"/>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volumes of the Final Product (the “</w:t>
            </w:r>
            <w:r>
              <w:rPr>
                <w:rFonts w:ascii="Arial" w:cs="Arial" w:eastAsia="Arial" w:hAnsi="Arial"/>
                <w:sz w:val="19"/>
                <w:szCs w:val="19"/>
                <w:b w:val="1"/>
                <w:bCs w:val="1"/>
                <w:color w:val="auto"/>
              </w:rPr>
              <w:t>Minimum Purchase Quantities</w:t>
            </w:r>
            <w:r>
              <w:rPr>
                <w:rFonts w:ascii="Arial" w:cs="Arial" w:eastAsia="Arial" w:hAnsi="Arial"/>
                <w:sz w:val="19"/>
                <w:szCs w:val="19"/>
                <w:color w:val="auto"/>
              </w:rPr>
              <w:t>” and each of them a “</w:t>
            </w:r>
            <w:r>
              <w:rPr>
                <w:rFonts w:ascii="Arial" w:cs="Arial" w:eastAsia="Arial" w:hAnsi="Arial"/>
                <w:sz w:val="19"/>
                <w:szCs w:val="19"/>
                <w:b w:val="1"/>
                <w:bCs w:val="1"/>
                <w:color w:val="auto"/>
              </w:rPr>
              <w:t>Minimum Purchase Quantity”</w:t>
            </w: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3867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Execution Version 2020/12/30Page 7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59"/>
        </w:trPr>
        <w:tc>
          <w:tcPr>
            <w:tcW w:w="60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5180" w:type="dxa"/>
            <w:vAlign w:val="bottom"/>
            <w:tcBorders>
              <w:top w:val="single" w:sz="8" w:color="auto"/>
              <w:right w:val="single" w:sz="8" w:color="auto"/>
            </w:tcBorders>
            <w:shd w:val="clear" w:color="auto" w:fill="DBE5F1"/>
          </w:tcPr>
          <w:p>
            <w:pPr>
              <w:spacing w:after="0"/>
              <w:rPr>
                <w:sz w:val="20"/>
                <w:szCs w:val="20"/>
                <w:color w:val="auto"/>
              </w:rPr>
            </w:pPr>
            <w:r>
              <w:rPr>
                <w:rFonts w:ascii="Arial" w:cs="Arial" w:eastAsia="Arial" w:hAnsi="Arial"/>
                <w:sz w:val="19"/>
                <w:szCs w:val="19"/>
                <w:b w:val="1"/>
                <w:bCs w:val="1"/>
                <w:color w:val="auto"/>
              </w:rPr>
              <w:t>Calendar Year of Delivery</w:t>
            </w:r>
          </w:p>
        </w:tc>
        <w:tc>
          <w:tcPr>
            <w:tcW w:w="5160" w:type="dxa"/>
            <w:vAlign w:val="bottom"/>
            <w:tcBorders>
              <w:top w:val="single" w:sz="8" w:color="auto"/>
              <w:right w:val="single" w:sz="8" w:color="auto"/>
            </w:tcBorders>
            <w:shd w:val="clear" w:color="auto" w:fill="DBE5F1"/>
          </w:tcPr>
          <w:p>
            <w:pPr>
              <w:spacing w:after="0"/>
              <w:rPr>
                <w:sz w:val="20"/>
                <w:szCs w:val="20"/>
                <w:color w:val="auto"/>
              </w:rPr>
            </w:pPr>
            <w:r>
              <w:rPr>
                <w:rFonts w:ascii="Arial" w:cs="Arial" w:eastAsia="Arial" w:hAnsi="Arial"/>
                <w:sz w:val="19"/>
                <w:szCs w:val="19"/>
                <w:b w:val="1"/>
                <w:bCs w:val="1"/>
                <w:color w:val="auto"/>
              </w:rPr>
              <w:t>Minimum Purchase Quantity</w:t>
            </w:r>
          </w:p>
        </w:tc>
        <w:tc>
          <w:tcPr>
            <w:tcW w:w="0" w:type="dxa"/>
            <w:vAlign w:val="bottom"/>
          </w:tcPr>
          <w:p>
            <w:pPr>
              <w:spacing w:after="0"/>
              <w:rPr>
                <w:sz w:val="1"/>
                <w:szCs w:val="1"/>
                <w:color w:val="auto"/>
              </w:rPr>
            </w:pPr>
          </w:p>
        </w:tc>
      </w:tr>
      <w:tr>
        <w:trPr>
          <w:trHeight w:val="75"/>
        </w:trPr>
        <w:tc>
          <w:tcPr>
            <w:tcW w:w="600" w:type="dxa"/>
            <w:vAlign w:val="bottom"/>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5180" w:type="dxa"/>
            <w:vAlign w:val="bottom"/>
            <w:tcBorders>
              <w:bottom w:val="single" w:sz="8" w:color="auto"/>
              <w:right w:val="single" w:sz="8" w:color="auto"/>
            </w:tcBorders>
            <w:shd w:val="clear" w:color="auto" w:fill="DBE5F1"/>
          </w:tcPr>
          <w:p>
            <w:pPr>
              <w:spacing w:after="0"/>
              <w:rPr>
                <w:sz w:val="6"/>
                <w:szCs w:val="6"/>
                <w:color w:val="auto"/>
              </w:rPr>
            </w:pPr>
          </w:p>
        </w:tc>
        <w:tc>
          <w:tcPr>
            <w:tcW w:w="5160" w:type="dxa"/>
            <w:vAlign w:val="bottom"/>
            <w:tcBorders>
              <w:bottom w:val="single" w:sz="8" w:color="auto"/>
              <w:right w:val="single" w:sz="8" w:color="auto"/>
            </w:tcBorders>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c>
          <w:tcPr>
            <w:tcW w:w="51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81"/>
        </w:trPr>
        <w:tc>
          <w:tcPr>
            <w:tcW w:w="600" w:type="dxa"/>
            <w:vAlign w:val="bottom"/>
          </w:tcPr>
          <w:p>
            <w:pPr>
              <w:spacing w:after="0"/>
              <w:rPr>
                <w:sz w:val="7"/>
                <w:szCs w:val="7"/>
                <w:color w:val="auto"/>
              </w:rPr>
            </w:pPr>
          </w:p>
        </w:tc>
        <w:tc>
          <w:tcPr>
            <w:tcW w:w="300" w:type="dxa"/>
            <w:vAlign w:val="bottom"/>
            <w:tcBorders>
              <w:right w:val="single" w:sz="8" w:color="auto"/>
            </w:tcBorders>
            <w:vMerge w:val="restart"/>
          </w:tcPr>
          <w:p>
            <w:pPr>
              <w:spacing w:after="0"/>
              <w:rPr>
                <w:sz w:val="7"/>
                <w:szCs w:val="7"/>
                <w:color w:val="auto"/>
              </w:rPr>
            </w:pPr>
          </w:p>
        </w:tc>
        <w:tc>
          <w:tcPr>
            <w:tcW w:w="5180" w:type="dxa"/>
            <w:vAlign w:val="bottom"/>
            <w:tcBorders>
              <w:bottom w:val="single" w:sz="8" w:color="auto"/>
              <w:right w:val="single" w:sz="8" w:color="auto"/>
            </w:tcBorders>
          </w:tcPr>
          <w:p>
            <w:pPr>
              <w:spacing w:after="0"/>
              <w:rPr>
                <w:sz w:val="7"/>
                <w:szCs w:val="7"/>
                <w:color w:val="auto"/>
              </w:rPr>
            </w:pPr>
          </w:p>
        </w:tc>
        <w:tc>
          <w:tcPr>
            <w:tcW w:w="5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300" w:type="dxa"/>
            <w:vAlign w:val="bottom"/>
            <w:tcBorders>
              <w:right w:val="single" w:sz="8" w:color="auto"/>
            </w:tcBorders>
            <w:vMerge w:val="continue"/>
          </w:tcPr>
          <w:p>
            <w:pPr>
              <w:spacing w:after="0"/>
              <w:rPr>
                <w:sz w:val="20"/>
                <w:szCs w:val="20"/>
                <w:color w:val="auto"/>
              </w:rPr>
            </w:pPr>
          </w:p>
        </w:tc>
        <w:tc>
          <w:tcPr>
            <w:tcW w:w="518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c>
          <w:tcPr>
            <w:tcW w:w="5160" w:type="dxa"/>
            <w:vAlign w:val="bottom"/>
            <w:tcBorders>
              <w:right w:val="single" w:sz="8" w:color="auto"/>
            </w:tcBorders>
          </w:tcPr>
          <w:p>
            <w:pPr>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81"/>
        </w:trPr>
        <w:tc>
          <w:tcPr>
            <w:tcW w:w="600" w:type="dxa"/>
            <w:vAlign w:val="bottom"/>
          </w:tcPr>
          <w:p>
            <w:pPr>
              <w:spacing w:after="0"/>
              <w:rPr>
                <w:sz w:val="7"/>
                <w:szCs w:val="7"/>
                <w:color w:val="auto"/>
              </w:rPr>
            </w:pPr>
          </w:p>
        </w:tc>
        <w:tc>
          <w:tcPr>
            <w:tcW w:w="300" w:type="dxa"/>
            <w:vAlign w:val="bottom"/>
            <w:tcBorders>
              <w:right w:val="single" w:sz="8" w:color="auto"/>
            </w:tcBorders>
            <w:vMerge w:val="restart"/>
          </w:tcPr>
          <w:p>
            <w:pPr>
              <w:spacing w:after="0"/>
              <w:rPr>
                <w:sz w:val="7"/>
                <w:szCs w:val="7"/>
                <w:color w:val="auto"/>
              </w:rPr>
            </w:pPr>
          </w:p>
        </w:tc>
        <w:tc>
          <w:tcPr>
            <w:tcW w:w="5180" w:type="dxa"/>
            <w:vAlign w:val="bottom"/>
            <w:tcBorders>
              <w:bottom w:val="single" w:sz="8" w:color="auto"/>
              <w:right w:val="single" w:sz="8" w:color="auto"/>
            </w:tcBorders>
          </w:tcPr>
          <w:p>
            <w:pPr>
              <w:spacing w:after="0"/>
              <w:rPr>
                <w:sz w:val="7"/>
                <w:szCs w:val="7"/>
                <w:color w:val="auto"/>
              </w:rPr>
            </w:pPr>
          </w:p>
        </w:tc>
        <w:tc>
          <w:tcPr>
            <w:tcW w:w="5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600" w:type="dxa"/>
            <w:vAlign w:val="bottom"/>
          </w:tcPr>
          <w:p>
            <w:pPr>
              <w:spacing w:after="0"/>
              <w:rPr>
                <w:sz w:val="20"/>
                <w:szCs w:val="20"/>
                <w:color w:val="auto"/>
              </w:rPr>
            </w:pPr>
          </w:p>
        </w:tc>
        <w:tc>
          <w:tcPr>
            <w:tcW w:w="300" w:type="dxa"/>
            <w:vAlign w:val="bottom"/>
            <w:tcBorders>
              <w:right w:val="single" w:sz="8" w:color="auto"/>
            </w:tcBorders>
            <w:vMerge w:val="continue"/>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9"/>
                <w:szCs w:val="19"/>
                <w:color w:val="auto"/>
              </w:rPr>
              <w:t>[***]</w:t>
            </w:r>
          </w:p>
        </w:tc>
        <w:tc>
          <w:tcPr>
            <w:tcW w:w="51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00" w:type="dxa"/>
            <w:vAlign w:val="bottom"/>
          </w:tcPr>
          <w:p>
            <w:pPr>
              <w:spacing w:after="0"/>
              <w:rPr>
                <w:sz w:val="7"/>
                <w:szCs w:val="7"/>
                <w:color w:val="auto"/>
              </w:rPr>
            </w:pPr>
          </w:p>
        </w:tc>
        <w:tc>
          <w:tcPr>
            <w:tcW w:w="300" w:type="dxa"/>
            <w:vAlign w:val="bottom"/>
            <w:tcBorders>
              <w:right w:val="single" w:sz="8" w:color="auto"/>
            </w:tcBorders>
          </w:tcPr>
          <w:p>
            <w:pPr>
              <w:spacing w:after="0"/>
              <w:rPr>
                <w:sz w:val="7"/>
                <w:szCs w:val="7"/>
                <w:color w:val="auto"/>
              </w:rPr>
            </w:pPr>
          </w:p>
        </w:tc>
        <w:tc>
          <w:tcPr>
            <w:tcW w:w="5180" w:type="dxa"/>
            <w:vAlign w:val="bottom"/>
            <w:tcBorders>
              <w:bottom w:val="single" w:sz="8" w:color="auto"/>
            </w:tcBorders>
          </w:tcPr>
          <w:p>
            <w:pPr>
              <w:spacing w:after="0"/>
              <w:rPr>
                <w:sz w:val="7"/>
                <w:szCs w:val="7"/>
                <w:color w:val="auto"/>
              </w:rPr>
            </w:pPr>
          </w:p>
        </w:tc>
        <w:tc>
          <w:tcPr>
            <w:tcW w:w="51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0"/>
        </w:trPr>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9"/>
                <w:szCs w:val="19"/>
                <w:color w:val="auto"/>
                <w:w w:val="95"/>
              </w:rPr>
              <w:t>The Minimum Purchase Quantities for later Launch Years shall be mutually agreed by the Parties at least [***] prior to the end of</w:t>
            </w: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9"/>
                <w:szCs w:val="19"/>
                <w:color w:val="auto"/>
                <w:w w:val="93"/>
              </w:rPr>
              <w:t>Launch Year 2. In case the Parties fail to reach an agreement by such date, each Party may terminate this Agreement on [***] prior</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9"/>
                <w:szCs w:val="19"/>
                <w:color w:val="auto"/>
              </w:rPr>
              <w:t>written notice.</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9"/>
                <w:szCs w:val="19"/>
                <w:color w:val="auto"/>
                <w:w w:val="93"/>
              </w:rPr>
              <w:t>In case Customer fails to order the agreed Minimum Purchase Quantity in a given Launch Year, Customer shall pay to Supplier the</w:t>
            </w: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9"/>
                <w:szCs w:val="19"/>
                <w:color w:val="auto"/>
                <w:w w:val="91"/>
              </w:rPr>
              <w:t>difference between the respective aggregated Price (plus VAT) of (i) the quantity of Final Products actually ordered by Customer from</w:t>
            </w: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9"/>
                <w:szCs w:val="19"/>
                <w:color w:val="auto"/>
                <w:w w:val="90"/>
              </w:rPr>
              <w:t>Supplier during such Launch Year and (ii) the respective Minimum Purchase Quantity, unless such failure is directly caused by an act or</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9"/>
                <w:szCs w:val="19"/>
                <w:color w:val="auto"/>
              </w:rPr>
              <w:t>omission solely attributable to Supplier.</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0"/>
                <w:szCs w:val="20"/>
                <w:color w:val="auto"/>
              </w:rPr>
            </w:pPr>
            <w:r>
              <w:rPr>
                <w:rFonts w:ascii="Arial" w:cs="Arial" w:eastAsia="Arial" w:hAnsi="Arial"/>
                <w:sz w:val="19"/>
                <w:szCs w:val="19"/>
                <w:b w:val="1"/>
                <w:bCs w:val="1"/>
                <w:color w:val="auto"/>
              </w:rPr>
              <w:t>5.8</w:t>
            </w:r>
          </w:p>
        </w:tc>
        <w:tc>
          <w:tcPr>
            <w:tcW w:w="5480" w:type="dxa"/>
            <w:vAlign w:val="bottom"/>
            <w:gridSpan w:val="2"/>
          </w:tcPr>
          <w:p>
            <w:pPr>
              <w:ind w:left="280"/>
              <w:spacing w:after="0"/>
              <w:rPr>
                <w:sz w:val="20"/>
                <w:szCs w:val="20"/>
                <w:color w:val="auto"/>
              </w:rPr>
            </w:pPr>
            <w:r>
              <w:rPr>
                <w:rFonts w:ascii="Arial" w:cs="Arial" w:eastAsia="Arial" w:hAnsi="Arial"/>
                <w:sz w:val="19"/>
                <w:szCs w:val="19"/>
                <w:b w:val="1"/>
                <w:bCs w:val="1"/>
                <w:color w:val="auto"/>
              </w:rPr>
              <w:t xml:space="preserve">Delivery Default. </w:t>
            </w:r>
            <w:r>
              <w:rPr>
                <w:rFonts w:ascii="Arial" w:cs="Arial" w:eastAsia="Arial" w:hAnsi="Arial"/>
                <w:sz w:val="19"/>
                <w:szCs w:val="19"/>
                <w:color w:val="auto"/>
              </w:rPr>
              <w:t>[***]</w:t>
            </w:r>
          </w:p>
        </w:tc>
        <w:tc>
          <w:tcPr>
            <w:tcW w:w="5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00" w:type="dxa"/>
            <w:vAlign w:val="bottom"/>
          </w:tcPr>
          <w:p>
            <w:pPr>
              <w:spacing w:after="0"/>
              <w:rPr>
                <w:sz w:val="20"/>
                <w:szCs w:val="20"/>
                <w:color w:val="auto"/>
              </w:rPr>
            </w:pPr>
            <w:r>
              <w:rPr>
                <w:rFonts w:ascii="Arial" w:cs="Arial" w:eastAsia="Arial" w:hAnsi="Arial"/>
                <w:sz w:val="19"/>
                <w:szCs w:val="19"/>
                <w:b w:val="1"/>
                <w:bCs w:val="1"/>
                <w:color w:val="auto"/>
              </w:rPr>
              <w:t>5.9</w:t>
            </w:r>
          </w:p>
        </w:tc>
        <w:tc>
          <w:tcPr>
            <w:tcW w:w="10640" w:type="dxa"/>
            <w:vAlign w:val="bottom"/>
            <w:gridSpan w:val="3"/>
          </w:tcPr>
          <w:p>
            <w:pPr>
              <w:ind w:left="280"/>
              <w:spacing w:after="0"/>
              <w:rPr>
                <w:sz w:val="20"/>
                <w:szCs w:val="20"/>
                <w:color w:val="auto"/>
              </w:rPr>
            </w:pPr>
            <w:r>
              <w:rPr>
                <w:rFonts w:ascii="Arial" w:cs="Arial" w:eastAsia="Arial" w:hAnsi="Arial"/>
                <w:sz w:val="19"/>
                <w:szCs w:val="19"/>
                <w:b w:val="1"/>
                <w:bCs w:val="1"/>
                <w:color w:val="auto"/>
                <w:w w:val="95"/>
              </w:rPr>
              <w:t xml:space="preserve">No Returns Policy. </w:t>
            </w:r>
            <w:r>
              <w:rPr>
                <w:rFonts w:ascii="Arial" w:cs="Arial" w:eastAsia="Arial" w:hAnsi="Arial"/>
                <w:sz w:val="19"/>
                <w:szCs w:val="19"/>
                <w:color w:val="auto"/>
                <w:w w:val="95"/>
              </w:rPr>
              <w:t>Supplier will not accept the return of any Final Product sold to Customer except in relation to Defective Final</w:t>
            </w: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10640" w:type="dxa"/>
            <w:vAlign w:val="bottom"/>
            <w:gridSpan w:val="3"/>
          </w:tcPr>
          <w:p>
            <w:pPr>
              <w:ind w:left="280"/>
              <w:spacing w:after="0"/>
              <w:rPr>
                <w:sz w:val="20"/>
                <w:szCs w:val="20"/>
                <w:color w:val="auto"/>
              </w:rPr>
            </w:pPr>
            <w:r>
              <w:rPr>
                <w:rFonts w:ascii="Arial" w:cs="Arial" w:eastAsia="Arial" w:hAnsi="Arial"/>
                <w:sz w:val="19"/>
                <w:szCs w:val="19"/>
                <w:color w:val="auto"/>
                <w:w w:val="95"/>
              </w:rPr>
              <w:t>Products and Supplier shall not be liable to Customer in respect of any Final Product purchased by Customer which Customer is</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5480" w:type="dxa"/>
            <w:vAlign w:val="bottom"/>
            <w:gridSpan w:val="2"/>
          </w:tcPr>
          <w:p>
            <w:pPr>
              <w:ind w:left="280"/>
              <w:spacing w:after="0"/>
              <w:rPr>
                <w:sz w:val="20"/>
                <w:szCs w:val="20"/>
                <w:color w:val="auto"/>
              </w:rPr>
            </w:pPr>
            <w:r>
              <w:rPr>
                <w:rFonts w:ascii="Arial" w:cs="Arial" w:eastAsia="Arial" w:hAnsi="Arial"/>
                <w:sz w:val="19"/>
                <w:szCs w:val="19"/>
                <w:color w:val="auto"/>
              </w:rPr>
              <w:t>subsequently unable to resell.</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600" w:type="dxa"/>
            <w:vAlign w:val="bottom"/>
          </w:tcPr>
          <w:p>
            <w:pPr>
              <w:spacing w:after="0"/>
              <w:rPr>
                <w:sz w:val="20"/>
                <w:szCs w:val="20"/>
                <w:color w:val="auto"/>
              </w:rPr>
            </w:pPr>
            <w:r>
              <w:rPr>
                <w:rFonts w:ascii="Arial" w:cs="Arial" w:eastAsia="Arial" w:hAnsi="Arial"/>
                <w:sz w:val="19"/>
                <w:szCs w:val="19"/>
                <w:b w:val="1"/>
                <w:bCs w:val="1"/>
                <w:color w:val="auto"/>
              </w:rPr>
              <w:t>5.10</w:t>
            </w:r>
          </w:p>
        </w:tc>
        <w:tc>
          <w:tcPr>
            <w:tcW w:w="300" w:type="dxa"/>
            <w:vAlign w:val="bottom"/>
          </w:tcPr>
          <w:p>
            <w:pPr>
              <w:spacing w:after="0"/>
              <w:rPr>
                <w:sz w:val="24"/>
                <w:szCs w:val="24"/>
                <w:color w:val="auto"/>
              </w:rPr>
            </w:pPr>
          </w:p>
        </w:tc>
        <w:tc>
          <w:tcPr>
            <w:tcW w:w="10340" w:type="dxa"/>
            <w:vAlign w:val="bottom"/>
            <w:gridSpan w:val="2"/>
          </w:tcPr>
          <w:p>
            <w:pPr>
              <w:spacing w:after="0"/>
              <w:rPr>
                <w:sz w:val="20"/>
                <w:szCs w:val="20"/>
                <w:color w:val="auto"/>
              </w:rPr>
            </w:pPr>
            <w:r>
              <w:rPr>
                <w:rFonts w:ascii="Arial" w:cs="Arial" w:eastAsia="Arial" w:hAnsi="Arial"/>
                <w:sz w:val="19"/>
                <w:szCs w:val="19"/>
                <w:b w:val="1"/>
                <w:bCs w:val="1"/>
                <w:color w:val="auto"/>
                <w:w w:val="96"/>
              </w:rPr>
              <w:t xml:space="preserve">Terms of Delivery; Risk of Loss. </w:t>
            </w:r>
            <w:r>
              <w:rPr>
                <w:rFonts w:ascii="Arial" w:cs="Arial" w:eastAsia="Arial" w:hAnsi="Arial"/>
                <w:sz w:val="19"/>
                <w:szCs w:val="19"/>
                <w:color w:val="auto"/>
                <w:w w:val="96"/>
              </w:rPr>
              <w:t>Supplier shall Deliver Final Products [***] (INCOTERMS® 2020). Supplier shall be entitled to</w:t>
            </w: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9"/>
                <w:szCs w:val="19"/>
                <w:color w:val="auto"/>
                <w:w w:val="92"/>
              </w:rPr>
              <w:t>Deliver partial shipments of Final Product. Risk of loss to Final Product shipped under any Order passes to Customer upon receipt by</w:t>
            </w: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9"/>
                <w:szCs w:val="19"/>
                <w:color w:val="auto"/>
                <w:w w:val="92"/>
              </w:rPr>
              <w:t>Customer’s carrier at the Facility. Supplier will inform Customer when the Products are ready for dispatch. If delivery date is reached</w:t>
            </w: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9"/>
                <w:szCs w:val="19"/>
                <w:color w:val="auto"/>
                <w:w w:val="90"/>
              </w:rPr>
              <w:t>and Customer does not pick up the Products within [***] after having a confirmation from Supplier that Products are ready for shipment,</w:t>
            </w:r>
          </w:p>
        </w:tc>
        <w:tc>
          <w:tcPr>
            <w:tcW w:w="0" w:type="dxa"/>
            <w:vAlign w:val="bottom"/>
          </w:tcPr>
          <w:p>
            <w:pPr>
              <w:spacing w:after="0"/>
              <w:rPr>
                <w:sz w:val="1"/>
                <w:szCs w:val="1"/>
                <w:color w:val="auto"/>
              </w:rPr>
            </w:pPr>
          </w:p>
        </w:tc>
      </w:tr>
      <w:tr>
        <w:trPr>
          <w:trHeight w:val="218"/>
        </w:trPr>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Arial" w:cs="Arial" w:eastAsia="Arial" w:hAnsi="Arial"/>
                <w:sz w:val="19"/>
                <w:szCs w:val="19"/>
                <w:color w:val="auto"/>
                <w:w w:val="93"/>
              </w:rPr>
              <w:t>Supplier has a right to organize the delivery and ship the Products to Customer. Customer shall reimburse all expenses incurred by</w:t>
            </w:r>
          </w:p>
        </w:tc>
        <w:tc>
          <w:tcPr>
            <w:tcW w:w="0" w:type="dxa"/>
            <w:vAlign w:val="bottom"/>
          </w:tcPr>
          <w:p>
            <w:pPr>
              <w:spacing w:after="0"/>
              <w:rPr>
                <w:sz w:val="1"/>
                <w:szCs w:val="1"/>
                <w:color w:val="auto"/>
              </w:rPr>
            </w:pPr>
          </w:p>
        </w:tc>
      </w:tr>
      <w:tr>
        <w:trPr>
          <w:trHeight w:val="240"/>
        </w:trPr>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9"/>
                <w:szCs w:val="19"/>
                <w:color w:val="auto"/>
              </w:rPr>
              <w:t>Supplier for such shipment.</w:t>
            </w:r>
          </w:p>
        </w:tc>
        <w:tc>
          <w:tcPr>
            <w:tcW w:w="5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880" w:hanging="877"/>
        <w:spacing w:after="0"/>
        <w:tabs>
          <w:tab w:leader="none" w:pos="880" w:val="left"/>
        </w:tabs>
        <w:numPr>
          <w:ilvl w:val="0"/>
          <w:numId w:val="80"/>
        </w:numPr>
        <w:rPr>
          <w:rFonts w:ascii="Arial" w:cs="Arial" w:eastAsia="Arial" w:hAnsi="Arial"/>
          <w:sz w:val="19"/>
          <w:szCs w:val="19"/>
          <w:b w:val="1"/>
          <w:bCs w:val="1"/>
          <w:color w:val="auto"/>
        </w:rPr>
      </w:pPr>
      <w:r>
        <w:rPr>
          <w:rFonts w:ascii="Arial" w:cs="Arial" w:eastAsia="Arial" w:hAnsi="Arial"/>
          <w:sz w:val="19"/>
          <w:szCs w:val="19"/>
          <w:b w:val="1"/>
          <w:bCs w:val="1"/>
          <w:color w:val="auto"/>
        </w:rPr>
        <w:t>PRICES AND PAYMENT TERMS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6.1</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3"/>
              </w:rPr>
              <w:t xml:space="preserve">Prices. </w:t>
            </w:r>
            <w:r>
              <w:rPr>
                <w:rFonts w:ascii="Arial" w:cs="Arial" w:eastAsia="Arial" w:hAnsi="Arial"/>
                <w:sz w:val="19"/>
                <w:szCs w:val="19"/>
                <w:color w:val="auto"/>
                <w:w w:val="93"/>
              </w:rPr>
              <w:t>Customer shall pay Supplier the prices for the Final Product as listed in Annex 6 (Prices). For the avoidance of doubt, these</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prices shall also compensate Supplier for the Supplier Bulk Supply as part of the Final Product. [***]</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6.2</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3"/>
              </w:rPr>
              <w:t xml:space="preserve">Price Updates; Early Termination of Supply. </w:t>
            </w:r>
            <w:r>
              <w:rPr>
                <w:rFonts w:ascii="Arial" w:cs="Arial" w:eastAsia="Arial" w:hAnsi="Arial"/>
                <w:sz w:val="19"/>
                <w:szCs w:val="19"/>
                <w:color w:val="auto"/>
                <w:w w:val="93"/>
              </w:rPr>
              <w:t>[***] Supplier may adjust the Price [***] by written notice to Customer solely to reflect</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2"/>
              </w:rPr>
              <w:t>actual and documented changes to: [***]. New prices will be applicable for all deliveries of the Final Product starting from January 1 of</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the following calendar year.</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6.3</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0"/>
              </w:rPr>
              <w:t xml:space="preserve">Improvements. </w:t>
            </w:r>
            <w:r>
              <w:rPr>
                <w:rFonts w:ascii="Arial" w:cs="Arial" w:eastAsia="Arial" w:hAnsi="Arial"/>
                <w:sz w:val="19"/>
                <w:szCs w:val="19"/>
                <w:color w:val="auto"/>
                <w:w w:val="90"/>
              </w:rPr>
              <w:t>Supplier shall use commercially reasonable efforts to identify and develop changes to the Packaging Process and other</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1"/>
              </w:rPr>
              <w:t>mechanisms for maintaining quality and lowering costs, e.g. by seeking productivity improvements, improving yields etc. Supplier shall</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1"/>
              </w:rPr>
              <w:t>promptly notify Customer regarding any such potential changes that it identifies. In addition, Customer may propose to Supplier certain</w:t>
            </w:r>
          </w:p>
        </w:tc>
      </w:tr>
      <w:tr>
        <w:trPr>
          <w:trHeight w:val="234"/>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0"/>
              </w:rPr>
              <w:t>changes to the Final Product Specifications or the Packaging Process that it reasonably believes will improve the manufacturing process</w:t>
            </w:r>
          </w:p>
        </w:tc>
      </w:tr>
    </w:tbl>
    <w:p>
      <w:pPr>
        <w:jc w:val="both"/>
        <w:ind w:left="880"/>
        <w:spacing w:after="0" w:line="279" w:lineRule="auto"/>
        <w:rPr>
          <w:sz w:val="20"/>
          <w:szCs w:val="20"/>
          <w:color w:val="auto"/>
        </w:rPr>
      </w:pPr>
      <w:r>
        <w:rPr>
          <w:rFonts w:ascii="Arial" w:cs="Arial" w:eastAsia="Arial" w:hAnsi="Arial"/>
          <w:sz w:val="17"/>
          <w:szCs w:val="17"/>
          <w:color w:val="auto"/>
        </w:rPr>
        <w:t>or lower costs or that Customer otherwise wishes to implement in connection with the Final Product or the Processing thereof. [***]. If Supplier has assessed and agreed to proposed changes from Customer, Supplier shall provide a cost proposal and timeline for the implementation of such change. Related cost shall be covered by the Customer. The Parties shall mutually agree on which changes, if any, shall be further developed or implemented in accordance with the change control procedures set forth in the 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71386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67"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8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1"/>
              </w:rPr>
              <w:t>Agreement. Except as the Parties may otherwise agree in writing, Supplier and Customer shall share in any cost savings resulting from</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4"/>
              </w:rPr>
              <w:t>the implementation thereof based on each Party’s relative contribution (in time and expense) to such implementation, such relative</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3"/>
              </w:rPr>
              <w:t>contribution to be mutually agreed upon by the Parties prior to undertaking any such cost saving changes, such agreement not to be</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3"/>
              </w:rPr>
              <w:t>unreasonably withheld.  Notwithstanding anything to the contrary, each party may withhold its consent to implementation of any cost</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1"/>
              </w:rPr>
              <w:t>saving changes in its sole discretion. Promptly following such implementation, the prices for the Final Product payable by Customer as</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2"/>
              </w:rPr>
              <w:t>set forth on Annex 6 shall be reduced to reflect Customer’s share of such cost savings. For the avoidance of doubt, an increase in the</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batch size of the Final Product up to [***] shall not give rise to a price reduction.</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6.4</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5"/>
              </w:rPr>
              <w:t xml:space="preserve">Currency and Payment Terms. </w:t>
            </w:r>
            <w:r>
              <w:rPr>
                <w:rFonts w:ascii="Arial" w:cs="Arial" w:eastAsia="Arial" w:hAnsi="Arial"/>
                <w:sz w:val="19"/>
                <w:szCs w:val="19"/>
                <w:color w:val="auto"/>
                <w:w w:val="95"/>
              </w:rPr>
              <w:t>All payments pursuant to this Agreement shall be made in Euros and shall be paid within [***] of</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0"/>
              </w:rPr>
              <w:t>invoice by bank transfer direct remittance to the bank account designated by Supplier. All invoices sent to Customer shall be sent in .pdf</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4"/>
              </w:rPr>
              <w:t>format to [***].  Payments shall be made in full, without deduction of any transfer charges or banking commissions.  If any currency</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3"/>
              </w:rPr>
              <w:t>conversion will be required in connection with the calculation of any payment hereunder, such conversion will be made by using the</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0"/>
              </w:rPr>
              <w:t>exchange rate for purchase of Euros/US Dollars published by the European Central Bank for the respective day the payment was made.</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6.5</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4"/>
              </w:rPr>
              <w:t xml:space="preserve">Taxes and Charges. </w:t>
            </w:r>
            <w:r>
              <w:rPr>
                <w:rFonts w:ascii="Arial" w:cs="Arial" w:eastAsia="Arial" w:hAnsi="Arial"/>
                <w:sz w:val="19"/>
                <w:szCs w:val="19"/>
                <w:color w:val="auto"/>
                <w:w w:val="94"/>
              </w:rPr>
              <w:t>Customer shall be responsible for the collection, remittance and payment of any or all taxes, charges, levies,</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1"/>
              </w:rPr>
              <w:t>assessments and other fees of any kind imposed by any governmental authority or other competent body in respect of the importation,</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sale, lease or other distribution of the Final Product.</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6.6</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1"/>
              </w:rPr>
              <w:t xml:space="preserve">Default Payment Interests. </w:t>
            </w:r>
            <w:r>
              <w:rPr>
                <w:rFonts w:ascii="Arial" w:cs="Arial" w:eastAsia="Arial" w:hAnsi="Arial"/>
                <w:sz w:val="19"/>
                <w:szCs w:val="19"/>
                <w:color w:val="auto"/>
                <w:w w:val="91"/>
              </w:rPr>
              <w:t>Interest on payment by Customer hereunder shall be chargeable on any amounts that are more than [***]</w:t>
            </w:r>
          </w:p>
        </w:tc>
      </w:tr>
      <w:tr>
        <w:trPr>
          <w:trHeight w:val="218"/>
        </w:trPr>
        <w:tc>
          <w:tcPr>
            <w:tcW w:w="560" w:type="dxa"/>
            <w:vAlign w:val="bottom"/>
          </w:tcPr>
          <w:p>
            <w:pPr>
              <w:spacing w:after="0"/>
              <w:rPr>
                <w:sz w:val="18"/>
                <w:szCs w:val="18"/>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3"/>
              </w:rPr>
              <w:t>overdue at the rate of [***] per month (or, if less, the maximum amount permitted by law), to run from the due date for such payment</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w w:val="91"/>
              </w:rPr>
              <w:t>until receipt by Supplier of the full amount whether or not after judgment and without prejudice to any other right or remedy of Supplier.</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6.7</w:t>
            </w:r>
          </w:p>
        </w:tc>
        <w:tc>
          <w:tcPr>
            <w:tcW w:w="10680" w:type="dxa"/>
            <w:vAlign w:val="bottom"/>
          </w:tcPr>
          <w:p>
            <w:pPr>
              <w:ind w:left="320"/>
              <w:spacing w:after="0"/>
              <w:rPr>
                <w:sz w:val="20"/>
                <w:szCs w:val="20"/>
                <w:color w:val="auto"/>
              </w:rPr>
            </w:pPr>
            <w:r>
              <w:rPr>
                <w:rFonts w:ascii="Arial" w:cs="Arial" w:eastAsia="Arial" w:hAnsi="Arial"/>
                <w:sz w:val="19"/>
                <w:szCs w:val="19"/>
                <w:b w:val="1"/>
                <w:bCs w:val="1"/>
                <w:color w:val="auto"/>
                <w:w w:val="91"/>
              </w:rPr>
              <w:t xml:space="preserve">Unpaid Invoices. </w:t>
            </w:r>
            <w:r>
              <w:rPr>
                <w:rFonts w:ascii="Arial" w:cs="Arial" w:eastAsia="Arial" w:hAnsi="Arial"/>
                <w:sz w:val="19"/>
                <w:szCs w:val="19"/>
                <w:color w:val="auto"/>
                <w:w w:val="91"/>
              </w:rPr>
              <w:t>Upon expiration or termination of this Agreement all outstanding unpaid invoices shall become payable immediately</w:t>
            </w:r>
          </w:p>
        </w:tc>
      </w:tr>
      <w:tr>
        <w:trPr>
          <w:trHeight w:val="240"/>
        </w:trPr>
        <w:tc>
          <w:tcPr>
            <w:tcW w:w="560" w:type="dxa"/>
            <w:vAlign w:val="bottom"/>
          </w:tcPr>
          <w:p>
            <w:pPr>
              <w:spacing w:after="0"/>
              <w:rPr>
                <w:sz w:val="20"/>
                <w:szCs w:val="20"/>
                <w:color w:val="auto"/>
              </w:rPr>
            </w:pPr>
          </w:p>
        </w:tc>
        <w:tc>
          <w:tcPr>
            <w:tcW w:w="10680" w:type="dxa"/>
            <w:vAlign w:val="bottom"/>
          </w:tcPr>
          <w:p>
            <w:pPr>
              <w:ind w:left="320"/>
              <w:spacing w:after="0"/>
              <w:rPr>
                <w:sz w:val="20"/>
                <w:szCs w:val="20"/>
                <w:color w:val="auto"/>
              </w:rPr>
            </w:pPr>
            <w:r>
              <w:rPr>
                <w:rFonts w:ascii="Arial" w:cs="Arial" w:eastAsia="Arial" w:hAnsi="Arial"/>
                <w:sz w:val="19"/>
                <w:szCs w:val="19"/>
                <w:color w:val="auto"/>
              </w:rPr>
              <w:t>in place of the payment terms previously agreed by the Parties.</w:t>
            </w:r>
          </w:p>
        </w:tc>
      </w:tr>
    </w:tbl>
    <w:p>
      <w:pPr>
        <w:spacing w:after="0" w:line="281" w:lineRule="exact"/>
        <w:rPr>
          <w:sz w:val="20"/>
          <w:szCs w:val="20"/>
          <w:color w:val="auto"/>
        </w:rPr>
      </w:pPr>
    </w:p>
    <w:p>
      <w:pPr>
        <w:ind w:left="880" w:hanging="877"/>
        <w:spacing w:after="0"/>
        <w:tabs>
          <w:tab w:leader="none" w:pos="880"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INTELLECTUAL PROPERTY</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7.1</w:t>
            </w:r>
          </w:p>
        </w:tc>
        <w:tc>
          <w:tcPr>
            <w:tcW w:w="10680" w:type="dxa"/>
            <w:vAlign w:val="bottom"/>
            <w:gridSpan w:val="2"/>
          </w:tcPr>
          <w:p>
            <w:pPr>
              <w:ind w:left="320"/>
              <w:spacing w:after="0"/>
              <w:rPr>
                <w:sz w:val="20"/>
                <w:szCs w:val="20"/>
                <w:color w:val="auto"/>
              </w:rPr>
            </w:pPr>
            <w:r>
              <w:rPr>
                <w:rFonts w:ascii="Arial" w:cs="Arial" w:eastAsia="Arial" w:hAnsi="Arial"/>
                <w:sz w:val="19"/>
                <w:szCs w:val="19"/>
                <w:b w:val="1"/>
                <w:bCs w:val="1"/>
                <w:color w:val="auto"/>
                <w:w w:val="91"/>
              </w:rPr>
              <w:t xml:space="preserve">Background Intellectual Property. </w:t>
            </w:r>
            <w:r>
              <w:rPr>
                <w:rFonts w:ascii="Arial" w:cs="Arial" w:eastAsia="Arial" w:hAnsi="Arial"/>
                <w:sz w:val="19"/>
                <w:szCs w:val="19"/>
                <w:color w:val="auto"/>
                <w:w w:val="91"/>
              </w:rPr>
              <w:t>Each Party’s Intellectual Property, which is owned by or licensed to that Party prior to the Effective</w:t>
            </w:r>
          </w:p>
        </w:tc>
      </w:tr>
      <w:tr>
        <w:trPr>
          <w:trHeight w:val="212"/>
        </w:trPr>
        <w:tc>
          <w:tcPr>
            <w:tcW w:w="560" w:type="dxa"/>
            <w:vAlign w:val="bottom"/>
          </w:tcPr>
          <w:p>
            <w:pPr>
              <w:spacing w:after="0"/>
              <w:rPr>
                <w:sz w:val="18"/>
                <w:szCs w:val="18"/>
                <w:color w:val="auto"/>
              </w:rPr>
            </w:pPr>
          </w:p>
        </w:tc>
        <w:tc>
          <w:tcPr>
            <w:tcW w:w="720" w:type="dxa"/>
            <w:vAlign w:val="bottom"/>
          </w:tcPr>
          <w:p>
            <w:pPr>
              <w:ind w:left="320"/>
              <w:spacing w:after="0" w:line="213" w:lineRule="exact"/>
              <w:rPr>
                <w:sz w:val="20"/>
                <w:szCs w:val="20"/>
                <w:color w:val="auto"/>
              </w:rPr>
            </w:pPr>
            <w:r>
              <w:rPr>
                <w:rFonts w:ascii="Arial" w:cs="Arial" w:eastAsia="Arial" w:hAnsi="Arial"/>
                <w:sz w:val="19"/>
                <w:szCs w:val="19"/>
                <w:color w:val="auto"/>
                <w:w w:val="94"/>
              </w:rPr>
              <w:t>Date</w:t>
            </w:r>
          </w:p>
        </w:tc>
        <w:tc>
          <w:tcPr>
            <w:tcW w:w="9960" w:type="dxa"/>
            <w:vAlign w:val="bottom"/>
          </w:tcPr>
          <w:p>
            <w:pPr>
              <w:ind w:left="40"/>
              <w:spacing w:after="0" w:line="213" w:lineRule="exact"/>
              <w:rPr>
                <w:sz w:val="20"/>
                <w:szCs w:val="20"/>
                <w:color w:val="auto"/>
              </w:rPr>
            </w:pPr>
            <w:r>
              <w:rPr>
                <w:rFonts w:ascii="Arial" w:cs="Arial" w:eastAsia="Arial" w:hAnsi="Arial"/>
                <w:sz w:val="19"/>
                <w:szCs w:val="19"/>
                <w:color w:val="auto"/>
                <w:w w:val="98"/>
              </w:rPr>
              <w:t>of this Agreement or which is not invented, discovered, generated or derived under or in connection with this Agreement</w:t>
            </w:r>
          </w:p>
        </w:tc>
      </w:tr>
      <w:tr>
        <w:trPr>
          <w:trHeight w:val="224"/>
        </w:trPr>
        <w:tc>
          <w:tcPr>
            <w:tcW w:w="560" w:type="dxa"/>
            <w:vAlign w:val="bottom"/>
          </w:tcPr>
          <w:p>
            <w:pPr>
              <w:spacing w:after="0"/>
              <w:rPr>
                <w:sz w:val="19"/>
                <w:szCs w:val="19"/>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0"/>
              </w:rPr>
              <w:t>(“</w:t>
            </w:r>
            <w:r>
              <w:rPr>
                <w:rFonts w:ascii="Arial" w:cs="Arial" w:eastAsia="Arial" w:hAnsi="Arial"/>
                <w:sz w:val="19"/>
                <w:szCs w:val="19"/>
                <w:b w:val="1"/>
                <w:bCs w:val="1"/>
                <w:color w:val="auto"/>
                <w:w w:val="90"/>
              </w:rPr>
              <w:t>Background Intellectual Property</w:t>
            </w:r>
            <w:r>
              <w:rPr>
                <w:rFonts w:ascii="Arial" w:cs="Arial" w:eastAsia="Arial" w:hAnsi="Arial"/>
                <w:sz w:val="19"/>
                <w:szCs w:val="19"/>
                <w:color w:val="auto"/>
                <w:w w:val="90"/>
              </w:rPr>
              <w:t>”) is and shall remain owned by or licensed to that Party. Except as expressly stated herein, nothing</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6"/>
              </w:rPr>
              <w:t>in this Agreement shall constitute or grant any implied license or ownership in proprietary rights or permission to file any patent,</w:t>
            </w:r>
          </w:p>
        </w:tc>
      </w:tr>
      <w:tr>
        <w:trPr>
          <w:trHeight w:val="240"/>
        </w:trPr>
        <w:tc>
          <w:tcPr>
            <w:tcW w:w="560" w:type="dxa"/>
            <w:vAlign w:val="bottom"/>
          </w:tcPr>
          <w:p>
            <w:pPr>
              <w:spacing w:after="0"/>
              <w:rPr>
                <w:sz w:val="20"/>
                <w:szCs w:val="20"/>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rPr>
              <w:t>copyright or any other Intellectual Property rights to either Party under the other Party’s Background Intellectual Property.</w:t>
            </w:r>
          </w:p>
        </w:tc>
      </w:tr>
      <w:tr>
        <w:trPr>
          <w:trHeight w:val="321"/>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7.2</w:t>
            </w:r>
          </w:p>
        </w:tc>
        <w:tc>
          <w:tcPr>
            <w:tcW w:w="10680" w:type="dxa"/>
            <w:vAlign w:val="bottom"/>
            <w:gridSpan w:val="2"/>
          </w:tcPr>
          <w:p>
            <w:pPr>
              <w:ind w:left="320"/>
              <w:spacing w:after="0"/>
              <w:rPr>
                <w:sz w:val="20"/>
                <w:szCs w:val="20"/>
                <w:color w:val="auto"/>
              </w:rPr>
            </w:pPr>
            <w:r>
              <w:rPr>
                <w:rFonts w:ascii="Arial" w:cs="Arial" w:eastAsia="Arial" w:hAnsi="Arial"/>
                <w:sz w:val="19"/>
                <w:szCs w:val="19"/>
                <w:b w:val="1"/>
                <w:bCs w:val="1"/>
                <w:color w:val="auto"/>
              </w:rPr>
              <w:t xml:space="preserve">Customer Intellectual Property. </w:t>
            </w:r>
            <w:r>
              <w:rPr>
                <w:rFonts w:ascii="Arial" w:cs="Arial" w:eastAsia="Arial" w:hAnsi="Arial"/>
                <w:sz w:val="19"/>
                <w:szCs w:val="19"/>
                <w:color w:val="auto"/>
              </w:rPr>
              <w:t>Customer shall in any case retain ownership in or tile to</w:t>
            </w:r>
          </w:p>
        </w:tc>
      </w:tr>
      <w:tr>
        <w:trPr>
          <w:trHeight w:val="321"/>
        </w:trPr>
        <w:tc>
          <w:tcPr>
            <w:tcW w:w="56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9"/>
                <w:szCs w:val="19"/>
                <w:color w:val="auto"/>
              </w:rPr>
              <w:t>(a)</w:t>
            </w:r>
          </w:p>
        </w:tc>
        <w:tc>
          <w:tcPr>
            <w:tcW w:w="9960" w:type="dxa"/>
            <w:vAlign w:val="bottom"/>
          </w:tcPr>
          <w:p>
            <w:pPr>
              <w:ind w:left="480"/>
              <w:spacing w:after="0"/>
              <w:rPr>
                <w:sz w:val="20"/>
                <w:szCs w:val="20"/>
                <w:color w:val="auto"/>
              </w:rPr>
            </w:pPr>
            <w:r>
              <w:rPr>
                <w:rFonts w:ascii="Arial" w:cs="Arial" w:eastAsia="Arial" w:hAnsi="Arial"/>
                <w:sz w:val="19"/>
                <w:szCs w:val="19"/>
                <w:color w:val="auto"/>
              </w:rPr>
              <w:t>The Packaging Process and the Bulk Specifications relating to the Customer Provided Bulk Products;</w:t>
            </w:r>
          </w:p>
        </w:tc>
      </w:tr>
      <w:tr>
        <w:trPr>
          <w:trHeight w:val="321"/>
        </w:trPr>
        <w:tc>
          <w:tcPr>
            <w:tcW w:w="56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9"/>
                <w:szCs w:val="19"/>
                <w:color w:val="auto"/>
              </w:rPr>
              <w:t>(b)</w:t>
            </w:r>
          </w:p>
        </w:tc>
        <w:tc>
          <w:tcPr>
            <w:tcW w:w="9960" w:type="dxa"/>
            <w:vAlign w:val="bottom"/>
          </w:tcPr>
          <w:p>
            <w:pPr>
              <w:ind w:left="480"/>
              <w:spacing w:after="0"/>
              <w:rPr>
                <w:sz w:val="20"/>
                <w:szCs w:val="20"/>
                <w:color w:val="auto"/>
              </w:rPr>
            </w:pPr>
            <w:r>
              <w:rPr>
                <w:rFonts w:ascii="Arial" w:cs="Arial" w:eastAsia="Arial" w:hAnsi="Arial"/>
                <w:sz w:val="19"/>
                <w:szCs w:val="19"/>
                <w:color w:val="auto"/>
              </w:rPr>
              <w:t>Any Intellectual Property rights relating to the Final Product and the Customer Provided Bulk Products;</w:t>
            </w:r>
          </w:p>
        </w:tc>
      </w:tr>
      <w:tr>
        <w:trPr>
          <w:trHeight w:val="321"/>
        </w:trPr>
        <w:tc>
          <w:tcPr>
            <w:tcW w:w="56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19"/>
                <w:szCs w:val="19"/>
                <w:color w:val="auto"/>
              </w:rPr>
              <w:t>(c)</w:t>
            </w:r>
          </w:p>
        </w:tc>
        <w:tc>
          <w:tcPr>
            <w:tcW w:w="9960" w:type="dxa"/>
            <w:vAlign w:val="bottom"/>
          </w:tcPr>
          <w:p>
            <w:pPr>
              <w:ind w:left="480"/>
              <w:spacing w:after="0"/>
              <w:rPr>
                <w:sz w:val="20"/>
                <w:szCs w:val="20"/>
                <w:color w:val="auto"/>
              </w:rPr>
            </w:pPr>
            <w:r>
              <w:rPr>
                <w:rFonts w:ascii="Arial" w:cs="Arial" w:eastAsia="Arial" w:hAnsi="Arial"/>
                <w:sz w:val="19"/>
                <w:szCs w:val="19"/>
                <w:color w:val="auto"/>
              </w:rPr>
              <w:t>The artwork, advertising and packaging information relating to the Final Product;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386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7"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9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18"/>
        </w:trPr>
        <w:tc>
          <w:tcPr>
            <w:tcW w:w="56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Arial" w:cs="Arial" w:eastAsia="Arial" w:hAnsi="Arial"/>
                <w:sz w:val="19"/>
                <w:szCs w:val="19"/>
                <w:color w:val="auto"/>
              </w:rPr>
              <w:t>(d)</w:t>
            </w:r>
          </w:p>
        </w:tc>
        <w:tc>
          <w:tcPr>
            <w:tcW w:w="9900" w:type="dxa"/>
            <w:vAlign w:val="bottom"/>
          </w:tcPr>
          <w:p>
            <w:pPr>
              <w:ind w:left="420"/>
              <w:spacing w:after="0"/>
              <w:rPr>
                <w:sz w:val="20"/>
                <w:szCs w:val="20"/>
                <w:color w:val="auto"/>
              </w:rPr>
            </w:pPr>
            <w:r>
              <w:rPr>
                <w:rFonts w:ascii="Arial" w:cs="Arial" w:eastAsia="Arial" w:hAnsi="Arial"/>
                <w:sz w:val="19"/>
                <w:szCs w:val="19"/>
                <w:color w:val="auto"/>
                <w:w w:val="93"/>
              </w:rPr>
              <w:t>Any other Intellectual Property solely invented, discovered, generated or derived by Customer or its Affiliates under or in</w:t>
            </w:r>
          </w:p>
        </w:tc>
      </w:tr>
      <w:tr>
        <w:trPr>
          <w:trHeight w:val="240"/>
        </w:trPr>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00" w:type="dxa"/>
            <w:vAlign w:val="bottom"/>
          </w:tcPr>
          <w:p>
            <w:pPr>
              <w:ind w:left="420"/>
              <w:spacing w:after="0"/>
              <w:rPr>
                <w:sz w:val="20"/>
                <w:szCs w:val="20"/>
                <w:color w:val="auto"/>
              </w:rPr>
            </w:pPr>
            <w:r>
              <w:rPr>
                <w:rFonts w:ascii="Arial" w:cs="Arial" w:eastAsia="Arial" w:hAnsi="Arial"/>
                <w:sz w:val="19"/>
                <w:szCs w:val="19"/>
                <w:color w:val="auto"/>
              </w:rPr>
              <w:t>connection with this Agreement and/or the Final Product.</w:t>
            </w:r>
          </w:p>
        </w:tc>
      </w:tr>
      <w:tr>
        <w:trPr>
          <w:trHeight w:val="321"/>
        </w:trPr>
        <w:tc>
          <w:tcPr>
            <w:tcW w:w="560" w:type="dxa"/>
            <w:vAlign w:val="bottom"/>
          </w:tcPr>
          <w:p>
            <w:pPr>
              <w:spacing w:after="0"/>
              <w:rPr>
                <w:sz w:val="20"/>
                <w:szCs w:val="20"/>
                <w:color w:val="auto"/>
              </w:rPr>
            </w:pPr>
            <w:r>
              <w:rPr>
                <w:rFonts w:ascii="Arial" w:cs="Arial" w:eastAsia="Arial" w:hAnsi="Arial"/>
                <w:sz w:val="19"/>
                <w:szCs w:val="19"/>
                <w:b w:val="1"/>
                <w:bCs w:val="1"/>
                <w:color w:val="auto"/>
              </w:rPr>
              <w:t>7.3</w:t>
            </w:r>
          </w:p>
        </w:tc>
        <w:tc>
          <w:tcPr>
            <w:tcW w:w="10680" w:type="dxa"/>
            <w:vAlign w:val="bottom"/>
            <w:gridSpan w:val="2"/>
          </w:tcPr>
          <w:p>
            <w:pPr>
              <w:ind w:left="320"/>
              <w:spacing w:after="0"/>
              <w:rPr>
                <w:sz w:val="20"/>
                <w:szCs w:val="20"/>
                <w:color w:val="auto"/>
              </w:rPr>
            </w:pPr>
            <w:r>
              <w:rPr>
                <w:rFonts w:ascii="Arial" w:cs="Arial" w:eastAsia="Arial" w:hAnsi="Arial"/>
                <w:sz w:val="19"/>
                <w:szCs w:val="19"/>
                <w:b w:val="1"/>
                <w:bCs w:val="1"/>
                <w:color w:val="auto"/>
              </w:rPr>
              <w:t xml:space="preserve">Supplier Intellectual Property. </w:t>
            </w:r>
            <w:r>
              <w:rPr>
                <w:rFonts w:ascii="Arial" w:cs="Arial" w:eastAsia="Arial" w:hAnsi="Arial"/>
                <w:sz w:val="19"/>
                <w:szCs w:val="19"/>
                <w:color w:val="auto"/>
              </w:rPr>
              <w:t>Moreover, Supplier shall in any case retain ownership in</w:t>
            </w:r>
          </w:p>
        </w:tc>
      </w:tr>
      <w:tr>
        <w:trPr>
          <w:trHeight w:val="300"/>
        </w:trPr>
        <w:tc>
          <w:tcPr>
            <w:tcW w:w="5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19"/>
                <w:szCs w:val="19"/>
                <w:color w:val="auto"/>
              </w:rPr>
              <w:t>(a)</w:t>
            </w:r>
          </w:p>
        </w:tc>
        <w:tc>
          <w:tcPr>
            <w:tcW w:w="9900" w:type="dxa"/>
            <w:vAlign w:val="bottom"/>
          </w:tcPr>
          <w:p>
            <w:pPr>
              <w:ind w:left="420"/>
              <w:spacing w:after="0"/>
              <w:rPr>
                <w:sz w:val="20"/>
                <w:szCs w:val="20"/>
                <w:color w:val="auto"/>
              </w:rPr>
            </w:pPr>
            <w:r>
              <w:rPr>
                <w:rFonts w:ascii="Arial" w:cs="Arial" w:eastAsia="Arial" w:hAnsi="Arial"/>
                <w:sz w:val="19"/>
                <w:szCs w:val="19"/>
                <w:color w:val="auto"/>
                <w:w w:val="91"/>
              </w:rPr>
              <w:t>The manufacturing process of Supplier Provided Bulk Products and the Bulk Specifications relating to the Supplier Provided</w:t>
            </w:r>
          </w:p>
        </w:tc>
      </w:tr>
      <w:tr>
        <w:trPr>
          <w:trHeight w:val="240"/>
        </w:trPr>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00" w:type="dxa"/>
            <w:vAlign w:val="bottom"/>
          </w:tcPr>
          <w:p>
            <w:pPr>
              <w:ind w:left="420"/>
              <w:spacing w:after="0"/>
              <w:rPr>
                <w:sz w:val="20"/>
                <w:szCs w:val="20"/>
                <w:color w:val="auto"/>
              </w:rPr>
            </w:pPr>
            <w:r>
              <w:rPr>
                <w:rFonts w:ascii="Arial" w:cs="Arial" w:eastAsia="Arial" w:hAnsi="Arial"/>
                <w:sz w:val="19"/>
                <w:szCs w:val="19"/>
                <w:color w:val="auto"/>
              </w:rPr>
              <w:t>Bulk Products;</w:t>
            </w:r>
          </w:p>
        </w:tc>
      </w:tr>
      <w:tr>
        <w:trPr>
          <w:trHeight w:val="321"/>
        </w:trPr>
        <w:tc>
          <w:tcPr>
            <w:tcW w:w="5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19"/>
                <w:szCs w:val="19"/>
                <w:color w:val="auto"/>
              </w:rPr>
              <w:t>(b)</w:t>
            </w:r>
          </w:p>
        </w:tc>
        <w:tc>
          <w:tcPr>
            <w:tcW w:w="9900" w:type="dxa"/>
            <w:vAlign w:val="bottom"/>
          </w:tcPr>
          <w:p>
            <w:pPr>
              <w:ind w:left="420"/>
              <w:spacing w:after="0"/>
              <w:rPr>
                <w:sz w:val="20"/>
                <w:szCs w:val="20"/>
                <w:color w:val="auto"/>
              </w:rPr>
            </w:pPr>
            <w:r>
              <w:rPr>
                <w:rFonts w:ascii="Arial" w:cs="Arial" w:eastAsia="Arial" w:hAnsi="Arial"/>
                <w:sz w:val="19"/>
                <w:szCs w:val="19"/>
                <w:color w:val="auto"/>
              </w:rPr>
              <w:t>Any Intellectual Property rights relating to the Supplier Provided Bulk Products; and</w:t>
            </w:r>
          </w:p>
        </w:tc>
      </w:tr>
      <w:tr>
        <w:trPr>
          <w:trHeight w:val="300"/>
        </w:trPr>
        <w:tc>
          <w:tcPr>
            <w:tcW w:w="5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19"/>
                <w:szCs w:val="19"/>
                <w:color w:val="auto"/>
              </w:rPr>
              <w:t>(c)</w:t>
            </w:r>
          </w:p>
        </w:tc>
        <w:tc>
          <w:tcPr>
            <w:tcW w:w="9900" w:type="dxa"/>
            <w:vAlign w:val="bottom"/>
          </w:tcPr>
          <w:p>
            <w:pPr>
              <w:ind w:left="420"/>
              <w:spacing w:after="0"/>
              <w:rPr>
                <w:sz w:val="20"/>
                <w:szCs w:val="20"/>
                <w:color w:val="auto"/>
              </w:rPr>
            </w:pPr>
            <w:r>
              <w:rPr>
                <w:rFonts w:ascii="Arial" w:cs="Arial" w:eastAsia="Arial" w:hAnsi="Arial"/>
                <w:sz w:val="19"/>
                <w:szCs w:val="19"/>
                <w:color w:val="auto"/>
                <w:w w:val="95"/>
              </w:rPr>
              <w:t>Any other Intellectual Property solely invented, discovered, generated or derived by Supplier or its Affiliates under or in</w:t>
            </w:r>
          </w:p>
        </w:tc>
      </w:tr>
      <w:tr>
        <w:trPr>
          <w:trHeight w:val="240"/>
        </w:trPr>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00" w:type="dxa"/>
            <w:vAlign w:val="bottom"/>
          </w:tcPr>
          <w:p>
            <w:pPr>
              <w:ind w:left="420"/>
              <w:spacing w:after="0"/>
              <w:rPr>
                <w:sz w:val="20"/>
                <w:szCs w:val="20"/>
                <w:color w:val="auto"/>
              </w:rPr>
            </w:pPr>
            <w:r>
              <w:rPr>
                <w:rFonts w:ascii="Arial" w:cs="Arial" w:eastAsia="Arial" w:hAnsi="Arial"/>
                <w:sz w:val="19"/>
                <w:szCs w:val="19"/>
                <w:color w:val="auto"/>
              </w:rPr>
              <w:t>connection with this Agreement and/or the Supplier Provided Bulk Products.</w:t>
            </w:r>
          </w:p>
        </w:tc>
      </w:tr>
      <w:tr>
        <w:trPr>
          <w:trHeight w:val="300"/>
        </w:trPr>
        <w:tc>
          <w:tcPr>
            <w:tcW w:w="560" w:type="dxa"/>
            <w:vAlign w:val="bottom"/>
          </w:tcPr>
          <w:p>
            <w:pPr>
              <w:spacing w:after="0"/>
              <w:rPr>
                <w:sz w:val="20"/>
                <w:szCs w:val="20"/>
                <w:color w:val="auto"/>
              </w:rPr>
            </w:pPr>
            <w:r>
              <w:rPr>
                <w:rFonts w:ascii="Arial" w:cs="Arial" w:eastAsia="Arial" w:hAnsi="Arial"/>
                <w:sz w:val="19"/>
                <w:szCs w:val="19"/>
                <w:b w:val="1"/>
                <w:bCs w:val="1"/>
                <w:color w:val="auto"/>
              </w:rPr>
              <w:t>7.4</w:t>
            </w:r>
          </w:p>
        </w:tc>
        <w:tc>
          <w:tcPr>
            <w:tcW w:w="10680" w:type="dxa"/>
            <w:vAlign w:val="bottom"/>
            <w:gridSpan w:val="2"/>
          </w:tcPr>
          <w:p>
            <w:pPr>
              <w:ind w:left="320"/>
              <w:spacing w:after="0"/>
              <w:rPr>
                <w:sz w:val="20"/>
                <w:szCs w:val="20"/>
                <w:color w:val="auto"/>
              </w:rPr>
            </w:pPr>
            <w:r>
              <w:rPr>
                <w:rFonts w:ascii="Arial" w:cs="Arial" w:eastAsia="Arial" w:hAnsi="Arial"/>
                <w:sz w:val="19"/>
                <w:szCs w:val="19"/>
                <w:b w:val="1"/>
                <w:bCs w:val="1"/>
                <w:color w:val="auto"/>
                <w:w w:val="96"/>
              </w:rPr>
              <w:t xml:space="preserve">Customer's Trademarks.  </w:t>
            </w:r>
            <w:r>
              <w:rPr>
                <w:rFonts w:ascii="Arial" w:cs="Arial" w:eastAsia="Arial" w:hAnsi="Arial"/>
                <w:sz w:val="19"/>
                <w:szCs w:val="19"/>
                <w:color w:val="auto"/>
                <w:w w:val="96"/>
              </w:rPr>
              <w:t>The Final Products shall bear such trademarks, logos and trade names as Customer shall direct.  All</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89"/>
              </w:rPr>
              <w:t>Intellectual Property rights in such trademarks, logos and trade names shall remain the property of Customer, and Customer shall take all</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1"/>
              </w:rPr>
              <w:t>necessary actions and bear all fees to file, register and maintain effective these rights as necessary in the Territory for the Term of this</w:t>
            </w:r>
          </w:p>
        </w:tc>
      </w:tr>
      <w:tr>
        <w:trPr>
          <w:trHeight w:val="240"/>
        </w:trPr>
        <w:tc>
          <w:tcPr>
            <w:tcW w:w="560" w:type="dxa"/>
            <w:vAlign w:val="bottom"/>
          </w:tcPr>
          <w:p>
            <w:pPr>
              <w:spacing w:after="0"/>
              <w:rPr>
                <w:sz w:val="20"/>
                <w:szCs w:val="20"/>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rPr>
              <w:t>Agreement.</w:t>
            </w:r>
          </w:p>
        </w:tc>
      </w:tr>
      <w:tr>
        <w:trPr>
          <w:trHeight w:val="300"/>
        </w:trPr>
        <w:tc>
          <w:tcPr>
            <w:tcW w:w="560" w:type="dxa"/>
            <w:vAlign w:val="bottom"/>
          </w:tcPr>
          <w:p>
            <w:pPr>
              <w:spacing w:after="0"/>
              <w:rPr>
                <w:sz w:val="20"/>
                <w:szCs w:val="20"/>
                <w:color w:val="auto"/>
              </w:rPr>
            </w:pPr>
            <w:r>
              <w:rPr>
                <w:rFonts w:ascii="Arial" w:cs="Arial" w:eastAsia="Arial" w:hAnsi="Arial"/>
                <w:sz w:val="19"/>
                <w:szCs w:val="19"/>
                <w:b w:val="1"/>
                <w:bCs w:val="1"/>
                <w:color w:val="auto"/>
              </w:rPr>
              <w:t>7.5</w:t>
            </w:r>
          </w:p>
        </w:tc>
        <w:tc>
          <w:tcPr>
            <w:tcW w:w="10680" w:type="dxa"/>
            <w:vAlign w:val="bottom"/>
            <w:gridSpan w:val="2"/>
          </w:tcPr>
          <w:p>
            <w:pPr>
              <w:ind w:left="320"/>
              <w:spacing w:after="0"/>
              <w:rPr>
                <w:sz w:val="20"/>
                <w:szCs w:val="20"/>
                <w:color w:val="auto"/>
              </w:rPr>
            </w:pPr>
            <w:r>
              <w:rPr>
                <w:rFonts w:ascii="Arial" w:cs="Arial" w:eastAsia="Arial" w:hAnsi="Arial"/>
                <w:sz w:val="19"/>
                <w:szCs w:val="19"/>
                <w:b w:val="1"/>
                <w:bCs w:val="1"/>
                <w:color w:val="auto"/>
                <w:w w:val="90"/>
              </w:rPr>
              <w:t xml:space="preserve">Supplier Provided Bulk Products License. </w:t>
            </w:r>
            <w:r>
              <w:rPr>
                <w:rFonts w:ascii="Arial" w:cs="Arial" w:eastAsia="Arial" w:hAnsi="Arial"/>
                <w:sz w:val="19"/>
                <w:szCs w:val="19"/>
                <w:color w:val="auto"/>
                <w:w w:val="90"/>
              </w:rPr>
              <w:t>Supplier hereby grants Customer a non-exclusive, non-transferable, royalty-free license for</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2"/>
              </w:rPr>
              <w:t>the Term of this Agreement to use Supplier’s Intellectual Property relating to Supplier Provided Bulk Products solely for the purpose of</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2"/>
              </w:rPr>
              <w:t>obtaining and/or maintaining any Marketing Authorizations in the Territory and for marketing, distributing and selling the Final Product</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8"/>
              </w:rPr>
              <w:t>in the Territory. Subject to the terms of this Agreement, the license does not grant Customer the right to manufacture or have</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4"/>
              </w:rPr>
              <w:t>manufactured by third parties Supplier Provided Bulk Products. For the avoidance of doubt, Supplier shall retain the right to use its</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6"/>
              </w:rPr>
              <w:t>Intellectual Property for any purpose inside or outside the Territory, including without limitation (i) the manufacturing, distributing,</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3"/>
              </w:rPr>
              <w:t>marketing or sale of the or any finished products containing Supplier Provided Bulk Products on its own, through Affiliates or through</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2"/>
              </w:rPr>
              <w:t>third parties inside or outside the Territory; (ii) the licensing of the respective Intellectual Property to other parties inside or outside the</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3"/>
              </w:rPr>
              <w:t>Territory who may use such information for similar purposes; or (iii) to sell Supplier Provided Bulk Products in bulk, finished or semi-</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1"/>
              </w:rPr>
              <w:t>finished form, or to sell the active pharmaceutical ingredients (API) used for the manufacture of Supplier Provided Bulk Products inside</w:t>
            </w:r>
          </w:p>
        </w:tc>
      </w:tr>
      <w:tr>
        <w:trPr>
          <w:trHeight w:val="240"/>
        </w:trPr>
        <w:tc>
          <w:tcPr>
            <w:tcW w:w="560" w:type="dxa"/>
            <w:vAlign w:val="bottom"/>
          </w:tcPr>
          <w:p>
            <w:pPr>
              <w:spacing w:after="0"/>
              <w:rPr>
                <w:sz w:val="20"/>
                <w:szCs w:val="20"/>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rPr>
              <w:t>or outside the Territory to any third party or its own Affiliates inside or outside the Territory.</w:t>
            </w:r>
          </w:p>
        </w:tc>
      </w:tr>
      <w:tr>
        <w:trPr>
          <w:trHeight w:val="300"/>
        </w:trPr>
        <w:tc>
          <w:tcPr>
            <w:tcW w:w="560" w:type="dxa"/>
            <w:vAlign w:val="bottom"/>
          </w:tcPr>
          <w:p>
            <w:pPr>
              <w:spacing w:after="0"/>
              <w:rPr>
                <w:sz w:val="20"/>
                <w:szCs w:val="20"/>
                <w:color w:val="auto"/>
              </w:rPr>
            </w:pPr>
            <w:r>
              <w:rPr>
                <w:rFonts w:ascii="Arial" w:cs="Arial" w:eastAsia="Arial" w:hAnsi="Arial"/>
                <w:sz w:val="19"/>
                <w:szCs w:val="19"/>
                <w:b w:val="1"/>
                <w:bCs w:val="1"/>
                <w:color w:val="auto"/>
              </w:rPr>
              <w:t>7.6</w:t>
            </w:r>
          </w:p>
        </w:tc>
        <w:tc>
          <w:tcPr>
            <w:tcW w:w="10680" w:type="dxa"/>
            <w:vAlign w:val="bottom"/>
            <w:gridSpan w:val="2"/>
          </w:tcPr>
          <w:p>
            <w:pPr>
              <w:ind w:left="320"/>
              <w:spacing w:after="0"/>
              <w:rPr>
                <w:sz w:val="20"/>
                <w:szCs w:val="20"/>
                <w:color w:val="auto"/>
              </w:rPr>
            </w:pPr>
            <w:r>
              <w:rPr>
                <w:rFonts w:ascii="Arial" w:cs="Arial" w:eastAsia="Arial" w:hAnsi="Arial"/>
                <w:sz w:val="19"/>
                <w:szCs w:val="19"/>
                <w:b w:val="1"/>
                <w:bCs w:val="1"/>
                <w:color w:val="auto"/>
                <w:w w:val="90"/>
              </w:rPr>
              <w:t xml:space="preserve">Packaging Process License. </w:t>
            </w:r>
            <w:r>
              <w:rPr>
                <w:rFonts w:ascii="Arial" w:cs="Arial" w:eastAsia="Arial" w:hAnsi="Arial"/>
                <w:sz w:val="19"/>
                <w:szCs w:val="19"/>
                <w:color w:val="auto"/>
                <w:w w:val="90"/>
              </w:rPr>
              <w:t>Customer hereby grants Supplier a non-exclusive, non-transferable, royalty-free license or sub-license for</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3"/>
              </w:rPr>
              <w:t>the Term of this Agreement to use any Intellectual Property in the Packaging Process and Customer Supplied Materials owned by or</w:t>
            </w:r>
          </w:p>
        </w:tc>
      </w:tr>
      <w:tr>
        <w:trPr>
          <w:trHeight w:val="240"/>
        </w:trPr>
        <w:tc>
          <w:tcPr>
            <w:tcW w:w="560" w:type="dxa"/>
            <w:vAlign w:val="bottom"/>
          </w:tcPr>
          <w:p>
            <w:pPr>
              <w:spacing w:after="0"/>
              <w:rPr>
                <w:sz w:val="20"/>
                <w:szCs w:val="20"/>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rPr>
              <w:t>licensed to Customer solely for the purpose of performing the Packaging Services.</w:t>
            </w:r>
          </w:p>
        </w:tc>
      </w:tr>
      <w:tr>
        <w:trPr>
          <w:trHeight w:val="300"/>
        </w:trPr>
        <w:tc>
          <w:tcPr>
            <w:tcW w:w="560" w:type="dxa"/>
            <w:vAlign w:val="bottom"/>
          </w:tcPr>
          <w:p>
            <w:pPr>
              <w:spacing w:after="0"/>
              <w:rPr>
                <w:sz w:val="20"/>
                <w:szCs w:val="20"/>
                <w:color w:val="auto"/>
              </w:rPr>
            </w:pPr>
            <w:r>
              <w:rPr>
                <w:rFonts w:ascii="Arial" w:cs="Arial" w:eastAsia="Arial" w:hAnsi="Arial"/>
                <w:sz w:val="19"/>
                <w:szCs w:val="19"/>
                <w:b w:val="1"/>
                <w:bCs w:val="1"/>
                <w:color w:val="auto"/>
              </w:rPr>
              <w:t>7.7</w:t>
            </w:r>
          </w:p>
        </w:tc>
        <w:tc>
          <w:tcPr>
            <w:tcW w:w="10680" w:type="dxa"/>
            <w:vAlign w:val="bottom"/>
            <w:gridSpan w:val="2"/>
          </w:tcPr>
          <w:p>
            <w:pPr>
              <w:ind w:left="320"/>
              <w:spacing w:after="0"/>
              <w:rPr>
                <w:sz w:val="20"/>
                <w:szCs w:val="20"/>
                <w:color w:val="auto"/>
              </w:rPr>
            </w:pPr>
            <w:r>
              <w:rPr>
                <w:rFonts w:ascii="Arial" w:cs="Arial" w:eastAsia="Arial" w:hAnsi="Arial"/>
                <w:sz w:val="19"/>
                <w:szCs w:val="19"/>
                <w:b w:val="1"/>
                <w:bCs w:val="1"/>
                <w:color w:val="auto"/>
                <w:w w:val="92"/>
              </w:rPr>
              <w:t xml:space="preserve">Intellectual Property Infringement. </w:t>
            </w:r>
            <w:r>
              <w:rPr>
                <w:rFonts w:ascii="Arial" w:cs="Arial" w:eastAsia="Arial" w:hAnsi="Arial"/>
                <w:sz w:val="19"/>
                <w:szCs w:val="19"/>
                <w:color w:val="auto"/>
                <w:w w:val="92"/>
              </w:rPr>
              <w:t>Should a Party become aware of any infringement of the other Party’s or its Affiliates’ Intellectual</w:t>
            </w:r>
          </w:p>
        </w:tc>
      </w:tr>
      <w:tr>
        <w:trPr>
          <w:trHeight w:val="240"/>
        </w:trPr>
        <w:tc>
          <w:tcPr>
            <w:tcW w:w="560" w:type="dxa"/>
            <w:vAlign w:val="bottom"/>
          </w:tcPr>
          <w:p>
            <w:pPr>
              <w:spacing w:after="0"/>
              <w:rPr>
                <w:sz w:val="20"/>
                <w:szCs w:val="20"/>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rPr>
              <w:t>Property relating to this Agreement, it shall notify the other Party thereof without undue delay.</w:t>
            </w:r>
          </w:p>
        </w:tc>
      </w:tr>
      <w:tr>
        <w:trPr>
          <w:trHeight w:val="527"/>
        </w:trPr>
        <w:tc>
          <w:tcPr>
            <w:tcW w:w="560" w:type="dxa"/>
            <w:vAlign w:val="bottom"/>
          </w:tcPr>
          <w:p>
            <w:pPr>
              <w:spacing w:after="0"/>
              <w:rPr>
                <w:sz w:val="20"/>
                <w:szCs w:val="20"/>
                <w:color w:val="auto"/>
              </w:rPr>
            </w:pPr>
            <w:r>
              <w:rPr>
                <w:rFonts w:ascii="Arial" w:cs="Arial" w:eastAsia="Arial" w:hAnsi="Arial"/>
                <w:sz w:val="19"/>
                <w:szCs w:val="19"/>
                <w:b w:val="1"/>
                <w:bCs w:val="1"/>
                <w:color w:val="auto"/>
              </w:rPr>
              <w:t>8.</w:t>
            </w:r>
          </w:p>
        </w:tc>
        <w:tc>
          <w:tcPr>
            <w:tcW w:w="10680" w:type="dxa"/>
            <w:vAlign w:val="bottom"/>
            <w:gridSpan w:val="2"/>
          </w:tcPr>
          <w:p>
            <w:pPr>
              <w:ind w:left="320"/>
              <w:spacing w:after="0"/>
              <w:rPr>
                <w:sz w:val="20"/>
                <w:szCs w:val="20"/>
                <w:color w:val="auto"/>
              </w:rPr>
            </w:pPr>
            <w:r>
              <w:rPr>
                <w:rFonts w:ascii="Arial" w:cs="Arial" w:eastAsia="Arial" w:hAnsi="Arial"/>
                <w:sz w:val="19"/>
                <w:szCs w:val="19"/>
                <w:b w:val="1"/>
                <w:bCs w:val="1"/>
                <w:color w:val="auto"/>
              </w:rPr>
              <w:t>WARRANTIES AND DEFECTIVE PRODUCT</w:t>
            </w:r>
          </w:p>
        </w:tc>
      </w:tr>
      <w:tr>
        <w:trPr>
          <w:trHeight w:val="321"/>
        </w:trPr>
        <w:tc>
          <w:tcPr>
            <w:tcW w:w="560" w:type="dxa"/>
            <w:vAlign w:val="bottom"/>
          </w:tcPr>
          <w:p>
            <w:pPr>
              <w:spacing w:after="0"/>
              <w:rPr>
                <w:sz w:val="20"/>
                <w:szCs w:val="20"/>
                <w:color w:val="auto"/>
              </w:rPr>
            </w:pPr>
            <w:r>
              <w:rPr>
                <w:rFonts w:ascii="Arial" w:cs="Arial" w:eastAsia="Arial" w:hAnsi="Arial"/>
                <w:sz w:val="19"/>
                <w:szCs w:val="19"/>
                <w:b w:val="1"/>
                <w:bCs w:val="1"/>
                <w:color w:val="auto"/>
              </w:rPr>
              <w:t>8.1</w:t>
            </w:r>
          </w:p>
        </w:tc>
        <w:tc>
          <w:tcPr>
            <w:tcW w:w="10680" w:type="dxa"/>
            <w:vAlign w:val="bottom"/>
            <w:gridSpan w:val="2"/>
          </w:tcPr>
          <w:p>
            <w:pPr>
              <w:ind w:left="320"/>
              <w:spacing w:after="0"/>
              <w:rPr>
                <w:sz w:val="20"/>
                <w:szCs w:val="20"/>
                <w:color w:val="auto"/>
              </w:rPr>
            </w:pPr>
            <w:r>
              <w:rPr>
                <w:rFonts w:ascii="Arial" w:cs="Arial" w:eastAsia="Arial" w:hAnsi="Arial"/>
                <w:sz w:val="19"/>
                <w:szCs w:val="19"/>
                <w:b w:val="1"/>
                <w:bCs w:val="1"/>
                <w:color w:val="auto"/>
              </w:rPr>
              <w:t xml:space="preserve">Parties’ Warranties. </w:t>
            </w:r>
            <w:r>
              <w:rPr>
                <w:rFonts w:ascii="Arial" w:cs="Arial" w:eastAsia="Arial" w:hAnsi="Arial"/>
                <w:sz w:val="19"/>
                <w:szCs w:val="19"/>
                <w:color w:val="auto"/>
              </w:rPr>
              <w:t>Each Party represents and warrants that</w:t>
            </w:r>
          </w:p>
        </w:tc>
      </w:tr>
      <w:tr>
        <w:trPr>
          <w:trHeight w:val="300"/>
        </w:trPr>
        <w:tc>
          <w:tcPr>
            <w:tcW w:w="5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19"/>
                <w:szCs w:val="19"/>
                <w:color w:val="auto"/>
              </w:rPr>
              <w:t>(a)</w:t>
            </w:r>
          </w:p>
        </w:tc>
        <w:tc>
          <w:tcPr>
            <w:tcW w:w="9900" w:type="dxa"/>
            <w:vAlign w:val="bottom"/>
          </w:tcPr>
          <w:p>
            <w:pPr>
              <w:ind w:left="240"/>
              <w:spacing w:after="0"/>
              <w:rPr>
                <w:sz w:val="20"/>
                <w:szCs w:val="20"/>
                <w:color w:val="auto"/>
              </w:rPr>
            </w:pPr>
            <w:r>
              <w:rPr>
                <w:rFonts w:ascii="Arial" w:cs="Arial" w:eastAsia="Arial" w:hAnsi="Arial"/>
                <w:sz w:val="19"/>
                <w:szCs w:val="19"/>
                <w:color w:val="auto"/>
                <w:w w:val="93"/>
              </w:rPr>
              <w:t>it is properly constituted under the laws of the country or state of incorporation and has full power and authority to enter into</w:t>
            </w:r>
          </w:p>
        </w:tc>
      </w:tr>
      <w:tr>
        <w:trPr>
          <w:trHeight w:val="240"/>
        </w:trPr>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900" w:type="dxa"/>
            <w:vAlign w:val="bottom"/>
          </w:tcPr>
          <w:p>
            <w:pPr>
              <w:ind w:left="240"/>
              <w:spacing w:after="0"/>
              <w:rPr>
                <w:sz w:val="20"/>
                <w:szCs w:val="20"/>
                <w:color w:val="auto"/>
              </w:rPr>
            </w:pPr>
            <w:r>
              <w:rPr>
                <w:rFonts w:ascii="Arial" w:cs="Arial" w:eastAsia="Arial" w:hAnsi="Arial"/>
                <w:sz w:val="19"/>
                <w:szCs w:val="19"/>
                <w:color w:val="auto"/>
              </w:rPr>
              <w:t>this Agreement;</w:t>
            </w:r>
          </w:p>
        </w:tc>
      </w:tr>
      <w:tr>
        <w:trPr>
          <w:trHeight w:val="321"/>
        </w:trPr>
        <w:tc>
          <w:tcPr>
            <w:tcW w:w="560" w:type="dxa"/>
            <w:vAlign w:val="bottom"/>
          </w:tcPr>
          <w:p>
            <w:pPr>
              <w:spacing w:after="0"/>
              <w:rPr>
                <w:sz w:val="24"/>
                <w:szCs w:val="24"/>
                <w:color w:val="auto"/>
              </w:rPr>
            </w:pPr>
          </w:p>
        </w:tc>
        <w:tc>
          <w:tcPr>
            <w:tcW w:w="780" w:type="dxa"/>
            <w:vAlign w:val="bottom"/>
          </w:tcPr>
          <w:p>
            <w:pPr>
              <w:ind w:left="320"/>
              <w:spacing w:after="0"/>
              <w:rPr>
                <w:sz w:val="20"/>
                <w:szCs w:val="20"/>
                <w:color w:val="auto"/>
              </w:rPr>
            </w:pPr>
            <w:r>
              <w:rPr>
                <w:rFonts w:ascii="Arial" w:cs="Arial" w:eastAsia="Arial" w:hAnsi="Arial"/>
                <w:sz w:val="19"/>
                <w:szCs w:val="19"/>
                <w:color w:val="auto"/>
              </w:rPr>
              <w:t>(b)</w:t>
            </w:r>
          </w:p>
        </w:tc>
        <w:tc>
          <w:tcPr>
            <w:tcW w:w="9900" w:type="dxa"/>
            <w:vAlign w:val="bottom"/>
          </w:tcPr>
          <w:p>
            <w:pPr>
              <w:ind w:left="240"/>
              <w:spacing w:after="0"/>
              <w:rPr>
                <w:sz w:val="20"/>
                <w:szCs w:val="20"/>
                <w:color w:val="auto"/>
              </w:rPr>
            </w:pPr>
            <w:r>
              <w:rPr>
                <w:rFonts w:ascii="Arial" w:cs="Arial" w:eastAsia="Arial" w:hAnsi="Arial"/>
                <w:sz w:val="19"/>
                <w:szCs w:val="19"/>
                <w:color w:val="auto"/>
              </w:rPr>
              <w:t>it has obtained all necessary corporate approvals to enter into this Agreement;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386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7"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10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1" w:name="page172"/>
    <w:bookmarkEnd w:id="171"/>
    <w:p>
      <w:pPr>
        <w:ind w:left="1580" w:hanging="704"/>
        <w:spacing w:after="0" w:line="322" w:lineRule="auto"/>
        <w:tabs>
          <w:tab w:leader="none" w:pos="15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it is under no obligation or restriction, nor shall they assume any such obligation or restriction, that would in any way interfere or conflict with, or that would present a conflict of interest concerning, any of its obligations under this Agreement;</w:t>
      </w:r>
    </w:p>
    <w:p>
      <w:pPr>
        <w:spacing w:after="0" w:line="15" w:lineRule="exact"/>
        <w:rPr>
          <w:rFonts w:ascii="Arial" w:cs="Arial" w:eastAsia="Arial" w:hAnsi="Arial"/>
          <w:sz w:val="17"/>
          <w:szCs w:val="17"/>
          <w:color w:val="auto"/>
        </w:rPr>
      </w:pPr>
    </w:p>
    <w:p>
      <w:pPr>
        <w:ind w:left="1580" w:hanging="704"/>
        <w:spacing w:after="0"/>
        <w:tabs>
          <w:tab w:leader="none" w:pos="15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it is entitled to grant the rights and licenses to the other Party as set out in this Agreement;</w:t>
      </w:r>
    </w:p>
    <w:p>
      <w:pPr>
        <w:spacing w:after="0" w:line="102" w:lineRule="exact"/>
        <w:rPr>
          <w:rFonts w:ascii="Arial" w:cs="Arial" w:eastAsia="Arial" w:hAnsi="Arial"/>
          <w:sz w:val="19"/>
          <w:szCs w:val="19"/>
          <w:color w:val="auto"/>
        </w:rPr>
      </w:pPr>
    </w:p>
    <w:p>
      <w:pPr>
        <w:jc w:val="both"/>
        <w:ind w:left="1580" w:hanging="704"/>
        <w:spacing w:after="0" w:line="251" w:lineRule="auto"/>
        <w:tabs>
          <w:tab w:leader="none" w:pos="15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it shall obtain and maintain throughout the term of this Agreement all permits, licenses, registration and other forms of government authorization and approval as required by applicable laws in order for each Party to execute and deliver this Agreement and to perform their obligations in accordance with all applicable laws; and</w:t>
      </w:r>
    </w:p>
    <w:p>
      <w:pPr>
        <w:spacing w:after="0" w:line="72" w:lineRule="exact"/>
        <w:rPr>
          <w:rFonts w:ascii="Arial" w:cs="Arial" w:eastAsia="Arial" w:hAnsi="Arial"/>
          <w:sz w:val="19"/>
          <w:szCs w:val="19"/>
          <w:color w:val="auto"/>
        </w:rPr>
      </w:pPr>
    </w:p>
    <w:p>
      <w:pPr>
        <w:ind w:left="1580" w:hanging="704"/>
        <w:spacing w:after="0" w:line="263" w:lineRule="auto"/>
        <w:tabs>
          <w:tab w:leader="none" w:pos="15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it shall comply with all laws, legal and regulatory requirements applicable to performance of its obligations under this Agreement; and</w:t>
      </w:r>
    </w:p>
    <w:p>
      <w:pPr>
        <w:spacing w:after="0" w:line="60" w:lineRule="exact"/>
        <w:rPr>
          <w:rFonts w:ascii="Arial" w:cs="Arial" w:eastAsia="Arial" w:hAnsi="Arial"/>
          <w:sz w:val="19"/>
          <w:szCs w:val="19"/>
          <w:color w:val="auto"/>
        </w:rPr>
      </w:pPr>
    </w:p>
    <w:p>
      <w:pPr>
        <w:jc w:val="both"/>
        <w:ind w:left="1580" w:hanging="704"/>
        <w:spacing w:after="0" w:line="281" w:lineRule="auto"/>
        <w:tabs>
          <w:tab w:leader="none" w:pos="15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complying with its obligations under this Agreement, neither it, its Affiliates, nor any of its or its Affiliates employees, agents, or permitted Subcontractors, will make payments or provide anything of value to any government official or to any other person knowing that it will be paid or offered to such official or any other person knowing that it will be paid or offered to such official (i) for the purpose of influencing the official to act or make a decision on Customer’s behalf which is in violation of the official’s lawful duty, or (ii) to induce the official to influence any government act or decision in Customer’s favor.</w:t>
      </w:r>
    </w:p>
    <w:p>
      <w:pPr>
        <w:spacing w:after="0" w:line="45"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b w:val="1"/>
          <w:bCs w:val="1"/>
          <w:color w:val="auto"/>
        </w:rPr>
        <w:t>8.2</w:t>
      </w:r>
      <w:r>
        <w:rPr>
          <w:sz w:val="20"/>
          <w:szCs w:val="20"/>
          <w:color w:val="auto"/>
        </w:rPr>
        <w:tab/>
      </w:r>
      <w:r>
        <w:rPr>
          <w:rFonts w:ascii="Arial" w:cs="Arial" w:eastAsia="Arial" w:hAnsi="Arial"/>
          <w:sz w:val="17"/>
          <w:szCs w:val="17"/>
          <w:b w:val="1"/>
          <w:bCs w:val="1"/>
          <w:color w:val="auto"/>
        </w:rPr>
        <w:t xml:space="preserve">Supplier Warranties. </w:t>
      </w:r>
      <w:r>
        <w:rPr>
          <w:rFonts w:ascii="Arial" w:cs="Arial" w:eastAsia="Arial" w:hAnsi="Arial"/>
          <w:sz w:val="17"/>
          <w:szCs w:val="17"/>
          <w:color w:val="auto"/>
        </w:rPr>
        <w:t>Supplier represents and warrants that</w:t>
      </w:r>
    </w:p>
    <w:p>
      <w:pPr>
        <w:spacing w:after="0" w:line="109" w:lineRule="exact"/>
        <w:rPr>
          <w:sz w:val="20"/>
          <w:szCs w:val="20"/>
          <w:color w:val="auto"/>
        </w:rPr>
      </w:pPr>
    </w:p>
    <w:p>
      <w:pPr>
        <w:ind w:left="1580" w:hanging="704"/>
        <w:spacing w:after="0"/>
        <w:tabs>
          <w:tab w:leader="none" w:pos="1580" w:val="left"/>
        </w:tabs>
        <w:numPr>
          <w:ilvl w:val="0"/>
          <w:numId w:val="83"/>
        </w:numPr>
        <w:rPr>
          <w:rFonts w:ascii="Arial" w:cs="Arial" w:eastAsia="Arial" w:hAnsi="Arial"/>
          <w:sz w:val="19"/>
          <w:szCs w:val="19"/>
          <w:color w:val="auto"/>
        </w:rPr>
      </w:pPr>
      <w:r>
        <w:rPr>
          <w:rFonts w:ascii="Arial" w:cs="Arial" w:eastAsia="Arial" w:hAnsi="Arial"/>
          <w:sz w:val="19"/>
          <w:szCs w:val="19"/>
          <w:color w:val="auto"/>
        </w:rPr>
        <w:t>It will perform the Packaging Services in compliance with the Packaging Process and cGMP;</w:t>
      </w:r>
    </w:p>
    <w:p>
      <w:pPr>
        <w:spacing w:after="0" w:line="102" w:lineRule="exact"/>
        <w:rPr>
          <w:rFonts w:ascii="Arial" w:cs="Arial" w:eastAsia="Arial" w:hAnsi="Arial"/>
          <w:sz w:val="19"/>
          <w:szCs w:val="19"/>
          <w:color w:val="auto"/>
        </w:rPr>
      </w:pPr>
    </w:p>
    <w:p>
      <w:pPr>
        <w:ind w:left="1580" w:hanging="704"/>
        <w:spacing w:after="0"/>
        <w:tabs>
          <w:tab w:leader="none" w:pos="1580" w:val="left"/>
        </w:tabs>
        <w:numPr>
          <w:ilvl w:val="0"/>
          <w:numId w:val="83"/>
        </w:numPr>
        <w:rPr>
          <w:rFonts w:ascii="Arial" w:cs="Arial" w:eastAsia="Arial" w:hAnsi="Arial"/>
          <w:sz w:val="19"/>
          <w:szCs w:val="19"/>
          <w:color w:val="auto"/>
        </w:rPr>
      </w:pPr>
      <w:r>
        <w:rPr>
          <w:rFonts w:ascii="Arial" w:cs="Arial" w:eastAsia="Arial" w:hAnsi="Arial"/>
          <w:sz w:val="19"/>
          <w:szCs w:val="19"/>
          <w:color w:val="auto"/>
        </w:rPr>
        <w:t>Supplier Provided Bulk Products will comply with cGMP, the relevant Bulk Specifications and Supplier ANDAs; and</w:t>
      </w:r>
    </w:p>
    <w:p>
      <w:pPr>
        <w:spacing w:after="0" w:line="102" w:lineRule="exact"/>
        <w:rPr>
          <w:rFonts w:ascii="Arial" w:cs="Arial" w:eastAsia="Arial" w:hAnsi="Arial"/>
          <w:sz w:val="19"/>
          <w:szCs w:val="19"/>
          <w:color w:val="auto"/>
        </w:rPr>
      </w:pPr>
    </w:p>
    <w:p>
      <w:pPr>
        <w:jc w:val="both"/>
        <w:ind w:left="1580" w:hanging="704"/>
        <w:spacing w:after="0" w:line="251" w:lineRule="auto"/>
        <w:tabs>
          <w:tab w:leader="none" w:pos="1580" w:val="left"/>
        </w:tabs>
        <w:numPr>
          <w:ilvl w:val="0"/>
          <w:numId w:val="83"/>
        </w:numPr>
        <w:rPr>
          <w:rFonts w:ascii="Arial" w:cs="Arial" w:eastAsia="Arial" w:hAnsi="Arial"/>
          <w:sz w:val="19"/>
          <w:szCs w:val="19"/>
          <w:color w:val="auto"/>
        </w:rPr>
      </w:pPr>
      <w:r>
        <w:rPr>
          <w:rFonts w:ascii="Arial" w:cs="Arial" w:eastAsia="Arial" w:hAnsi="Arial"/>
          <w:sz w:val="19"/>
          <w:szCs w:val="19"/>
          <w:color w:val="auto"/>
        </w:rPr>
        <w:t>It has full rights and access to the Intellectual Property rights relating to the Supplier Provided Bulk Products, and the supply of the Supplier Provided Bulk Products in line with this Agreement will not infringe any Intellectual Property rights of third parties.</w:t>
      </w:r>
    </w:p>
    <w:p>
      <w:pPr>
        <w:spacing w:after="0" w:line="67" w:lineRule="exact"/>
        <w:rPr>
          <w:sz w:val="20"/>
          <w:szCs w:val="20"/>
          <w:color w:val="auto"/>
        </w:rPr>
      </w:pPr>
    </w:p>
    <w:p>
      <w:pPr>
        <w:spacing w:after="0"/>
        <w:tabs>
          <w:tab w:leader="none" w:pos="860" w:val="left"/>
        </w:tabs>
        <w:rPr>
          <w:sz w:val="20"/>
          <w:szCs w:val="20"/>
          <w:color w:val="auto"/>
        </w:rPr>
      </w:pPr>
      <w:r>
        <w:rPr>
          <w:rFonts w:ascii="Arial" w:cs="Arial" w:eastAsia="Arial" w:hAnsi="Arial"/>
          <w:sz w:val="19"/>
          <w:szCs w:val="19"/>
          <w:b w:val="1"/>
          <w:bCs w:val="1"/>
          <w:color w:val="auto"/>
        </w:rPr>
        <w:t>8.3</w:t>
      </w:r>
      <w:r>
        <w:rPr>
          <w:sz w:val="20"/>
          <w:szCs w:val="20"/>
          <w:color w:val="auto"/>
        </w:rPr>
        <w:tab/>
      </w:r>
      <w:r>
        <w:rPr>
          <w:rFonts w:ascii="Arial" w:cs="Arial" w:eastAsia="Arial" w:hAnsi="Arial"/>
          <w:sz w:val="16"/>
          <w:szCs w:val="16"/>
          <w:b w:val="1"/>
          <w:bCs w:val="1"/>
          <w:color w:val="auto"/>
        </w:rPr>
        <w:t xml:space="preserve">Customer Warranties. </w:t>
      </w:r>
      <w:r>
        <w:rPr>
          <w:rFonts w:ascii="Arial" w:cs="Arial" w:eastAsia="Arial" w:hAnsi="Arial"/>
          <w:sz w:val="16"/>
          <w:szCs w:val="16"/>
          <w:color w:val="auto"/>
        </w:rPr>
        <w:t>Customer represents and warrants that</w:t>
      </w:r>
    </w:p>
    <w:p>
      <w:pPr>
        <w:spacing w:after="0" w:line="109" w:lineRule="exact"/>
        <w:rPr>
          <w:sz w:val="20"/>
          <w:szCs w:val="20"/>
          <w:color w:val="auto"/>
        </w:rPr>
      </w:pPr>
    </w:p>
    <w:p>
      <w:pPr>
        <w:ind w:left="1580" w:hanging="704"/>
        <w:spacing w:after="0"/>
        <w:tabs>
          <w:tab w:leader="none" w:pos="1580" w:val="left"/>
        </w:tabs>
        <w:numPr>
          <w:ilvl w:val="0"/>
          <w:numId w:val="84"/>
        </w:numPr>
        <w:rPr>
          <w:rFonts w:ascii="Arial" w:cs="Arial" w:eastAsia="Arial" w:hAnsi="Arial"/>
          <w:sz w:val="19"/>
          <w:szCs w:val="19"/>
          <w:color w:val="auto"/>
        </w:rPr>
      </w:pPr>
      <w:r>
        <w:rPr>
          <w:rFonts w:ascii="Arial" w:cs="Arial" w:eastAsia="Arial" w:hAnsi="Arial"/>
          <w:sz w:val="19"/>
          <w:szCs w:val="19"/>
          <w:color w:val="auto"/>
        </w:rPr>
        <w:t>Customer Provided Bulk Products will comply with the relevant Bulk Specifications; and</w:t>
      </w:r>
    </w:p>
    <w:p>
      <w:pPr>
        <w:spacing w:after="0" w:line="102" w:lineRule="exact"/>
        <w:rPr>
          <w:rFonts w:ascii="Arial" w:cs="Arial" w:eastAsia="Arial" w:hAnsi="Arial"/>
          <w:sz w:val="19"/>
          <w:szCs w:val="19"/>
          <w:color w:val="auto"/>
        </w:rPr>
      </w:pPr>
    </w:p>
    <w:p>
      <w:pPr>
        <w:jc w:val="both"/>
        <w:ind w:left="1560" w:hanging="684"/>
        <w:spacing w:after="0" w:line="244" w:lineRule="auto"/>
        <w:tabs>
          <w:tab w:leader="none" w:pos="1560" w:val="left"/>
        </w:tabs>
        <w:numPr>
          <w:ilvl w:val="0"/>
          <w:numId w:val="84"/>
        </w:numPr>
        <w:rPr>
          <w:rFonts w:ascii="Arial" w:cs="Arial" w:eastAsia="Arial" w:hAnsi="Arial"/>
          <w:sz w:val="19"/>
          <w:szCs w:val="19"/>
          <w:color w:val="auto"/>
        </w:rPr>
      </w:pPr>
      <w:r>
        <w:rPr>
          <w:rFonts w:ascii="Arial" w:cs="Arial" w:eastAsia="Arial" w:hAnsi="Arial"/>
          <w:sz w:val="19"/>
          <w:szCs w:val="19"/>
          <w:color w:val="auto"/>
        </w:rPr>
        <w:t>It has full rights and access to the Intellectual Property rights relating to the Final Products and the Customer Provided Bulk Products, and the provision of the Packaging Services in line with the Packaging Process and the terms of this Agreement – including, for the avoidance of doubt, (i) the import, export, storage and use of Customer Provided Bulk Products in/to the country where the Packaging Services are performed as well as the storage of the Final Products and (ii) the use of the artworks and advertising/packaging provided or approved by Customer for the Packaging Services and Delivery of the Final Product – will not infringe Intellectual Property Rights of third parties.</w:t>
      </w:r>
    </w:p>
    <w:p>
      <w:pPr>
        <w:spacing w:after="0" w:line="75" w:lineRule="exact"/>
        <w:rPr>
          <w:sz w:val="20"/>
          <w:szCs w:val="20"/>
          <w:color w:val="auto"/>
        </w:rPr>
      </w:pPr>
    </w:p>
    <w:p>
      <w:pPr>
        <w:jc w:val="both"/>
        <w:ind w:left="880" w:hanging="873"/>
        <w:spacing w:after="0" w:line="288" w:lineRule="auto"/>
        <w:tabs>
          <w:tab w:leader="none" w:pos="860" w:val="left"/>
        </w:tabs>
        <w:rPr>
          <w:sz w:val="20"/>
          <w:szCs w:val="20"/>
          <w:color w:val="auto"/>
        </w:rPr>
      </w:pPr>
      <w:r>
        <w:rPr>
          <w:rFonts w:ascii="Arial" w:cs="Arial" w:eastAsia="Arial" w:hAnsi="Arial"/>
          <w:sz w:val="19"/>
          <w:szCs w:val="19"/>
          <w:b w:val="1"/>
          <w:bCs w:val="1"/>
          <w:color w:val="auto"/>
        </w:rPr>
        <w:t>8.4</w:t>
      </w:r>
      <w:r>
        <w:rPr>
          <w:sz w:val="20"/>
          <w:szCs w:val="20"/>
          <w:color w:val="auto"/>
        </w:rPr>
        <w:tab/>
      </w:r>
      <w:r>
        <w:rPr>
          <w:rFonts w:ascii="Arial" w:cs="Arial" w:eastAsia="Arial" w:hAnsi="Arial"/>
          <w:sz w:val="17"/>
          <w:szCs w:val="17"/>
          <w:b w:val="1"/>
          <w:bCs w:val="1"/>
          <w:color w:val="auto"/>
        </w:rPr>
        <w:t xml:space="preserve">No Further Warranties. </w:t>
      </w:r>
      <w:r>
        <w:rPr>
          <w:rFonts w:ascii="Arial" w:cs="Arial" w:eastAsia="Arial" w:hAnsi="Arial"/>
          <w:sz w:val="17"/>
          <w:szCs w:val="17"/>
          <w:color w:val="auto"/>
        </w:rPr>
        <w:t>Except for the express warranties contained in this Agreement, each Party agrees and acknowledges that,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set forth in this Agreement, neither Party makes any representations or warranties of any kind whatsoever, implied or statutory, and each Party hereby expressly disclaims all representations and warranties, implied or statutory, including any implied warranties of merchantability, fitness for a particular purpose, against non-infringement or the like, or arising from course of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169545</wp:posOffset>
            </wp:positionV>
            <wp:extent cx="71386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60"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11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24"/>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8.5</w:t>
            </w:r>
          </w:p>
        </w:tc>
        <w:tc>
          <w:tcPr>
            <w:tcW w:w="10680" w:type="dxa"/>
            <w:vAlign w:val="bottom"/>
            <w:gridSpan w:val="2"/>
          </w:tcPr>
          <w:p>
            <w:pPr>
              <w:ind w:left="320"/>
              <w:spacing w:after="0"/>
              <w:rPr>
                <w:sz w:val="20"/>
                <w:szCs w:val="20"/>
                <w:color w:val="auto"/>
              </w:rPr>
            </w:pPr>
            <w:r>
              <w:rPr>
                <w:rFonts w:ascii="Arial" w:cs="Arial" w:eastAsia="Arial" w:hAnsi="Arial"/>
                <w:sz w:val="19"/>
                <w:szCs w:val="19"/>
                <w:b w:val="1"/>
                <w:bCs w:val="1"/>
                <w:color w:val="auto"/>
                <w:w w:val="92"/>
              </w:rPr>
              <w:t xml:space="preserve">Notification of Defective Final Products. </w:t>
            </w:r>
            <w:r>
              <w:rPr>
                <w:rFonts w:ascii="Arial" w:cs="Arial" w:eastAsia="Arial" w:hAnsi="Arial"/>
                <w:sz w:val="19"/>
                <w:szCs w:val="19"/>
                <w:color w:val="auto"/>
                <w:w w:val="92"/>
              </w:rPr>
              <w:t>Customer shall notify Supplier of any claims of Defective Final Product in writing within the</w:t>
            </w:r>
          </w:p>
        </w:tc>
      </w:tr>
      <w:tr>
        <w:trPr>
          <w:trHeight w:val="240"/>
        </w:trPr>
        <w:tc>
          <w:tcPr>
            <w:tcW w:w="560" w:type="dxa"/>
            <w:vAlign w:val="bottom"/>
          </w:tcPr>
          <w:p>
            <w:pPr>
              <w:spacing w:after="0"/>
              <w:rPr>
                <w:sz w:val="20"/>
                <w:szCs w:val="20"/>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rPr>
              <w:t>following timelines:</w:t>
            </w:r>
          </w:p>
        </w:tc>
      </w:tr>
      <w:tr>
        <w:trPr>
          <w:trHeight w:val="300"/>
        </w:trPr>
        <w:tc>
          <w:tcPr>
            <w:tcW w:w="56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Arial" w:cs="Arial" w:eastAsia="Arial" w:hAnsi="Arial"/>
                <w:sz w:val="19"/>
                <w:szCs w:val="19"/>
                <w:color w:val="auto"/>
              </w:rPr>
              <w:t>(a)</w:t>
            </w:r>
          </w:p>
        </w:tc>
        <w:tc>
          <w:tcPr>
            <w:tcW w:w="10040" w:type="dxa"/>
            <w:vAlign w:val="bottom"/>
          </w:tcPr>
          <w:p>
            <w:pPr>
              <w:ind w:left="380"/>
              <w:spacing w:after="0"/>
              <w:rPr>
                <w:sz w:val="20"/>
                <w:szCs w:val="20"/>
                <w:color w:val="auto"/>
              </w:rPr>
            </w:pPr>
            <w:r>
              <w:rPr>
                <w:rFonts w:ascii="Arial" w:cs="Arial" w:eastAsia="Arial" w:hAnsi="Arial"/>
                <w:sz w:val="19"/>
                <w:szCs w:val="19"/>
                <w:color w:val="auto"/>
                <w:w w:val="92"/>
              </w:rPr>
              <w:t>For Apparent Defects, Customer shall have the right to place a Defective Final Product claim under this Clause 8.5 provided</w:t>
            </w:r>
          </w:p>
        </w:tc>
      </w:tr>
      <w:tr>
        <w:trPr>
          <w:trHeight w:val="218"/>
        </w:trPr>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tcPr>
          <w:p>
            <w:pPr>
              <w:ind w:left="380"/>
              <w:spacing w:after="0"/>
              <w:rPr>
                <w:sz w:val="20"/>
                <w:szCs w:val="20"/>
                <w:color w:val="auto"/>
              </w:rPr>
            </w:pPr>
            <w:r>
              <w:rPr>
                <w:rFonts w:ascii="Arial" w:cs="Arial" w:eastAsia="Arial" w:hAnsi="Arial"/>
                <w:sz w:val="19"/>
                <w:szCs w:val="19"/>
                <w:color w:val="auto"/>
                <w:w w:val="96"/>
              </w:rPr>
              <w:t>that such claim is made in writing to Supplier within [***] following receipt of the Defective Final Product by Customer at</w:t>
            </w:r>
          </w:p>
        </w:tc>
      </w:tr>
      <w:tr>
        <w:trPr>
          <w:trHeight w:val="24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40" w:type="dxa"/>
            <w:vAlign w:val="bottom"/>
          </w:tcPr>
          <w:p>
            <w:pPr>
              <w:ind w:left="380"/>
              <w:spacing w:after="0"/>
              <w:rPr>
                <w:sz w:val="20"/>
                <w:szCs w:val="20"/>
                <w:color w:val="auto"/>
              </w:rPr>
            </w:pPr>
            <w:r>
              <w:rPr>
                <w:rFonts w:ascii="Arial" w:cs="Arial" w:eastAsia="Arial" w:hAnsi="Arial"/>
                <w:sz w:val="19"/>
                <w:szCs w:val="19"/>
                <w:color w:val="auto"/>
              </w:rPr>
              <w:t>Customer’s warehouse; and</w:t>
            </w:r>
          </w:p>
        </w:tc>
      </w:tr>
      <w:tr>
        <w:trPr>
          <w:trHeight w:val="300"/>
        </w:trPr>
        <w:tc>
          <w:tcPr>
            <w:tcW w:w="560" w:type="dxa"/>
            <w:vAlign w:val="bottom"/>
          </w:tcPr>
          <w:p>
            <w:pPr>
              <w:spacing w:after="0"/>
              <w:rPr>
                <w:sz w:val="24"/>
                <w:szCs w:val="24"/>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5"/>
              </w:rPr>
              <w:t>(b)  For Latent Defects of which it becomes aware during the shelf life of a Final Product, Customer shall have the right to place a</w:t>
            </w:r>
          </w:p>
        </w:tc>
      </w:tr>
      <w:tr>
        <w:trPr>
          <w:trHeight w:val="218"/>
        </w:trPr>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tcPr>
          <w:p>
            <w:pPr>
              <w:ind w:left="120"/>
              <w:spacing w:after="0"/>
              <w:rPr>
                <w:sz w:val="20"/>
                <w:szCs w:val="20"/>
                <w:color w:val="auto"/>
              </w:rPr>
            </w:pPr>
            <w:r>
              <w:rPr>
                <w:rFonts w:ascii="Arial" w:cs="Arial" w:eastAsia="Arial" w:hAnsi="Arial"/>
                <w:sz w:val="19"/>
                <w:szCs w:val="19"/>
                <w:color w:val="auto"/>
                <w:w w:val="93"/>
              </w:rPr>
              <w:t>Defective Final Product claim under this Clause 8.5 provided that such claim is made in writing to Supplier within [***] following</w:t>
            </w:r>
          </w:p>
        </w:tc>
      </w:tr>
      <w:tr>
        <w:trPr>
          <w:trHeight w:val="24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40" w:type="dxa"/>
            <w:vAlign w:val="bottom"/>
          </w:tcPr>
          <w:p>
            <w:pPr>
              <w:ind w:left="120"/>
              <w:spacing w:after="0"/>
              <w:rPr>
                <w:sz w:val="20"/>
                <w:szCs w:val="20"/>
                <w:color w:val="auto"/>
              </w:rPr>
            </w:pPr>
            <w:r>
              <w:rPr>
                <w:rFonts w:ascii="Arial" w:cs="Arial" w:eastAsia="Arial" w:hAnsi="Arial"/>
                <w:sz w:val="19"/>
                <w:szCs w:val="19"/>
                <w:color w:val="auto"/>
              </w:rPr>
              <w:t>discovery of the Defect.</w:t>
            </w:r>
          </w:p>
        </w:tc>
      </w:tr>
      <w:tr>
        <w:trPr>
          <w:trHeight w:val="300"/>
        </w:trPr>
        <w:tc>
          <w:tcPr>
            <w:tcW w:w="560" w:type="dxa"/>
            <w:vAlign w:val="bottom"/>
          </w:tcPr>
          <w:p>
            <w:pPr>
              <w:spacing w:after="0"/>
              <w:rPr>
                <w:sz w:val="24"/>
                <w:szCs w:val="24"/>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2"/>
              </w:rPr>
              <w:t>In the event that Customer does not notify Supplier of any claims of Defective Final Product in writing within the above timelines, such</w:t>
            </w:r>
          </w:p>
        </w:tc>
      </w:tr>
      <w:tr>
        <w:trPr>
          <w:trHeight w:val="240"/>
        </w:trPr>
        <w:tc>
          <w:tcPr>
            <w:tcW w:w="560" w:type="dxa"/>
            <w:vAlign w:val="bottom"/>
          </w:tcPr>
          <w:p>
            <w:pPr>
              <w:spacing w:after="0"/>
              <w:rPr>
                <w:sz w:val="20"/>
                <w:szCs w:val="20"/>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rPr>
              <w:t>Final Products shall be deemed free from Defects and accepted by Customer.</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8.6</w:t>
            </w:r>
          </w:p>
        </w:tc>
        <w:tc>
          <w:tcPr>
            <w:tcW w:w="10680" w:type="dxa"/>
            <w:vAlign w:val="bottom"/>
            <w:gridSpan w:val="2"/>
          </w:tcPr>
          <w:p>
            <w:pPr>
              <w:ind w:left="320"/>
              <w:spacing w:after="0"/>
              <w:rPr>
                <w:sz w:val="20"/>
                <w:szCs w:val="20"/>
                <w:color w:val="auto"/>
              </w:rPr>
            </w:pPr>
            <w:r>
              <w:rPr>
                <w:rFonts w:ascii="Arial" w:cs="Arial" w:eastAsia="Arial" w:hAnsi="Arial"/>
                <w:sz w:val="19"/>
                <w:szCs w:val="19"/>
                <w:b w:val="1"/>
                <w:bCs w:val="1"/>
                <w:color w:val="auto"/>
                <w:w w:val="90"/>
              </w:rPr>
              <w:t xml:space="preserve">Handling of Defective Final Products. </w:t>
            </w:r>
            <w:r>
              <w:rPr>
                <w:rFonts w:ascii="Arial" w:cs="Arial" w:eastAsia="Arial" w:hAnsi="Arial"/>
                <w:sz w:val="19"/>
                <w:szCs w:val="19"/>
                <w:color w:val="auto"/>
                <w:w w:val="90"/>
              </w:rPr>
              <w:t>In the event that any Final Product is Defective and Customer notifies Supplier of any Defect in</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0"/>
              </w:rPr>
              <w:t>accordance with this Clause 8, Supplier shall, subject to Clause 8.7 and following good faith discussions between the Parties in order to</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2"/>
              </w:rPr>
              <w:t>arrive at a mutually agreed upon outcome, either (i) replace any Defective Final Product with conforming Final Product; (ii) if Supplier</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89"/>
              </w:rPr>
              <w:t>and Customer have agreed upon a process for reworking or reprocessing Final Product, rework or reprocess any Defective Final Product</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1"/>
              </w:rPr>
              <w:t>in accordance with such approved process; or (iii) refund to Customer the Price paid for, as applicable, such Delivery or partial Delivery</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1"/>
              </w:rPr>
              <w:t>if already paid by Customer or issue a credit note where not already paid. Further, Supplier shall instruct Customer without undue delay</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0"/>
              </w:rPr>
              <w:t>to either send back to Supplier or dispose of any Defective Final Products, at Supplier’s cost and discretion. Customer’s rights under this</w:t>
            </w:r>
          </w:p>
        </w:tc>
      </w:tr>
      <w:tr>
        <w:trPr>
          <w:trHeight w:val="240"/>
        </w:trPr>
        <w:tc>
          <w:tcPr>
            <w:tcW w:w="560" w:type="dxa"/>
            <w:vAlign w:val="bottom"/>
          </w:tcPr>
          <w:p>
            <w:pPr>
              <w:spacing w:after="0"/>
              <w:rPr>
                <w:sz w:val="20"/>
                <w:szCs w:val="20"/>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rPr>
              <w:t>Clause 8.6 shall be Customer’s sole remedies with regard to the supply of Defective Final Products by Supplier.</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8.7</w:t>
            </w:r>
          </w:p>
        </w:tc>
        <w:tc>
          <w:tcPr>
            <w:tcW w:w="10680" w:type="dxa"/>
            <w:vAlign w:val="bottom"/>
            <w:gridSpan w:val="2"/>
          </w:tcPr>
          <w:p>
            <w:pPr>
              <w:ind w:left="320"/>
              <w:spacing w:after="0"/>
              <w:rPr>
                <w:sz w:val="20"/>
                <w:szCs w:val="20"/>
                <w:color w:val="auto"/>
              </w:rPr>
            </w:pPr>
            <w:r>
              <w:rPr>
                <w:rFonts w:ascii="Arial" w:cs="Arial" w:eastAsia="Arial" w:hAnsi="Arial"/>
                <w:sz w:val="19"/>
                <w:szCs w:val="19"/>
                <w:b w:val="1"/>
                <w:bCs w:val="1"/>
                <w:color w:val="auto"/>
                <w:w w:val="90"/>
              </w:rPr>
              <w:t xml:space="preserve">Defective Final Product Caused by Customer. </w:t>
            </w:r>
            <w:r>
              <w:rPr>
                <w:rFonts w:ascii="Arial" w:cs="Arial" w:eastAsia="Arial" w:hAnsi="Arial"/>
                <w:sz w:val="19"/>
                <w:szCs w:val="19"/>
                <w:color w:val="auto"/>
                <w:w w:val="90"/>
              </w:rPr>
              <w:t>To the extent that any Defective Final Product is determined to be Defective as a result</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2"/>
              </w:rPr>
              <w:t>of (i) the supply by Customer of any Customer Provided Bulk Materials not conforming with the relevant Bulk Specifications or (ii) after</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0"/>
              </w:rPr>
              <w:t>Delivery of such Final Product to Customer as a result of the actions, omissions or breach of Customer, Supplier shall not bear any cost</w:t>
            </w:r>
          </w:p>
        </w:tc>
      </w:tr>
      <w:tr>
        <w:trPr>
          <w:trHeight w:val="218"/>
        </w:trPr>
        <w:tc>
          <w:tcPr>
            <w:tcW w:w="560" w:type="dxa"/>
            <w:vAlign w:val="bottom"/>
          </w:tcPr>
          <w:p>
            <w:pPr>
              <w:spacing w:after="0"/>
              <w:rPr>
                <w:sz w:val="18"/>
                <w:szCs w:val="18"/>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w w:val="96"/>
              </w:rPr>
              <w:t>in connection with such Defective Final Products, and Customer shall pay the Price for such Defective Final Product supplied by</w:t>
            </w:r>
          </w:p>
        </w:tc>
      </w:tr>
      <w:tr>
        <w:trPr>
          <w:trHeight w:val="240"/>
        </w:trPr>
        <w:tc>
          <w:tcPr>
            <w:tcW w:w="560" w:type="dxa"/>
            <w:vAlign w:val="bottom"/>
          </w:tcPr>
          <w:p>
            <w:pPr>
              <w:spacing w:after="0"/>
              <w:rPr>
                <w:sz w:val="20"/>
                <w:szCs w:val="20"/>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rPr>
              <w:t>Supplier..</w:t>
            </w:r>
          </w:p>
        </w:tc>
      </w:tr>
      <w:tr>
        <w:trPr>
          <w:trHeight w:val="300"/>
        </w:trPr>
        <w:tc>
          <w:tcPr>
            <w:tcW w:w="560" w:type="dxa"/>
            <w:vAlign w:val="bottom"/>
          </w:tcPr>
          <w:p>
            <w:pPr>
              <w:jc w:val="right"/>
              <w:ind w:right="226"/>
              <w:spacing w:after="0"/>
              <w:rPr>
                <w:sz w:val="20"/>
                <w:szCs w:val="20"/>
                <w:color w:val="auto"/>
              </w:rPr>
            </w:pPr>
            <w:r>
              <w:rPr>
                <w:rFonts w:ascii="Arial" w:cs="Arial" w:eastAsia="Arial" w:hAnsi="Arial"/>
                <w:sz w:val="19"/>
                <w:szCs w:val="19"/>
                <w:b w:val="1"/>
                <w:bCs w:val="1"/>
                <w:color w:val="auto"/>
                <w:w w:val="83"/>
              </w:rPr>
              <w:t>8.8</w:t>
            </w:r>
          </w:p>
        </w:tc>
        <w:tc>
          <w:tcPr>
            <w:tcW w:w="10680" w:type="dxa"/>
            <w:vAlign w:val="bottom"/>
            <w:gridSpan w:val="2"/>
          </w:tcPr>
          <w:p>
            <w:pPr>
              <w:ind w:left="320"/>
              <w:spacing w:after="0"/>
              <w:rPr>
                <w:sz w:val="20"/>
                <w:szCs w:val="20"/>
                <w:color w:val="auto"/>
              </w:rPr>
            </w:pPr>
            <w:r>
              <w:rPr>
                <w:rFonts w:ascii="Arial" w:cs="Arial" w:eastAsia="Arial" w:hAnsi="Arial"/>
                <w:sz w:val="19"/>
                <w:szCs w:val="19"/>
                <w:b w:val="1"/>
                <w:bCs w:val="1"/>
                <w:color w:val="auto"/>
                <w:w w:val="95"/>
              </w:rPr>
              <w:t xml:space="preserve">Dispute Resolution through Independent Laboratory. </w:t>
            </w:r>
            <w:r>
              <w:rPr>
                <w:rFonts w:ascii="Arial" w:cs="Arial" w:eastAsia="Arial" w:hAnsi="Arial"/>
                <w:sz w:val="19"/>
                <w:szCs w:val="19"/>
                <w:color w:val="auto"/>
                <w:w w:val="95"/>
              </w:rPr>
              <w:t>The following shall apply in relation to any unresolved dispute as to the</w:t>
            </w:r>
          </w:p>
        </w:tc>
      </w:tr>
      <w:tr>
        <w:trPr>
          <w:trHeight w:val="240"/>
        </w:trPr>
        <w:tc>
          <w:tcPr>
            <w:tcW w:w="560" w:type="dxa"/>
            <w:vAlign w:val="bottom"/>
          </w:tcPr>
          <w:p>
            <w:pPr>
              <w:spacing w:after="0"/>
              <w:rPr>
                <w:sz w:val="20"/>
                <w:szCs w:val="20"/>
                <w:color w:val="auto"/>
              </w:rPr>
            </w:pPr>
          </w:p>
        </w:tc>
        <w:tc>
          <w:tcPr>
            <w:tcW w:w="10680" w:type="dxa"/>
            <w:vAlign w:val="bottom"/>
            <w:gridSpan w:val="2"/>
          </w:tcPr>
          <w:p>
            <w:pPr>
              <w:ind w:left="320"/>
              <w:spacing w:after="0"/>
              <w:rPr>
                <w:sz w:val="20"/>
                <w:szCs w:val="20"/>
                <w:color w:val="auto"/>
              </w:rPr>
            </w:pPr>
            <w:r>
              <w:rPr>
                <w:rFonts w:ascii="Arial" w:cs="Arial" w:eastAsia="Arial" w:hAnsi="Arial"/>
                <w:sz w:val="19"/>
                <w:szCs w:val="19"/>
                <w:color w:val="auto"/>
              </w:rPr>
              <w:t>existence and root cause of Defective Final Product and/or non-conforming Customer Supplied Materials:</w:t>
            </w:r>
          </w:p>
        </w:tc>
      </w:tr>
      <w:tr>
        <w:trPr>
          <w:trHeight w:val="321"/>
        </w:trPr>
        <w:tc>
          <w:tcPr>
            <w:tcW w:w="56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Arial" w:cs="Arial" w:eastAsia="Arial" w:hAnsi="Arial"/>
                <w:sz w:val="19"/>
                <w:szCs w:val="19"/>
                <w:color w:val="auto"/>
              </w:rPr>
              <w:t>(a)</w:t>
            </w:r>
          </w:p>
        </w:tc>
        <w:tc>
          <w:tcPr>
            <w:tcW w:w="10040" w:type="dxa"/>
            <w:vAlign w:val="bottom"/>
          </w:tcPr>
          <w:p>
            <w:pPr>
              <w:ind w:left="380"/>
              <w:spacing w:after="0"/>
              <w:rPr>
                <w:sz w:val="20"/>
                <w:szCs w:val="20"/>
                <w:color w:val="auto"/>
              </w:rPr>
            </w:pPr>
            <w:r>
              <w:rPr>
                <w:rFonts w:ascii="Arial" w:cs="Arial" w:eastAsia="Arial" w:hAnsi="Arial"/>
                <w:sz w:val="19"/>
                <w:szCs w:val="19"/>
                <w:color w:val="auto"/>
                <w:w w:val="94"/>
              </w:rPr>
              <w:t>either Party may request in writing for such unresolved dispute to be determined by an independent first-class laboratory;</w:t>
            </w:r>
          </w:p>
        </w:tc>
      </w:tr>
      <w:tr>
        <w:trPr>
          <w:trHeight w:val="300"/>
        </w:trPr>
        <w:tc>
          <w:tcPr>
            <w:tcW w:w="56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Arial" w:cs="Arial" w:eastAsia="Arial" w:hAnsi="Arial"/>
                <w:sz w:val="19"/>
                <w:szCs w:val="19"/>
                <w:color w:val="auto"/>
              </w:rPr>
              <w:t>(b)</w:t>
            </w:r>
          </w:p>
        </w:tc>
        <w:tc>
          <w:tcPr>
            <w:tcW w:w="10040" w:type="dxa"/>
            <w:vAlign w:val="bottom"/>
          </w:tcPr>
          <w:p>
            <w:pPr>
              <w:ind w:left="380"/>
              <w:spacing w:after="0"/>
              <w:rPr>
                <w:sz w:val="20"/>
                <w:szCs w:val="20"/>
                <w:color w:val="auto"/>
              </w:rPr>
            </w:pPr>
            <w:r>
              <w:rPr>
                <w:rFonts w:ascii="Arial" w:cs="Arial" w:eastAsia="Arial" w:hAnsi="Arial"/>
                <w:sz w:val="19"/>
                <w:szCs w:val="19"/>
                <w:color w:val="auto"/>
              </w:rPr>
              <w:t>upon receipt of such request, the Parties shall jointly appoint an independent first-class laboratory within [***]. The</w:t>
            </w:r>
          </w:p>
        </w:tc>
      </w:tr>
      <w:tr>
        <w:trPr>
          <w:trHeight w:val="218"/>
        </w:trPr>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40" w:type="dxa"/>
            <w:vAlign w:val="bottom"/>
          </w:tcPr>
          <w:p>
            <w:pPr>
              <w:ind w:left="380"/>
              <w:spacing w:after="0"/>
              <w:rPr>
                <w:sz w:val="20"/>
                <w:szCs w:val="20"/>
                <w:color w:val="auto"/>
              </w:rPr>
            </w:pPr>
            <w:r>
              <w:rPr>
                <w:rFonts w:ascii="Arial" w:cs="Arial" w:eastAsia="Arial" w:hAnsi="Arial"/>
                <w:sz w:val="19"/>
                <w:szCs w:val="19"/>
                <w:color w:val="auto"/>
                <w:w w:val="94"/>
              </w:rPr>
              <w:t>independent laboratory shall be bound to the Parties by obligations of confidentiality no less exacting than those applying</w:t>
            </w:r>
          </w:p>
        </w:tc>
      </w:tr>
      <w:tr>
        <w:trPr>
          <w:trHeight w:val="24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40" w:type="dxa"/>
            <w:vAlign w:val="bottom"/>
          </w:tcPr>
          <w:p>
            <w:pPr>
              <w:ind w:left="380"/>
              <w:spacing w:after="0"/>
              <w:rPr>
                <w:sz w:val="20"/>
                <w:szCs w:val="20"/>
                <w:color w:val="auto"/>
              </w:rPr>
            </w:pPr>
            <w:r>
              <w:rPr>
                <w:rFonts w:ascii="Arial" w:cs="Arial" w:eastAsia="Arial" w:hAnsi="Arial"/>
                <w:sz w:val="19"/>
                <w:szCs w:val="19"/>
                <w:color w:val="auto"/>
              </w:rPr>
              <w:t>between the Parties pursuant to this Agreement;</w:t>
            </w:r>
          </w:p>
        </w:tc>
      </w:tr>
      <w:tr>
        <w:trPr>
          <w:trHeight w:val="300"/>
        </w:trPr>
        <w:tc>
          <w:tcPr>
            <w:tcW w:w="56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Arial" w:cs="Arial" w:eastAsia="Arial" w:hAnsi="Arial"/>
                <w:sz w:val="19"/>
                <w:szCs w:val="19"/>
                <w:color w:val="auto"/>
              </w:rPr>
              <w:t>(c)</w:t>
            </w:r>
          </w:p>
        </w:tc>
        <w:tc>
          <w:tcPr>
            <w:tcW w:w="10040" w:type="dxa"/>
            <w:vAlign w:val="bottom"/>
          </w:tcPr>
          <w:p>
            <w:pPr>
              <w:ind w:left="380"/>
              <w:spacing w:after="0"/>
              <w:rPr>
                <w:sz w:val="20"/>
                <w:szCs w:val="20"/>
                <w:color w:val="auto"/>
              </w:rPr>
            </w:pPr>
            <w:r>
              <w:rPr>
                <w:rFonts w:ascii="Arial" w:cs="Arial" w:eastAsia="Arial" w:hAnsi="Arial"/>
                <w:sz w:val="19"/>
                <w:szCs w:val="19"/>
                <w:color w:val="auto"/>
                <w:w w:val="96"/>
              </w:rPr>
              <w:t>the independent laboratory shall within [***] following its appointment determine the root cause of the non-conformity or</w:t>
            </w:r>
          </w:p>
        </w:tc>
      </w:tr>
      <w:tr>
        <w:trPr>
          <w:trHeight w:val="24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40" w:type="dxa"/>
            <w:vAlign w:val="bottom"/>
          </w:tcPr>
          <w:p>
            <w:pPr>
              <w:ind w:left="380"/>
              <w:spacing w:after="0"/>
              <w:rPr>
                <w:sz w:val="20"/>
                <w:szCs w:val="20"/>
                <w:color w:val="auto"/>
              </w:rPr>
            </w:pPr>
            <w:r>
              <w:rPr>
                <w:rFonts w:ascii="Arial" w:cs="Arial" w:eastAsia="Arial" w:hAnsi="Arial"/>
                <w:sz w:val="19"/>
                <w:szCs w:val="19"/>
                <w:color w:val="auto"/>
              </w:rPr>
              <w:t>Defect and its findings shall be conclusive and binding upon the Parties; and</w:t>
            </w:r>
          </w:p>
        </w:tc>
      </w:tr>
      <w:tr>
        <w:trPr>
          <w:trHeight w:val="321"/>
        </w:trPr>
        <w:tc>
          <w:tcPr>
            <w:tcW w:w="56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Arial" w:cs="Arial" w:eastAsia="Arial" w:hAnsi="Arial"/>
                <w:sz w:val="19"/>
                <w:szCs w:val="19"/>
                <w:color w:val="auto"/>
              </w:rPr>
              <w:t>(d)</w:t>
            </w:r>
          </w:p>
        </w:tc>
        <w:tc>
          <w:tcPr>
            <w:tcW w:w="10040" w:type="dxa"/>
            <w:vAlign w:val="bottom"/>
          </w:tcPr>
          <w:p>
            <w:pPr>
              <w:ind w:left="380"/>
              <w:spacing w:after="0"/>
              <w:rPr>
                <w:sz w:val="20"/>
                <w:szCs w:val="20"/>
                <w:color w:val="auto"/>
              </w:rPr>
            </w:pPr>
            <w:r>
              <w:rPr>
                <w:rFonts w:ascii="Arial" w:cs="Arial" w:eastAsia="Arial" w:hAnsi="Arial"/>
                <w:sz w:val="19"/>
                <w:szCs w:val="19"/>
                <w:color w:val="auto"/>
              </w:rPr>
              <w:t>all fees and expenses of the independent laboratory shall be borne solely by the unsuccessful Party.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386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7"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12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73" w:name="page174"/>
    <w:bookmarkEnd w:id="173"/>
    <w:p>
      <w:pPr>
        <w:ind w:left="880" w:hanging="877"/>
        <w:spacing w:after="0"/>
        <w:tabs>
          <w:tab w:leader="none" w:pos="880"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INDEMNIFICATION AND LIABILITIES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0" w:type="dxa"/>
            <w:vAlign w:val="bottom"/>
          </w:tcPr>
          <w:p>
            <w:pPr>
              <w:spacing w:after="0"/>
              <w:rPr>
                <w:sz w:val="20"/>
                <w:szCs w:val="20"/>
                <w:color w:val="auto"/>
              </w:rPr>
            </w:pPr>
            <w:r>
              <w:rPr>
                <w:rFonts w:ascii="Arial" w:cs="Arial" w:eastAsia="Arial" w:hAnsi="Arial"/>
                <w:sz w:val="19"/>
                <w:szCs w:val="19"/>
                <w:b w:val="1"/>
                <w:bCs w:val="1"/>
                <w:color w:val="auto"/>
              </w:rPr>
              <w:t>9.1</w:t>
            </w:r>
          </w:p>
        </w:tc>
        <w:tc>
          <w:tcPr>
            <w:tcW w:w="10640" w:type="dxa"/>
            <w:vAlign w:val="bottom"/>
            <w:gridSpan w:val="2"/>
          </w:tcPr>
          <w:p>
            <w:pPr>
              <w:ind w:left="280"/>
              <w:spacing w:after="0"/>
              <w:rPr>
                <w:sz w:val="20"/>
                <w:szCs w:val="20"/>
                <w:color w:val="auto"/>
              </w:rPr>
            </w:pPr>
            <w:r>
              <w:rPr>
                <w:rFonts w:ascii="Arial" w:cs="Arial" w:eastAsia="Arial" w:hAnsi="Arial"/>
                <w:sz w:val="19"/>
                <w:szCs w:val="19"/>
                <w:b w:val="1"/>
                <w:bCs w:val="1"/>
                <w:color w:val="auto"/>
                <w:w w:val="91"/>
              </w:rPr>
              <w:t xml:space="preserve">Indemnification </w:t>
            </w:r>
            <w:r>
              <w:rPr>
                <w:rFonts w:ascii="Arial" w:cs="Arial" w:eastAsia="Arial" w:hAnsi="Arial"/>
                <w:sz w:val="19"/>
                <w:szCs w:val="19"/>
                <w:color w:val="auto"/>
                <w:w w:val="91"/>
              </w:rPr>
              <w:t>Each Party (the “</w:t>
            </w:r>
            <w:r>
              <w:rPr>
                <w:rFonts w:ascii="Arial" w:cs="Arial" w:eastAsia="Arial" w:hAnsi="Arial"/>
                <w:sz w:val="19"/>
                <w:szCs w:val="19"/>
                <w:b w:val="1"/>
                <w:bCs w:val="1"/>
                <w:color w:val="auto"/>
                <w:w w:val="91"/>
              </w:rPr>
              <w:t>Indemnifying Party</w:t>
            </w:r>
            <w:r>
              <w:rPr>
                <w:rFonts w:ascii="Arial" w:cs="Arial" w:eastAsia="Arial" w:hAnsi="Arial"/>
                <w:sz w:val="19"/>
                <w:szCs w:val="19"/>
                <w:color w:val="auto"/>
                <w:w w:val="91"/>
              </w:rPr>
              <w:t>”) shall defend, indemnify, and hold harmless the other Party, its Affiliates and its</w:t>
            </w:r>
          </w:p>
        </w:tc>
      </w:tr>
      <w:tr>
        <w:trPr>
          <w:trHeight w:val="224"/>
        </w:trPr>
        <w:tc>
          <w:tcPr>
            <w:tcW w:w="600" w:type="dxa"/>
            <w:vAlign w:val="bottom"/>
          </w:tcPr>
          <w:p>
            <w:pPr>
              <w:spacing w:after="0"/>
              <w:rPr>
                <w:sz w:val="19"/>
                <w:szCs w:val="19"/>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w w:val="94"/>
              </w:rPr>
              <w:t>officers and directors, employees, agents, and representatives (each an “</w:t>
            </w:r>
            <w:r>
              <w:rPr>
                <w:rFonts w:ascii="Arial" w:cs="Arial" w:eastAsia="Arial" w:hAnsi="Arial"/>
                <w:sz w:val="19"/>
                <w:szCs w:val="19"/>
                <w:b w:val="1"/>
                <w:bCs w:val="1"/>
                <w:color w:val="auto"/>
                <w:w w:val="94"/>
              </w:rPr>
              <w:t>Indemnified Party</w:t>
            </w:r>
            <w:r>
              <w:rPr>
                <w:rFonts w:ascii="Arial" w:cs="Arial" w:eastAsia="Arial" w:hAnsi="Arial"/>
                <w:sz w:val="19"/>
                <w:szCs w:val="19"/>
                <w:color w:val="auto"/>
                <w:w w:val="94"/>
              </w:rPr>
              <w:t>”) from and against any and all losses,</w:t>
            </w:r>
          </w:p>
        </w:tc>
      </w:tr>
      <w:tr>
        <w:trPr>
          <w:trHeight w:val="212"/>
        </w:trPr>
        <w:tc>
          <w:tcPr>
            <w:tcW w:w="600" w:type="dxa"/>
            <w:vAlign w:val="bottom"/>
          </w:tcPr>
          <w:p>
            <w:pPr>
              <w:spacing w:after="0"/>
              <w:rPr>
                <w:sz w:val="18"/>
                <w:szCs w:val="18"/>
                <w:color w:val="auto"/>
              </w:rPr>
            </w:pPr>
          </w:p>
        </w:tc>
        <w:tc>
          <w:tcPr>
            <w:tcW w:w="1020" w:type="dxa"/>
            <w:vAlign w:val="bottom"/>
          </w:tcPr>
          <w:p>
            <w:pPr>
              <w:ind w:left="280"/>
              <w:spacing w:after="0" w:line="213" w:lineRule="exact"/>
              <w:rPr>
                <w:sz w:val="20"/>
                <w:szCs w:val="20"/>
                <w:color w:val="auto"/>
              </w:rPr>
            </w:pPr>
            <w:r>
              <w:rPr>
                <w:rFonts w:ascii="Arial" w:cs="Arial" w:eastAsia="Arial" w:hAnsi="Arial"/>
                <w:sz w:val="19"/>
                <w:szCs w:val="19"/>
                <w:color w:val="auto"/>
                <w:w w:val="86"/>
              </w:rPr>
              <w:t>damages,</w:t>
            </w:r>
          </w:p>
        </w:tc>
        <w:tc>
          <w:tcPr>
            <w:tcW w:w="9620" w:type="dxa"/>
            <w:vAlign w:val="bottom"/>
          </w:tcPr>
          <w:p>
            <w:pPr>
              <w:ind w:left="40"/>
              <w:spacing w:after="0" w:line="213" w:lineRule="exact"/>
              <w:rPr>
                <w:sz w:val="20"/>
                <w:szCs w:val="20"/>
                <w:color w:val="auto"/>
              </w:rPr>
            </w:pPr>
            <w:r>
              <w:rPr>
                <w:rFonts w:ascii="Arial" w:cs="Arial" w:eastAsia="Arial" w:hAnsi="Arial"/>
                <w:sz w:val="19"/>
                <w:szCs w:val="19"/>
                <w:color w:val="auto"/>
                <w:w w:val="96"/>
              </w:rPr>
              <w:t>liabilities, costs and expenses (including reasonable attorneys’ fees) in connection with any suit, demand or action (the</w:t>
            </w:r>
          </w:p>
        </w:tc>
      </w:tr>
      <w:tr>
        <w:trPr>
          <w:trHeight w:val="246"/>
        </w:trPr>
        <w:tc>
          <w:tcPr>
            <w:tcW w:w="600" w:type="dxa"/>
            <w:vAlign w:val="bottom"/>
          </w:tcPr>
          <w:p>
            <w:pPr>
              <w:spacing w:after="0"/>
              <w:rPr>
                <w:sz w:val="21"/>
                <w:szCs w:val="21"/>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Claims</w:t>
            </w:r>
            <w:r>
              <w:rPr>
                <w:rFonts w:ascii="Arial" w:cs="Arial" w:eastAsia="Arial" w:hAnsi="Arial"/>
                <w:sz w:val="19"/>
                <w:szCs w:val="19"/>
                <w:color w:val="auto"/>
              </w:rPr>
              <w:t>”) to the extent arising out of:</w:t>
            </w:r>
          </w:p>
        </w:tc>
      </w:tr>
      <w:tr>
        <w:trPr>
          <w:trHeight w:val="321"/>
        </w:trPr>
        <w:tc>
          <w:tcPr>
            <w:tcW w:w="600" w:type="dxa"/>
            <w:vAlign w:val="bottom"/>
          </w:tcPr>
          <w:p>
            <w:pPr>
              <w:spacing w:after="0"/>
              <w:rPr>
                <w:sz w:val="24"/>
                <w:szCs w:val="24"/>
                <w:color w:val="auto"/>
              </w:rPr>
            </w:pPr>
          </w:p>
        </w:tc>
        <w:tc>
          <w:tcPr>
            <w:tcW w:w="1020" w:type="dxa"/>
            <w:vAlign w:val="bottom"/>
          </w:tcPr>
          <w:p>
            <w:pPr>
              <w:ind w:left="280"/>
              <w:spacing w:after="0"/>
              <w:rPr>
                <w:sz w:val="20"/>
                <w:szCs w:val="20"/>
                <w:color w:val="auto"/>
              </w:rPr>
            </w:pPr>
            <w:r>
              <w:rPr>
                <w:rFonts w:ascii="Arial" w:cs="Arial" w:eastAsia="Arial" w:hAnsi="Arial"/>
                <w:sz w:val="19"/>
                <w:szCs w:val="19"/>
                <w:color w:val="auto"/>
              </w:rPr>
              <w:t>(a)</w:t>
            </w:r>
          </w:p>
        </w:tc>
        <w:tc>
          <w:tcPr>
            <w:tcW w:w="9620" w:type="dxa"/>
            <w:vAlign w:val="bottom"/>
          </w:tcPr>
          <w:p>
            <w:pPr>
              <w:ind w:left="140"/>
              <w:spacing w:after="0"/>
              <w:rPr>
                <w:sz w:val="20"/>
                <w:szCs w:val="20"/>
                <w:color w:val="auto"/>
              </w:rPr>
            </w:pPr>
            <w:r>
              <w:rPr>
                <w:rFonts w:ascii="Arial" w:cs="Arial" w:eastAsia="Arial" w:hAnsi="Arial"/>
                <w:sz w:val="19"/>
                <w:szCs w:val="19"/>
                <w:color w:val="auto"/>
              </w:rPr>
              <w:t>Any breach by the Indemnifying Party of its representations and warranties given under this Agreement;</w:t>
            </w:r>
          </w:p>
        </w:tc>
      </w:tr>
      <w:tr>
        <w:trPr>
          <w:trHeight w:val="321"/>
        </w:trPr>
        <w:tc>
          <w:tcPr>
            <w:tcW w:w="600" w:type="dxa"/>
            <w:vAlign w:val="bottom"/>
          </w:tcPr>
          <w:p>
            <w:pPr>
              <w:spacing w:after="0"/>
              <w:rPr>
                <w:sz w:val="24"/>
                <w:szCs w:val="24"/>
                <w:color w:val="auto"/>
              </w:rPr>
            </w:pPr>
          </w:p>
        </w:tc>
        <w:tc>
          <w:tcPr>
            <w:tcW w:w="1020" w:type="dxa"/>
            <w:vAlign w:val="bottom"/>
          </w:tcPr>
          <w:p>
            <w:pPr>
              <w:ind w:left="280"/>
              <w:spacing w:after="0"/>
              <w:rPr>
                <w:sz w:val="20"/>
                <w:szCs w:val="20"/>
                <w:color w:val="auto"/>
              </w:rPr>
            </w:pPr>
            <w:r>
              <w:rPr>
                <w:rFonts w:ascii="Arial" w:cs="Arial" w:eastAsia="Arial" w:hAnsi="Arial"/>
                <w:sz w:val="19"/>
                <w:szCs w:val="19"/>
                <w:color w:val="auto"/>
              </w:rPr>
              <w:t>(b)</w:t>
            </w:r>
          </w:p>
        </w:tc>
        <w:tc>
          <w:tcPr>
            <w:tcW w:w="9620" w:type="dxa"/>
            <w:vAlign w:val="bottom"/>
          </w:tcPr>
          <w:p>
            <w:pPr>
              <w:ind w:left="140"/>
              <w:spacing w:after="0"/>
              <w:rPr>
                <w:sz w:val="20"/>
                <w:szCs w:val="20"/>
                <w:color w:val="auto"/>
              </w:rPr>
            </w:pPr>
            <w:r>
              <w:rPr>
                <w:rFonts w:ascii="Arial" w:cs="Arial" w:eastAsia="Arial" w:hAnsi="Arial"/>
                <w:sz w:val="19"/>
                <w:szCs w:val="19"/>
                <w:color w:val="auto"/>
              </w:rPr>
              <w:t>Negligence, fraud or willful misconduct in performing the Indemnifying Party’s obligations under this Agreement;</w:t>
            </w:r>
          </w:p>
        </w:tc>
      </w:tr>
      <w:tr>
        <w:trPr>
          <w:trHeight w:val="300"/>
        </w:trPr>
        <w:tc>
          <w:tcPr>
            <w:tcW w:w="600" w:type="dxa"/>
            <w:vAlign w:val="bottom"/>
          </w:tcPr>
          <w:p>
            <w:pPr>
              <w:spacing w:after="0"/>
              <w:rPr>
                <w:sz w:val="24"/>
                <w:szCs w:val="24"/>
                <w:color w:val="auto"/>
              </w:rPr>
            </w:pPr>
          </w:p>
        </w:tc>
        <w:tc>
          <w:tcPr>
            <w:tcW w:w="1020" w:type="dxa"/>
            <w:vAlign w:val="bottom"/>
          </w:tcPr>
          <w:p>
            <w:pPr>
              <w:ind w:left="280"/>
              <w:spacing w:after="0"/>
              <w:rPr>
                <w:sz w:val="20"/>
                <w:szCs w:val="20"/>
                <w:color w:val="auto"/>
              </w:rPr>
            </w:pPr>
            <w:r>
              <w:rPr>
                <w:rFonts w:ascii="Arial" w:cs="Arial" w:eastAsia="Arial" w:hAnsi="Arial"/>
                <w:sz w:val="19"/>
                <w:szCs w:val="19"/>
                <w:color w:val="auto"/>
              </w:rPr>
              <w:t>(c)</w:t>
            </w:r>
          </w:p>
        </w:tc>
        <w:tc>
          <w:tcPr>
            <w:tcW w:w="9620" w:type="dxa"/>
            <w:vAlign w:val="bottom"/>
          </w:tcPr>
          <w:p>
            <w:pPr>
              <w:ind w:left="140"/>
              <w:spacing w:after="0"/>
              <w:rPr>
                <w:sz w:val="20"/>
                <w:szCs w:val="20"/>
                <w:color w:val="auto"/>
              </w:rPr>
            </w:pPr>
            <w:r>
              <w:rPr>
                <w:rFonts w:ascii="Arial" w:cs="Arial" w:eastAsia="Arial" w:hAnsi="Arial"/>
                <w:sz w:val="19"/>
                <w:szCs w:val="19"/>
                <w:color w:val="auto"/>
                <w:w w:val="93"/>
              </w:rPr>
              <w:t>Any patent infringement or infringement of any other Intellectual Property caused by the Indemnifying Party in performing</w:t>
            </w:r>
          </w:p>
        </w:tc>
      </w:tr>
      <w:tr>
        <w:trPr>
          <w:trHeight w:val="240"/>
        </w:trPr>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20" w:type="dxa"/>
            <w:vAlign w:val="bottom"/>
          </w:tcPr>
          <w:p>
            <w:pPr>
              <w:ind w:left="140"/>
              <w:spacing w:after="0"/>
              <w:rPr>
                <w:sz w:val="20"/>
                <w:szCs w:val="20"/>
                <w:color w:val="auto"/>
              </w:rPr>
            </w:pPr>
            <w:r>
              <w:rPr>
                <w:rFonts w:ascii="Arial" w:cs="Arial" w:eastAsia="Arial" w:hAnsi="Arial"/>
                <w:sz w:val="19"/>
                <w:szCs w:val="19"/>
                <w:color w:val="auto"/>
              </w:rPr>
              <w:t>the Indemnifying Party’s obligations under this Agreement; and/or</w:t>
            </w:r>
          </w:p>
        </w:tc>
      </w:tr>
      <w:tr>
        <w:trPr>
          <w:trHeight w:val="321"/>
        </w:trPr>
        <w:tc>
          <w:tcPr>
            <w:tcW w:w="600" w:type="dxa"/>
            <w:vAlign w:val="bottom"/>
          </w:tcPr>
          <w:p>
            <w:pPr>
              <w:spacing w:after="0"/>
              <w:rPr>
                <w:sz w:val="24"/>
                <w:szCs w:val="24"/>
                <w:color w:val="auto"/>
              </w:rPr>
            </w:pPr>
          </w:p>
        </w:tc>
        <w:tc>
          <w:tcPr>
            <w:tcW w:w="1020" w:type="dxa"/>
            <w:vAlign w:val="bottom"/>
          </w:tcPr>
          <w:p>
            <w:pPr>
              <w:ind w:left="280"/>
              <w:spacing w:after="0"/>
              <w:rPr>
                <w:sz w:val="20"/>
                <w:szCs w:val="20"/>
                <w:color w:val="auto"/>
              </w:rPr>
            </w:pPr>
            <w:r>
              <w:rPr>
                <w:rFonts w:ascii="Arial" w:cs="Arial" w:eastAsia="Arial" w:hAnsi="Arial"/>
                <w:sz w:val="19"/>
                <w:szCs w:val="19"/>
                <w:color w:val="auto"/>
              </w:rPr>
              <w:t>(d)</w:t>
            </w:r>
          </w:p>
        </w:tc>
        <w:tc>
          <w:tcPr>
            <w:tcW w:w="9620" w:type="dxa"/>
            <w:vAlign w:val="bottom"/>
          </w:tcPr>
          <w:p>
            <w:pPr>
              <w:ind w:left="140"/>
              <w:spacing w:after="0"/>
              <w:rPr>
                <w:sz w:val="20"/>
                <w:szCs w:val="20"/>
                <w:color w:val="auto"/>
              </w:rPr>
            </w:pPr>
            <w:r>
              <w:rPr>
                <w:rFonts w:ascii="Arial" w:cs="Arial" w:eastAsia="Arial" w:hAnsi="Arial"/>
                <w:sz w:val="19"/>
                <w:szCs w:val="19"/>
                <w:color w:val="auto"/>
              </w:rPr>
              <w:t>Any breach of statutory duty or any criminal act by the Indemnifying Party,</w:t>
            </w:r>
          </w:p>
        </w:tc>
      </w:tr>
      <w:tr>
        <w:trPr>
          <w:trHeight w:val="300"/>
        </w:trPr>
        <w:tc>
          <w:tcPr>
            <w:tcW w:w="600" w:type="dxa"/>
            <w:vAlign w:val="bottom"/>
          </w:tcPr>
          <w:p>
            <w:pPr>
              <w:spacing w:after="0"/>
              <w:rPr>
                <w:sz w:val="24"/>
                <w:szCs w:val="24"/>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w w:val="92"/>
              </w:rPr>
              <w:t>except (in the case of (a) through (d)) to the extent that such losses etc. arise from the breach, negligence or willful misconduct of any</w:t>
            </w:r>
          </w:p>
        </w:tc>
      </w:tr>
      <w:tr>
        <w:trPr>
          <w:trHeight w:val="240"/>
        </w:trPr>
        <w:tc>
          <w:tcPr>
            <w:tcW w:w="600" w:type="dxa"/>
            <w:vAlign w:val="bottom"/>
          </w:tcPr>
          <w:p>
            <w:pPr>
              <w:spacing w:after="0"/>
              <w:rPr>
                <w:sz w:val="20"/>
                <w:szCs w:val="20"/>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rPr>
              <w:t>Indemnified Party.</w:t>
            </w:r>
          </w:p>
        </w:tc>
      </w:tr>
      <w:tr>
        <w:trPr>
          <w:trHeight w:val="300"/>
        </w:trPr>
        <w:tc>
          <w:tcPr>
            <w:tcW w:w="600" w:type="dxa"/>
            <w:vAlign w:val="bottom"/>
          </w:tcPr>
          <w:p>
            <w:pPr>
              <w:spacing w:after="0"/>
              <w:rPr>
                <w:sz w:val="20"/>
                <w:szCs w:val="20"/>
                <w:color w:val="auto"/>
              </w:rPr>
            </w:pPr>
            <w:r>
              <w:rPr>
                <w:rFonts w:ascii="Arial" w:cs="Arial" w:eastAsia="Arial" w:hAnsi="Arial"/>
                <w:sz w:val="19"/>
                <w:szCs w:val="19"/>
                <w:b w:val="1"/>
                <w:bCs w:val="1"/>
                <w:color w:val="auto"/>
              </w:rPr>
              <w:t>9.2</w:t>
            </w:r>
          </w:p>
        </w:tc>
        <w:tc>
          <w:tcPr>
            <w:tcW w:w="10640" w:type="dxa"/>
            <w:vAlign w:val="bottom"/>
            <w:gridSpan w:val="2"/>
          </w:tcPr>
          <w:p>
            <w:pPr>
              <w:ind w:left="280"/>
              <w:spacing w:after="0"/>
              <w:rPr>
                <w:sz w:val="20"/>
                <w:szCs w:val="20"/>
                <w:color w:val="auto"/>
              </w:rPr>
            </w:pPr>
            <w:r>
              <w:rPr>
                <w:rFonts w:ascii="Arial" w:cs="Arial" w:eastAsia="Arial" w:hAnsi="Arial"/>
                <w:sz w:val="19"/>
                <w:szCs w:val="19"/>
                <w:b w:val="1"/>
                <w:bCs w:val="1"/>
                <w:color w:val="auto"/>
                <w:w w:val="93"/>
              </w:rPr>
              <w:t xml:space="preserve">Indemnification Process for Third Party Claims. </w:t>
            </w:r>
            <w:r>
              <w:rPr>
                <w:rFonts w:ascii="Arial" w:cs="Arial" w:eastAsia="Arial" w:hAnsi="Arial"/>
                <w:sz w:val="19"/>
                <w:szCs w:val="19"/>
                <w:color w:val="auto"/>
                <w:w w:val="93"/>
              </w:rPr>
              <w:t>Upon occurrence of a Claim raised by a third party that requires indemnification</w:t>
            </w:r>
          </w:p>
        </w:tc>
      </w:tr>
      <w:tr>
        <w:trPr>
          <w:trHeight w:val="218"/>
        </w:trPr>
        <w:tc>
          <w:tcPr>
            <w:tcW w:w="60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w w:val="94"/>
              </w:rPr>
              <w:t>under this Agreement, the Indemnified Party shall notify the Indemnifying Party in writing without undue delay upon receipt of such</w:t>
            </w:r>
          </w:p>
        </w:tc>
      </w:tr>
      <w:tr>
        <w:trPr>
          <w:trHeight w:val="218"/>
        </w:trPr>
        <w:tc>
          <w:tcPr>
            <w:tcW w:w="60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w w:val="93"/>
              </w:rPr>
              <w:t>Claim. The Indemnified Party shall refrain from making any admission of liability or any attempt to settle any such Claims without the</w:t>
            </w:r>
          </w:p>
        </w:tc>
      </w:tr>
      <w:tr>
        <w:trPr>
          <w:trHeight w:val="218"/>
        </w:trPr>
        <w:tc>
          <w:tcPr>
            <w:tcW w:w="60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w w:val="90"/>
              </w:rPr>
              <w:t>Indemnifying Party’s consent. The Indemnified Party shall reasonably cooperate with The Indemnifying Party in the defense of any such</w:t>
            </w:r>
          </w:p>
        </w:tc>
      </w:tr>
      <w:tr>
        <w:trPr>
          <w:trHeight w:val="218"/>
        </w:trPr>
        <w:tc>
          <w:tcPr>
            <w:tcW w:w="60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w w:val="94"/>
              </w:rPr>
              <w:t>Claims at the Indemnifying Party’s cost and expense. The Indemnified Party shall take all such reasonable steps and action as are</w:t>
            </w:r>
          </w:p>
        </w:tc>
      </w:tr>
      <w:tr>
        <w:trPr>
          <w:trHeight w:val="240"/>
        </w:trPr>
        <w:tc>
          <w:tcPr>
            <w:tcW w:w="600" w:type="dxa"/>
            <w:vAlign w:val="bottom"/>
          </w:tcPr>
          <w:p>
            <w:pPr>
              <w:spacing w:after="0"/>
              <w:rPr>
                <w:sz w:val="20"/>
                <w:szCs w:val="20"/>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rPr>
              <w:t>necessary or as the Indemnifying Party may reasonably require in order to mitigate any Claims.</w:t>
            </w:r>
          </w:p>
        </w:tc>
      </w:tr>
      <w:tr>
        <w:trPr>
          <w:trHeight w:val="300"/>
        </w:trPr>
        <w:tc>
          <w:tcPr>
            <w:tcW w:w="600" w:type="dxa"/>
            <w:vAlign w:val="bottom"/>
          </w:tcPr>
          <w:p>
            <w:pPr>
              <w:spacing w:after="0"/>
              <w:rPr>
                <w:sz w:val="20"/>
                <w:szCs w:val="20"/>
                <w:color w:val="auto"/>
              </w:rPr>
            </w:pPr>
            <w:r>
              <w:rPr>
                <w:rFonts w:ascii="Arial" w:cs="Arial" w:eastAsia="Arial" w:hAnsi="Arial"/>
                <w:sz w:val="19"/>
                <w:szCs w:val="19"/>
                <w:b w:val="1"/>
                <w:bCs w:val="1"/>
                <w:color w:val="auto"/>
              </w:rPr>
              <w:t>9.3</w:t>
            </w:r>
          </w:p>
        </w:tc>
        <w:tc>
          <w:tcPr>
            <w:tcW w:w="10640" w:type="dxa"/>
            <w:vAlign w:val="bottom"/>
            <w:gridSpan w:val="2"/>
          </w:tcPr>
          <w:p>
            <w:pPr>
              <w:ind w:left="280"/>
              <w:spacing w:after="0"/>
              <w:rPr>
                <w:sz w:val="20"/>
                <w:szCs w:val="20"/>
                <w:color w:val="auto"/>
              </w:rPr>
            </w:pPr>
            <w:r>
              <w:rPr>
                <w:rFonts w:ascii="Arial" w:cs="Arial" w:eastAsia="Arial" w:hAnsi="Arial"/>
                <w:sz w:val="19"/>
                <w:szCs w:val="19"/>
                <w:b w:val="1"/>
                <w:bCs w:val="1"/>
                <w:color w:val="auto"/>
                <w:w w:val="93"/>
              </w:rPr>
              <w:t xml:space="preserve">Exclusion of Liability. </w:t>
            </w:r>
            <w:r>
              <w:rPr>
                <w:rFonts w:ascii="Arial" w:cs="Arial" w:eastAsia="Arial" w:hAnsi="Arial"/>
                <w:sz w:val="19"/>
                <w:szCs w:val="19"/>
                <w:color w:val="auto"/>
                <w:w w:val="93"/>
              </w:rPr>
              <w:t>To the maximum extent permitted by law and unless explicitly provided otherwise in this Agreement, neither</w:t>
            </w:r>
          </w:p>
        </w:tc>
      </w:tr>
      <w:tr>
        <w:trPr>
          <w:trHeight w:val="218"/>
        </w:trPr>
        <w:tc>
          <w:tcPr>
            <w:tcW w:w="60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w w:val="91"/>
              </w:rPr>
              <w:t>Party or its Affiliates shall be liable to the other Party for any indirect, incidental, consequential, special, reliance or punitive damages or</w:t>
            </w:r>
          </w:p>
        </w:tc>
      </w:tr>
      <w:tr>
        <w:trPr>
          <w:trHeight w:val="218"/>
        </w:trPr>
        <w:tc>
          <w:tcPr>
            <w:tcW w:w="60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w w:val="92"/>
              </w:rPr>
              <w:t>lost or imputed profits or royalties, regardless of whether arising from breach of contract, warranty, tort (including negligence and strict</w:t>
            </w:r>
          </w:p>
        </w:tc>
      </w:tr>
      <w:tr>
        <w:trPr>
          <w:trHeight w:val="218"/>
        </w:trPr>
        <w:tc>
          <w:tcPr>
            <w:tcW w:w="60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w w:val="92"/>
              </w:rPr>
              <w:t>product liability), indemnity or contribution, and irrespective of whether that Party or any representative of that Party has been advised</w:t>
            </w:r>
          </w:p>
        </w:tc>
      </w:tr>
      <w:tr>
        <w:trPr>
          <w:trHeight w:val="218"/>
        </w:trPr>
        <w:tc>
          <w:tcPr>
            <w:tcW w:w="60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w w:val="93"/>
              </w:rPr>
              <w:t>of, or otherwise might have anticipated or reasonably foresee the possibility of, any such loss or damage. The Parties agree that the</w:t>
            </w:r>
          </w:p>
        </w:tc>
      </w:tr>
      <w:tr>
        <w:trPr>
          <w:trHeight w:val="218"/>
        </w:trPr>
        <w:tc>
          <w:tcPr>
            <w:tcW w:w="60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w w:val="93"/>
              </w:rPr>
              <w:t>limitations specified in this Clause 9.3 shall apply even if any limited remedy specified in this Agreement is found to have failed of its</w:t>
            </w:r>
          </w:p>
        </w:tc>
      </w:tr>
      <w:tr>
        <w:trPr>
          <w:trHeight w:val="240"/>
        </w:trPr>
        <w:tc>
          <w:tcPr>
            <w:tcW w:w="600" w:type="dxa"/>
            <w:vAlign w:val="bottom"/>
          </w:tcPr>
          <w:p>
            <w:pPr>
              <w:spacing w:after="0"/>
              <w:rPr>
                <w:sz w:val="20"/>
                <w:szCs w:val="20"/>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rPr>
              <w:t>essential purpose.</w:t>
            </w:r>
          </w:p>
        </w:tc>
      </w:tr>
      <w:tr>
        <w:trPr>
          <w:trHeight w:val="527"/>
        </w:trPr>
        <w:tc>
          <w:tcPr>
            <w:tcW w:w="600" w:type="dxa"/>
            <w:vAlign w:val="bottom"/>
          </w:tcPr>
          <w:p>
            <w:pPr>
              <w:spacing w:after="0"/>
              <w:rPr>
                <w:sz w:val="20"/>
                <w:szCs w:val="20"/>
                <w:color w:val="auto"/>
              </w:rPr>
            </w:pPr>
            <w:r>
              <w:rPr>
                <w:rFonts w:ascii="Arial" w:cs="Arial" w:eastAsia="Arial" w:hAnsi="Arial"/>
                <w:sz w:val="19"/>
                <w:szCs w:val="19"/>
                <w:b w:val="1"/>
                <w:bCs w:val="1"/>
                <w:color w:val="auto"/>
              </w:rPr>
              <w:t>10.</w:t>
            </w:r>
          </w:p>
        </w:tc>
        <w:tc>
          <w:tcPr>
            <w:tcW w:w="10640" w:type="dxa"/>
            <w:vAlign w:val="bottom"/>
            <w:gridSpan w:val="2"/>
          </w:tcPr>
          <w:p>
            <w:pPr>
              <w:ind w:left="280"/>
              <w:spacing w:after="0"/>
              <w:rPr>
                <w:sz w:val="20"/>
                <w:szCs w:val="20"/>
                <w:color w:val="auto"/>
              </w:rPr>
            </w:pPr>
            <w:r>
              <w:rPr>
                <w:rFonts w:ascii="Arial" w:cs="Arial" w:eastAsia="Arial" w:hAnsi="Arial"/>
                <w:sz w:val="19"/>
                <w:szCs w:val="19"/>
                <w:b w:val="1"/>
                <w:bCs w:val="1"/>
                <w:color w:val="auto"/>
              </w:rPr>
              <w:t>QUALITY</w:t>
            </w:r>
          </w:p>
        </w:tc>
      </w:tr>
      <w:tr>
        <w:trPr>
          <w:trHeight w:val="300"/>
        </w:trPr>
        <w:tc>
          <w:tcPr>
            <w:tcW w:w="600" w:type="dxa"/>
            <w:vAlign w:val="bottom"/>
          </w:tcPr>
          <w:p>
            <w:pPr>
              <w:spacing w:after="0"/>
              <w:rPr>
                <w:sz w:val="20"/>
                <w:szCs w:val="20"/>
                <w:color w:val="auto"/>
              </w:rPr>
            </w:pPr>
            <w:r>
              <w:rPr>
                <w:rFonts w:ascii="Arial" w:cs="Arial" w:eastAsia="Arial" w:hAnsi="Arial"/>
                <w:sz w:val="19"/>
                <w:szCs w:val="19"/>
                <w:b w:val="1"/>
                <w:bCs w:val="1"/>
                <w:color w:val="auto"/>
              </w:rPr>
              <w:t>10.1</w:t>
            </w:r>
          </w:p>
        </w:tc>
        <w:tc>
          <w:tcPr>
            <w:tcW w:w="10640" w:type="dxa"/>
            <w:vAlign w:val="bottom"/>
            <w:gridSpan w:val="2"/>
          </w:tcPr>
          <w:p>
            <w:pPr>
              <w:ind w:left="280"/>
              <w:spacing w:after="0"/>
              <w:rPr>
                <w:sz w:val="20"/>
                <w:szCs w:val="20"/>
                <w:color w:val="auto"/>
              </w:rPr>
            </w:pPr>
            <w:r>
              <w:rPr>
                <w:rFonts w:ascii="Arial" w:cs="Arial" w:eastAsia="Arial" w:hAnsi="Arial"/>
                <w:sz w:val="19"/>
                <w:szCs w:val="19"/>
                <w:b w:val="1"/>
                <w:bCs w:val="1"/>
                <w:color w:val="auto"/>
                <w:w w:val="99"/>
              </w:rPr>
              <w:t xml:space="preserve">Quality Agreement. </w:t>
            </w:r>
            <w:r>
              <w:rPr>
                <w:rFonts w:ascii="Arial" w:cs="Arial" w:eastAsia="Arial" w:hAnsi="Arial"/>
                <w:sz w:val="19"/>
                <w:szCs w:val="19"/>
                <w:color w:val="auto"/>
                <w:w w:val="99"/>
              </w:rPr>
              <w:t>The Parties shall enter into a separate Quality Agreement relating to the Parties’ quality responsibilities</w:t>
            </w:r>
          </w:p>
        </w:tc>
      </w:tr>
      <w:tr>
        <w:trPr>
          <w:trHeight w:val="218"/>
        </w:trPr>
        <w:tc>
          <w:tcPr>
            <w:tcW w:w="60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w w:val="93"/>
              </w:rPr>
              <w:t>substantially in accordance with [***], before Supplier commences the Supplier Bulk Supply and/or Packaging Services for Customer</w:t>
            </w:r>
          </w:p>
        </w:tc>
      </w:tr>
      <w:tr>
        <w:trPr>
          <w:trHeight w:val="240"/>
        </w:trPr>
        <w:tc>
          <w:tcPr>
            <w:tcW w:w="600" w:type="dxa"/>
            <w:vAlign w:val="bottom"/>
          </w:tcPr>
          <w:p>
            <w:pPr>
              <w:spacing w:after="0"/>
              <w:rPr>
                <w:sz w:val="20"/>
                <w:szCs w:val="20"/>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rPr>
              <w:t>for commercial production.</w:t>
            </w:r>
          </w:p>
        </w:tc>
      </w:tr>
      <w:tr>
        <w:trPr>
          <w:trHeight w:val="300"/>
        </w:trPr>
        <w:tc>
          <w:tcPr>
            <w:tcW w:w="600" w:type="dxa"/>
            <w:vAlign w:val="bottom"/>
          </w:tcPr>
          <w:p>
            <w:pPr>
              <w:spacing w:after="0"/>
              <w:rPr>
                <w:sz w:val="20"/>
                <w:szCs w:val="20"/>
                <w:color w:val="auto"/>
              </w:rPr>
            </w:pPr>
            <w:r>
              <w:rPr>
                <w:rFonts w:ascii="Arial" w:cs="Arial" w:eastAsia="Arial" w:hAnsi="Arial"/>
                <w:sz w:val="19"/>
                <w:szCs w:val="19"/>
                <w:b w:val="1"/>
                <w:bCs w:val="1"/>
                <w:color w:val="auto"/>
              </w:rPr>
              <w:t>10.2</w:t>
            </w:r>
          </w:p>
        </w:tc>
        <w:tc>
          <w:tcPr>
            <w:tcW w:w="10640" w:type="dxa"/>
            <w:vAlign w:val="bottom"/>
            <w:gridSpan w:val="2"/>
          </w:tcPr>
          <w:p>
            <w:pPr>
              <w:ind w:left="280"/>
              <w:spacing w:after="0"/>
              <w:rPr>
                <w:sz w:val="20"/>
                <w:szCs w:val="20"/>
                <w:color w:val="auto"/>
              </w:rPr>
            </w:pPr>
            <w:r>
              <w:rPr>
                <w:rFonts w:ascii="Arial" w:cs="Arial" w:eastAsia="Arial" w:hAnsi="Arial"/>
                <w:sz w:val="19"/>
                <w:szCs w:val="19"/>
                <w:b w:val="1"/>
                <w:bCs w:val="1"/>
                <w:color w:val="auto"/>
                <w:w w:val="94"/>
              </w:rPr>
              <w:t xml:space="preserve">Change Control. </w:t>
            </w:r>
            <w:r>
              <w:rPr>
                <w:rFonts w:ascii="Arial" w:cs="Arial" w:eastAsia="Arial" w:hAnsi="Arial"/>
                <w:sz w:val="19"/>
                <w:szCs w:val="19"/>
                <w:color w:val="auto"/>
                <w:w w:val="94"/>
              </w:rPr>
              <w:t>All changes in the Packaging Process and/or the Supplier Bulk Specifications that are required to be undertaken,</w:t>
            </w:r>
          </w:p>
        </w:tc>
      </w:tr>
      <w:tr>
        <w:trPr>
          <w:trHeight w:val="218"/>
        </w:trPr>
        <w:tc>
          <w:tcPr>
            <w:tcW w:w="600" w:type="dxa"/>
            <w:vAlign w:val="bottom"/>
          </w:tcPr>
          <w:p>
            <w:pPr>
              <w:spacing w:after="0"/>
              <w:rPr>
                <w:sz w:val="18"/>
                <w:szCs w:val="18"/>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w w:val="95"/>
              </w:rPr>
              <w:t>including any request from a competent Regulatory Authority or requested by either Party shall be handled in accordance with the</w:t>
            </w:r>
          </w:p>
        </w:tc>
      </w:tr>
      <w:tr>
        <w:trPr>
          <w:trHeight w:val="240"/>
        </w:trPr>
        <w:tc>
          <w:tcPr>
            <w:tcW w:w="600" w:type="dxa"/>
            <w:vAlign w:val="bottom"/>
          </w:tcPr>
          <w:p>
            <w:pPr>
              <w:spacing w:after="0"/>
              <w:rPr>
                <w:sz w:val="20"/>
                <w:szCs w:val="20"/>
                <w:color w:val="auto"/>
              </w:rPr>
            </w:pPr>
          </w:p>
        </w:tc>
        <w:tc>
          <w:tcPr>
            <w:tcW w:w="10640" w:type="dxa"/>
            <w:vAlign w:val="bottom"/>
            <w:gridSpan w:val="2"/>
          </w:tcPr>
          <w:p>
            <w:pPr>
              <w:ind w:left="280"/>
              <w:spacing w:after="0"/>
              <w:rPr>
                <w:sz w:val="20"/>
                <w:szCs w:val="20"/>
                <w:color w:val="auto"/>
              </w:rPr>
            </w:pPr>
            <w:r>
              <w:rPr>
                <w:rFonts w:ascii="Arial" w:cs="Arial" w:eastAsia="Arial" w:hAnsi="Arial"/>
                <w:sz w:val="19"/>
                <w:szCs w:val="19"/>
                <w:color w:val="auto"/>
              </w:rPr>
              <w:t>change control provisions set forth in the Quality Agreement.</w:t>
            </w:r>
          </w:p>
        </w:tc>
      </w:tr>
      <w:tr>
        <w:trPr>
          <w:trHeight w:val="321"/>
        </w:trPr>
        <w:tc>
          <w:tcPr>
            <w:tcW w:w="600" w:type="dxa"/>
            <w:vAlign w:val="bottom"/>
          </w:tcPr>
          <w:p>
            <w:pPr>
              <w:spacing w:after="0"/>
              <w:rPr>
                <w:sz w:val="20"/>
                <w:szCs w:val="20"/>
                <w:color w:val="auto"/>
              </w:rPr>
            </w:pPr>
            <w:r>
              <w:rPr>
                <w:rFonts w:ascii="Arial" w:cs="Arial" w:eastAsia="Arial" w:hAnsi="Arial"/>
                <w:sz w:val="19"/>
                <w:szCs w:val="19"/>
                <w:b w:val="1"/>
                <w:bCs w:val="1"/>
                <w:color w:val="auto"/>
              </w:rPr>
              <w:t>10.3</w:t>
            </w:r>
          </w:p>
        </w:tc>
        <w:tc>
          <w:tcPr>
            <w:tcW w:w="10640" w:type="dxa"/>
            <w:vAlign w:val="bottom"/>
            <w:gridSpan w:val="2"/>
          </w:tcPr>
          <w:p>
            <w:pPr>
              <w:ind w:left="280"/>
              <w:spacing w:after="0"/>
              <w:rPr>
                <w:sz w:val="20"/>
                <w:szCs w:val="20"/>
                <w:color w:val="auto"/>
              </w:rPr>
            </w:pPr>
            <w:r>
              <w:rPr>
                <w:rFonts w:ascii="Arial" w:cs="Arial" w:eastAsia="Arial" w:hAnsi="Arial"/>
                <w:sz w:val="19"/>
                <w:szCs w:val="19"/>
                <w:b w:val="1"/>
                <w:bCs w:val="1"/>
                <w:color w:val="auto"/>
              </w:rPr>
              <w:t xml:space="preserve">Supplier Cost. </w:t>
            </w:r>
            <w:r>
              <w:rPr>
                <w:rFonts w:ascii="Arial" w:cs="Arial" w:eastAsia="Arial" w:hAnsi="Arial"/>
                <w:sz w:val="19"/>
                <w:szCs w:val="19"/>
                <w:color w:val="auto"/>
              </w:rPr>
              <w:t>[***].</w:t>
            </w:r>
          </w:p>
        </w:tc>
      </w:tr>
      <w:tr>
        <w:trPr>
          <w:trHeight w:val="321"/>
        </w:trPr>
        <w:tc>
          <w:tcPr>
            <w:tcW w:w="600" w:type="dxa"/>
            <w:vAlign w:val="bottom"/>
          </w:tcPr>
          <w:p>
            <w:pPr>
              <w:spacing w:after="0"/>
              <w:rPr>
                <w:sz w:val="20"/>
                <w:szCs w:val="20"/>
                <w:color w:val="auto"/>
              </w:rPr>
            </w:pPr>
            <w:r>
              <w:rPr>
                <w:rFonts w:ascii="Arial" w:cs="Arial" w:eastAsia="Arial" w:hAnsi="Arial"/>
                <w:sz w:val="19"/>
                <w:szCs w:val="19"/>
                <w:b w:val="1"/>
                <w:bCs w:val="1"/>
                <w:color w:val="auto"/>
              </w:rPr>
              <w:t>10.4</w:t>
            </w:r>
          </w:p>
        </w:tc>
        <w:tc>
          <w:tcPr>
            <w:tcW w:w="10640" w:type="dxa"/>
            <w:vAlign w:val="bottom"/>
            <w:gridSpan w:val="2"/>
          </w:tcPr>
          <w:p>
            <w:pPr>
              <w:ind w:left="280"/>
              <w:spacing w:after="0"/>
              <w:rPr>
                <w:sz w:val="20"/>
                <w:szCs w:val="20"/>
                <w:color w:val="auto"/>
              </w:rPr>
            </w:pPr>
            <w:r>
              <w:rPr>
                <w:rFonts w:ascii="Arial" w:cs="Arial" w:eastAsia="Arial" w:hAnsi="Arial"/>
                <w:sz w:val="19"/>
                <w:szCs w:val="19"/>
                <w:b w:val="1"/>
                <w:bCs w:val="1"/>
                <w:color w:val="auto"/>
              </w:rPr>
              <w:t xml:space="preserve">Customer Cost. </w:t>
            </w:r>
            <w:r>
              <w:rPr>
                <w:rFonts w:ascii="Arial" w:cs="Arial" w:eastAsia="Arial" w:hAnsi="Arial"/>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713867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7"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13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74" w:name="page175"/>
    <w:bookmarkEnd w:id="174"/>
    <w:p>
      <w:pPr>
        <w:spacing w:after="0"/>
        <w:tabs>
          <w:tab w:leader="none" w:pos="860" w:val="left"/>
        </w:tabs>
        <w:rPr>
          <w:sz w:val="20"/>
          <w:szCs w:val="20"/>
          <w:color w:val="auto"/>
        </w:rPr>
      </w:pPr>
      <w:r>
        <w:rPr>
          <w:rFonts w:ascii="Arial" w:cs="Arial" w:eastAsia="Arial" w:hAnsi="Arial"/>
          <w:sz w:val="19"/>
          <w:szCs w:val="19"/>
          <w:b w:val="1"/>
          <w:bCs w:val="1"/>
          <w:color w:val="auto"/>
        </w:rPr>
        <w:t>10.5</w:t>
      </w:r>
      <w:r>
        <w:rPr>
          <w:sz w:val="20"/>
          <w:szCs w:val="20"/>
          <w:color w:val="auto"/>
        </w:rPr>
        <w:tab/>
      </w:r>
      <w:r>
        <w:rPr>
          <w:rFonts w:ascii="Arial" w:cs="Arial" w:eastAsia="Arial" w:hAnsi="Arial"/>
          <w:sz w:val="17"/>
          <w:szCs w:val="17"/>
          <w:b w:val="1"/>
          <w:bCs w:val="1"/>
          <w:color w:val="auto"/>
        </w:rPr>
        <w:t xml:space="preserve">Product Recalls. </w:t>
      </w:r>
      <w:r>
        <w:rPr>
          <w:rFonts w:ascii="Arial" w:cs="Arial" w:eastAsia="Arial" w:hAnsi="Arial"/>
          <w:sz w:val="17"/>
          <w:szCs w:val="17"/>
          <w:color w:val="auto"/>
        </w:rPr>
        <w:t>The rules on recalls of Finished Products are set out in the Quality Agreement.</w:t>
      </w:r>
    </w:p>
    <w:p>
      <w:pPr>
        <w:spacing w:after="0" w:line="200" w:lineRule="exact"/>
        <w:rPr>
          <w:sz w:val="20"/>
          <w:szCs w:val="20"/>
          <w:color w:val="auto"/>
        </w:rPr>
      </w:pPr>
    </w:p>
    <w:p>
      <w:pPr>
        <w:spacing w:after="0" w:line="211" w:lineRule="exact"/>
        <w:rPr>
          <w:sz w:val="20"/>
          <w:szCs w:val="20"/>
          <w:color w:val="auto"/>
        </w:rPr>
      </w:pPr>
    </w:p>
    <w:p>
      <w:pPr>
        <w:ind w:left="880" w:hanging="877"/>
        <w:spacing w:after="0"/>
        <w:tabs>
          <w:tab w:leader="none" w:pos="880"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PHARMACOVIGILANCE</w:t>
      </w:r>
    </w:p>
    <w:p>
      <w:pPr>
        <w:spacing w:after="0" w:line="167" w:lineRule="exact"/>
        <w:rPr>
          <w:sz w:val="20"/>
          <w:szCs w:val="20"/>
          <w:color w:val="auto"/>
        </w:rPr>
      </w:pPr>
    </w:p>
    <w:p>
      <w:pPr>
        <w:ind w:left="880" w:hanging="873"/>
        <w:spacing w:after="0" w:line="269" w:lineRule="auto"/>
        <w:tabs>
          <w:tab w:leader="none" w:pos="860" w:val="left"/>
        </w:tabs>
        <w:rPr>
          <w:sz w:val="20"/>
          <w:szCs w:val="20"/>
          <w:color w:val="auto"/>
        </w:rPr>
      </w:pPr>
      <w:r>
        <w:rPr>
          <w:rFonts w:ascii="Arial" w:cs="Arial" w:eastAsia="Arial" w:hAnsi="Arial"/>
          <w:sz w:val="19"/>
          <w:szCs w:val="19"/>
          <w:b w:val="1"/>
          <w:bCs w:val="1"/>
          <w:color w:val="auto"/>
        </w:rPr>
        <w:t>11.1</w:t>
      </w:r>
      <w:r>
        <w:rPr>
          <w:sz w:val="20"/>
          <w:szCs w:val="20"/>
          <w:color w:val="auto"/>
        </w:rPr>
        <w:tab/>
      </w:r>
      <w:r>
        <w:rPr>
          <w:rFonts w:ascii="Arial" w:cs="Arial" w:eastAsia="Arial" w:hAnsi="Arial"/>
          <w:sz w:val="19"/>
          <w:szCs w:val="19"/>
          <w:b w:val="1"/>
          <w:bCs w:val="1"/>
          <w:color w:val="auto"/>
        </w:rPr>
        <w:t xml:space="preserve">General. </w:t>
      </w:r>
      <w:r>
        <w:rPr>
          <w:rFonts w:ascii="Arial" w:cs="Arial" w:eastAsia="Arial" w:hAnsi="Arial"/>
          <w:sz w:val="19"/>
          <w:szCs w:val="19"/>
          <w:color w:val="auto"/>
        </w:rPr>
        <w:t>Customer is responsible for fulfilling its pharmacovigilance obligations arising from its Marketing Authorizations in the</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No exchange of pharmacovigilance information applies.</w:t>
      </w:r>
    </w:p>
    <w:p>
      <w:pPr>
        <w:spacing w:after="0" w:line="255" w:lineRule="exact"/>
        <w:rPr>
          <w:sz w:val="20"/>
          <w:szCs w:val="20"/>
          <w:color w:val="auto"/>
        </w:rPr>
      </w:pPr>
    </w:p>
    <w:p>
      <w:pPr>
        <w:ind w:left="880" w:hanging="877"/>
        <w:spacing w:after="0"/>
        <w:tabs>
          <w:tab w:leader="none" w:pos="880"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color w:val="auto"/>
        </w:rPr>
        <w:t>CONFIDENTIALITY</w:t>
      </w:r>
    </w:p>
    <w:p>
      <w:pPr>
        <w:spacing w:after="0" w:line="103" w:lineRule="exact"/>
        <w:rPr>
          <w:sz w:val="20"/>
          <w:szCs w:val="20"/>
          <w:color w:val="auto"/>
        </w:rPr>
      </w:pPr>
    </w:p>
    <w:p>
      <w:pPr>
        <w:jc w:val="both"/>
        <w:ind w:left="880" w:hanging="873"/>
        <w:spacing w:after="0" w:line="277" w:lineRule="auto"/>
        <w:tabs>
          <w:tab w:leader="none" w:pos="860" w:val="left"/>
        </w:tabs>
        <w:rPr>
          <w:sz w:val="20"/>
          <w:szCs w:val="20"/>
          <w:color w:val="auto"/>
        </w:rPr>
      </w:pPr>
      <w:r>
        <w:rPr>
          <w:rFonts w:ascii="Arial" w:cs="Arial" w:eastAsia="Arial" w:hAnsi="Arial"/>
          <w:sz w:val="19"/>
          <w:szCs w:val="19"/>
          <w:b w:val="1"/>
          <w:bCs w:val="1"/>
          <w:color w:val="auto"/>
        </w:rPr>
        <w:t>12.1</w:t>
      </w:r>
      <w:r>
        <w:rPr>
          <w:sz w:val="20"/>
          <w:szCs w:val="20"/>
          <w:color w:val="auto"/>
        </w:rPr>
        <w:tab/>
      </w:r>
      <w:r>
        <w:rPr>
          <w:rFonts w:ascii="Arial" w:cs="Arial" w:eastAsia="Arial" w:hAnsi="Arial"/>
          <w:sz w:val="17"/>
          <w:szCs w:val="17"/>
          <w:b w:val="1"/>
          <w:bCs w:val="1"/>
          <w:color w:val="auto"/>
        </w:rPr>
        <w:t xml:space="preserve">Confidential Information. </w:t>
      </w:r>
      <w:r>
        <w:rPr>
          <w:rFonts w:ascii="Arial" w:cs="Arial" w:eastAsia="Arial" w:hAnsi="Arial"/>
          <w:sz w:val="17"/>
          <w:szCs w:val="17"/>
          <w:color w:val="auto"/>
        </w:rPr>
        <w:t>Neither Party shall disclose to any third party nor use for any purpose outside of the scope of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any information which is not in the public domain and which was disclosed in connection with this Agreement: (i) by a Party or any of its Affiliates; or (ii) any unaffiliated third party at the request of such disclosing Party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The receiving Party may only provide the disclosing Party’s Confidential Information to its and its Affiliates’ directors, officers, employees, advisors, and consultants (“</w:t>
      </w:r>
      <w:r>
        <w:rPr>
          <w:rFonts w:ascii="Arial" w:cs="Arial" w:eastAsia="Arial" w:hAnsi="Arial"/>
          <w:sz w:val="17"/>
          <w:szCs w:val="17"/>
          <w:b w:val="1"/>
          <w:bCs w:val="1"/>
          <w:color w:val="auto"/>
        </w:rPr>
        <w:t>Representatives</w:t>
      </w:r>
      <w:r>
        <w:rPr>
          <w:rFonts w:ascii="Arial" w:cs="Arial" w:eastAsia="Arial" w:hAnsi="Arial"/>
          <w:sz w:val="17"/>
          <w:szCs w:val="17"/>
          <w:color w:val="auto"/>
        </w:rPr>
        <w:t>”) who are informed of the confidential nature of the Confidential Information and who are bound by obligations of confidentiality and non-use no less restrictive than those contained herein and provided that the receiving Party shall be responsible for any breach of this Agreement by its Representatives, which shall be considered a breach by the receiving Party. The obligations of confidentiality and non-use shall expire for Confidential Information which:</w:t>
      </w:r>
    </w:p>
    <w:p>
      <w:pPr>
        <w:spacing w:after="0" w:line="51" w:lineRule="exact"/>
        <w:rPr>
          <w:sz w:val="20"/>
          <w:szCs w:val="20"/>
          <w:color w:val="auto"/>
        </w:rPr>
      </w:pPr>
    </w:p>
    <w:p>
      <w:pPr>
        <w:ind w:left="1760" w:hanging="884"/>
        <w:spacing w:after="0"/>
        <w:tabs>
          <w:tab w:leader="none" w:pos="1760" w:val="left"/>
        </w:tabs>
        <w:numPr>
          <w:ilvl w:val="0"/>
          <w:numId w:val="88"/>
        </w:numPr>
        <w:rPr>
          <w:rFonts w:ascii="Arial" w:cs="Arial" w:eastAsia="Arial" w:hAnsi="Arial"/>
          <w:sz w:val="19"/>
          <w:szCs w:val="19"/>
          <w:color w:val="auto"/>
        </w:rPr>
      </w:pPr>
      <w:r>
        <w:rPr>
          <w:rFonts w:ascii="Arial" w:cs="Arial" w:eastAsia="Arial" w:hAnsi="Arial"/>
          <w:sz w:val="19"/>
          <w:szCs w:val="19"/>
          <w:color w:val="auto"/>
        </w:rPr>
        <w:t>is or becomes part of the public domain without a violation of this Agreement;</w:t>
      </w:r>
    </w:p>
    <w:p>
      <w:pPr>
        <w:spacing w:after="0" w:line="102" w:lineRule="exact"/>
        <w:rPr>
          <w:rFonts w:ascii="Arial" w:cs="Arial" w:eastAsia="Arial" w:hAnsi="Arial"/>
          <w:sz w:val="19"/>
          <w:szCs w:val="19"/>
          <w:color w:val="auto"/>
        </w:rPr>
      </w:pPr>
    </w:p>
    <w:p>
      <w:pPr>
        <w:ind w:left="1760" w:hanging="884"/>
        <w:spacing w:after="0"/>
        <w:tabs>
          <w:tab w:leader="none" w:pos="17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was already in its possession at the time of receipt from the disclosing Party, as shown by documentary evidence; or</w:t>
      </w:r>
    </w:p>
    <w:p>
      <w:pPr>
        <w:spacing w:after="0" w:line="114" w:lineRule="exact"/>
        <w:rPr>
          <w:rFonts w:ascii="Arial" w:cs="Arial" w:eastAsia="Arial" w:hAnsi="Arial"/>
          <w:sz w:val="18"/>
          <w:szCs w:val="18"/>
          <w:color w:val="auto"/>
        </w:rPr>
      </w:pPr>
    </w:p>
    <w:p>
      <w:pPr>
        <w:ind w:left="1760" w:hanging="884"/>
        <w:spacing w:after="0"/>
        <w:tabs>
          <w:tab w:leader="none" w:pos="17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after the date of this Agreement is received from a third party whose direct or indirect source is not the disclosing Party.</w:t>
      </w:r>
    </w:p>
    <w:p>
      <w:pPr>
        <w:spacing w:after="0" w:line="108" w:lineRule="exact"/>
        <w:rPr>
          <w:sz w:val="20"/>
          <w:szCs w:val="20"/>
          <w:color w:val="auto"/>
        </w:rPr>
      </w:pPr>
    </w:p>
    <w:p>
      <w:pPr>
        <w:jc w:val="both"/>
        <w:ind w:left="880" w:hanging="873"/>
        <w:spacing w:after="0" w:line="271" w:lineRule="auto"/>
        <w:tabs>
          <w:tab w:leader="none" w:pos="860" w:val="left"/>
        </w:tabs>
        <w:rPr>
          <w:sz w:val="20"/>
          <w:szCs w:val="20"/>
          <w:color w:val="auto"/>
        </w:rPr>
      </w:pPr>
      <w:r>
        <w:rPr>
          <w:rFonts w:ascii="Arial" w:cs="Arial" w:eastAsia="Arial" w:hAnsi="Arial"/>
          <w:sz w:val="19"/>
          <w:szCs w:val="19"/>
          <w:b w:val="1"/>
          <w:bCs w:val="1"/>
          <w:color w:val="auto"/>
        </w:rPr>
        <w:t>12.2</w:t>
      </w:r>
      <w:r>
        <w:rPr>
          <w:sz w:val="20"/>
          <w:szCs w:val="20"/>
          <w:color w:val="auto"/>
        </w:rPr>
        <w:tab/>
      </w:r>
      <w:r>
        <w:rPr>
          <w:rFonts w:ascii="Arial" w:cs="Arial" w:eastAsia="Arial" w:hAnsi="Arial"/>
          <w:sz w:val="17"/>
          <w:szCs w:val="17"/>
          <w:b w:val="1"/>
          <w:bCs w:val="1"/>
          <w:color w:val="auto"/>
        </w:rPr>
        <w:t xml:space="preserve">Disclosure of Confidential Information. </w:t>
      </w:r>
      <w:r>
        <w:rPr>
          <w:rFonts w:ascii="Arial" w:cs="Arial" w:eastAsia="Arial" w:hAnsi="Arial"/>
          <w:sz w:val="17"/>
          <w:szCs w:val="17"/>
          <w:color w:val="auto"/>
        </w:rPr>
        <w:t>The Parties may disclose Confidential Information where reasonably required under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law (i) to competent Regulatory Authorities for Registration or other regulatory purposes; and (ii) to competent court or governmental agencies, in which case the disclosing Party (to the extent permissible under applicable law) shall inform the other Party of such disclosure in writing and shall use reasonable efforts to limit the scope of such disclosure to obtain confidential treatment by the court or governmental agency. Except as expressly permitted herein, this Clause 12.2 shall not be interpreted as relieving the receiving Party of its confidentiality obligations under this Clause 12. In addition, either Party and/or its Affiliates may disclose Confidential Information to any purchaser interested in acquiring all or part of such Party’s business or assets relating to the Final Products (including without limitation by asset purchase, divestment, out-licensing, merger, consolidation or reorganization), provided that such potential purchaser</w:t>
      </w:r>
    </w:p>
    <w:p>
      <w:pPr>
        <w:spacing w:after="0" w:line="4" w:lineRule="exact"/>
        <w:rPr>
          <w:sz w:val="20"/>
          <w:szCs w:val="20"/>
          <w:color w:val="auto"/>
        </w:rPr>
      </w:pPr>
    </w:p>
    <w:p>
      <w:pPr>
        <w:ind w:left="880" w:hanging="4"/>
        <w:spacing w:after="0" w:line="245" w:lineRule="auto"/>
        <w:tabs>
          <w:tab w:leader="none" w:pos="1167" w:val="left"/>
        </w:tabs>
        <w:numPr>
          <w:ilvl w:val="0"/>
          <w:numId w:val="89"/>
        </w:numPr>
        <w:rPr>
          <w:rFonts w:ascii="Arial" w:cs="Arial" w:eastAsia="Arial" w:hAnsi="Arial"/>
          <w:sz w:val="19"/>
          <w:szCs w:val="19"/>
          <w:color w:val="auto"/>
        </w:rPr>
      </w:pPr>
      <w:r>
        <w:rPr>
          <w:rFonts w:ascii="Arial" w:cs="Arial" w:eastAsia="Arial" w:hAnsi="Arial"/>
          <w:sz w:val="19"/>
          <w:szCs w:val="19"/>
          <w:color w:val="auto"/>
        </w:rPr>
        <w:t>has submitted an offer for such business or assets, and (y) has entered into a confidentiality agreement with such Party and/or its Affiliates on terms and conditions not less stringent than those foreseen herein.</w:t>
      </w:r>
    </w:p>
    <w:p>
      <w:pPr>
        <w:spacing w:after="0" w:line="72" w:lineRule="exact"/>
        <w:rPr>
          <w:sz w:val="20"/>
          <w:szCs w:val="20"/>
          <w:color w:val="auto"/>
        </w:rPr>
      </w:pPr>
    </w:p>
    <w:p>
      <w:pPr>
        <w:jc w:val="both"/>
        <w:ind w:left="880" w:hanging="873"/>
        <w:spacing w:after="0" w:line="269" w:lineRule="auto"/>
        <w:tabs>
          <w:tab w:leader="none" w:pos="860" w:val="left"/>
        </w:tabs>
        <w:rPr>
          <w:sz w:val="20"/>
          <w:szCs w:val="20"/>
          <w:color w:val="auto"/>
        </w:rPr>
      </w:pPr>
      <w:r>
        <w:rPr>
          <w:rFonts w:ascii="Arial" w:cs="Arial" w:eastAsia="Arial" w:hAnsi="Arial"/>
          <w:sz w:val="19"/>
          <w:szCs w:val="19"/>
          <w:b w:val="1"/>
          <w:bCs w:val="1"/>
          <w:color w:val="auto"/>
        </w:rPr>
        <w:t>12.3</w:t>
      </w:r>
      <w:r>
        <w:rPr>
          <w:sz w:val="20"/>
          <w:szCs w:val="20"/>
          <w:color w:val="auto"/>
        </w:rPr>
        <w:tab/>
      </w:r>
      <w:r>
        <w:rPr>
          <w:rFonts w:ascii="Arial" w:cs="Arial" w:eastAsia="Arial" w:hAnsi="Arial"/>
          <w:sz w:val="19"/>
          <w:szCs w:val="19"/>
          <w:b w:val="1"/>
          <w:bCs w:val="1"/>
          <w:color w:val="auto"/>
        </w:rPr>
        <w:t xml:space="preserve">Survival. </w:t>
      </w:r>
      <w:r>
        <w:rPr>
          <w:rFonts w:ascii="Arial" w:cs="Arial" w:eastAsia="Arial" w:hAnsi="Arial"/>
          <w:sz w:val="19"/>
          <w:szCs w:val="19"/>
          <w:color w:val="auto"/>
        </w:rPr>
        <w:t>The obligations of confidentiality and non-use contained in this Clause 12 shall survive the duration of this Agreement for a</w:t>
      </w:r>
      <w:r>
        <w:rPr>
          <w:rFonts w:ascii="Arial" w:cs="Arial" w:eastAsia="Arial" w:hAnsi="Arial"/>
          <w:sz w:val="19"/>
          <w:szCs w:val="19"/>
          <w:b w:val="1"/>
          <w:bCs w:val="1"/>
          <w:color w:val="auto"/>
        </w:rPr>
        <w:t xml:space="preserve"> </w:t>
      </w:r>
      <w:r>
        <w:rPr>
          <w:rFonts w:ascii="Arial" w:cs="Arial" w:eastAsia="Arial" w:hAnsi="Arial"/>
          <w:sz w:val="19"/>
          <w:szCs w:val="19"/>
          <w:color w:val="auto"/>
        </w:rPr>
        <w:t>period of [***].</w:t>
      </w:r>
    </w:p>
    <w:p>
      <w:pPr>
        <w:spacing w:after="0" w:line="50" w:lineRule="exact"/>
        <w:rPr>
          <w:sz w:val="20"/>
          <w:szCs w:val="20"/>
          <w:color w:val="auto"/>
        </w:rPr>
      </w:pPr>
    </w:p>
    <w:p>
      <w:pPr>
        <w:jc w:val="both"/>
        <w:ind w:left="880" w:hanging="873"/>
        <w:spacing w:after="0" w:line="254" w:lineRule="auto"/>
        <w:tabs>
          <w:tab w:leader="none" w:pos="860" w:val="left"/>
        </w:tabs>
        <w:rPr>
          <w:sz w:val="20"/>
          <w:szCs w:val="20"/>
          <w:color w:val="auto"/>
        </w:rPr>
      </w:pPr>
      <w:r>
        <w:rPr>
          <w:rFonts w:ascii="Arial" w:cs="Arial" w:eastAsia="Arial" w:hAnsi="Arial"/>
          <w:sz w:val="19"/>
          <w:szCs w:val="19"/>
          <w:b w:val="1"/>
          <w:bCs w:val="1"/>
          <w:color w:val="auto"/>
        </w:rPr>
        <w:t>12.4</w:t>
      </w:r>
      <w:r>
        <w:rPr>
          <w:sz w:val="20"/>
          <w:szCs w:val="20"/>
          <w:color w:val="auto"/>
        </w:rPr>
        <w:tab/>
      </w:r>
      <w:r>
        <w:rPr>
          <w:rFonts w:ascii="Arial" w:cs="Arial" w:eastAsia="Arial" w:hAnsi="Arial"/>
          <w:sz w:val="19"/>
          <w:szCs w:val="19"/>
          <w:b w:val="1"/>
          <w:bCs w:val="1"/>
          <w:color w:val="auto"/>
        </w:rPr>
        <w:t xml:space="preserve">Return of Confidential Information. </w:t>
      </w:r>
      <w:r>
        <w:rPr>
          <w:rFonts w:ascii="Arial" w:cs="Arial" w:eastAsia="Arial" w:hAnsi="Arial"/>
          <w:sz w:val="19"/>
          <w:szCs w:val="19"/>
          <w:color w:val="auto"/>
        </w:rPr>
        <w:t>Upon termination or expiration of this Agreement for any reason, the receiving Party will</w:t>
      </w:r>
      <w:r>
        <w:rPr>
          <w:rFonts w:ascii="Arial" w:cs="Arial" w:eastAsia="Arial" w:hAnsi="Arial"/>
          <w:sz w:val="19"/>
          <w:szCs w:val="19"/>
          <w:b w:val="1"/>
          <w:bCs w:val="1"/>
          <w:color w:val="auto"/>
        </w:rPr>
        <w:t xml:space="preserve"> </w:t>
      </w:r>
      <w:r>
        <w:rPr>
          <w:rFonts w:ascii="Arial" w:cs="Arial" w:eastAsia="Arial" w:hAnsi="Arial"/>
          <w:sz w:val="19"/>
          <w:szCs w:val="19"/>
          <w:color w:val="auto"/>
        </w:rPr>
        <w:t>promptly return to the disclosing Party all Confidential Information received from the disclosing Party in connection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71386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86"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14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75" w:name="page176"/>
    <w:bookmarkEnd w:id="175"/>
    <w:p>
      <w:pPr>
        <w:ind w:left="880" w:hanging="877"/>
        <w:spacing w:after="0"/>
        <w:tabs>
          <w:tab w:leader="none" w:pos="880"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color w:val="auto"/>
        </w:rPr>
        <w:t>TERM AND TERMINATION</w:t>
      </w:r>
    </w:p>
    <w:p>
      <w:pPr>
        <w:spacing w:after="0" w:line="103" w:lineRule="exact"/>
        <w:rPr>
          <w:sz w:val="20"/>
          <w:szCs w:val="20"/>
          <w:color w:val="auto"/>
        </w:rPr>
      </w:pPr>
    </w:p>
    <w:p>
      <w:pPr>
        <w:jc w:val="both"/>
        <w:ind w:left="880" w:hanging="873"/>
        <w:spacing w:after="0" w:line="245" w:lineRule="auto"/>
        <w:tabs>
          <w:tab w:leader="none" w:pos="860" w:val="left"/>
        </w:tabs>
        <w:rPr>
          <w:sz w:val="20"/>
          <w:szCs w:val="20"/>
          <w:color w:val="auto"/>
        </w:rPr>
      </w:pPr>
      <w:r>
        <w:rPr>
          <w:rFonts w:ascii="Arial" w:cs="Arial" w:eastAsia="Arial" w:hAnsi="Arial"/>
          <w:sz w:val="19"/>
          <w:szCs w:val="19"/>
          <w:b w:val="1"/>
          <w:bCs w:val="1"/>
          <w:color w:val="auto"/>
        </w:rPr>
        <w:t>13.1</w:t>
      </w:r>
      <w:r>
        <w:rPr>
          <w:sz w:val="20"/>
          <w:szCs w:val="20"/>
          <w:color w:val="auto"/>
        </w:rPr>
        <w:tab/>
      </w:r>
      <w:r>
        <w:rPr>
          <w:rFonts w:ascii="Arial" w:cs="Arial" w:eastAsia="Arial" w:hAnsi="Arial"/>
          <w:sz w:val="19"/>
          <w:szCs w:val="19"/>
          <w:b w:val="1"/>
          <w:bCs w:val="1"/>
          <w:color w:val="auto"/>
        </w:rPr>
        <w:t xml:space="preserve">Term. </w:t>
      </w:r>
      <w:r>
        <w:rPr>
          <w:rFonts w:ascii="Arial" w:cs="Arial" w:eastAsia="Arial" w:hAnsi="Arial"/>
          <w:sz w:val="19"/>
          <w:szCs w:val="19"/>
          <w:color w:val="auto"/>
        </w:rPr>
        <w:t>This Agreement shall come into effect on the Effective Date and shall continue in force for a fixed term of five (5) years</w:t>
      </w:r>
      <w:r>
        <w:rPr>
          <w:rFonts w:ascii="Arial" w:cs="Arial" w:eastAsia="Arial" w:hAnsi="Arial"/>
          <w:sz w:val="19"/>
          <w:szCs w:val="19"/>
          <w:b w:val="1"/>
          <w:bCs w:val="1"/>
          <w:color w:val="auto"/>
        </w:rPr>
        <w:t xml:space="preserve"> </w:t>
      </w:r>
      <w:r>
        <w:rPr>
          <w:rFonts w:ascii="Arial" w:cs="Arial" w:eastAsia="Arial" w:hAnsi="Arial"/>
          <w:sz w:val="19"/>
          <w:szCs w:val="19"/>
          <w:color w:val="auto"/>
        </w:rPr>
        <w:t>following Launch, unless terminated earlier in accordance with its terms (the “</w:t>
      </w:r>
      <w:r>
        <w:rPr>
          <w:rFonts w:ascii="Arial" w:cs="Arial" w:eastAsia="Arial" w:hAnsi="Arial"/>
          <w:sz w:val="19"/>
          <w:szCs w:val="19"/>
          <w:b w:val="1"/>
          <w:bCs w:val="1"/>
          <w:color w:val="auto"/>
        </w:rPr>
        <w:t>Initial Term</w:t>
      </w:r>
      <w:r>
        <w:rPr>
          <w:rFonts w:ascii="Arial" w:cs="Arial" w:eastAsia="Arial" w:hAnsi="Arial"/>
          <w:sz w:val="19"/>
          <w:szCs w:val="19"/>
          <w:color w:val="auto"/>
        </w:rPr>
        <w:t>”). This Initial Term shall automatically be extended by a subsequent three (3) year period (the “</w:t>
      </w:r>
      <w:r>
        <w:rPr>
          <w:rFonts w:ascii="Arial" w:cs="Arial" w:eastAsia="Arial" w:hAnsi="Arial"/>
          <w:sz w:val="19"/>
          <w:szCs w:val="19"/>
          <w:b w:val="1"/>
          <w:bCs w:val="1"/>
          <w:color w:val="auto"/>
        </w:rPr>
        <w:t>Extended Term</w:t>
      </w:r>
      <w:r>
        <w:rPr>
          <w:rFonts w:ascii="Arial" w:cs="Arial" w:eastAsia="Arial" w:hAnsi="Arial"/>
          <w:sz w:val="19"/>
          <w:szCs w:val="19"/>
          <w:color w:val="auto"/>
        </w:rPr>
        <w:t>”), unless terminated by either Party upon its sole discretion by written notice, such notice to be given no later than twenty four (24) months prior to expiry of the Initial Term. Any further extensions require a mutual written agreement between the Parties. The Initial Term, the Extended Term and any further extensions together constitute the “</w:t>
      </w:r>
      <w:r>
        <w:rPr>
          <w:rFonts w:ascii="Arial" w:cs="Arial" w:eastAsia="Arial" w:hAnsi="Arial"/>
          <w:sz w:val="19"/>
          <w:szCs w:val="19"/>
          <w:b w:val="1"/>
          <w:bCs w:val="1"/>
          <w:color w:val="auto"/>
        </w:rPr>
        <w:t>Term</w:t>
      </w:r>
      <w:r>
        <w:rPr>
          <w:rFonts w:ascii="Arial" w:cs="Arial" w:eastAsia="Arial" w:hAnsi="Arial"/>
          <w:sz w:val="19"/>
          <w:szCs w:val="19"/>
          <w:color w:val="auto"/>
        </w:rPr>
        <w:t>”.</w:t>
      </w:r>
    </w:p>
    <w:p>
      <w:pPr>
        <w:spacing w:after="0" w:line="75" w:lineRule="exact"/>
        <w:rPr>
          <w:sz w:val="20"/>
          <w:szCs w:val="20"/>
          <w:color w:val="auto"/>
        </w:rPr>
      </w:pPr>
    </w:p>
    <w:p>
      <w:pPr>
        <w:jc w:val="both"/>
        <w:ind w:left="880" w:hanging="873"/>
        <w:spacing w:after="0" w:line="264" w:lineRule="auto"/>
        <w:tabs>
          <w:tab w:leader="none" w:pos="860" w:val="left"/>
        </w:tabs>
        <w:rPr>
          <w:sz w:val="20"/>
          <w:szCs w:val="20"/>
          <w:color w:val="auto"/>
        </w:rPr>
      </w:pPr>
      <w:r>
        <w:rPr>
          <w:rFonts w:ascii="Arial" w:cs="Arial" w:eastAsia="Arial" w:hAnsi="Arial"/>
          <w:sz w:val="19"/>
          <w:szCs w:val="19"/>
          <w:b w:val="1"/>
          <w:bCs w:val="1"/>
          <w:color w:val="auto"/>
        </w:rPr>
        <w:t>13.2</w:t>
      </w:r>
      <w:r>
        <w:rPr>
          <w:sz w:val="20"/>
          <w:szCs w:val="20"/>
          <w:color w:val="auto"/>
        </w:rPr>
        <w:tab/>
      </w:r>
      <w:r>
        <w:rPr>
          <w:rFonts w:ascii="Arial" w:cs="Arial" w:eastAsia="Arial" w:hAnsi="Arial"/>
          <w:sz w:val="18"/>
          <w:szCs w:val="18"/>
          <w:b w:val="1"/>
          <w:bCs w:val="1"/>
          <w:color w:val="auto"/>
        </w:rPr>
        <w:t xml:space="preserve">Termination due to Material Breach. </w:t>
      </w:r>
      <w:r>
        <w:rPr>
          <w:rFonts w:ascii="Arial" w:cs="Arial" w:eastAsia="Arial" w:hAnsi="Arial"/>
          <w:sz w:val="18"/>
          <w:szCs w:val="18"/>
          <w:color w:val="auto"/>
        </w:rPr>
        <w:t>Upon failure of any Party to remedy its material breach of any of its obligations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(where remediable) on or before [***] after receipt of written notice of said breach from the other Party the Party giving such notice shall have the right but not the obligation to terminate this Agreement immediately (or such longer period of time as such Party shall determine) by written notice. In respect of a material breach which is not capable of remedy, the non-defaulting Party shall have the right, but not the obligation, to terminate this Agreement immediately by written notice on the defaulting Party.</w:t>
      </w:r>
    </w:p>
    <w:p>
      <w:pPr>
        <w:spacing w:after="0" w:line="56" w:lineRule="exact"/>
        <w:rPr>
          <w:sz w:val="20"/>
          <w:szCs w:val="20"/>
          <w:color w:val="auto"/>
        </w:rPr>
      </w:pPr>
    </w:p>
    <w:p>
      <w:pPr>
        <w:jc w:val="both"/>
        <w:ind w:left="880" w:hanging="873"/>
        <w:spacing w:after="0" w:line="224" w:lineRule="exact"/>
        <w:tabs>
          <w:tab w:leader="none" w:pos="860" w:val="left"/>
        </w:tabs>
        <w:rPr>
          <w:sz w:val="20"/>
          <w:szCs w:val="20"/>
          <w:color w:val="auto"/>
        </w:rPr>
      </w:pPr>
      <w:r>
        <w:rPr>
          <w:rFonts w:ascii="Arial" w:cs="Arial" w:eastAsia="Arial" w:hAnsi="Arial"/>
          <w:sz w:val="19"/>
          <w:szCs w:val="19"/>
          <w:b w:val="1"/>
          <w:bCs w:val="1"/>
          <w:color w:val="auto"/>
        </w:rPr>
        <w:t>13.3</w:t>
      </w:r>
      <w:r>
        <w:rPr>
          <w:sz w:val="20"/>
          <w:szCs w:val="20"/>
          <w:color w:val="auto"/>
        </w:rPr>
        <w:tab/>
      </w:r>
      <w:r>
        <w:rPr>
          <w:rFonts w:ascii="Arial" w:cs="Arial" w:eastAsia="Arial" w:hAnsi="Arial"/>
          <w:sz w:val="19"/>
          <w:szCs w:val="19"/>
          <w:b w:val="1"/>
          <w:bCs w:val="1"/>
          <w:color w:val="auto"/>
        </w:rPr>
        <w:t xml:space="preserve">Termination due to Liquidation. </w:t>
      </w:r>
      <w:r>
        <w:rPr>
          <w:rFonts w:ascii="Arial" w:cs="Arial" w:eastAsia="Arial" w:hAnsi="Arial"/>
          <w:sz w:val="19"/>
          <w:szCs w:val="19"/>
          <w:color w:val="auto"/>
        </w:rPr>
        <w:t>Supplier or Customer at its sole option may immediately terminate this Agreement upon written</w:t>
      </w:r>
      <w:r>
        <w:rPr>
          <w:rFonts w:ascii="Arial" w:cs="Arial" w:eastAsia="Arial" w:hAnsi="Arial"/>
          <w:sz w:val="19"/>
          <w:szCs w:val="19"/>
          <w:b w:val="1"/>
          <w:bCs w:val="1"/>
          <w:color w:val="auto"/>
        </w:rPr>
        <w:t xml:space="preserve"> </w:t>
      </w:r>
      <w:r>
        <w:rPr>
          <w:rFonts w:ascii="Arial" w:cs="Arial" w:eastAsia="Arial" w:hAnsi="Arial"/>
          <w:sz w:val="19"/>
          <w:szCs w:val="19"/>
          <w:color w:val="auto"/>
        </w:rPr>
        <w:t>notice, but without prior advance notice, to the other Party upon the liquidation, dissolution, winding</w:t>
      </w:r>
      <w:r>
        <w:rPr>
          <w:rFonts w:ascii="MS PGothic" w:cs="MS PGothic" w:eastAsia="MS PGothic" w:hAnsi="MS PGothic"/>
          <w:sz w:val="19"/>
          <w:szCs w:val="19"/>
          <w:color w:val="auto"/>
        </w:rPr>
        <w:t>‑</w:t>
      </w:r>
      <w:r>
        <w:rPr>
          <w:rFonts w:ascii="Arial" w:cs="Arial" w:eastAsia="Arial" w:hAnsi="Arial"/>
          <w:sz w:val="19"/>
          <w:szCs w:val="19"/>
          <w:color w:val="auto"/>
        </w:rPr>
        <w:t>up, insolvency, bankruptcy, assignment for the benefit of creditors, or filing of any petition therefore, appointment of a receiver, custodian or trustee, or any other similar proceeding, by or of the other Party where such petition, assignment or similar proceeding is not dismissed or vacated within [***].</w:t>
      </w:r>
    </w:p>
    <w:p>
      <w:pPr>
        <w:spacing w:after="0" w:line="285" w:lineRule="exact"/>
        <w:rPr>
          <w:sz w:val="20"/>
          <w:szCs w:val="20"/>
          <w:color w:val="auto"/>
        </w:rPr>
      </w:pPr>
    </w:p>
    <w:p>
      <w:pPr>
        <w:ind w:left="880" w:hanging="877"/>
        <w:spacing w:after="0"/>
        <w:tabs>
          <w:tab w:leader="none" w:pos="880"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color w:val="auto"/>
        </w:rPr>
        <w:t>GOVERNING LAW AND JURISDICTION</w:t>
      </w:r>
    </w:p>
    <w:p>
      <w:pPr>
        <w:spacing w:after="0" w:line="103" w:lineRule="exact"/>
        <w:rPr>
          <w:sz w:val="20"/>
          <w:szCs w:val="20"/>
          <w:color w:val="auto"/>
        </w:rPr>
      </w:pPr>
    </w:p>
    <w:p>
      <w:pPr>
        <w:jc w:val="both"/>
        <w:ind w:left="880" w:hanging="873"/>
        <w:spacing w:after="0" w:line="299" w:lineRule="auto"/>
        <w:tabs>
          <w:tab w:leader="none" w:pos="860" w:val="left"/>
        </w:tabs>
        <w:rPr>
          <w:sz w:val="20"/>
          <w:szCs w:val="20"/>
          <w:color w:val="auto"/>
        </w:rPr>
      </w:pPr>
      <w:r>
        <w:rPr>
          <w:rFonts w:ascii="Arial" w:cs="Arial" w:eastAsia="Arial" w:hAnsi="Arial"/>
          <w:sz w:val="19"/>
          <w:szCs w:val="19"/>
          <w:b w:val="1"/>
          <w:bCs w:val="1"/>
          <w:color w:val="auto"/>
        </w:rPr>
        <w:t>14.1</w:t>
      </w:r>
      <w:r>
        <w:rPr>
          <w:sz w:val="20"/>
          <w:szCs w:val="20"/>
          <w:color w:val="auto"/>
        </w:rPr>
        <w:tab/>
      </w: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Agreement and the legal relations between the Parties in connection herewith shall be governed by, and construed</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the laws of the England and Wales, excluding the provisions of the United Nations Convention on Contracts for the International Sale of Goods and any conflict of law provisions that would require application of another choice of law.</w:t>
      </w:r>
    </w:p>
    <w:p>
      <w:pPr>
        <w:spacing w:after="0" w:line="27" w:lineRule="exact"/>
        <w:rPr>
          <w:sz w:val="20"/>
          <w:szCs w:val="20"/>
          <w:color w:val="auto"/>
        </w:rPr>
      </w:pPr>
    </w:p>
    <w:p>
      <w:pPr>
        <w:jc w:val="both"/>
        <w:ind w:left="880" w:hanging="886"/>
        <w:spacing w:after="0" w:line="269" w:lineRule="auto"/>
        <w:tabs>
          <w:tab w:leader="none" w:pos="860" w:val="left"/>
        </w:tabs>
        <w:rPr>
          <w:sz w:val="20"/>
          <w:szCs w:val="20"/>
          <w:color w:val="auto"/>
        </w:rPr>
      </w:pPr>
      <w:r>
        <w:rPr>
          <w:rFonts w:ascii="Arial" w:cs="Arial" w:eastAsia="Arial" w:hAnsi="Arial"/>
          <w:sz w:val="19"/>
          <w:szCs w:val="19"/>
          <w:b w:val="1"/>
          <w:bCs w:val="1"/>
          <w:color w:val="auto"/>
        </w:rPr>
        <w:t>14.2</w:t>
      </w:r>
      <w:r>
        <w:rPr>
          <w:sz w:val="20"/>
          <w:szCs w:val="20"/>
          <w:color w:val="auto"/>
        </w:rPr>
        <w:tab/>
      </w:r>
      <w:r>
        <w:rPr>
          <w:rFonts w:ascii="Arial" w:cs="Arial" w:eastAsia="Arial" w:hAnsi="Arial"/>
          <w:sz w:val="19"/>
          <w:szCs w:val="19"/>
          <w:b w:val="1"/>
          <w:bCs w:val="1"/>
          <w:color w:val="auto"/>
        </w:rPr>
        <w:t xml:space="preserve">Jurisdiction. </w:t>
      </w:r>
      <w:r>
        <w:rPr>
          <w:rFonts w:ascii="Arial" w:cs="Arial" w:eastAsia="Arial" w:hAnsi="Arial"/>
          <w:sz w:val="19"/>
          <w:szCs w:val="19"/>
          <w:color w:val="auto"/>
        </w:rPr>
        <w:t>Any dispute, controversy or claim arising out of or in connection with this Agreement, or the breach, termination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invalidity thereof, that cannot be solved by both Parties in an amicable manner shall be finally settled by [***].</w:t>
      </w:r>
    </w:p>
    <w:p>
      <w:pPr>
        <w:spacing w:after="0" w:line="255" w:lineRule="exact"/>
        <w:rPr>
          <w:sz w:val="20"/>
          <w:szCs w:val="20"/>
          <w:color w:val="auto"/>
        </w:rPr>
      </w:pPr>
    </w:p>
    <w:p>
      <w:pPr>
        <w:ind w:left="880" w:hanging="877"/>
        <w:spacing w:after="0"/>
        <w:tabs>
          <w:tab w:leader="none" w:pos="880"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color w:val="auto"/>
        </w:rPr>
        <w:t>MISCELLANEOUS</w:t>
      </w:r>
    </w:p>
    <w:p>
      <w:pPr>
        <w:spacing w:after="0" w:line="103" w:lineRule="exact"/>
        <w:rPr>
          <w:sz w:val="20"/>
          <w:szCs w:val="20"/>
          <w:color w:val="auto"/>
        </w:rPr>
      </w:pPr>
    </w:p>
    <w:p>
      <w:pPr>
        <w:jc w:val="both"/>
        <w:ind w:left="880" w:hanging="873"/>
        <w:spacing w:after="0" w:line="249" w:lineRule="auto"/>
        <w:tabs>
          <w:tab w:leader="none" w:pos="860" w:val="left"/>
        </w:tabs>
        <w:rPr>
          <w:sz w:val="20"/>
          <w:szCs w:val="20"/>
          <w:color w:val="auto"/>
        </w:rPr>
      </w:pPr>
      <w:r>
        <w:rPr>
          <w:rFonts w:ascii="Arial" w:cs="Arial" w:eastAsia="Arial" w:hAnsi="Arial"/>
          <w:sz w:val="19"/>
          <w:szCs w:val="19"/>
          <w:b w:val="1"/>
          <w:bCs w:val="1"/>
          <w:color w:val="auto"/>
        </w:rPr>
        <w:t>15.1</w:t>
      </w:r>
      <w:r>
        <w:rPr>
          <w:sz w:val="20"/>
          <w:szCs w:val="20"/>
          <w:color w:val="auto"/>
        </w:rPr>
        <w:tab/>
      </w:r>
      <w:r>
        <w:rPr>
          <w:rFonts w:ascii="Arial" w:cs="Arial" w:eastAsia="Arial" w:hAnsi="Arial"/>
          <w:sz w:val="19"/>
          <w:szCs w:val="19"/>
          <w:b w:val="1"/>
          <w:bCs w:val="1"/>
          <w:color w:val="auto"/>
        </w:rPr>
        <w:t xml:space="preserve">Relationship of the Parties. </w:t>
      </w:r>
      <w:r>
        <w:rPr>
          <w:rFonts w:ascii="Arial" w:cs="Arial" w:eastAsia="Arial" w:hAnsi="Arial"/>
          <w:sz w:val="19"/>
          <w:szCs w:val="19"/>
          <w:color w:val="auto"/>
        </w:rPr>
        <w:t>For the purposes of this Agreement, each Party shall be an independent contractor and not an agent or</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of the other Party. Neither Party shall have authority or power to make any statements, representations or commitments of any kind, or to take any action which is binding on the other Party, unless expressly so authorized to do so by an instrument in writing signed by authorized representatives of such other Party.</w:t>
      </w:r>
    </w:p>
    <w:p>
      <w:pPr>
        <w:spacing w:after="0" w:line="70" w:lineRule="exact"/>
        <w:rPr>
          <w:sz w:val="20"/>
          <w:szCs w:val="20"/>
          <w:color w:val="auto"/>
        </w:rPr>
      </w:pPr>
    </w:p>
    <w:p>
      <w:pPr>
        <w:jc w:val="both"/>
        <w:ind w:left="880" w:hanging="873"/>
        <w:spacing w:after="0" w:line="245" w:lineRule="auto"/>
        <w:tabs>
          <w:tab w:leader="none" w:pos="860" w:val="left"/>
        </w:tabs>
        <w:rPr>
          <w:sz w:val="20"/>
          <w:szCs w:val="20"/>
          <w:color w:val="auto"/>
        </w:rPr>
      </w:pPr>
      <w:r>
        <w:rPr>
          <w:rFonts w:ascii="Arial" w:cs="Arial" w:eastAsia="Arial" w:hAnsi="Arial"/>
          <w:sz w:val="19"/>
          <w:szCs w:val="19"/>
          <w:b w:val="1"/>
          <w:bCs w:val="1"/>
          <w:color w:val="auto"/>
        </w:rPr>
        <w:t>15.2</w:t>
      </w:r>
      <w:r>
        <w:rPr>
          <w:sz w:val="20"/>
          <w:szCs w:val="20"/>
          <w:color w:val="auto"/>
        </w:rPr>
        <w:tab/>
      </w:r>
      <w:r>
        <w:rPr>
          <w:rFonts w:ascii="Arial" w:cs="Arial" w:eastAsia="Arial" w:hAnsi="Arial"/>
          <w:sz w:val="19"/>
          <w:szCs w:val="19"/>
          <w:b w:val="1"/>
          <w:bCs w:val="1"/>
          <w:color w:val="auto"/>
        </w:rPr>
        <w:t xml:space="preserve">Subcontractors. </w:t>
      </w:r>
      <w:r>
        <w:rPr>
          <w:rFonts w:ascii="Arial" w:cs="Arial" w:eastAsia="Arial" w:hAnsi="Arial"/>
          <w:sz w:val="19"/>
          <w:szCs w:val="19"/>
          <w:color w:val="auto"/>
        </w:rPr>
        <w:t>Supplier shall be entitled to subcontract or delegate any portion of its obligations hereunder to any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Subcontractors</w:t>
      </w:r>
      <w:r>
        <w:rPr>
          <w:rFonts w:ascii="Arial" w:cs="Arial" w:eastAsia="Arial" w:hAnsi="Arial"/>
          <w:sz w:val="19"/>
          <w:szCs w:val="19"/>
          <w:color w:val="auto"/>
        </w:rPr>
        <w:t>”). Notwithstanding the aforesaid, only to the extent that the subcontracted or delegated obligations relates to cGMP compliance, Supplier shall be entitled to subcontract or delegate such obligations, upon prior written notice to Customer [***]. Supplier shall ensure that any Subcontractor performs its obligations pursuant to the terms of this Agreement. Notwithstanding the foregoing, Supplier shall remain solely and fully liable for the performance of any Subcontractor or Supplier and shall remain exclusively responsible for all costs associated with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192405</wp:posOffset>
            </wp:positionV>
            <wp:extent cx="71386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97"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15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528" w:right="339" w:bottom="1440" w:gutter="0" w:footer="0" w:header="0"/>
        </w:sectPr>
      </w:pPr>
    </w:p>
    <w:bookmarkStart w:id="176" w:name="page177"/>
    <w:bookmarkEnd w:id="176"/>
    <w:p>
      <w:pPr>
        <w:jc w:val="both"/>
        <w:ind w:left="880"/>
        <w:spacing w:after="0" w:line="251" w:lineRule="auto"/>
        <w:rPr>
          <w:sz w:val="20"/>
          <w:szCs w:val="20"/>
          <w:color w:val="auto"/>
        </w:rPr>
      </w:pPr>
      <w:r>
        <w:rPr>
          <w:rFonts w:ascii="Arial" w:cs="Arial" w:eastAsia="Arial" w:hAnsi="Arial"/>
          <w:sz w:val="19"/>
          <w:szCs w:val="19"/>
          <w:color w:val="auto"/>
        </w:rPr>
        <w:t>such subcontract or supply relationship. If within [***] following receipt of a notice referred to in the second sentence of this Clause 15.2, Customer notifies Supplier in writing that such proposed subcontract by Supplier could impact the Registration for the Final Product, [***].</w:t>
      </w:r>
    </w:p>
    <w:p>
      <w:pPr>
        <w:spacing w:after="0" w:line="67" w:lineRule="exact"/>
        <w:rPr>
          <w:sz w:val="20"/>
          <w:szCs w:val="20"/>
          <w:color w:val="auto"/>
        </w:rPr>
      </w:pPr>
    </w:p>
    <w:p>
      <w:pPr>
        <w:jc w:val="both"/>
        <w:ind w:left="880" w:hanging="873"/>
        <w:spacing w:after="0" w:line="269" w:lineRule="auto"/>
        <w:tabs>
          <w:tab w:leader="none" w:pos="860" w:val="left"/>
        </w:tabs>
        <w:rPr>
          <w:sz w:val="20"/>
          <w:szCs w:val="20"/>
          <w:color w:val="auto"/>
        </w:rPr>
      </w:pPr>
      <w:r>
        <w:rPr>
          <w:rFonts w:ascii="Arial" w:cs="Arial" w:eastAsia="Arial" w:hAnsi="Arial"/>
          <w:sz w:val="19"/>
          <w:szCs w:val="19"/>
          <w:b w:val="1"/>
          <w:bCs w:val="1"/>
          <w:color w:val="auto"/>
        </w:rPr>
        <w:t>15.3</w:t>
      </w:r>
      <w:r>
        <w:rPr>
          <w:sz w:val="20"/>
          <w:szCs w:val="20"/>
          <w:color w:val="auto"/>
        </w:rPr>
        <w:tab/>
      </w:r>
      <w:r>
        <w:rPr>
          <w:rFonts w:ascii="Arial" w:cs="Arial" w:eastAsia="Arial" w:hAnsi="Arial"/>
          <w:sz w:val="19"/>
          <w:szCs w:val="19"/>
          <w:b w:val="1"/>
          <w:bCs w:val="1"/>
          <w:color w:val="auto"/>
        </w:rPr>
        <w:t xml:space="preserve">Annexes. </w:t>
      </w:r>
      <w:r>
        <w:rPr>
          <w:rFonts w:ascii="Arial" w:cs="Arial" w:eastAsia="Arial" w:hAnsi="Arial"/>
          <w:sz w:val="19"/>
          <w:szCs w:val="19"/>
          <w:color w:val="auto"/>
        </w:rPr>
        <w:t>All Annexes (and any amendments to such Annexes) and their enclosures form an integral part of this Agreement and are</w:t>
      </w:r>
      <w:r>
        <w:rPr>
          <w:rFonts w:ascii="Arial" w:cs="Arial" w:eastAsia="Arial" w:hAnsi="Arial"/>
          <w:sz w:val="19"/>
          <w:szCs w:val="19"/>
          <w:b w:val="1"/>
          <w:bCs w:val="1"/>
          <w:color w:val="auto"/>
        </w:rPr>
        <w:t xml:space="preserve"> </w:t>
      </w:r>
      <w:r>
        <w:rPr>
          <w:rFonts w:ascii="Arial" w:cs="Arial" w:eastAsia="Arial" w:hAnsi="Arial"/>
          <w:sz w:val="19"/>
          <w:szCs w:val="19"/>
          <w:color w:val="auto"/>
        </w:rPr>
        <w:t>incorporated herein by reference.</w:t>
      </w:r>
    </w:p>
    <w:p>
      <w:pPr>
        <w:spacing w:after="0" w:line="50" w:lineRule="exact"/>
        <w:rPr>
          <w:sz w:val="20"/>
          <w:szCs w:val="20"/>
          <w:color w:val="auto"/>
        </w:rPr>
      </w:pPr>
    </w:p>
    <w:p>
      <w:pPr>
        <w:jc w:val="both"/>
        <w:ind w:left="880" w:hanging="873"/>
        <w:spacing w:after="0" w:line="249" w:lineRule="auto"/>
        <w:tabs>
          <w:tab w:leader="none" w:pos="860" w:val="left"/>
        </w:tabs>
        <w:rPr>
          <w:sz w:val="20"/>
          <w:szCs w:val="20"/>
          <w:color w:val="auto"/>
        </w:rPr>
      </w:pPr>
      <w:r>
        <w:rPr>
          <w:rFonts w:ascii="Arial" w:cs="Arial" w:eastAsia="Arial" w:hAnsi="Arial"/>
          <w:sz w:val="19"/>
          <w:szCs w:val="19"/>
          <w:b w:val="1"/>
          <w:bCs w:val="1"/>
          <w:color w:val="auto"/>
        </w:rPr>
        <w:t>15.4</w:t>
      </w:r>
      <w:r>
        <w:rPr>
          <w:sz w:val="20"/>
          <w:szCs w:val="20"/>
          <w:color w:val="auto"/>
        </w:rPr>
        <w:tab/>
      </w:r>
      <w:r>
        <w:rPr>
          <w:rFonts w:ascii="Arial" w:cs="Arial" w:eastAsia="Arial" w:hAnsi="Arial"/>
          <w:sz w:val="19"/>
          <w:szCs w:val="19"/>
          <w:b w:val="1"/>
          <w:bCs w:val="1"/>
          <w:color w:val="auto"/>
        </w:rPr>
        <w:t xml:space="preserve">Order of Priority. </w:t>
      </w:r>
      <w:r>
        <w:rPr>
          <w:rFonts w:ascii="Arial" w:cs="Arial" w:eastAsia="Arial" w:hAnsi="Arial"/>
          <w:sz w:val="19"/>
          <w:szCs w:val="19"/>
          <w:color w:val="auto"/>
        </w:rPr>
        <w:t>In the event of any conflict, inconsistency or discrepancy between this Agreement, the Annexes or the terms and</w:t>
      </w:r>
      <w:r>
        <w:rPr>
          <w:rFonts w:ascii="Arial" w:cs="Arial" w:eastAsia="Arial" w:hAnsi="Arial"/>
          <w:sz w:val="19"/>
          <w:szCs w:val="19"/>
          <w:b w:val="1"/>
          <w:bCs w:val="1"/>
          <w:color w:val="auto"/>
        </w:rPr>
        <w:t xml:space="preserve"> </w:t>
      </w:r>
      <w:r>
        <w:rPr>
          <w:rFonts w:ascii="Arial" w:cs="Arial" w:eastAsia="Arial" w:hAnsi="Arial"/>
          <w:sz w:val="19"/>
          <w:szCs w:val="19"/>
          <w:color w:val="auto"/>
        </w:rPr>
        <w:t>conditions referenced or incorporated in this Agreement or the Appendices the following order of priority shall apply: (i) the Quality Agreement (solely in respect of Quality Assurance, quality management and compliance with applicable standards), (ii) this Agreement, (iii) any Annexes, and (iv) individual Orders.</w:t>
      </w:r>
    </w:p>
    <w:p>
      <w:pPr>
        <w:spacing w:after="0" w:line="70" w:lineRule="exact"/>
        <w:rPr>
          <w:sz w:val="20"/>
          <w:szCs w:val="20"/>
          <w:color w:val="auto"/>
        </w:rPr>
      </w:pPr>
    </w:p>
    <w:p>
      <w:pPr>
        <w:jc w:val="both"/>
        <w:ind w:left="880" w:hanging="873"/>
        <w:spacing w:after="0" w:line="298" w:lineRule="auto"/>
        <w:tabs>
          <w:tab w:leader="none" w:pos="860" w:val="left"/>
        </w:tabs>
        <w:rPr>
          <w:sz w:val="20"/>
          <w:szCs w:val="20"/>
          <w:color w:val="auto"/>
        </w:rPr>
      </w:pPr>
      <w:r>
        <w:rPr>
          <w:rFonts w:ascii="Arial" w:cs="Arial" w:eastAsia="Arial" w:hAnsi="Arial"/>
          <w:sz w:val="19"/>
          <w:szCs w:val="19"/>
          <w:b w:val="1"/>
          <w:bCs w:val="1"/>
          <w:color w:val="auto"/>
        </w:rPr>
        <w:t>15.5</w:t>
      </w:r>
      <w:r>
        <w:rPr>
          <w:sz w:val="20"/>
          <w:szCs w:val="20"/>
          <w:color w:val="auto"/>
        </w:rPr>
        <w:tab/>
      </w:r>
      <w:r>
        <w:rPr>
          <w:rFonts w:ascii="Arial" w:cs="Arial" w:eastAsia="Arial" w:hAnsi="Arial"/>
          <w:sz w:val="18"/>
          <w:szCs w:val="18"/>
          <w:b w:val="1"/>
          <w:bCs w:val="1"/>
          <w:color w:val="auto"/>
        </w:rPr>
        <w:t xml:space="preserve">Standard Terms. </w:t>
      </w:r>
      <w:r>
        <w:rPr>
          <w:rFonts w:ascii="Arial" w:cs="Arial" w:eastAsia="Arial" w:hAnsi="Arial"/>
          <w:sz w:val="18"/>
          <w:szCs w:val="18"/>
          <w:color w:val="auto"/>
        </w:rPr>
        <w:t>Except as expressly otherwise agreed in writing by the Parties, the provisions of this Agreement (including its</w:t>
      </w:r>
      <w:r>
        <w:rPr>
          <w:rFonts w:ascii="Arial" w:cs="Arial" w:eastAsia="Arial" w:hAnsi="Arial"/>
          <w:sz w:val="18"/>
          <w:szCs w:val="18"/>
          <w:b w:val="1"/>
          <w:bCs w:val="1"/>
          <w:color w:val="auto"/>
        </w:rPr>
        <w:t xml:space="preserve"> </w:t>
      </w:r>
      <w:r>
        <w:rPr>
          <w:rFonts w:ascii="Arial" w:cs="Arial" w:eastAsia="Arial" w:hAnsi="Arial"/>
          <w:sz w:val="18"/>
          <w:szCs w:val="18"/>
          <w:color w:val="auto"/>
        </w:rPr>
        <w:t>Annexes) shall apply to any Order for Final Products as well as any activity within the scope of this Agreement.</w:t>
      </w:r>
    </w:p>
    <w:p>
      <w:pPr>
        <w:spacing w:after="0" w:line="26" w:lineRule="exact"/>
        <w:rPr>
          <w:sz w:val="20"/>
          <w:szCs w:val="20"/>
          <w:color w:val="auto"/>
        </w:rPr>
      </w:pPr>
    </w:p>
    <w:p>
      <w:pPr>
        <w:jc w:val="both"/>
        <w:ind w:left="880" w:hanging="873"/>
        <w:spacing w:after="0" w:line="273" w:lineRule="auto"/>
        <w:tabs>
          <w:tab w:leader="none" w:pos="860" w:val="left"/>
        </w:tabs>
        <w:rPr>
          <w:sz w:val="20"/>
          <w:szCs w:val="20"/>
          <w:color w:val="auto"/>
        </w:rPr>
      </w:pPr>
      <w:r>
        <w:rPr>
          <w:rFonts w:ascii="Arial" w:cs="Arial" w:eastAsia="Arial" w:hAnsi="Arial"/>
          <w:sz w:val="19"/>
          <w:szCs w:val="19"/>
          <w:b w:val="1"/>
          <w:bCs w:val="1"/>
          <w:color w:val="auto"/>
        </w:rPr>
        <w:t>15.6</w:t>
      </w:r>
      <w:r>
        <w:rPr>
          <w:sz w:val="20"/>
          <w:szCs w:val="20"/>
          <w:color w:val="auto"/>
        </w:rPr>
        <w:tab/>
      </w:r>
      <w:r>
        <w:rPr>
          <w:rFonts w:ascii="Arial" w:cs="Arial" w:eastAsia="Arial" w:hAnsi="Arial"/>
          <w:sz w:val="17"/>
          <w:szCs w:val="17"/>
          <w:b w:val="1"/>
          <w:bCs w:val="1"/>
          <w:color w:val="auto"/>
        </w:rPr>
        <w:t xml:space="preserve">Force Majeure. </w:t>
      </w:r>
      <w:r>
        <w:rPr>
          <w:rFonts w:ascii="Arial" w:cs="Arial" w:eastAsia="Arial" w:hAnsi="Arial"/>
          <w:sz w:val="17"/>
          <w:szCs w:val="17"/>
          <w:color w:val="auto"/>
        </w:rPr>
        <w:t>Failure of any Party to perform its obligations under this Agreement (other than of the obligations to make any</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or of confidentiality) shall not subject such Party to any liability or place them in breach of any term or condition of this Agreement to the other Party if, and solely to the extent, such failure is caused by Force Majeure. The corresponding obligations of the other Party will be suspended to the same extent. “</w:t>
      </w:r>
      <w:r>
        <w:rPr>
          <w:rFonts w:ascii="Arial" w:cs="Arial" w:eastAsia="Arial" w:hAnsi="Arial"/>
          <w:sz w:val="17"/>
          <w:szCs w:val="17"/>
          <w:b w:val="1"/>
          <w:bCs w:val="1"/>
          <w:color w:val="auto"/>
        </w:rPr>
        <w:t>Force Majeure</w:t>
      </w:r>
      <w:r>
        <w:rPr>
          <w:rFonts w:ascii="Arial" w:cs="Arial" w:eastAsia="Arial" w:hAnsi="Arial"/>
          <w:sz w:val="17"/>
          <w:szCs w:val="17"/>
          <w:color w:val="auto"/>
        </w:rPr>
        <w:t>” shall mean any unanticipated event beyond a Party’s (and/or its subcontractors’) reasonable control that could not be avoided by due care of such non-performing Party (and/or its subcontractors’), including without limitation, acts of God, fire, explosion, flood, earthquake, drought, war, hostility, revolution, riot, civil disturbance, national emergency, sabotage, embargo; provided, however, that the Party affected shall promptly notify the other Party of the condition constituting Force Majeure as defined herein and shall exert commercially reasonable efforts to eliminate, cure and overcome any such causes and to resume performance of its obligations with all possible speed. If a condition constituting Force Majeure as defined herein prevents, or would likely prevent, a Party from performing its obligations under this Agreement for more than sixty (60) days, the Parties shall meet to negotiate a mutually satisfactory solution to the problem, if practicable, including the use of a third party to fulfil the obligations hereunder of the Party invoking Force Majeure at the expense of the Party invoking Force Majeure.</w:t>
      </w:r>
    </w:p>
    <w:p>
      <w:pPr>
        <w:spacing w:after="0" w:line="56" w:lineRule="exact"/>
        <w:rPr>
          <w:sz w:val="20"/>
          <w:szCs w:val="20"/>
          <w:color w:val="auto"/>
        </w:rPr>
      </w:pPr>
    </w:p>
    <w:p>
      <w:pPr>
        <w:jc w:val="both"/>
        <w:ind w:left="880" w:hanging="873"/>
        <w:spacing w:after="0" w:line="288" w:lineRule="auto"/>
        <w:tabs>
          <w:tab w:leader="none" w:pos="860" w:val="left"/>
        </w:tabs>
        <w:rPr>
          <w:sz w:val="20"/>
          <w:szCs w:val="20"/>
          <w:color w:val="auto"/>
        </w:rPr>
      </w:pPr>
      <w:r>
        <w:rPr>
          <w:rFonts w:ascii="Arial" w:cs="Arial" w:eastAsia="Arial" w:hAnsi="Arial"/>
          <w:sz w:val="19"/>
          <w:szCs w:val="19"/>
          <w:b w:val="1"/>
          <w:bCs w:val="1"/>
          <w:color w:val="auto"/>
        </w:rPr>
        <w:t>15.7</w:t>
      </w:r>
      <w:r>
        <w:rPr>
          <w:sz w:val="20"/>
          <w:szCs w:val="20"/>
          <w:color w:val="auto"/>
        </w:rPr>
        <w:tab/>
      </w:r>
      <w:r>
        <w:rPr>
          <w:rFonts w:ascii="Arial" w:cs="Arial" w:eastAsia="Arial" w:hAnsi="Arial"/>
          <w:sz w:val="17"/>
          <w:szCs w:val="17"/>
          <w:b w:val="1"/>
          <w:bCs w:val="1"/>
          <w:color w:val="auto"/>
        </w:rPr>
        <w:t xml:space="preserve">Entire Agreement. </w:t>
      </w:r>
      <w:r>
        <w:rPr>
          <w:rFonts w:ascii="Arial" w:cs="Arial" w:eastAsia="Arial" w:hAnsi="Arial"/>
          <w:sz w:val="17"/>
          <w:szCs w:val="17"/>
          <w:color w:val="auto"/>
        </w:rPr>
        <w:t>This Agreement (including the Annexes hereto) constitutes the entire agreement between the Parties related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matter covered by this Agreement, and shall supersede and prevail over any other prior or contemporaneous arrangements regarding this subject matter, whether written or oral, and is binding upon the Parties hereto and their successors. Without prejudice to Clause 15.14, no modification of this Agreement will be binding upon either Party unless made in writing and signed by both Parties.</w:t>
      </w:r>
    </w:p>
    <w:p>
      <w:pPr>
        <w:spacing w:after="0" w:line="38" w:lineRule="exact"/>
        <w:rPr>
          <w:sz w:val="20"/>
          <w:szCs w:val="20"/>
          <w:color w:val="auto"/>
        </w:rPr>
      </w:pPr>
    </w:p>
    <w:p>
      <w:pPr>
        <w:jc w:val="both"/>
        <w:ind w:left="880" w:hanging="873"/>
        <w:spacing w:after="0" w:line="247" w:lineRule="auto"/>
        <w:tabs>
          <w:tab w:leader="none" w:pos="860" w:val="left"/>
        </w:tabs>
        <w:rPr>
          <w:sz w:val="20"/>
          <w:szCs w:val="20"/>
          <w:color w:val="auto"/>
        </w:rPr>
      </w:pPr>
      <w:r>
        <w:rPr>
          <w:rFonts w:ascii="Arial" w:cs="Arial" w:eastAsia="Arial" w:hAnsi="Arial"/>
          <w:sz w:val="19"/>
          <w:szCs w:val="19"/>
          <w:b w:val="1"/>
          <w:bCs w:val="1"/>
          <w:color w:val="auto"/>
        </w:rPr>
        <w:t>15.8</w:t>
      </w:r>
      <w:r>
        <w:rPr>
          <w:sz w:val="20"/>
          <w:szCs w:val="20"/>
          <w:color w:val="auto"/>
        </w:rPr>
        <w:tab/>
      </w:r>
      <w:r>
        <w:rPr>
          <w:rFonts w:ascii="Arial" w:cs="Arial" w:eastAsia="Arial" w:hAnsi="Arial"/>
          <w:sz w:val="19"/>
          <w:szCs w:val="19"/>
          <w:b w:val="1"/>
          <w:bCs w:val="1"/>
          <w:color w:val="auto"/>
        </w:rPr>
        <w:t xml:space="preserve">Assignment. </w:t>
      </w:r>
      <w:r>
        <w:rPr>
          <w:rFonts w:ascii="Arial" w:cs="Arial" w:eastAsia="Arial" w:hAnsi="Arial"/>
          <w:sz w:val="19"/>
          <w:szCs w:val="19"/>
          <w:color w:val="auto"/>
        </w:rPr>
        <w:t>Unless otherwise provided for herein, this Agreement and the rights and obligations hereunder may not be assigned or</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transferred by either Party hereto without the prior written consent of the other Party, provided however, that either Party may assign this Agreement (in whole or in part) upon written notice to, but without the prior approval of, the other Party to: (i) an Affiliate; (ii) a third party in connection with the sale or disposal of all or part of the assets of such Party; or (iii) if such Party divests, out-licenses or otherwise disposes of the business or assets relating to the Final Product.</w:t>
      </w:r>
    </w:p>
    <w:p>
      <w:pPr>
        <w:spacing w:after="0" w:line="71" w:lineRule="exact"/>
        <w:rPr>
          <w:sz w:val="20"/>
          <w:szCs w:val="20"/>
          <w:color w:val="auto"/>
        </w:rPr>
      </w:pPr>
    </w:p>
    <w:p>
      <w:pPr>
        <w:jc w:val="both"/>
        <w:ind w:left="880" w:hanging="873"/>
        <w:spacing w:after="0" w:line="330" w:lineRule="auto"/>
        <w:tabs>
          <w:tab w:leader="none" w:pos="860" w:val="left"/>
        </w:tabs>
        <w:rPr>
          <w:sz w:val="20"/>
          <w:szCs w:val="20"/>
          <w:color w:val="auto"/>
        </w:rPr>
      </w:pPr>
      <w:r>
        <w:rPr>
          <w:rFonts w:ascii="Arial" w:cs="Arial" w:eastAsia="Arial" w:hAnsi="Arial"/>
          <w:sz w:val="19"/>
          <w:szCs w:val="19"/>
          <w:b w:val="1"/>
          <w:bCs w:val="1"/>
          <w:color w:val="auto"/>
        </w:rPr>
        <w:t>15.9</w:t>
      </w:r>
      <w:r>
        <w:rPr>
          <w:sz w:val="20"/>
          <w:szCs w:val="20"/>
          <w:color w:val="auto"/>
        </w:rPr>
        <w:tab/>
      </w:r>
      <w:r>
        <w:rPr>
          <w:rFonts w:ascii="Arial" w:cs="Arial" w:eastAsia="Arial" w:hAnsi="Arial"/>
          <w:sz w:val="17"/>
          <w:szCs w:val="17"/>
          <w:b w:val="1"/>
          <w:bCs w:val="1"/>
          <w:color w:val="auto"/>
        </w:rPr>
        <w:t xml:space="preserve">Severability. </w:t>
      </w:r>
      <w:r>
        <w:rPr>
          <w:rFonts w:ascii="Arial" w:cs="Arial" w:eastAsia="Arial" w:hAnsi="Arial"/>
          <w:sz w:val="17"/>
          <w:szCs w:val="17"/>
          <w:color w:val="auto"/>
        </w:rPr>
        <w:t>If any provision of this Agreement is held to be invalid or unenforceable, then the offending provision (or the relevant part</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shall not render any other provision of this Agreement invalid or unenforceable, and this Agreement shall remain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71386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24"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16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7" w:name="page178"/>
    <w:bookmarkEnd w:id="177"/>
    <w:p>
      <w:pPr>
        <w:ind w:left="880"/>
        <w:spacing w:after="0" w:line="263" w:lineRule="auto"/>
        <w:rPr>
          <w:sz w:val="20"/>
          <w:szCs w:val="20"/>
          <w:color w:val="auto"/>
        </w:rPr>
      </w:pPr>
      <w:r>
        <w:rPr>
          <w:rFonts w:ascii="Arial" w:cs="Arial" w:eastAsia="Arial" w:hAnsi="Arial"/>
          <w:sz w:val="19"/>
          <w:szCs w:val="19"/>
          <w:color w:val="auto"/>
        </w:rPr>
        <w:t>force and effect and shall be enforceable, and the invalid one shall be replaced by a regulation which meets the original economic intent of the invalid provision as far as legally possible.</w:t>
      </w:r>
    </w:p>
    <w:p>
      <w:pPr>
        <w:spacing w:after="0" w:line="55" w:lineRule="exact"/>
        <w:rPr>
          <w:sz w:val="20"/>
          <w:szCs w:val="20"/>
          <w:color w:val="auto"/>
        </w:rPr>
      </w:pPr>
    </w:p>
    <w:p>
      <w:pPr>
        <w:jc w:val="both"/>
        <w:ind w:left="880" w:hanging="873"/>
        <w:spacing w:after="0" w:line="247" w:lineRule="auto"/>
        <w:tabs>
          <w:tab w:leader="none" w:pos="860" w:val="left"/>
        </w:tabs>
        <w:rPr>
          <w:sz w:val="20"/>
          <w:szCs w:val="20"/>
          <w:color w:val="auto"/>
        </w:rPr>
      </w:pPr>
      <w:r>
        <w:rPr>
          <w:rFonts w:ascii="Arial" w:cs="Arial" w:eastAsia="Arial" w:hAnsi="Arial"/>
          <w:sz w:val="19"/>
          <w:szCs w:val="19"/>
          <w:b w:val="1"/>
          <w:bCs w:val="1"/>
          <w:color w:val="auto"/>
        </w:rPr>
        <w:t>15.10</w:t>
      </w:r>
      <w:r>
        <w:rPr>
          <w:sz w:val="20"/>
          <w:szCs w:val="20"/>
          <w:color w:val="auto"/>
        </w:rPr>
        <w:tab/>
      </w:r>
      <w:r>
        <w:rPr>
          <w:rFonts w:ascii="Arial" w:cs="Arial" w:eastAsia="Arial" w:hAnsi="Arial"/>
          <w:sz w:val="19"/>
          <w:szCs w:val="19"/>
          <w:b w:val="1"/>
          <w:bCs w:val="1"/>
          <w:color w:val="auto"/>
        </w:rPr>
        <w:t xml:space="preserve">Waiver. </w:t>
      </w:r>
      <w:r>
        <w:rPr>
          <w:rFonts w:ascii="Arial" w:cs="Arial" w:eastAsia="Arial" w:hAnsi="Arial"/>
          <w:sz w:val="19"/>
          <w:szCs w:val="19"/>
          <w:color w:val="auto"/>
        </w:rPr>
        <w:t>No delay or omission on the part of either Party in exercising any right, power or privilege hereunder shall operate as a waiver</w:t>
      </w:r>
      <w:r>
        <w:rPr>
          <w:rFonts w:ascii="Arial" w:cs="Arial" w:eastAsia="Arial" w:hAnsi="Arial"/>
          <w:sz w:val="19"/>
          <w:szCs w:val="19"/>
          <w:b w:val="1"/>
          <w:bCs w:val="1"/>
          <w:color w:val="auto"/>
        </w:rPr>
        <w:t xml:space="preserve"> </w:t>
      </w:r>
      <w:r>
        <w:rPr>
          <w:rFonts w:ascii="Arial" w:cs="Arial" w:eastAsia="Arial" w:hAnsi="Arial"/>
          <w:sz w:val="19"/>
          <w:szCs w:val="19"/>
          <w:color w:val="auto"/>
        </w:rPr>
        <w:t>thereof, nor shall any complete or partial waiver on the part of either Party of any right, power or privilege hereunder, nor shall any single or partial exercise or any right, power or privilege hereunder preclude any other or further exercise thereof or the exercise of any other right, power of privilege hereunder. Any provision of this Agreement may be waived if, and only if, such waiver is in writing and signed by the Party against whom the waiver is to be effective.</w:t>
      </w:r>
    </w:p>
    <w:p>
      <w:pPr>
        <w:spacing w:after="0" w:line="71" w:lineRule="exact"/>
        <w:rPr>
          <w:sz w:val="20"/>
          <w:szCs w:val="20"/>
          <w:color w:val="auto"/>
        </w:rPr>
      </w:pPr>
    </w:p>
    <w:p>
      <w:pPr>
        <w:jc w:val="both"/>
        <w:ind w:left="880" w:hanging="873"/>
        <w:spacing w:after="0" w:line="269" w:lineRule="auto"/>
        <w:tabs>
          <w:tab w:leader="none" w:pos="860" w:val="left"/>
        </w:tabs>
        <w:rPr>
          <w:sz w:val="20"/>
          <w:szCs w:val="20"/>
          <w:color w:val="auto"/>
        </w:rPr>
      </w:pPr>
      <w:r>
        <w:rPr>
          <w:rFonts w:ascii="Arial" w:cs="Arial" w:eastAsia="Arial" w:hAnsi="Arial"/>
          <w:sz w:val="19"/>
          <w:szCs w:val="19"/>
          <w:b w:val="1"/>
          <w:bCs w:val="1"/>
          <w:color w:val="auto"/>
        </w:rPr>
        <w:t>15.11</w:t>
      </w:r>
      <w:r>
        <w:rPr>
          <w:sz w:val="20"/>
          <w:szCs w:val="20"/>
          <w:color w:val="auto"/>
        </w:rPr>
        <w:tab/>
      </w:r>
      <w:r>
        <w:rPr>
          <w:rFonts w:ascii="Arial" w:cs="Arial" w:eastAsia="Arial" w:hAnsi="Arial"/>
          <w:sz w:val="19"/>
          <w:szCs w:val="19"/>
          <w:b w:val="1"/>
          <w:bCs w:val="1"/>
          <w:color w:val="auto"/>
        </w:rPr>
        <w:t xml:space="preserve">Survivorship. </w:t>
      </w:r>
      <w:r>
        <w:rPr>
          <w:rFonts w:ascii="Arial" w:cs="Arial" w:eastAsia="Arial" w:hAnsi="Arial"/>
          <w:sz w:val="19"/>
          <w:szCs w:val="19"/>
          <w:color w:val="auto"/>
        </w:rPr>
        <w:t>Any of the provisions of this Agreement, including the Annexes, that are expressed or implied to survive the expiration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of this Agreement, shall remain in full force and effect.</w:t>
      </w:r>
    </w:p>
    <w:p>
      <w:pPr>
        <w:spacing w:after="0" w:line="50" w:lineRule="exact"/>
        <w:rPr>
          <w:sz w:val="20"/>
          <w:szCs w:val="20"/>
          <w:color w:val="auto"/>
        </w:rPr>
      </w:pPr>
    </w:p>
    <w:p>
      <w:pPr>
        <w:ind w:left="880" w:right="120" w:hanging="886"/>
        <w:spacing w:after="0" w:line="262" w:lineRule="auto"/>
        <w:tabs>
          <w:tab w:leader="none" w:pos="860" w:val="left"/>
        </w:tabs>
        <w:rPr>
          <w:sz w:val="20"/>
          <w:szCs w:val="20"/>
          <w:color w:val="auto"/>
        </w:rPr>
      </w:pPr>
      <w:r>
        <w:rPr>
          <w:rFonts w:ascii="Arial" w:cs="Arial" w:eastAsia="Arial" w:hAnsi="Arial"/>
          <w:sz w:val="19"/>
          <w:szCs w:val="19"/>
          <w:b w:val="1"/>
          <w:bCs w:val="1"/>
          <w:color w:val="auto"/>
        </w:rPr>
        <w:t>15.12</w:t>
      </w:r>
      <w:r>
        <w:rPr>
          <w:sz w:val="20"/>
          <w:szCs w:val="20"/>
          <w:color w:val="auto"/>
        </w:rPr>
        <w:tab/>
      </w:r>
      <w:r>
        <w:rPr>
          <w:rFonts w:ascii="Arial" w:cs="Arial" w:eastAsia="Arial" w:hAnsi="Arial"/>
          <w:sz w:val="18"/>
          <w:szCs w:val="18"/>
          <w:b w:val="1"/>
          <w:bCs w:val="1"/>
          <w:color w:val="auto"/>
        </w:rPr>
        <w:t>Publicity</w:t>
      </w:r>
      <w:r>
        <w:rPr>
          <w:rFonts w:ascii="Arial" w:cs="Arial" w:eastAsia="Arial" w:hAnsi="Arial"/>
          <w:sz w:val="18"/>
          <w:szCs w:val="18"/>
          <w:color w:val="auto"/>
        </w:rPr>
        <w:t>. Neither Party will make any press release or other public disclosure regarding this Agreement or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hereby without the other Party’s express prior written consent, except as required under applicable laws, by any governmental agency or by the rules of any stock exchange on which the securities of the disclosing Party are listed, in which case the Party required to make the press release or public disclosure shall provide the other Party with a draft of such form, nature and extent of the press release or public disclosure prior to issuing the press release or making the public disclosure, and shall consider in good faith any comments provided by the non-disclosing Party.</w:t>
      </w:r>
    </w:p>
    <w:p>
      <w:pPr>
        <w:spacing w:after="0" w:line="173" w:lineRule="exact"/>
        <w:rPr>
          <w:sz w:val="20"/>
          <w:szCs w:val="20"/>
          <w:color w:val="auto"/>
        </w:rPr>
      </w:pPr>
    </w:p>
    <w:p>
      <w:pPr>
        <w:jc w:val="both"/>
        <w:ind w:left="880" w:hanging="873"/>
        <w:spacing w:after="0" w:line="269" w:lineRule="auto"/>
        <w:tabs>
          <w:tab w:leader="none" w:pos="860" w:val="left"/>
        </w:tabs>
        <w:rPr>
          <w:sz w:val="20"/>
          <w:szCs w:val="20"/>
          <w:color w:val="auto"/>
        </w:rPr>
      </w:pPr>
      <w:r>
        <w:rPr>
          <w:rFonts w:ascii="Arial" w:cs="Arial" w:eastAsia="Arial" w:hAnsi="Arial"/>
          <w:sz w:val="19"/>
          <w:szCs w:val="19"/>
          <w:b w:val="1"/>
          <w:bCs w:val="1"/>
          <w:color w:val="auto"/>
        </w:rPr>
        <w:t>15.13</w:t>
      </w:r>
      <w:r>
        <w:rPr>
          <w:sz w:val="20"/>
          <w:szCs w:val="20"/>
          <w:color w:val="auto"/>
        </w:rPr>
        <w:tab/>
      </w:r>
      <w:r>
        <w:rPr>
          <w:rFonts w:ascii="Arial" w:cs="Arial" w:eastAsia="Arial" w:hAnsi="Arial"/>
          <w:sz w:val="19"/>
          <w:szCs w:val="19"/>
          <w:b w:val="1"/>
          <w:bCs w:val="1"/>
          <w:color w:val="auto"/>
        </w:rPr>
        <w:t xml:space="preserve">Execution. </w:t>
      </w:r>
      <w:r>
        <w:rPr>
          <w:rFonts w:ascii="Arial" w:cs="Arial" w:eastAsia="Arial" w:hAnsi="Arial"/>
          <w:sz w:val="19"/>
          <w:szCs w:val="19"/>
          <w:color w:val="auto"/>
        </w:rPr>
        <w:t>This Agreement may be executed in two or more counterparts, each of which, when executed, shall be an original, but all</w:t>
      </w:r>
      <w:r>
        <w:rPr>
          <w:rFonts w:ascii="Arial" w:cs="Arial" w:eastAsia="Arial" w:hAnsi="Arial"/>
          <w:sz w:val="19"/>
          <w:szCs w:val="19"/>
          <w:b w:val="1"/>
          <w:bCs w:val="1"/>
          <w:color w:val="auto"/>
        </w:rPr>
        <w:t xml:space="preserve"> </w:t>
      </w:r>
      <w:r>
        <w:rPr>
          <w:rFonts w:ascii="Arial" w:cs="Arial" w:eastAsia="Arial" w:hAnsi="Arial"/>
          <w:sz w:val="19"/>
          <w:szCs w:val="19"/>
          <w:color w:val="auto"/>
        </w:rPr>
        <w:t>counterparts shall together constitute one and the same instrument.</w:t>
      </w:r>
    </w:p>
    <w:p>
      <w:pPr>
        <w:spacing w:after="0" w:line="50" w:lineRule="exact"/>
        <w:rPr>
          <w:sz w:val="20"/>
          <w:szCs w:val="20"/>
          <w:color w:val="auto"/>
        </w:rPr>
      </w:pPr>
    </w:p>
    <w:p>
      <w:pPr>
        <w:jc w:val="both"/>
        <w:ind w:left="880" w:hanging="873"/>
        <w:spacing w:after="0" w:line="260" w:lineRule="auto"/>
        <w:tabs>
          <w:tab w:leader="none" w:pos="860" w:val="left"/>
        </w:tabs>
        <w:rPr>
          <w:sz w:val="20"/>
          <w:szCs w:val="20"/>
          <w:color w:val="auto"/>
        </w:rPr>
      </w:pPr>
      <w:r>
        <w:rPr>
          <w:rFonts w:ascii="Arial" w:cs="Arial" w:eastAsia="Arial" w:hAnsi="Arial"/>
          <w:sz w:val="19"/>
          <w:szCs w:val="19"/>
          <w:b w:val="1"/>
          <w:bCs w:val="1"/>
          <w:color w:val="auto"/>
        </w:rPr>
        <w:t>15.14</w:t>
      </w:r>
      <w:r>
        <w:rPr>
          <w:sz w:val="20"/>
          <w:szCs w:val="20"/>
          <w:color w:val="auto"/>
        </w:rPr>
        <w:tab/>
      </w:r>
      <w:r>
        <w:rPr>
          <w:rFonts w:ascii="Arial" w:cs="Arial" w:eastAsia="Arial" w:hAnsi="Arial"/>
          <w:sz w:val="18"/>
          <w:szCs w:val="18"/>
          <w:b w:val="1"/>
          <w:bCs w:val="1"/>
          <w:color w:val="auto"/>
        </w:rPr>
        <w:t xml:space="preserve">Electronic Signature. </w:t>
      </w:r>
      <w:r>
        <w:rPr>
          <w:rFonts w:ascii="Arial" w:cs="Arial" w:eastAsia="Arial" w:hAnsi="Arial"/>
          <w:sz w:val="18"/>
          <w:szCs w:val="18"/>
          <w:color w:val="auto"/>
        </w:rPr>
        <w:t>Each Party agrees that electronic signatures (if any), whether digital or encrypted, of the Parties included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intended to authenticate this writing and to have the same force and effect as manual signatures. Delivery of a copy of this Agreement or any other document contemplated hereby bearing an original or electronic signature by facsimile transmission (whether directly from one facsimile device to another by means of a dial-up connection or whether mediated by the worldwide web), by electronic mail in “portable document format” (“.pdf”) form, or by any other electronic means intended to preserve the original graphic and pictorial appearance of a document, will have the same effect as physical delivery of the paper document bearing an original or electronic signature. The same shall apply to any future amendments of this Agreement.</w:t>
      </w: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9"/>
          <w:szCs w:val="19"/>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71386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16"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17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78" w:name="page179"/>
    <w:bookmarkEnd w:id="178"/>
    <w:p>
      <w:pPr>
        <w:spacing w:after="0"/>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Parties have signed this Agreement on the dates set out below:</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640" w:type="dxa"/>
            <w:vAlign w:val="bottom"/>
            <w:gridSpan w:val="10"/>
          </w:tcPr>
          <w:p>
            <w:pPr>
              <w:spacing w:after="0"/>
              <w:rPr>
                <w:sz w:val="20"/>
                <w:szCs w:val="20"/>
                <w:color w:val="auto"/>
              </w:rPr>
            </w:pPr>
            <w:r>
              <w:rPr>
                <w:rFonts w:ascii="Arial" w:cs="Arial" w:eastAsia="Arial" w:hAnsi="Arial"/>
                <w:sz w:val="19"/>
                <w:szCs w:val="19"/>
                <w:b w:val="1"/>
                <w:bCs w:val="1"/>
                <w:color w:val="auto"/>
              </w:rPr>
              <w:t>For and on behalf of</w:t>
            </w:r>
          </w:p>
        </w:tc>
        <w:tc>
          <w:tcPr>
            <w:tcW w:w="1880" w:type="dxa"/>
            <w:vAlign w:val="bottom"/>
          </w:tcPr>
          <w:p>
            <w:pPr>
              <w:spacing w:after="0"/>
              <w:rPr>
                <w:sz w:val="18"/>
                <w:szCs w:val="18"/>
                <w:color w:val="auto"/>
              </w:rPr>
            </w:pPr>
          </w:p>
        </w:tc>
        <w:tc>
          <w:tcPr>
            <w:tcW w:w="6720" w:type="dxa"/>
            <w:vAlign w:val="bottom"/>
            <w:gridSpan w:val="11"/>
          </w:tcPr>
          <w:p>
            <w:pPr>
              <w:ind w:left="860"/>
              <w:spacing w:after="0"/>
              <w:rPr>
                <w:sz w:val="20"/>
                <w:szCs w:val="20"/>
                <w:color w:val="auto"/>
              </w:rPr>
            </w:pPr>
            <w:r>
              <w:rPr>
                <w:rFonts w:ascii="Arial" w:cs="Arial" w:eastAsia="Arial" w:hAnsi="Arial"/>
                <w:sz w:val="19"/>
                <w:szCs w:val="19"/>
                <w:b w:val="1"/>
                <w:bCs w:val="1"/>
                <w:color w:val="auto"/>
              </w:rPr>
              <w:t>For and on behalf of</w:t>
            </w:r>
          </w:p>
        </w:tc>
        <w:tc>
          <w:tcPr>
            <w:tcW w:w="40" w:type="dxa"/>
            <w:vAlign w:val="bottom"/>
          </w:tcPr>
          <w:p>
            <w:pPr>
              <w:spacing w:after="0"/>
              <w:rPr>
                <w:sz w:val="18"/>
                <w:szCs w:val="18"/>
                <w:color w:val="auto"/>
              </w:rPr>
            </w:pPr>
          </w:p>
        </w:tc>
      </w:tr>
      <w:tr>
        <w:trPr>
          <w:trHeight w:val="246"/>
        </w:trPr>
        <w:tc>
          <w:tcPr>
            <w:tcW w:w="2640" w:type="dxa"/>
            <w:vAlign w:val="bottom"/>
            <w:gridSpan w:val="10"/>
          </w:tcPr>
          <w:p>
            <w:pPr>
              <w:spacing w:after="0"/>
              <w:rPr>
                <w:sz w:val="20"/>
                <w:szCs w:val="20"/>
                <w:color w:val="auto"/>
              </w:rPr>
            </w:pPr>
            <w:r>
              <w:rPr>
                <w:rFonts w:ascii="Arial" w:cs="Arial" w:eastAsia="Arial" w:hAnsi="Arial"/>
                <w:sz w:val="19"/>
                <w:szCs w:val="19"/>
                <w:b w:val="1"/>
                <w:bCs w:val="1"/>
                <w:color w:val="auto"/>
              </w:rPr>
              <w:t>Sandoz GmbH</w:t>
            </w:r>
          </w:p>
        </w:tc>
        <w:tc>
          <w:tcPr>
            <w:tcW w:w="1880" w:type="dxa"/>
            <w:vAlign w:val="bottom"/>
          </w:tcPr>
          <w:p>
            <w:pPr>
              <w:spacing w:after="0"/>
              <w:rPr>
                <w:sz w:val="21"/>
                <w:szCs w:val="21"/>
                <w:color w:val="auto"/>
              </w:rPr>
            </w:pPr>
          </w:p>
        </w:tc>
        <w:tc>
          <w:tcPr>
            <w:tcW w:w="6720" w:type="dxa"/>
            <w:vAlign w:val="bottom"/>
            <w:gridSpan w:val="11"/>
          </w:tcPr>
          <w:p>
            <w:pPr>
              <w:ind w:left="860"/>
              <w:spacing w:after="0"/>
              <w:rPr>
                <w:sz w:val="20"/>
                <w:szCs w:val="20"/>
                <w:color w:val="auto"/>
              </w:rPr>
            </w:pPr>
            <w:r>
              <w:rPr>
                <w:rFonts w:ascii="Arial" w:cs="Arial" w:eastAsia="Arial" w:hAnsi="Arial"/>
                <w:sz w:val="19"/>
                <w:szCs w:val="19"/>
                <w:b w:val="1"/>
                <w:bCs w:val="1"/>
                <w:color w:val="auto"/>
              </w:rPr>
              <w:t>Phathom Pharmaceuticals, Inc</w:t>
            </w:r>
          </w:p>
        </w:tc>
        <w:tc>
          <w:tcPr>
            <w:tcW w:w="40" w:type="dxa"/>
            <w:vAlign w:val="bottom"/>
          </w:tcPr>
          <w:p>
            <w:pPr>
              <w:spacing w:after="0"/>
              <w:rPr>
                <w:sz w:val="21"/>
                <w:szCs w:val="21"/>
                <w:color w:val="auto"/>
              </w:rPr>
            </w:pPr>
          </w:p>
        </w:tc>
      </w:tr>
      <w:tr>
        <w:trPr>
          <w:trHeight w:val="612"/>
        </w:trPr>
        <w:tc>
          <w:tcPr>
            <w:tcW w:w="2640" w:type="dxa"/>
            <w:vAlign w:val="bottom"/>
            <w:gridSpan w:val="10"/>
          </w:tcPr>
          <w:p>
            <w:pPr>
              <w:spacing w:after="0"/>
              <w:rPr>
                <w:sz w:val="20"/>
                <w:szCs w:val="20"/>
                <w:color w:val="auto"/>
              </w:rPr>
            </w:pPr>
            <w:r>
              <w:rPr>
                <w:rFonts w:ascii="Arial" w:cs="Arial" w:eastAsia="Arial" w:hAnsi="Arial"/>
                <w:sz w:val="19"/>
                <w:szCs w:val="19"/>
                <w:b w:val="1"/>
                <w:bCs w:val="1"/>
                <w:color w:val="auto"/>
              </w:rPr>
              <w:t>Signature: /s/ Michael</w:t>
            </w:r>
          </w:p>
        </w:tc>
        <w:tc>
          <w:tcPr>
            <w:tcW w:w="1880" w:type="dxa"/>
            <w:vAlign w:val="bottom"/>
          </w:tcPr>
          <w:p>
            <w:pPr>
              <w:spacing w:after="0"/>
              <w:rPr>
                <w:sz w:val="24"/>
                <w:szCs w:val="24"/>
                <w:color w:val="auto"/>
              </w:rPr>
            </w:pPr>
          </w:p>
        </w:tc>
        <w:tc>
          <w:tcPr>
            <w:tcW w:w="6720" w:type="dxa"/>
            <w:vAlign w:val="bottom"/>
            <w:gridSpan w:val="11"/>
          </w:tcPr>
          <w:p>
            <w:pPr>
              <w:ind w:left="860"/>
              <w:spacing w:after="0"/>
              <w:rPr>
                <w:sz w:val="20"/>
                <w:szCs w:val="20"/>
                <w:color w:val="auto"/>
              </w:rPr>
            </w:pPr>
            <w:r>
              <w:rPr>
                <w:rFonts w:ascii="Arial" w:cs="Arial" w:eastAsia="Arial" w:hAnsi="Arial"/>
                <w:sz w:val="19"/>
                <w:szCs w:val="19"/>
                <w:b w:val="1"/>
                <w:bCs w:val="1"/>
                <w:color w:val="auto"/>
              </w:rPr>
              <w:t>Signature: /s/ Terrie Curran</w:t>
            </w: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7"/>
        </w:trPr>
        <w:tc>
          <w:tcPr>
            <w:tcW w:w="580" w:type="dxa"/>
            <w:vAlign w:val="bottom"/>
          </w:tcPr>
          <w:p>
            <w:pPr>
              <w:spacing w:after="0"/>
              <w:rPr>
                <w:sz w:val="20"/>
                <w:szCs w:val="20"/>
                <w:color w:val="auto"/>
              </w:rPr>
            </w:pPr>
            <w:r>
              <w:rPr>
                <w:rFonts w:ascii="Arial" w:cs="Arial" w:eastAsia="Arial" w:hAnsi="Arial"/>
                <w:sz w:val="19"/>
                <w:szCs w:val="19"/>
                <w:b w:val="1"/>
                <w:bCs w:val="1"/>
                <w:color w:val="auto"/>
                <w:w w:val="96"/>
              </w:rPr>
              <w:t>Name:</w:t>
            </w:r>
          </w:p>
        </w:tc>
        <w:tc>
          <w:tcPr>
            <w:tcW w:w="20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9"/>
                <w:szCs w:val="19"/>
                <w:b w:val="1"/>
                <w:bCs w:val="1"/>
                <w:color w:val="auto"/>
                <w:w w:val="86"/>
              </w:rPr>
              <w:t>Michael Kocher</w:t>
            </w:r>
          </w:p>
        </w:tc>
        <w:tc>
          <w:tcPr>
            <w:tcW w:w="620" w:type="dxa"/>
            <w:vAlign w:val="bottom"/>
            <w:gridSpan w:val="5"/>
          </w:tcPr>
          <w:p>
            <w:pPr>
              <w:spacing w:after="0"/>
              <w:rPr>
                <w:sz w:val="24"/>
                <w:szCs w:val="24"/>
                <w:color w:val="auto"/>
              </w:rPr>
            </w:pPr>
          </w:p>
        </w:tc>
        <w:tc>
          <w:tcPr>
            <w:tcW w:w="1880" w:type="dxa"/>
            <w:vAlign w:val="bottom"/>
          </w:tcPr>
          <w:p>
            <w:pPr>
              <w:spacing w:after="0"/>
              <w:rPr>
                <w:sz w:val="24"/>
                <w:szCs w:val="24"/>
                <w:color w:val="auto"/>
              </w:rPr>
            </w:pPr>
          </w:p>
        </w:tc>
        <w:tc>
          <w:tcPr>
            <w:tcW w:w="6720" w:type="dxa"/>
            <w:vAlign w:val="bottom"/>
            <w:gridSpan w:val="11"/>
          </w:tcPr>
          <w:p>
            <w:pPr>
              <w:ind w:left="860"/>
              <w:spacing w:after="0"/>
              <w:rPr>
                <w:sz w:val="20"/>
                <w:szCs w:val="20"/>
                <w:color w:val="auto"/>
              </w:rPr>
            </w:pPr>
            <w:r>
              <w:rPr>
                <w:rFonts w:ascii="Arial" w:cs="Arial" w:eastAsia="Arial" w:hAnsi="Arial"/>
                <w:sz w:val="19"/>
                <w:szCs w:val="19"/>
                <w:b w:val="1"/>
                <w:bCs w:val="1"/>
                <w:color w:val="auto"/>
              </w:rPr>
              <w:t>Name: Terrie Curran</w:t>
            </w: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7"/>
        </w:trPr>
        <w:tc>
          <w:tcPr>
            <w:tcW w:w="580" w:type="dxa"/>
            <w:vAlign w:val="bottom"/>
          </w:tcPr>
          <w:p>
            <w:pPr>
              <w:spacing w:after="0"/>
              <w:rPr>
                <w:sz w:val="20"/>
                <w:szCs w:val="20"/>
                <w:color w:val="auto"/>
              </w:rPr>
            </w:pPr>
            <w:r>
              <w:rPr>
                <w:rFonts w:ascii="Arial" w:cs="Arial" w:eastAsia="Arial" w:hAnsi="Arial"/>
                <w:sz w:val="19"/>
                <w:szCs w:val="19"/>
                <w:b w:val="1"/>
                <w:bCs w:val="1"/>
                <w:color w:val="auto"/>
              </w:rPr>
              <w:t>Title:</w:t>
            </w:r>
          </w:p>
        </w:tc>
        <w:tc>
          <w:tcPr>
            <w:tcW w:w="200" w:type="dxa"/>
            <w:vAlign w:val="bottom"/>
          </w:tcPr>
          <w:p>
            <w:pPr>
              <w:spacing w:after="0"/>
              <w:rPr>
                <w:sz w:val="24"/>
                <w:szCs w:val="24"/>
                <w:color w:val="auto"/>
              </w:rPr>
            </w:pPr>
          </w:p>
        </w:tc>
        <w:tc>
          <w:tcPr>
            <w:tcW w:w="1780" w:type="dxa"/>
            <w:vAlign w:val="bottom"/>
            <w:gridSpan w:val="7"/>
          </w:tcPr>
          <w:p>
            <w:pPr>
              <w:spacing w:after="0"/>
              <w:rPr>
                <w:sz w:val="20"/>
                <w:szCs w:val="20"/>
                <w:color w:val="auto"/>
              </w:rPr>
            </w:pPr>
            <w:r>
              <w:rPr>
                <w:rFonts w:ascii="Arial" w:cs="Arial" w:eastAsia="Arial" w:hAnsi="Arial"/>
                <w:sz w:val="19"/>
                <w:szCs w:val="19"/>
                <w:b w:val="1"/>
                <w:bCs w:val="1"/>
                <w:color w:val="auto"/>
                <w:w w:val="88"/>
              </w:rPr>
              <w:t>President, Global B2B</w:t>
            </w: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ind w:left="860"/>
              <w:spacing w:after="0"/>
              <w:rPr>
                <w:sz w:val="20"/>
                <w:szCs w:val="20"/>
                <w:color w:val="auto"/>
              </w:rPr>
            </w:pPr>
            <w:r>
              <w:rPr>
                <w:rFonts w:ascii="Arial" w:cs="Arial" w:eastAsia="Arial" w:hAnsi="Arial"/>
                <w:sz w:val="19"/>
                <w:szCs w:val="19"/>
                <w:b w:val="1"/>
                <w:bCs w:val="1"/>
                <w:color w:val="auto"/>
              </w:rPr>
              <w:t>Title:</w:t>
            </w:r>
          </w:p>
        </w:tc>
        <w:tc>
          <w:tcPr>
            <w:tcW w:w="5280" w:type="dxa"/>
            <w:vAlign w:val="bottom"/>
            <w:gridSpan w:val="10"/>
          </w:tcPr>
          <w:p>
            <w:pPr>
              <w:ind w:left="60"/>
              <w:spacing w:after="0"/>
              <w:rPr>
                <w:sz w:val="20"/>
                <w:szCs w:val="20"/>
                <w:color w:val="auto"/>
              </w:rPr>
            </w:pPr>
            <w:r>
              <w:rPr>
                <w:rFonts w:ascii="Arial" w:cs="Arial" w:eastAsia="Arial" w:hAnsi="Arial"/>
                <w:sz w:val="19"/>
                <w:szCs w:val="19"/>
                <w:b w:val="1"/>
                <w:bCs w:val="1"/>
                <w:color w:val="auto"/>
              </w:rPr>
              <w:t>Chief Executive Officer</w:t>
            </w:r>
          </w:p>
        </w:tc>
        <w:tc>
          <w:tcPr>
            <w:tcW w:w="40" w:type="dxa"/>
            <w:vAlign w:val="bottom"/>
          </w:tcPr>
          <w:p>
            <w:pPr>
              <w:spacing w:after="0"/>
              <w:rPr>
                <w:sz w:val="24"/>
                <w:szCs w:val="24"/>
                <w:color w:val="auto"/>
              </w:rPr>
            </w:pPr>
          </w:p>
        </w:tc>
      </w:tr>
      <w:tr>
        <w:trPr>
          <w:trHeight w:val="417"/>
        </w:trPr>
        <w:tc>
          <w:tcPr>
            <w:tcW w:w="580" w:type="dxa"/>
            <w:vAlign w:val="bottom"/>
          </w:tcPr>
          <w:p>
            <w:pPr>
              <w:spacing w:after="0"/>
              <w:rPr>
                <w:sz w:val="20"/>
                <w:szCs w:val="20"/>
                <w:color w:val="auto"/>
              </w:rPr>
            </w:pPr>
            <w:r>
              <w:rPr>
                <w:rFonts w:ascii="Arial" w:cs="Arial" w:eastAsia="Arial" w:hAnsi="Arial"/>
                <w:sz w:val="19"/>
                <w:szCs w:val="19"/>
                <w:b w:val="1"/>
                <w:bCs w:val="1"/>
                <w:color w:val="auto"/>
              </w:rPr>
              <w:t>Date:</w:t>
            </w:r>
          </w:p>
        </w:tc>
        <w:tc>
          <w:tcPr>
            <w:tcW w:w="200" w:type="dxa"/>
            <w:vAlign w:val="bottom"/>
          </w:tcPr>
          <w:p>
            <w:pPr>
              <w:spacing w:after="0"/>
              <w:rPr>
                <w:sz w:val="24"/>
                <w:szCs w:val="24"/>
                <w:color w:val="auto"/>
              </w:rPr>
            </w:pPr>
          </w:p>
        </w:tc>
        <w:tc>
          <w:tcPr>
            <w:tcW w:w="1520" w:type="dxa"/>
            <w:vAlign w:val="bottom"/>
            <w:tcBorders>
              <w:top w:val="single" w:sz="8" w:color="auto"/>
            </w:tcBorders>
            <w:gridSpan w:val="5"/>
          </w:tcPr>
          <w:p>
            <w:pPr>
              <w:spacing w:after="0"/>
              <w:rPr>
                <w:sz w:val="20"/>
                <w:szCs w:val="20"/>
                <w:color w:val="auto"/>
              </w:rPr>
            </w:pPr>
            <w:r>
              <w:rPr>
                <w:rFonts w:ascii="Arial" w:cs="Arial" w:eastAsia="Arial" w:hAnsi="Arial"/>
                <w:sz w:val="19"/>
                <w:szCs w:val="19"/>
                <w:b w:val="1"/>
                <w:bCs w:val="1"/>
                <w:color w:val="auto"/>
                <w:w w:val="87"/>
              </w:rPr>
              <w:t>December 30, 2020</w:t>
            </w:r>
          </w:p>
        </w:tc>
        <w:tc>
          <w:tcPr>
            <w:tcW w:w="260" w:type="dxa"/>
            <w:vAlign w:val="bottom"/>
            <w:tcBorders>
              <w:top w:val="single" w:sz="8" w:color="auto"/>
            </w:tcBorders>
            <w:gridSpan w:val="2"/>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ind w:left="860"/>
              <w:spacing w:after="0"/>
              <w:rPr>
                <w:sz w:val="20"/>
                <w:szCs w:val="20"/>
                <w:color w:val="auto"/>
              </w:rPr>
            </w:pPr>
            <w:r>
              <w:rPr>
                <w:rFonts w:ascii="Arial" w:cs="Arial" w:eastAsia="Arial" w:hAnsi="Arial"/>
                <w:sz w:val="19"/>
                <w:szCs w:val="19"/>
                <w:b w:val="1"/>
                <w:bCs w:val="1"/>
                <w:color w:val="auto"/>
              </w:rPr>
              <w:t>Date:</w:t>
            </w:r>
          </w:p>
        </w:tc>
        <w:tc>
          <w:tcPr>
            <w:tcW w:w="200" w:type="dxa"/>
            <w:vAlign w:val="bottom"/>
          </w:tcPr>
          <w:p>
            <w:pPr>
              <w:spacing w:after="0"/>
              <w:rPr>
                <w:sz w:val="24"/>
                <w:szCs w:val="24"/>
                <w:color w:val="auto"/>
              </w:rPr>
            </w:pPr>
          </w:p>
        </w:tc>
        <w:tc>
          <w:tcPr>
            <w:tcW w:w="1740" w:type="dxa"/>
            <w:vAlign w:val="bottom"/>
            <w:tcBorders>
              <w:top w:val="single" w:sz="8" w:color="auto"/>
            </w:tcBorders>
            <w:gridSpan w:val="7"/>
          </w:tcPr>
          <w:p>
            <w:pPr>
              <w:spacing w:after="0"/>
              <w:rPr>
                <w:sz w:val="20"/>
                <w:szCs w:val="20"/>
                <w:color w:val="auto"/>
              </w:rPr>
            </w:pPr>
            <w:r>
              <w:rPr>
                <w:rFonts w:ascii="Arial" w:cs="Arial" w:eastAsia="Arial" w:hAnsi="Arial"/>
                <w:sz w:val="19"/>
                <w:szCs w:val="19"/>
                <w:b w:val="1"/>
                <w:bCs w:val="1"/>
                <w:color w:val="auto"/>
              </w:rPr>
              <w:t>December 30, 2020</w:t>
            </w:r>
          </w:p>
        </w:tc>
        <w:tc>
          <w:tcPr>
            <w:tcW w:w="33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780" w:type="dxa"/>
            <w:vAlign w:val="bottom"/>
            <w:gridSpan w:val="2"/>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40" w:type="dxa"/>
            <w:vAlign w:val="bottom"/>
            <w:tcBorders>
              <w:right w:val="single" w:sz="8" w:color="auto"/>
            </w:tcBorders>
            <w:gridSpan w:val="2"/>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4"/>
        </w:trPr>
        <w:tc>
          <w:tcPr>
            <w:tcW w:w="2640" w:type="dxa"/>
            <w:vAlign w:val="bottom"/>
            <w:gridSpan w:val="10"/>
          </w:tcPr>
          <w:p>
            <w:pPr>
              <w:spacing w:after="0"/>
              <w:rPr>
                <w:sz w:val="20"/>
                <w:szCs w:val="20"/>
                <w:color w:val="auto"/>
              </w:rPr>
            </w:pPr>
            <w:r>
              <w:rPr>
                <w:rFonts w:ascii="Arial" w:cs="Arial" w:eastAsia="Arial" w:hAnsi="Arial"/>
                <w:sz w:val="19"/>
                <w:szCs w:val="19"/>
                <w:b w:val="1"/>
                <w:bCs w:val="1"/>
                <w:color w:val="auto"/>
              </w:rPr>
              <w:t>For and on behalf of</w:t>
            </w:r>
          </w:p>
        </w:tc>
        <w:tc>
          <w:tcPr>
            <w:tcW w:w="1880" w:type="dxa"/>
            <w:vAlign w:val="bottom"/>
          </w:tcPr>
          <w:p>
            <w:pPr>
              <w:spacing w:after="0"/>
              <w:rPr>
                <w:sz w:val="24"/>
                <w:szCs w:val="24"/>
                <w:color w:val="auto"/>
              </w:rPr>
            </w:pPr>
          </w:p>
        </w:tc>
        <w:tc>
          <w:tcPr>
            <w:tcW w:w="6720" w:type="dxa"/>
            <w:vAlign w:val="bottom"/>
            <w:gridSpan w:val="11"/>
          </w:tcPr>
          <w:p>
            <w:pPr>
              <w:ind w:left="860"/>
              <w:spacing w:after="0"/>
              <w:rPr>
                <w:sz w:val="20"/>
                <w:szCs w:val="20"/>
                <w:color w:val="auto"/>
              </w:rPr>
            </w:pPr>
            <w:r>
              <w:rPr>
                <w:rFonts w:ascii="Arial" w:cs="Arial" w:eastAsia="Arial" w:hAnsi="Arial"/>
                <w:sz w:val="19"/>
                <w:szCs w:val="19"/>
                <w:b w:val="1"/>
                <w:bCs w:val="1"/>
                <w:color w:val="auto"/>
              </w:rPr>
              <w:t>For and on behalf of</w:t>
            </w:r>
          </w:p>
        </w:tc>
        <w:tc>
          <w:tcPr>
            <w:tcW w:w="40" w:type="dxa"/>
            <w:vAlign w:val="bottom"/>
          </w:tcPr>
          <w:p>
            <w:pPr>
              <w:spacing w:after="0"/>
              <w:rPr>
                <w:sz w:val="24"/>
                <w:szCs w:val="24"/>
                <w:color w:val="auto"/>
              </w:rPr>
            </w:pPr>
          </w:p>
        </w:tc>
      </w:tr>
      <w:tr>
        <w:trPr>
          <w:trHeight w:val="246"/>
        </w:trPr>
        <w:tc>
          <w:tcPr>
            <w:tcW w:w="2640" w:type="dxa"/>
            <w:vAlign w:val="bottom"/>
            <w:gridSpan w:val="10"/>
          </w:tcPr>
          <w:p>
            <w:pPr>
              <w:spacing w:after="0"/>
              <w:rPr>
                <w:sz w:val="20"/>
                <w:szCs w:val="20"/>
                <w:color w:val="auto"/>
              </w:rPr>
            </w:pPr>
            <w:r>
              <w:rPr>
                <w:rFonts w:ascii="Arial" w:cs="Arial" w:eastAsia="Arial" w:hAnsi="Arial"/>
                <w:sz w:val="19"/>
                <w:szCs w:val="19"/>
                <w:b w:val="1"/>
                <w:bCs w:val="1"/>
                <w:color w:val="auto"/>
              </w:rPr>
              <w:t>Sandoz GmbH</w:t>
            </w:r>
          </w:p>
        </w:tc>
        <w:tc>
          <w:tcPr>
            <w:tcW w:w="1880" w:type="dxa"/>
            <w:vAlign w:val="bottom"/>
          </w:tcPr>
          <w:p>
            <w:pPr>
              <w:spacing w:after="0"/>
              <w:rPr>
                <w:sz w:val="21"/>
                <w:szCs w:val="21"/>
                <w:color w:val="auto"/>
              </w:rPr>
            </w:pPr>
          </w:p>
        </w:tc>
        <w:tc>
          <w:tcPr>
            <w:tcW w:w="6720" w:type="dxa"/>
            <w:vAlign w:val="bottom"/>
            <w:gridSpan w:val="11"/>
          </w:tcPr>
          <w:p>
            <w:pPr>
              <w:ind w:left="860"/>
              <w:spacing w:after="0"/>
              <w:rPr>
                <w:sz w:val="20"/>
                <w:szCs w:val="20"/>
                <w:color w:val="auto"/>
              </w:rPr>
            </w:pPr>
            <w:r>
              <w:rPr>
                <w:rFonts w:ascii="Arial" w:cs="Arial" w:eastAsia="Arial" w:hAnsi="Arial"/>
                <w:sz w:val="19"/>
                <w:szCs w:val="19"/>
                <w:b w:val="1"/>
                <w:bCs w:val="1"/>
                <w:color w:val="auto"/>
              </w:rPr>
              <w:t>Phathom Pharmaceuticals, Inc</w:t>
            </w:r>
          </w:p>
        </w:tc>
        <w:tc>
          <w:tcPr>
            <w:tcW w:w="40" w:type="dxa"/>
            <w:vAlign w:val="bottom"/>
          </w:tcPr>
          <w:p>
            <w:pPr>
              <w:spacing w:after="0"/>
              <w:rPr>
                <w:sz w:val="21"/>
                <w:szCs w:val="21"/>
                <w:color w:val="auto"/>
              </w:rPr>
            </w:pPr>
          </w:p>
        </w:tc>
      </w:tr>
      <w:tr>
        <w:trPr>
          <w:trHeight w:val="612"/>
        </w:trPr>
        <w:tc>
          <w:tcPr>
            <w:tcW w:w="2640" w:type="dxa"/>
            <w:vAlign w:val="bottom"/>
            <w:gridSpan w:val="10"/>
          </w:tcPr>
          <w:p>
            <w:pPr>
              <w:spacing w:after="0"/>
              <w:rPr>
                <w:sz w:val="20"/>
                <w:szCs w:val="20"/>
                <w:color w:val="auto"/>
              </w:rPr>
            </w:pPr>
            <w:r>
              <w:rPr>
                <w:rFonts w:ascii="Arial" w:cs="Arial" w:eastAsia="Arial" w:hAnsi="Arial"/>
                <w:sz w:val="19"/>
                <w:szCs w:val="19"/>
                <w:b w:val="1"/>
                <w:bCs w:val="1"/>
                <w:color w:val="auto"/>
                <w:w w:val="97"/>
              </w:rPr>
              <w:t>Signature: /s/ Eric Grünzinger</w:t>
            </w:r>
          </w:p>
        </w:tc>
        <w:tc>
          <w:tcPr>
            <w:tcW w:w="1880" w:type="dxa"/>
            <w:vAlign w:val="bottom"/>
          </w:tcPr>
          <w:p>
            <w:pPr>
              <w:spacing w:after="0"/>
              <w:rPr>
                <w:sz w:val="24"/>
                <w:szCs w:val="24"/>
                <w:color w:val="auto"/>
              </w:rPr>
            </w:pPr>
          </w:p>
        </w:tc>
        <w:tc>
          <w:tcPr>
            <w:tcW w:w="6720" w:type="dxa"/>
            <w:vAlign w:val="bottom"/>
            <w:gridSpan w:val="11"/>
          </w:tcPr>
          <w:p>
            <w:pPr>
              <w:ind w:left="860"/>
              <w:spacing w:after="0"/>
              <w:rPr>
                <w:sz w:val="20"/>
                <w:szCs w:val="20"/>
                <w:color w:val="auto"/>
              </w:rPr>
            </w:pPr>
            <w:r>
              <w:rPr>
                <w:rFonts w:ascii="Arial" w:cs="Arial" w:eastAsia="Arial" w:hAnsi="Arial"/>
                <w:sz w:val="19"/>
                <w:szCs w:val="19"/>
                <w:b w:val="1"/>
                <w:bCs w:val="1"/>
                <w:color w:val="auto"/>
              </w:rPr>
              <w:t>Signature: /s/ Azmi Nabulsi</w:t>
            </w: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7"/>
        </w:trPr>
        <w:tc>
          <w:tcPr>
            <w:tcW w:w="580" w:type="dxa"/>
            <w:vAlign w:val="bottom"/>
          </w:tcPr>
          <w:p>
            <w:pPr>
              <w:spacing w:after="0"/>
              <w:rPr>
                <w:sz w:val="20"/>
                <w:szCs w:val="20"/>
                <w:color w:val="auto"/>
              </w:rPr>
            </w:pPr>
            <w:r>
              <w:rPr>
                <w:rFonts w:ascii="Arial" w:cs="Arial" w:eastAsia="Arial" w:hAnsi="Arial"/>
                <w:sz w:val="19"/>
                <w:szCs w:val="19"/>
                <w:b w:val="1"/>
                <w:bCs w:val="1"/>
                <w:color w:val="auto"/>
                <w:w w:val="96"/>
              </w:rPr>
              <w:t>Name:</w:t>
            </w:r>
          </w:p>
        </w:tc>
        <w:tc>
          <w:tcPr>
            <w:tcW w:w="20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Arial" w:cs="Arial" w:eastAsia="Arial" w:hAnsi="Arial"/>
                <w:sz w:val="19"/>
                <w:szCs w:val="19"/>
                <w:b w:val="1"/>
                <w:bCs w:val="1"/>
                <w:color w:val="auto"/>
                <w:w w:val="88"/>
              </w:rPr>
              <w:t>Eric Grünzinger</w:t>
            </w:r>
          </w:p>
        </w:tc>
        <w:tc>
          <w:tcPr>
            <w:tcW w:w="580" w:type="dxa"/>
            <w:vAlign w:val="bottom"/>
            <w:gridSpan w:val="4"/>
          </w:tcPr>
          <w:p>
            <w:pPr>
              <w:spacing w:after="0"/>
              <w:rPr>
                <w:sz w:val="24"/>
                <w:szCs w:val="24"/>
                <w:color w:val="auto"/>
              </w:rPr>
            </w:pPr>
          </w:p>
        </w:tc>
        <w:tc>
          <w:tcPr>
            <w:tcW w:w="1880" w:type="dxa"/>
            <w:vAlign w:val="bottom"/>
          </w:tcPr>
          <w:p>
            <w:pPr>
              <w:spacing w:after="0"/>
              <w:rPr>
                <w:sz w:val="24"/>
                <w:szCs w:val="24"/>
                <w:color w:val="auto"/>
              </w:rPr>
            </w:pPr>
          </w:p>
        </w:tc>
        <w:tc>
          <w:tcPr>
            <w:tcW w:w="1440" w:type="dxa"/>
            <w:vAlign w:val="bottom"/>
          </w:tcPr>
          <w:p>
            <w:pPr>
              <w:ind w:left="860"/>
              <w:spacing w:after="0"/>
              <w:rPr>
                <w:sz w:val="20"/>
                <w:szCs w:val="20"/>
                <w:color w:val="auto"/>
              </w:rPr>
            </w:pPr>
            <w:r>
              <w:rPr>
                <w:rFonts w:ascii="Arial" w:cs="Arial" w:eastAsia="Arial" w:hAnsi="Arial"/>
                <w:sz w:val="19"/>
                <w:szCs w:val="19"/>
                <w:b w:val="1"/>
                <w:bCs w:val="1"/>
                <w:color w:val="auto"/>
                <w:w w:val="96"/>
              </w:rPr>
              <w:t>Name:</w:t>
            </w:r>
          </w:p>
        </w:tc>
        <w:tc>
          <w:tcPr>
            <w:tcW w:w="200" w:type="dxa"/>
            <w:vAlign w:val="bottom"/>
          </w:tcPr>
          <w:p>
            <w:pPr>
              <w:spacing w:after="0"/>
              <w:rPr>
                <w:sz w:val="24"/>
                <w:szCs w:val="24"/>
                <w:color w:val="auto"/>
              </w:rPr>
            </w:pPr>
          </w:p>
        </w:tc>
        <w:tc>
          <w:tcPr>
            <w:tcW w:w="5080" w:type="dxa"/>
            <w:vAlign w:val="bottom"/>
            <w:gridSpan w:val="9"/>
          </w:tcPr>
          <w:p>
            <w:pPr>
              <w:spacing w:after="0"/>
              <w:rPr>
                <w:sz w:val="20"/>
                <w:szCs w:val="20"/>
                <w:color w:val="auto"/>
              </w:rPr>
            </w:pPr>
            <w:r>
              <w:rPr>
                <w:rFonts w:ascii="Arial" w:cs="Arial" w:eastAsia="Arial" w:hAnsi="Arial"/>
                <w:sz w:val="19"/>
                <w:szCs w:val="19"/>
                <w:b w:val="1"/>
                <w:bCs w:val="1"/>
                <w:color w:val="auto"/>
              </w:rPr>
              <w:t>Azmi Nabulsi</w:t>
            </w:r>
          </w:p>
        </w:tc>
        <w:tc>
          <w:tcPr>
            <w:tcW w:w="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7"/>
        </w:trPr>
        <w:tc>
          <w:tcPr>
            <w:tcW w:w="580" w:type="dxa"/>
            <w:vAlign w:val="bottom"/>
          </w:tcPr>
          <w:p>
            <w:pPr>
              <w:spacing w:after="0"/>
              <w:rPr>
                <w:sz w:val="20"/>
                <w:szCs w:val="20"/>
                <w:color w:val="auto"/>
              </w:rPr>
            </w:pPr>
            <w:r>
              <w:rPr>
                <w:rFonts w:ascii="Arial" w:cs="Arial" w:eastAsia="Arial" w:hAnsi="Arial"/>
                <w:sz w:val="19"/>
                <w:szCs w:val="19"/>
                <w:b w:val="1"/>
                <w:bCs w:val="1"/>
                <w:color w:val="auto"/>
              </w:rPr>
              <w:t>Title:</w:t>
            </w:r>
          </w:p>
        </w:tc>
        <w:tc>
          <w:tcPr>
            <w:tcW w:w="3940" w:type="dxa"/>
            <w:vAlign w:val="bottom"/>
            <w:gridSpan w:val="10"/>
          </w:tcPr>
          <w:p>
            <w:pPr>
              <w:ind w:left="40"/>
              <w:spacing w:after="0"/>
              <w:rPr>
                <w:sz w:val="20"/>
                <w:szCs w:val="20"/>
                <w:color w:val="auto"/>
              </w:rPr>
            </w:pPr>
            <w:r>
              <w:rPr>
                <w:rFonts w:ascii="Arial" w:cs="Arial" w:eastAsia="Arial" w:hAnsi="Arial"/>
                <w:sz w:val="19"/>
                <w:szCs w:val="19"/>
                <w:b w:val="1"/>
                <w:bCs w:val="1"/>
                <w:color w:val="auto"/>
              </w:rPr>
              <w:t>Director Business Partnering</w:t>
            </w:r>
          </w:p>
        </w:tc>
        <w:tc>
          <w:tcPr>
            <w:tcW w:w="1440" w:type="dxa"/>
            <w:vAlign w:val="bottom"/>
          </w:tcPr>
          <w:p>
            <w:pPr>
              <w:ind w:left="860"/>
              <w:spacing w:after="0"/>
              <w:rPr>
                <w:sz w:val="20"/>
                <w:szCs w:val="20"/>
                <w:color w:val="auto"/>
              </w:rPr>
            </w:pPr>
            <w:r>
              <w:rPr>
                <w:rFonts w:ascii="Arial" w:cs="Arial" w:eastAsia="Arial" w:hAnsi="Arial"/>
                <w:sz w:val="19"/>
                <w:szCs w:val="19"/>
                <w:b w:val="1"/>
                <w:bCs w:val="1"/>
                <w:color w:val="auto"/>
              </w:rPr>
              <w:t>Title:</w:t>
            </w:r>
          </w:p>
        </w:tc>
        <w:tc>
          <w:tcPr>
            <w:tcW w:w="200" w:type="dxa"/>
            <w:vAlign w:val="bottom"/>
          </w:tcPr>
          <w:p>
            <w:pPr>
              <w:spacing w:after="0"/>
              <w:rPr>
                <w:sz w:val="24"/>
                <w:szCs w:val="24"/>
                <w:color w:val="auto"/>
              </w:rPr>
            </w:pPr>
          </w:p>
        </w:tc>
        <w:tc>
          <w:tcPr>
            <w:tcW w:w="5080" w:type="dxa"/>
            <w:vAlign w:val="bottom"/>
            <w:gridSpan w:val="9"/>
          </w:tcPr>
          <w:p>
            <w:pPr>
              <w:spacing w:after="0"/>
              <w:rPr>
                <w:sz w:val="20"/>
                <w:szCs w:val="20"/>
                <w:color w:val="auto"/>
              </w:rPr>
            </w:pPr>
            <w:r>
              <w:rPr>
                <w:rFonts w:ascii="Arial" w:cs="Arial" w:eastAsia="Arial" w:hAnsi="Arial"/>
                <w:sz w:val="19"/>
                <w:szCs w:val="19"/>
                <w:b w:val="1"/>
                <w:bCs w:val="1"/>
                <w:color w:val="auto"/>
              </w:rPr>
              <w:t>Chief Operating Officer</w:t>
            </w:r>
          </w:p>
        </w:tc>
        <w:tc>
          <w:tcPr>
            <w:tcW w:w="40" w:type="dxa"/>
            <w:vAlign w:val="bottom"/>
          </w:tcPr>
          <w:p>
            <w:pPr>
              <w:spacing w:after="0"/>
              <w:rPr>
                <w:sz w:val="24"/>
                <w:szCs w:val="24"/>
                <w:color w:val="auto"/>
              </w:rPr>
            </w:pPr>
          </w:p>
        </w:tc>
      </w:tr>
      <w:tr>
        <w:trPr>
          <w:trHeight w:val="198"/>
        </w:trPr>
        <w:tc>
          <w:tcPr>
            <w:tcW w:w="940" w:type="dxa"/>
            <w:vAlign w:val="bottom"/>
            <w:tcBorders>
              <w:bottom w:val="single" w:sz="8" w:color="auto"/>
            </w:tcBorders>
            <w:gridSpan w:val="3"/>
          </w:tcPr>
          <w:p>
            <w:pPr>
              <w:spacing w:after="0" w:line="198" w:lineRule="exact"/>
              <w:rPr>
                <w:sz w:val="20"/>
                <w:szCs w:val="20"/>
                <w:color w:val="auto"/>
              </w:rPr>
            </w:pPr>
            <w:r>
              <w:rPr>
                <w:rFonts w:ascii="Arial" w:cs="Arial" w:eastAsia="Arial" w:hAnsi="Arial"/>
                <w:sz w:val="19"/>
                <w:szCs w:val="19"/>
                <w:b w:val="1"/>
                <w:bCs w:val="1"/>
                <w:color w:val="auto"/>
                <w:w w:val="87"/>
              </w:rPr>
              <w:t>Global B2B</w:t>
            </w:r>
          </w:p>
        </w:tc>
        <w:tc>
          <w:tcPr>
            <w:tcW w:w="1700" w:type="dxa"/>
            <w:vAlign w:val="bottom"/>
            <w:gridSpan w:val="7"/>
          </w:tcPr>
          <w:p>
            <w:pPr>
              <w:spacing w:after="0"/>
              <w:rPr>
                <w:sz w:val="17"/>
                <w:szCs w:val="17"/>
                <w:color w:val="auto"/>
              </w:rPr>
            </w:pPr>
          </w:p>
        </w:tc>
        <w:tc>
          <w:tcPr>
            <w:tcW w:w="18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17"/>
        </w:trPr>
        <w:tc>
          <w:tcPr>
            <w:tcW w:w="580" w:type="dxa"/>
            <w:vAlign w:val="bottom"/>
          </w:tcPr>
          <w:p>
            <w:pPr>
              <w:spacing w:after="0"/>
              <w:rPr>
                <w:sz w:val="20"/>
                <w:szCs w:val="20"/>
                <w:color w:val="auto"/>
              </w:rPr>
            </w:pPr>
            <w:r>
              <w:rPr>
                <w:rFonts w:ascii="Arial" w:cs="Arial" w:eastAsia="Arial" w:hAnsi="Arial"/>
                <w:sz w:val="19"/>
                <w:szCs w:val="19"/>
                <w:b w:val="1"/>
                <w:bCs w:val="1"/>
                <w:color w:val="auto"/>
              </w:rPr>
              <w:t>Date:</w:t>
            </w:r>
          </w:p>
        </w:tc>
        <w:tc>
          <w:tcPr>
            <w:tcW w:w="200" w:type="dxa"/>
            <w:vAlign w:val="bottom"/>
          </w:tcPr>
          <w:p>
            <w:pPr>
              <w:spacing w:after="0"/>
              <w:rPr>
                <w:sz w:val="24"/>
                <w:szCs w:val="24"/>
                <w:color w:val="auto"/>
              </w:rPr>
            </w:pPr>
          </w:p>
        </w:tc>
        <w:tc>
          <w:tcPr>
            <w:tcW w:w="1860" w:type="dxa"/>
            <w:vAlign w:val="bottom"/>
            <w:gridSpan w:val="8"/>
          </w:tcPr>
          <w:p>
            <w:pPr>
              <w:spacing w:after="0"/>
              <w:rPr>
                <w:sz w:val="20"/>
                <w:szCs w:val="20"/>
                <w:color w:val="auto"/>
              </w:rPr>
            </w:pPr>
            <w:r>
              <w:rPr>
                <w:rFonts w:ascii="Arial" w:cs="Arial" w:eastAsia="Arial" w:hAnsi="Arial"/>
                <w:sz w:val="19"/>
                <w:szCs w:val="19"/>
                <w:b w:val="1"/>
                <w:bCs w:val="1"/>
                <w:color w:val="auto"/>
              </w:rPr>
              <w:t>December 30, 2020</w:t>
            </w:r>
          </w:p>
        </w:tc>
        <w:tc>
          <w:tcPr>
            <w:tcW w:w="1880" w:type="dxa"/>
            <w:vAlign w:val="bottom"/>
          </w:tcPr>
          <w:p>
            <w:pPr>
              <w:spacing w:after="0"/>
              <w:rPr>
                <w:sz w:val="24"/>
                <w:szCs w:val="24"/>
                <w:color w:val="auto"/>
              </w:rPr>
            </w:pPr>
          </w:p>
        </w:tc>
        <w:tc>
          <w:tcPr>
            <w:tcW w:w="1440" w:type="dxa"/>
            <w:vAlign w:val="bottom"/>
          </w:tcPr>
          <w:p>
            <w:pPr>
              <w:ind w:left="860"/>
              <w:spacing w:after="0"/>
              <w:rPr>
                <w:sz w:val="20"/>
                <w:szCs w:val="20"/>
                <w:color w:val="auto"/>
              </w:rPr>
            </w:pPr>
            <w:r>
              <w:rPr>
                <w:rFonts w:ascii="Arial" w:cs="Arial" w:eastAsia="Arial" w:hAnsi="Arial"/>
                <w:sz w:val="19"/>
                <w:szCs w:val="19"/>
                <w:b w:val="1"/>
                <w:bCs w:val="1"/>
                <w:color w:val="auto"/>
              </w:rPr>
              <w:t>Date:</w:t>
            </w:r>
          </w:p>
        </w:tc>
        <w:tc>
          <w:tcPr>
            <w:tcW w:w="200" w:type="dxa"/>
            <w:vAlign w:val="bottom"/>
          </w:tcPr>
          <w:p>
            <w:pPr>
              <w:spacing w:after="0"/>
              <w:rPr>
                <w:sz w:val="24"/>
                <w:szCs w:val="24"/>
                <w:color w:val="auto"/>
              </w:rPr>
            </w:pPr>
          </w:p>
        </w:tc>
        <w:tc>
          <w:tcPr>
            <w:tcW w:w="5080" w:type="dxa"/>
            <w:vAlign w:val="bottom"/>
            <w:gridSpan w:val="9"/>
          </w:tcPr>
          <w:p>
            <w:pPr>
              <w:spacing w:after="0"/>
              <w:rPr>
                <w:sz w:val="20"/>
                <w:szCs w:val="20"/>
                <w:color w:val="auto"/>
              </w:rPr>
            </w:pPr>
            <w:r>
              <w:rPr>
                <w:rFonts w:ascii="Arial" w:cs="Arial" w:eastAsia="Arial" w:hAnsi="Arial"/>
                <w:sz w:val="19"/>
                <w:szCs w:val="19"/>
                <w:b w:val="1"/>
                <w:bCs w:val="1"/>
                <w:color w:val="auto"/>
              </w:rPr>
              <w:t>December 30, 2020</w:t>
            </w:r>
          </w:p>
        </w:tc>
        <w:tc>
          <w:tcPr>
            <w:tcW w:w="40" w:type="dxa"/>
            <w:vAlign w:val="bottom"/>
          </w:tcPr>
          <w:p>
            <w:pPr>
              <w:spacing w:after="0"/>
              <w:rPr>
                <w:sz w:val="24"/>
                <w:szCs w:val="24"/>
                <w:color w:val="auto"/>
              </w:rPr>
            </w:pPr>
          </w:p>
        </w:tc>
      </w:tr>
      <w:tr>
        <w:trPr>
          <w:trHeight w:val="443"/>
        </w:trPr>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2640" w:type="dxa"/>
            <w:vAlign w:val="bottom"/>
            <w:gridSpan w:val="10"/>
          </w:tcPr>
          <w:p>
            <w:pPr>
              <w:spacing w:after="0"/>
              <w:rPr>
                <w:sz w:val="20"/>
                <w:szCs w:val="20"/>
                <w:color w:val="auto"/>
              </w:rPr>
            </w:pPr>
            <w:r>
              <w:rPr>
                <w:rFonts w:ascii="Arial" w:cs="Arial" w:eastAsia="Arial" w:hAnsi="Arial"/>
                <w:sz w:val="17"/>
                <w:szCs w:val="17"/>
                <w:color w:val="auto"/>
              </w:rPr>
              <w:t>Execution Version 2020/12/30</w:t>
            </w:r>
          </w:p>
        </w:tc>
        <w:tc>
          <w:tcPr>
            <w:tcW w:w="1880" w:type="dxa"/>
            <w:vAlign w:val="bottom"/>
          </w:tcPr>
          <w:p>
            <w:pPr>
              <w:ind w:left="60"/>
              <w:spacing w:after="0"/>
              <w:rPr>
                <w:sz w:val="20"/>
                <w:szCs w:val="20"/>
                <w:color w:val="auto"/>
              </w:rPr>
            </w:pPr>
            <w:r>
              <w:rPr>
                <w:rFonts w:ascii="Arial" w:cs="Arial" w:eastAsia="Arial" w:hAnsi="Arial"/>
                <w:sz w:val="17"/>
                <w:szCs w:val="17"/>
                <w:color w:val="auto"/>
              </w:rPr>
              <w:t>Page 18 of 27</w:t>
            </w: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10"/>
        </w:trPr>
        <w:tc>
          <w:tcPr>
            <w:tcW w:w="5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7136130</wp:posOffset>
            </wp:positionH>
            <wp:positionV relativeFrom="paragraph">
              <wp:posOffset>-28575</wp:posOffset>
            </wp:positionV>
            <wp:extent cx="33655"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80"/>
          </w:cols>
          <w:pgMar w:left="320" w:top="322" w:right="29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9"/>
          <w:szCs w:val="19"/>
          <w:b w:val="1"/>
          <w:bCs w:val="1"/>
          <w:u w:val="single" w:color="auto"/>
          <w:color w:val="auto"/>
        </w:rPr>
        <w:t>Annex 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DEFINITIONS AND INTERPRETATION</w:t>
      </w:r>
    </w:p>
    <w:p>
      <w:pPr>
        <w:spacing w:after="0" w:line="218" w:lineRule="exact"/>
        <w:rPr>
          <w:sz w:val="20"/>
          <w:szCs w:val="20"/>
          <w:color w:val="auto"/>
        </w:rPr>
      </w:pPr>
    </w:p>
    <w:p>
      <w:pPr>
        <w:ind w:left="880" w:hanging="877"/>
        <w:spacing w:after="0"/>
        <w:tabs>
          <w:tab w:leader="none" w:pos="880" w:val="left"/>
        </w:tabs>
        <w:numPr>
          <w:ilvl w:val="0"/>
          <w:numId w:val="93"/>
        </w:numPr>
        <w:rPr>
          <w:rFonts w:ascii="Arial" w:cs="Arial" w:eastAsia="Arial" w:hAnsi="Arial"/>
          <w:sz w:val="19"/>
          <w:szCs w:val="19"/>
          <w:b w:val="1"/>
          <w:bCs w:val="1"/>
          <w:color w:val="auto"/>
        </w:rPr>
      </w:pPr>
      <w:r>
        <w:rPr>
          <w:rFonts w:ascii="Arial" w:cs="Arial" w:eastAsia="Arial" w:hAnsi="Arial"/>
          <w:sz w:val="19"/>
          <w:szCs w:val="19"/>
          <w:b w:val="1"/>
          <w:bCs w:val="1"/>
          <w:color w:val="auto"/>
        </w:rPr>
        <w:t>Defined Terms</w:t>
      </w:r>
    </w:p>
    <w:p>
      <w:pPr>
        <w:spacing w:after="0" w:line="108" w:lineRule="exact"/>
        <w:rPr>
          <w:rFonts w:ascii="Arial" w:cs="Arial" w:eastAsia="Arial" w:hAnsi="Arial"/>
          <w:sz w:val="19"/>
          <w:szCs w:val="19"/>
          <w:b w:val="1"/>
          <w:bCs w:val="1"/>
          <w:color w:val="auto"/>
        </w:rPr>
      </w:pPr>
    </w:p>
    <w:p>
      <w:pPr>
        <w:ind w:left="900"/>
        <w:spacing w:after="0" w:line="263" w:lineRule="auto"/>
        <w:rPr>
          <w:rFonts w:ascii="Arial" w:cs="Arial" w:eastAsia="Arial" w:hAnsi="Arial"/>
          <w:sz w:val="19"/>
          <w:szCs w:val="19"/>
          <w:b w:val="1"/>
          <w:bCs w:val="1"/>
          <w:color w:val="auto"/>
        </w:rPr>
      </w:pPr>
      <w:r>
        <w:rPr>
          <w:rFonts w:ascii="Arial" w:cs="Arial" w:eastAsia="Arial" w:hAnsi="Arial"/>
          <w:sz w:val="19"/>
          <w:szCs w:val="19"/>
          <w:color w:val="auto"/>
        </w:rPr>
        <w:t>The following terms shall, unless the context otherwise requires, have the respective meanings set out below and grammatical variations of such terms shall have corresponding meanings:</w:t>
      </w:r>
    </w:p>
    <w:p>
      <w:pPr>
        <w:spacing w:after="0" w:line="54" w:lineRule="exact"/>
        <w:rPr>
          <w:rFonts w:ascii="Arial" w:cs="Arial" w:eastAsia="Arial" w:hAnsi="Arial"/>
          <w:sz w:val="19"/>
          <w:szCs w:val="19"/>
          <w:b w:val="1"/>
          <w:bCs w:val="1"/>
          <w:color w:val="auto"/>
        </w:rPr>
      </w:pPr>
    </w:p>
    <w:p>
      <w:pPr>
        <w:ind w:left="880"/>
        <w:spacing w:after="0" w:line="269" w:lineRule="auto"/>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“Additional Product” </w:t>
      </w:r>
      <w:r>
        <w:rPr>
          <w:rFonts w:ascii="Arial" w:cs="Arial" w:eastAsia="Arial" w:hAnsi="Arial"/>
          <w:sz w:val="19"/>
          <w:szCs w:val="19"/>
          <w:color w:val="auto"/>
        </w:rPr>
        <w:t>means a pharmaceutical product in final packaged form (including with package leaflet and instructions for use)</w:t>
      </w:r>
      <w:r>
        <w:rPr>
          <w:rFonts w:ascii="Arial" w:cs="Arial" w:eastAsia="Arial" w:hAnsi="Arial"/>
          <w:sz w:val="19"/>
          <w:szCs w:val="19"/>
          <w:b w:val="1"/>
          <w:bCs w:val="1"/>
          <w:color w:val="auto"/>
        </w:rPr>
        <w:t xml:space="preserve"> </w:t>
      </w:r>
      <w:r>
        <w:rPr>
          <w:rFonts w:ascii="Arial" w:cs="Arial" w:eastAsia="Arial" w:hAnsi="Arial"/>
          <w:sz w:val="19"/>
          <w:szCs w:val="19"/>
          <w:color w:val="auto"/>
        </w:rPr>
        <w:t>containing [***].</w:t>
      </w:r>
    </w:p>
    <w:p>
      <w:pPr>
        <w:spacing w:after="0" w:line="49" w:lineRule="exact"/>
        <w:rPr>
          <w:rFonts w:ascii="Arial" w:cs="Arial" w:eastAsia="Arial" w:hAnsi="Arial"/>
          <w:sz w:val="19"/>
          <w:szCs w:val="19"/>
          <w:b w:val="1"/>
          <w:bCs w:val="1"/>
          <w:color w:val="auto"/>
        </w:rPr>
      </w:pPr>
    </w:p>
    <w:p>
      <w:pPr>
        <w:jc w:val="both"/>
        <w:ind w:left="880"/>
        <w:spacing w:after="0" w:line="249" w:lineRule="auto"/>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any corporation or other business entity which, directly or indirectly, is controlled by, controls, or is under common control with Customer or Supplier as the case may be. For such purposes, “Control” shall mean the direct or indirect ownership of at least fifty percent (50%) of the voting interest in such corporation or other entity or the power in fact to control the management directions of such entity.</w:t>
      </w:r>
    </w:p>
    <w:p>
      <w:pPr>
        <w:spacing w:after="0" w:line="69" w:lineRule="exact"/>
        <w:rPr>
          <w:rFonts w:ascii="Arial" w:cs="Arial" w:eastAsia="Arial" w:hAnsi="Arial"/>
          <w:sz w:val="19"/>
          <w:szCs w:val="19"/>
          <w:b w:val="1"/>
          <w:bCs w:val="1"/>
          <w:color w:val="auto"/>
        </w:rPr>
      </w:pPr>
    </w:p>
    <w:p>
      <w:pPr>
        <w:ind w:left="880" w:right="5120"/>
        <w:spacing w:after="0" w:line="352" w:lineRule="auto"/>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means this Supply and Packaging Services Agreement. “</w:t>
      </w:r>
      <w:r>
        <w:rPr>
          <w:rFonts w:ascii="Arial" w:cs="Arial" w:eastAsia="Arial" w:hAnsi="Arial"/>
          <w:sz w:val="19"/>
          <w:szCs w:val="19"/>
          <w:b w:val="1"/>
          <w:bCs w:val="1"/>
          <w:color w:val="auto"/>
        </w:rPr>
        <w:t>Annex</w:t>
      </w:r>
      <w:r>
        <w:rPr>
          <w:rFonts w:ascii="Arial" w:cs="Arial" w:eastAsia="Arial" w:hAnsi="Arial"/>
          <w:sz w:val="19"/>
          <w:szCs w:val="19"/>
          <w:color w:val="auto"/>
        </w:rPr>
        <w:t>” means an annex to this Agreement.</w:t>
      </w:r>
    </w:p>
    <w:p>
      <w:pPr>
        <w:spacing w:after="0" w:line="1" w:lineRule="exact"/>
        <w:rPr>
          <w:rFonts w:ascii="Arial" w:cs="Arial" w:eastAsia="Arial" w:hAnsi="Arial"/>
          <w:sz w:val="19"/>
          <w:szCs w:val="19"/>
          <w:b w:val="1"/>
          <w:bCs w:val="1"/>
          <w:color w:val="auto"/>
        </w:rPr>
      </w:pPr>
    </w:p>
    <w:p>
      <w:pPr>
        <w:ind w:left="880" w:right="840"/>
        <w:spacing w:after="0" w:line="352" w:lineRule="auto"/>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color w:val="auto"/>
        </w:rPr>
        <w:t>Apparent Defect</w:t>
      </w:r>
      <w:r>
        <w:rPr>
          <w:rFonts w:ascii="Arial" w:cs="Arial" w:eastAsia="Arial" w:hAnsi="Arial"/>
          <w:sz w:val="19"/>
          <w:szCs w:val="19"/>
          <w:color w:val="auto"/>
        </w:rPr>
        <w:t>” means any Defect which is visible or easily detectible through routine incoming quality control measures. “</w:t>
      </w:r>
      <w:r>
        <w:rPr>
          <w:rFonts w:ascii="Arial" w:cs="Arial" w:eastAsia="Arial" w:hAnsi="Arial"/>
          <w:sz w:val="19"/>
          <w:szCs w:val="19"/>
          <w:b w:val="1"/>
          <w:bCs w:val="1"/>
          <w:color w:val="auto"/>
        </w:rPr>
        <w:t>Background Intellectual Property</w:t>
      </w:r>
      <w:r>
        <w:rPr>
          <w:rFonts w:ascii="Arial" w:cs="Arial" w:eastAsia="Arial" w:hAnsi="Arial"/>
          <w:sz w:val="19"/>
          <w:szCs w:val="19"/>
          <w:color w:val="auto"/>
        </w:rPr>
        <w:t>” has the meaning in Clause 7.1.</w:t>
      </w:r>
    </w:p>
    <w:p>
      <w:pPr>
        <w:spacing w:after="0" w:line="1" w:lineRule="exact"/>
        <w:rPr>
          <w:rFonts w:ascii="Arial" w:cs="Arial" w:eastAsia="Arial" w:hAnsi="Arial"/>
          <w:sz w:val="19"/>
          <w:szCs w:val="19"/>
          <w:b w:val="1"/>
          <w:bCs w:val="1"/>
          <w:color w:val="auto"/>
        </w:rPr>
      </w:pPr>
    </w:p>
    <w:p>
      <w:pPr>
        <w:ind w:left="880"/>
        <w:spacing w:after="0" w:line="298" w:lineRule="auto"/>
        <w:rPr>
          <w:rFonts w:ascii="Arial" w:cs="Arial" w:eastAsia="Arial" w:hAnsi="Arial"/>
          <w:sz w:val="19"/>
          <w:szCs w:val="19"/>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Batch</w:t>
      </w:r>
      <w:r>
        <w:rPr>
          <w:rFonts w:ascii="Arial" w:cs="Arial" w:eastAsia="Arial" w:hAnsi="Arial"/>
          <w:sz w:val="18"/>
          <w:szCs w:val="18"/>
          <w:color w:val="auto"/>
        </w:rPr>
        <w:t>” means a defined quantity of Final Products, Bulk Products, Customer Supplied Materials or any other materials used for the Packaging Services, processed in one process or series of processes, so that it could be expected to be homogeneous.</w:t>
      </w:r>
    </w:p>
    <w:p>
      <w:pPr>
        <w:spacing w:after="0" w:line="25"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color w:val="auto"/>
        </w:rPr>
        <w:t>Bulk Products</w:t>
      </w:r>
      <w:r>
        <w:rPr>
          <w:rFonts w:ascii="Arial" w:cs="Arial" w:eastAsia="Arial" w:hAnsi="Arial"/>
          <w:sz w:val="19"/>
          <w:szCs w:val="19"/>
          <w:color w:val="auto"/>
        </w:rPr>
        <w:t>” has the meaning in Clause 1.3.</w:t>
      </w:r>
    </w:p>
    <w:p>
      <w:pPr>
        <w:spacing w:after="0" w:line="102" w:lineRule="exact"/>
        <w:rPr>
          <w:rFonts w:ascii="Arial" w:cs="Arial" w:eastAsia="Arial" w:hAnsi="Arial"/>
          <w:sz w:val="19"/>
          <w:szCs w:val="19"/>
          <w:b w:val="1"/>
          <w:bCs w:val="1"/>
          <w:color w:val="auto"/>
        </w:rPr>
      </w:pPr>
    </w:p>
    <w:p>
      <w:pPr>
        <w:jc w:val="both"/>
        <w:ind w:left="880"/>
        <w:spacing w:after="0" w:line="249" w:lineRule="auto"/>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“cGMP” </w:t>
      </w:r>
      <w:r>
        <w:rPr>
          <w:rFonts w:ascii="Arial" w:cs="Arial" w:eastAsia="Arial" w:hAnsi="Arial"/>
          <w:sz w:val="19"/>
          <w:szCs w:val="19"/>
          <w:color w:val="auto"/>
        </w:rPr>
        <w:t>means current Good Manufacturing Practices promulgated by the Regulatory Authorities in the jurisdictions included in</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Laws. In the United States, this includes 21 C.F.R. Parts 210 and 211, as amended; and in Europe, this includes 2003/94/EEC Directive (as supplemented by Volume 4 of EudraLex published by the European Commission), as amended, if and as implemented in the relevant constituent country.</w:t>
      </w:r>
    </w:p>
    <w:p>
      <w:pPr>
        <w:spacing w:after="0" w:line="69"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color w:val="auto"/>
        </w:rPr>
        <w:t>Claims</w:t>
      </w:r>
      <w:r>
        <w:rPr>
          <w:rFonts w:ascii="Arial" w:cs="Arial" w:eastAsia="Arial" w:hAnsi="Arial"/>
          <w:sz w:val="19"/>
          <w:szCs w:val="19"/>
          <w:color w:val="auto"/>
        </w:rPr>
        <w:t>” has the meaning in Clause 9.1.</w:t>
      </w:r>
    </w:p>
    <w:p>
      <w:pPr>
        <w:spacing w:after="0" w:line="102" w:lineRule="exact"/>
        <w:rPr>
          <w:rFonts w:ascii="Arial" w:cs="Arial" w:eastAsia="Arial" w:hAnsi="Arial"/>
          <w:sz w:val="19"/>
          <w:szCs w:val="19"/>
          <w:b w:val="1"/>
          <w:bCs w:val="1"/>
          <w:color w:val="auto"/>
        </w:rPr>
      </w:pPr>
    </w:p>
    <w:p>
      <w:pPr>
        <w:ind w:left="880"/>
        <w:spacing w:after="0"/>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color w:val="auto"/>
        </w:rPr>
        <w:t>Clause</w:t>
      </w:r>
      <w:r>
        <w:rPr>
          <w:rFonts w:ascii="Arial" w:cs="Arial" w:eastAsia="Arial" w:hAnsi="Arial"/>
          <w:sz w:val="19"/>
          <w:szCs w:val="19"/>
          <w:color w:val="auto"/>
        </w:rPr>
        <w:t>” means a clause of this Agreement.</w:t>
      </w:r>
    </w:p>
    <w:p>
      <w:pPr>
        <w:spacing w:after="0" w:line="102" w:lineRule="exact"/>
        <w:rPr>
          <w:rFonts w:ascii="Arial" w:cs="Arial" w:eastAsia="Arial" w:hAnsi="Arial"/>
          <w:sz w:val="19"/>
          <w:szCs w:val="19"/>
          <w:b w:val="1"/>
          <w:bCs w:val="1"/>
          <w:color w:val="auto"/>
        </w:rPr>
      </w:pPr>
    </w:p>
    <w:p>
      <w:pPr>
        <w:ind w:left="880" w:right="5520"/>
        <w:spacing w:after="0" w:line="394" w:lineRule="auto"/>
        <w:rPr>
          <w:rFonts w:ascii="Arial" w:cs="Arial" w:eastAsia="Arial" w:hAnsi="Arial"/>
          <w:sz w:val="19"/>
          <w:szCs w:val="19"/>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has the meaning in Clause 12.1. “</w:t>
      </w:r>
      <w:r>
        <w:rPr>
          <w:rFonts w:ascii="Arial" w:cs="Arial" w:eastAsia="Arial" w:hAnsi="Arial"/>
          <w:sz w:val="17"/>
          <w:szCs w:val="17"/>
          <w:b w:val="1"/>
          <w:bCs w:val="1"/>
          <w:color w:val="auto"/>
        </w:rPr>
        <w:t>Confirmed Delivery Date</w:t>
      </w:r>
      <w:r>
        <w:rPr>
          <w:rFonts w:ascii="Arial" w:cs="Arial" w:eastAsia="Arial" w:hAnsi="Arial"/>
          <w:sz w:val="17"/>
          <w:szCs w:val="17"/>
          <w:color w:val="auto"/>
        </w:rPr>
        <w:t>” has the meaning in Clause 5.3. “</w:t>
      </w:r>
      <w:r>
        <w:rPr>
          <w:rFonts w:ascii="Arial" w:cs="Arial" w:eastAsia="Arial" w:hAnsi="Arial"/>
          <w:sz w:val="17"/>
          <w:szCs w:val="17"/>
          <w:b w:val="1"/>
          <w:bCs w:val="1"/>
          <w:color w:val="auto"/>
        </w:rPr>
        <w:t>Confirmed Order</w:t>
      </w:r>
      <w:r>
        <w:rPr>
          <w:rFonts w:ascii="Arial" w:cs="Arial" w:eastAsia="Arial" w:hAnsi="Arial"/>
          <w:sz w:val="17"/>
          <w:szCs w:val="17"/>
          <w:color w:val="auto"/>
        </w:rPr>
        <w:t>” has the meaning in Clause 5.3. “</w:t>
      </w:r>
      <w:r>
        <w:rPr>
          <w:rFonts w:ascii="Arial" w:cs="Arial" w:eastAsia="Arial" w:hAnsi="Arial"/>
          <w:sz w:val="17"/>
          <w:szCs w:val="17"/>
          <w:b w:val="1"/>
          <w:bCs w:val="1"/>
          <w:color w:val="auto"/>
        </w:rPr>
        <w:t>Confirmed Order Quantities</w:t>
      </w:r>
      <w:r>
        <w:rPr>
          <w:rFonts w:ascii="Arial" w:cs="Arial" w:eastAsia="Arial" w:hAnsi="Arial"/>
          <w:sz w:val="17"/>
          <w:szCs w:val="17"/>
          <w:color w:val="auto"/>
        </w:rPr>
        <w:t>” has the meaning in Clause 5.3.</w:t>
      </w:r>
    </w:p>
    <w:p>
      <w:pPr>
        <w:spacing w:after="0" w:line="1" w:lineRule="exact"/>
        <w:rPr>
          <w:rFonts w:ascii="Arial" w:cs="Arial" w:eastAsia="Arial" w:hAnsi="Arial"/>
          <w:sz w:val="19"/>
          <w:szCs w:val="19"/>
          <w:b w:val="1"/>
          <w:bCs w:val="1"/>
          <w:color w:val="auto"/>
        </w:rPr>
      </w:pPr>
    </w:p>
    <w:p>
      <w:pPr>
        <w:ind w:left="880" w:right="4340"/>
        <w:spacing w:after="0" w:line="394" w:lineRule="auto"/>
        <w:rPr>
          <w:rFonts w:ascii="Arial" w:cs="Arial" w:eastAsia="Arial" w:hAnsi="Arial"/>
          <w:sz w:val="19"/>
          <w:szCs w:val="19"/>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Customer</w:t>
      </w:r>
      <w:r>
        <w:rPr>
          <w:rFonts w:ascii="Arial" w:cs="Arial" w:eastAsia="Arial" w:hAnsi="Arial"/>
          <w:sz w:val="17"/>
          <w:szCs w:val="17"/>
          <w:color w:val="auto"/>
        </w:rPr>
        <w:t>” has the meaning attributed to it in the preamble of this Agreement. “</w:t>
      </w:r>
      <w:r>
        <w:rPr>
          <w:rFonts w:ascii="Arial" w:cs="Arial" w:eastAsia="Arial" w:hAnsi="Arial"/>
          <w:sz w:val="17"/>
          <w:szCs w:val="17"/>
          <w:b w:val="1"/>
          <w:bCs w:val="1"/>
          <w:color w:val="auto"/>
        </w:rPr>
        <w:t>Customer Provided Bulk Products</w:t>
      </w:r>
      <w:r>
        <w:rPr>
          <w:rFonts w:ascii="Arial" w:cs="Arial" w:eastAsia="Arial" w:hAnsi="Arial"/>
          <w:sz w:val="17"/>
          <w:szCs w:val="17"/>
          <w:color w:val="auto"/>
        </w:rPr>
        <w:t>” has the meaning in Clause 1.3.</w:t>
      </w:r>
    </w:p>
    <w:p>
      <w:pPr>
        <w:ind w:left="880"/>
        <w:spacing w:after="0" w:line="298" w:lineRule="auto"/>
        <w:rPr>
          <w:rFonts w:ascii="Arial" w:cs="Arial" w:eastAsia="Arial" w:hAnsi="Arial"/>
          <w:sz w:val="19"/>
          <w:szCs w:val="19"/>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Defective Final Product</w:t>
      </w:r>
      <w:r>
        <w:rPr>
          <w:rFonts w:ascii="Arial" w:cs="Arial" w:eastAsia="Arial" w:hAnsi="Arial"/>
          <w:sz w:val="18"/>
          <w:szCs w:val="18"/>
          <w:color w:val="auto"/>
        </w:rPr>
        <w:t>” refers to Final Products that do not conform to the Packaging Process and/or that contains Supplier Provided Bulk Product that does not conform to the Supplier Bulk Specifications. “</w:t>
      </w:r>
      <w:r>
        <w:rPr>
          <w:rFonts w:ascii="Arial" w:cs="Arial" w:eastAsia="Arial" w:hAnsi="Arial"/>
          <w:sz w:val="18"/>
          <w:szCs w:val="18"/>
          <w:b w:val="1"/>
          <w:bCs w:val="1"/>
          <w:color w:val="auto"/>
        </w:rPr>
        <w:t>Defect</w:t>
      </w:r>
      <w:r>
        <w:rPr>
          <w:rFonts w:ascii="Arial" w:cs="Arial" w:eastAsia="Arial" w:hAnsi="Arial"/>
          <w:sz w:val="18"/>
          <w:szCs w:val="18"/>
          <w:color w:val="auto"/>
        </w:rPr>
        <w:t>” shall be interpreted accordingly.</w:t>
      </w:r>
    </w:p>
    <w:p>
      <w:pPr>
        <w:spacing w:after="0" w:line="25" w:lineRule="exact"/>
        <w:rPr>
          <w:rFonts w:ascii="Arial" w:cs="Arial" w:eastAsia="Arial" w:hAnsi="Arial"/>
          <w:sz w:val="19"/>
          <w:szCs w:val="19"/>
          <w:b w:val="1"/>
          <w:bCs w:val="1"/>
          <w:color w:val="auto"/>
        </w:rPr>
      </w:pPr>
    </w:p>
    <w:p>
      <w:pPr>
        <w:ind w:left="880" w:right="2700"/>
        <w:spacing w:after="0" w:line="417" w:lineRule="auto"/>
        <w:rPr>
          <w:rFonts w:ascii="Arial" w:cs="Arial" w:eastAsia="Arial" w:hAnsi="Arial"/>
          <w:sz w:val="19"/>
          <w:szCs w:val="19"/>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Deliver</w:t>
      </w:r>
      <w:r>
        <w:rPr>
          <w:rFonts w:ascii="Arial" w:cs="Arial" w:eastAsia="Arial" w:hAnsi="Arial"/>
          <w:sz w:val="18"/>
          <w:szCs w:val="18"/>
          <w:color w:val="auto"/>
        </w:rPr>
        <w:t>” or “</w:t>
      </w:r>
      <w:r>
        <w:rPr>
          <w:rFonts w:ascii="Arial" w:cs="Arial" w:eastAsia="Arial" w:hAnsi="Arial"/>
          <w:sz w:val="18"/>
          <w:szCs w:val="18"/>
          <w:b w:val="1"/>
          <w:bCs w:val="1"/>
          <w:color w:val="auto"/>
        </w:rPr>
        <w:t>Delivery</w:t>
      </w:r>
      <w:r>
        <w:rPr>
          <w:rFonts w:ascii="Arial" w:cs="Arial" w:eastAsia="Arial" w:hAnsi="Arial"/>
          <w:sz w:val="18"/>
          <w:szCs w:val="18"/>
          <w:color w:val="auto"/>
        </w:rPr>
        <w:t>” means the delivery of the Final Product by Supplier pursuant to Clause 5.10. “</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attributed to it in the preamble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13867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42"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19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80" w:name="page181"/>
    <w:bookmarkEnd w:id="180"/>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Equipment</w:t>
      </w:r>
      <w:r>
        <w:rPr>
          <w:rFonts w:ascii="Arial" w:cs="Arial" w:eastAsia="Arial" w:hAnsi="Arial"/>
          <w:sz w:val="19"/>
          <w:szCs w:val="19"/>
          <w:color w:val="auto"/>
        </w:rPr>
        <w:t>” means any equipment and machinery required in the provision of the Packaging Services hereunder.</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Exclusive Purchase Period</w:t>
      </w:r>
      <w:r>
        <w:rPr>
          <w:rFonts w:ascii="Arial" w:cs="Arial" w:eastAsia="Arial" w:hAnsi="Arial"/>
          <w:sz w:val="19"/>
          <w:szCs w:val="19"/>
          <w:color w:val="auto"/>
        </w:rPr>
        <w:t>” has the meaning in Clause 3.7.</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Extended Term</w:t>
      </w:r>
      <w:r>
        <w:rPr>
          <w:rFonts w:ascii="Arial" w:cs="Arial" w:eastAsia="Arial" w:hAnsi="Arial"/>
          <w:sz w:val="19"/>
          <w:szCs w:val="19"/>
          <w:color w:val="auto"/>
        </w:rPr>
        <w:t>” has the meaning in Clause 13.1.</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 xml:space="preserve">“Facility” </w:t>
      </w:r>
      <w:r>
        <w:rPr>
          <w:rFonts w:ascii="Arial" w:cs="Arial" w:eastAsia="Arial" w:hAnsi="Arial"/>
          <w:sz w:val="19"/>
          <w:szCs w:val="19"/>
          <w:color w:val="auto"/>
        </w:rPr>
        <w:t>means Supplier’s manufacturing facility located at [***] and as may be amended from time to time.</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 xml:space="preserve">“FDA” </w:t>
      </w:r>
      <w:r>
        <w:rPr>
          <w:rFonts w:ascii="Arial" w:cs="Arial" w:eastAsia="Arial" w:hAnsi="Arial"/>
          <w:sz w:val="19"/>
          <w:szCs w:val="19"/>
          <w:color w:val="auto"/>
        </w:rPr>
        <w:t>means the U.S. Food and Drug Administration.</w:t>
      </w:r>
    </w:p>
    <w:p>
      <w:pPr>
        <w:spacing w:after="0" w:line="103" w:lineRule="exact"/>
        <w:rPr>
          <w:sz w:val="20"/>
          <w:szCs w:val="20"/>
          <w:color w:val="auto"/>
        </w:rPr>
      </w:pPr>
    </w:p>
    <w:p>
      <w:pPr>
        <w:ind w:left="880"/>
        <w:spacing w:after="0" w:line="33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Product</w:t>
      </w:r>
      <w:r>
        <w:rPr>
          <w:rFonts w:ascii="Arial" w:cs="Arial" w:eastAsia="Arial" w:hAnsi="Arial"/>
          <w:sz w:val="17"/>
          <w:szCs w:val="17"/>
          <w:color w:val="auto"/>
        </w:rPr>
        <w:t>” means the following pharmaceutical products in final packaged form (including with package leaflet and instructions for use) which is the end product of the Packaging Services as defined in Annex 3, and includes the Additional Product, if any.</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Force Majeure</w:t>
      </w:r>
      <w:r>
        <w:rPr>
          <w:rFonts w:ascii="Arial" w:cs="Arial" w:eastAsia="Arial" w:hAnsi="Arial"/>
          <w:sz w:val="19"/>
          <w:szCs w:val="19"/>
          <w:color w:val="auto"/>
        </w:rPr>
        <w:t>” has the meaning in Clause 15.6.</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Forecast</w:t>
      </w:r>
      <w:r>
        <w:rPr>
          <w:rFonts w:ascii="Arial" w:cs="Arial" w:eastAsia="Arial" w:hAnsi="Arial"/>
          <w:sz w:val="19"/>
          <w:szCs w:val="19"/>
          <w:color w:val="auto"/>
        </w:rPr>
        <w:t>” has the meaning in Clause 5.1.</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p>
    <w:p>
      <w:pPr>
        <w:spacing w:after="0" w:line="9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Further Implementation Services</w:t>
      </w:r>
      <w:r>
        <w:rPr>
          <w:rFonts w:ascii="Arial" w:cs="Arial" w:eastAsia="Arial" w:hAnsi="Arial"/>
          <w:sz w:val="19"/>
          <w:szCs w:val="19"/>
          <w:color w:val="auto"/>
        </w:rPr>
        <w:t>” has the meaning in Clause 2.3.</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has the meaning in Clause 9.1.</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has the meaning in Clause 9.1.</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Initial Term</w:t>
      </w:r>
      <w:r>
        <w:rPr>
          <w:rFonts w:ascii="Arial" w:cs="Arial" w:eastAsia="Arial" w:hAnsi="Arial"/>
          <w:sz w:val="19"/>
          <w:szCs w:val="19"/>
          <w:color w:val="auto"/>
        </w:rPr>
        <w:t>” has the meaning in Clause 13.1.</w:t>
      </w:r>
    </w:p>
    <w:p>
      <w:pPr>
        <w:spacing w:after="0" w:line="103" w:lineRule="exact"/>
        <w:rPr>
          <w:sz w:val="20"/>
          <w:szCs w:val="20"/>
          <w:color w:val="auto"/>
        </w:rPr>
      </w:pPr>
    </w:p>
    <w:p>
      <w:pPr>
        <w:jc w:val="both"/>
        <w:ind w:left="88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patents (whether patentable or not), trade secrets, know-how, confidential or proprietary information, technical data, trademarks, service marks, design rights, copyright or any other intellectual property right which may subsist anywhere in the world, whether capable of grant, registration or not.</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Latent Defect</w:t>
      </w:r>
      <w:r>
        <w:rPr>
          <w:rFonts w:ascii="Arial" w:cs="Arial" w:eastAsia="Arial" w:hAnsi="Arial"/>
          <w:sz w:val="19"/>
          <w:szCs w:val="19"/>
          <w:color w:val="auto"/>
        </w:rPr>
        <w:t>” means any Defect other than Apparent Defects.</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 xml:space="preserve">“Launch” </w:t>
      </w:r>
      <w:r>
        <w:rPr>
          <w:rFonts w:ascii="Arial" w:cs="Arial" w:eastAsia="Arial" w:hAnsi="Arial"/>
          <w:sz w:val="19"/>
          <w:szCs w:val="19"/>
          <w:color w:val="auto"/>
        </w:rPr>
        <w:t>means the first commercial sale of the Final Product in the Territory to a third party.</w:t>
      </w:r>
    </w:p>
    <w:p>
      <w:pPr>
        <w:spacing w:after="0" w:line="103" w:lineRule="exact"/>
        <w:rPr>
          <w:sz w:val="20"/>
          <w:szCs w:val="20"/>
          <w:color w:val="auto"/>
        </w:rPr>
      </w:pPr>
    </w:p>
    <w:p>
      <w:pPr>
        <w:jc w:val="both"/>
        <w:ind w:left="880"/>
        <w:spacing w:after="0" w:line="254" w:lineRule="auto"/>
        <w:rPr>
          <w:sz w:val="20"/>
          <w:szCs w:val="20"/>
          <w:color w:val="auto"/>
        </w:rPr>
      </w:pPr>
      <w:r>
        <w:rPr>
          <w:rFonts w:ascii="Arial" w:cs="Arial" w:eastAsia="Arial" w:hAnsi="Arial"/>
          <w:sz w:val="19"/>
          <w:szCs w:val="19"/>
          <w:b w:val="1"/>
          <w:bCs w:val="1"/>
          <w:color w:val="auto"/>
        </w:rPr>
        <w:t xml:space="preserve">“Launch Year” </w:t>
      </w:r>
      <w:r>
        <w:rPr>
          <w:rFonts w:ascii="Arial" w:cs="Arial" w:eastAsia="Arial" w:hAnsi="Arial"/>
          <w:sz w:val="19"/>
          <w:szCs w:val="19"/>
          <w:color w:val="auto"/>
        </w:rPr>
        <w:t>means each twelve (12) month period commencing upon Launch of the Final Product. The first 12-month period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following Launch shall be referred to as </w:t>
      </w:r>
      <w:r>
        <w:rPr>
          <w:rFonts w:ascii="Arial" w:cs="Arial" w:eastAsia="Arial" w:hAnsi="Arial"/>
          <w:sz w:val="19"/>
          <w:szCs w:val="19"/>
          <w:b w:val="1"/>
          <w:bCs w:val="1"/>
          <w:color w:val="auto"/>
        </w:rPr>
        <w:t>“Launch Year 1”,</w:t>
      </w:r>
      <w:r>
        <w:rPr>
          <w:rFonts w:ascii="Arial" w:cs="Arial" w:eastAsia="Arial" w:hAnsi="Arial"/>
          <w:sz w:val="19"/>
          <w:szCs w:val="19"/>
          <w:color w:val="auto"/>
        </w:rPr>
        <w:t xml:space="preserve"> the second 12-month period following Launch shall be referred to as </w:t>
      </w:r>
      <w:r>
        <w:rPr>
          <w:rFonts w:ascii="Arial" w:cs="Arial" w:eastAsia="Arial" w:hAnsi="Arial"/>
          <w:sz w:val="19"/>
          <w:szCs w:val="19"/>
          <w:b w:val="1"/>
          <w:bCs w:val="1"/>
          <w:color w:val="auto"/>
        </w:rPr>
        <w:t xml:space="preserve">“Launch Year 2”, </w:t>
      </w:r>
      <w:r>
        <w:rPr>
          <w:rFonts w:ascii="Arial" w:cs="Arial" w:eastAsia="Arial" w:hAnsi="Arial"/>
          <w:sz w:val="19"/>
          <w:szCs w:val="19"/>
          <w:color w:val="auto"/>
        </w:rPr>
        <w:t>etc.</w:t>
      </w:r>
    </w:p>
    <w:p>
      <w:pPr>
        <w:spacing w:after="0" w:line="64" w:lineRule="exact"/>
        <w:rPr>
          <w:sz w:val="20"/>
          <w:szCs w:val="20"/>
          <w:color w:val="auto"/>
        </w:rPr>
      </w:pPr>
    </w:p>
    <w:p>
      <w:pPr>
        <w:jc w:val="both"/>
        <w:ind w:left="880"/>
        <w:spacing w:after="0" w:line="269" w:lineRule="auto"/>
        <w:rPr>
          <w:sz w:val="20"/>
          <w:szCs w:val="20"/>
          <w:color w:val="auto"/>
        </w:rPr>
      </w:pPr>
      <w:r>
        <w:rPr>
          <w:rFonts w:ascii="Arial" w:cs="Arial" w:eastAsia="Arial" w:hAnsi="Arial"/>
          <w:sz w:val="19"/>
          <w:szCs w:val="19"/>
          <w:b w:val="1"/>
          <w:bCs w:val="1"/>
          <w:color w:val="auto"/>
        </w:rPr>
        <w:t xml:space="preserve">“LoI” </w:t>
      </w:r>
      <w:r>
        <w:rPr>
          <w:rFonts w:ascii="Arial" w:cs="Arial" w:eastAsia="Arial" w:hAnsi="Arial"/>
          <w:sz w:val="19"/>
          <w:szCs w:val="19"/>
          <w:color w:val="auto"/>
        </w:rPr>
        <w:t>means the letter of intent entered into between the Parties on letter of intent on August 27. 2020, a copy of which is attached</w:t>
      </w:r>
      <w:r>
        <w:rPr>
          <w:rFonts w:ascii="Arial" w:cs="Arial" w:eastAsia="Arial" w:hAnsi="Arial"/>
          <w:sz w:val="19"/>
          <w:szCs w:val="19"/>
          <w:b w:val="1"/>
          <w:bCs w:val="1"/>
          <w:color w:val="auto"/>
        </w:rPr>
        <w:t xml:space="preserve"> </w:t>
      </w:r>
      <w:r>
        <w:rPr>
          <w:rFonts w:ascii="Arial" w:cs="Arial" w:eastAsia="Arial" w:hAnsi="Arial"/>
          <w:sz w:val="19"/>
          <w:szCs w:val="19"/>
          <w:color w:val="auto"/>
        </w:rPr>
        <w:t>hereto as Annex 2.</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Manufacturing Phase</w:t>
      </w:r>
      <w:r>
        <w:rPr>
          <w:rFonts w:ascii="Arial" w:cs="Arial" w:eastAsia="Arial" w:hAnsi="Arial"/>
          <w:sz w:val="19"/>
          <w:szCs w:val="19"/>
          <w:color w:val="auto"/>
        </w:rPr>
        <w:t>” has the meaning in Clause 1.6.</w:t>
      </w:r>
    </w:p>
    <w:p>
      <w:pPr>
        <w:spacing w:after="0" w:line="103" w:lineRule="exact"/>
        <w:rPr>
          <w:sz w:val="20"/>
          <w:szCs w:val="20"/>
          <w:color w:val="auto"/>
        </w:rPr>
      </w:pPr>
    </w:p>
    <w:p>
      <w:pPr>
        <w:jc w:val="both"/>
        <w:ind w:left="880"/>
        <w:spacing w:after="0" w:line="33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Marketing Authorization</w:t>
      </w:r>
      <w:r>
        <w:rPr>
          <w:rFonts w:ascii="Arial" w:cs="Arial" w:eastAsia="Arial" w:hAnsi="Arial"/>
          <w:sz w:val="17"/>
          <w:szCs w:val="17"/>
          <w:color w:val="auto"/>
        </w:rPr>
        <w:t>” means, in respect of a Final Product, such marketing authorization, approval, license, registration or other authorizations issued by a Regulatory Authority in connection with the placing of that Final Product on the market in the Territory.</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Minimum Capacity</w:t>
      </w:r>
      <w:r>
        <w:rPr>
          <w:rFonts w:ascii="Arial" w:cs="Arial" w:eastAsia="Arial" w:hAnsi="Arial"/>
          <w:sz w:val="19"/>
          <w:szCs w:val="19"/>
          <w:color w:val="auto"/>
        </w:rPr>
        <w:t>” has the meaning in Clause 5.5.</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Minimum Order Quantities</w:t>
      </w:r>
      <w:r>
        <w:rPr>
          <w:rFonts w:ascii="Arial" w:cs="Arial" w:eastAsia="Arial" w:hAnsi="Arial"/>
          <w:sz w:val="19"/>
          <w:szCs w:val="19"/>
          <w:color w:val="auto"/>
        </w:rPr>
        <w:t>” has the meaning in Clause 5.6.</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Minimum Purchase Quantities</w:t>
      </w:r>
      <w:r>
        <w:rPr>
          <w:rFonts w:ascii="Arial" w:cs="Arial" w:eastAsia="Arial" w:hAnsi="Arial"/>
          <w:sz w:val="19"/>
          <w:szCs w:val="19"/>
          <w:color w:val="auto"/>
        </w:rPr>
        <w:t>” has the meaning in Clause 5.7.</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Order</w:t>
      </w:r>
      <w:r>
        <w:rPr>
          <w:rFonts w:ascii="Arial" w:cs="Arial" w:eastAsia="Arial" w:hAnsi="Arial"/>
          <w:sz w:val="19"/>
          <w:szCs w:val="19"/>
          <w:color w:val="auto"/>
        </w:rPr>
        <w:t>” has the meaning in Clause 5.2.</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Order Lead Time</w:t>
      </w:r>
      <w:r>
        <w:rPr>
          <w:rFonts w:ascii="Arial" w:cs="Arial" w:eastAsia="Arial" w:hAnsi="Arial"/>
          <w:sz w:val="19"/>
          <w:szCs w:val="19"/>
          <w:color w:val="auto"/>
        </w:rPr>
        <w:t>” has the meaning in Clause 5.2.</w:t>
      </w:r>
    </w:p>
    <w:p>
      <w:pPr>
        <w:spacing w:after="0" w:line="103" w:lineRule="exact"/>
        <w:rPr>
          <w:sz w:val="20"/>
          <w:szCs w:val="20"/>
          <w:color w:val="auto"/>
        </w:rPr>
      </w:pPr>
    </w:p>
    <w:p>
      <w:pPr>
        <w:ind w:left="880"/>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Package</w:t>
      </w:r>
      <w:r>
        <w:rPr>
          <w:rFonts w:ascii="Arial" w:cs="Arial" w:eastAsia="Arial" w:hAnsi="Arial"/>
          <w:sz w:val="18"/>
          <w:szCs w:val="18"/>
          <w:color w:val="auto"/>
        </w:rPr>
        <w:t>” or “</w:t>
      </w:r>
      <w:r>
        <w:rPr>
          <w:rFonts w:ascii="Arial" w:cs="Arial" w:eastAsia="Arial" w:hAnsi="Arial"/>
          <w:sz w:val="18"/>
          <w:szCs w:val="18"/>
          <w:b w:val="1"/>
          <w:bCs w:val="1"/>
          <w:color w:val="auto"/>
        </w:rPr>
        <w:t>Packaging</w:t>
      </w:r>
      <w:r>
        <w:rPr>
          <w:rFonts w:ascii="Arial" w:cs="Arial" w:eastAsia="Arial" w:hAnsi="Arial"/>
          <w:sz w:val="18"/>
          <w:szCs w:val="18"/>
          <w:color w:val="auto"/>
        </w:rPr>
        <w:t>” means (as applicable) any and all activities relating to the Packaging Services, including the packaging, preparation, testing, handling, storage and supply of Final Products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95885</wp:posOffset>
            </wp:positionV>
            <wp:extent cx="713867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44"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20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81" w:name="page182"/>
    <w:bookmarkEnd w:id="181"/>
    <w:p>
      <w:pPr>
        <w:jc w:val="both"/>
        <w:ind w:left="880"/>
        <w:spacing w:after="0" w:line="33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Packaging Material(s)</w:t>
      </w:r>
      <w:r>
        <w:rPr>
          <w:rFonts w:ascii="Arial" w:cs="Arial" w:eastAsia="Arial" w:hAnsi="Arial"/>
          <w:sz w:val="17"/>
          <w:szCs w:val="17"/>
          <w:color w:val="auto"/>
        </w:rPr>
        <w:t>” means, collectively, any primary and/or secondary packaging materials (including any leaflets and instructions for use) as well as any other components necessary to provide the Packaging Services according to the terms of this Agreement.</w:t>
      </w:r>
    </w:p>
    <w:p>
      <w:pPr>
        <w:spacing w:after="0" w:line="2" w:lineRule="exact"/>
        <w:rPr>
          <w:sz w:val="20"/>
          <w:szCs w:val="20"/>
          <w:color w:val="auto"/>
        </w:rPr>
      </w:pPr>
    </w:p>
    <w:p>
      <w:pPr>
        <w:jc w:val="both"/>
        <w:ind w:left="88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Packaging Process</w:t>
      </w:r>
      <w:r>
        <w:rPr>
          <w:rFonts w:ascii="Arial" w:cs="Arial" w:eastAsia="Arial" w:hAnsi="Arial"/>
          <w:sz w:val="19"/>
          <w:szCs w:val="19"/>
          <w:color w:val="auto"/>
        </w:rPr>
        <w:t xml:space="preserve">” means the process to be followed when providing the Packaging Services, as described in detail in </w:t>
      </w:r>
      <w:r>
        <w:rPr>
          <w:rFonts w:ascii="Arial" w:cs="Arial" w:eastAsia="Arial" w:hAnsi="Arial"/>
          <w:sz w:val="19"/>
          <w:szCs w:val="19"/>
          <w:b w:val="1"/>
          <w:bCs w:val="1"/>
          <w:color w:val="auto"/>
        </w:rPr>
        <w:t>Annex 3</w:t>
      </w:r>
      <w:r>
        <w:rPr>
          <w:rFonts w:ascii="Arial" w:cs="Arial" w:eastAsia="Arial" w:hAnsi="Arial"/>
          <w:sz w:val="19"/>
          <w:szCs w:val="19"/>
          <w:color w:val="auto"/>
        </w:rPr>
        <w:t xml:space="preserve"> </w:t>
      </w:r>
      <w:r>
        <w:rPr>
          <w:rFonts w:ascii="Arial" w:cs="Arial" w:eastAsia="Arial" w:hAnsi="Arial"/>
          <w:sz w:val="19"/>
          <w:szCs w:val="19"/>
          <w:b w:val="1"/>
          <w:bCs w:val="1"/>
          <w:color w:val="auto"/>
        </w:rPr>
        <w:t>(Packaging Process)</w:t>
      </w:r>
      <w:r>
        <w:rPr>
          <w:rFonts w:ascii="Arial" w:cs="Arial" w:eastAsia="Arial" w:hAnsi="Arial"/>
          <w:sz w:val="19"/>
          <w:szCs w:val="19"/>
          <w:color w:val="auto"/>
        </w:rPr>
        <w:t>.</w:t>
      </w:r>
    </w:p>
    <w:p>
      <w:pPr>
        <w:spacing w:after="0" w:line="50" w:lineRule="exact"/>
        <w:rPr>
          <w:sz w:val="20"/>
          <w:szCs w:val="20"/>
          <w:color w:val="auto"/>
        </w:rPr>
      </w:pPr>
    </w:p>
    <w:p>
      <w:pPr>
        <w:jc w:val="both"/>
        <w:ind w:left="880"/>
        <w:spacing w:after="0" w:line="29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Packaging Services</w:t>
      </w:r>
      <w:r>
        <w:rPr>
          <w:rFonts w:ascii="Arial" w:cs="Arial" w:eastAsia="Arial" w:hAnsi="Arial"/>
          <w:sz w:val="17"/>
          <w:szCs w:val="17"/>
          <w:color w:val="auto"/>
        </w:rPr>
        <w:t>” means any and all services in relation to the Packaging of the Bulk Products to be carried out by or on behalf of Supplier in line with the Packaging Process, including without limitation the receipt of materials, primary and/or secondary packaging (as the case may be), processing, testing, quality control, releasing, storing, sample retention, serialization and packaging for shipment.</w:t>
      </w:r>
    </w:p>
    <w:p>
      <w:pPr>
        <w:spacing w:after="0" w:line="2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Parties</w:t>
      </w:r>
      <w:r>
        <w:rPr>
          <w:rFonts w:ascii="Arial" w:cs="Arial" w:eastAsia="Arial" w:hAnsi="Arial"/>
          <w:sz w:val="19"/>
          <w:szCs w:val="19"/>
          <w:color w:val="auto"/>
        </w:rPr>
        <w:t>” means the Supplier together with Customer, each individually may be referred to as a “</w:t>
      </w:r>
      <w:r>
        <w:rPr>
          <w:rFonts w:ascii="Arial" w:cs="Arial" w:eastAsia="Arial" w:hAnsi="Arial"/>
          <w:sz w:val="19"/>
          <w:szCs w:val="19"/>
          <w:b w:val="1"/>
          <w:bCs w:val="1"/>
          <w:color w:val="auto"/>
        </w:rPr>
        <w:t>Party</w:t>
      </w:r>
      <w:r>
        <w:rPr>
          <w:rFonts w:ascii="Arial" w:cs="Arial" w:eastAsia="Arial" w:hAnsi="Arial"/>
          <w:sz w:val="19"/>
          <w:szCs w:val="19"/>
          <w:color w:val="auto"/>
        </w:rPr>
        <w: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Quality Agreement</w:t>
      </w:r>
      <w:r>
        <w:rPr>
          <w:rFonts w:ascii="Arial" w:cs="Arial" w:eastAsia="Arial" w:hAnsi="Arial"/>
          <w:sz w:val="18"/>
          <w:szCs w:val="18"/>
          <w:color w:val="auto"/>
        </w:rPr>
        <w:t>” means the quality agreement to be entered into by the Parties (or their Affiliates) in line with Clause 10.1.</w:t>
      </w:r>
    </w:p>
    <w:p>
      <w:pPr>
        <w:spacing w:after="0" w:line="114" w:lineRule="exact"/>
        <w:rPr>
          <w:sz w:val="20"/>
          <w:szCs w:val="20"/>
          <w:color w:val="auto"/>
        </w:rPr>
      </w:pPr>
    </w:p>
    <w:p>
      <w:pPr>
        <w:jc w:val="both"/>
        <w:ind w:left="880"/>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Quality Assurance</w:t>
      </w:r>
      <w:r>
        <w:rPr>
          <w:rFonts w:ascii="Arial" w:cs="Arial" w:eastAsia="Arial" w:hAnsi="Arial"/>
          <w:sz w:val="19"/>
          <w:szCs w:val="19"/>
          <w:color w:val="auto"/>
        </w:rPr>
        <w:t>” or “</w:t>
      </w:r>
      <w:r>
        <w:rPr>
          <w:rFonts w:ascii="Arial" w:cs="Arial" w:eastAsia="Arial" w:hAnsi="Arial"/>
          <w:sz w:val="19"/>
          <w:szCs w:val="19"/>
          <w:b w:val="1"/>
          <w:bCs w:val="1"/>
          <w:color w:val="auto"/>
        </w:rPr>
        <w:t>QA</w:t>
      </w:r>
      <w:r>
        <w:rPr>
          <w:rFonts w:ascii="Arial" w:cs="Arial" w:eastAsia="Arial" w:hAnsi="Arial"/>
          <w:sz w:val="19"/>
          <w:szCs w:val="19"/>
          <w:color w:val="auto"/>
        </w:rPr>
        <w:t>” means the sum total of the quality assurance arrangements made with the purpose of ensuring that the Final Product meets the Specifications and is of the quality required for its intended use and shall specifically include all terms and activities as set forth in the applicable version of the Quality Agreement.</w:t>
      </w:r>
    </w:p>
    <w:p>
      <w:pPr>
        <w:spacing w:after="0" w:line="64" w:lineRule="exact"/>
        <w:rPr>
          <w:sz w:val="20"/>
          <w:szCs w:val="20"/>
          <w:color w:val="auto"/>
        </w:rPr>
      </w:pPr>
    </w:p>
    <w:p>
      <w:pPr>
        <w:jc w:val="both"/>
        <w:ind w:left="880"/>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Registration</w:t>
      </w:r>
      <w:r>
        <w:rPr>
          <w:rFonts w:ascii="Arial" w:cs="Arial" w:eastAsia="Arial" w:hAnsi="Arial"/>
          <w:sz w:val="19"/>
          <w:szCs w:val="19"/>
          <w:color w:val="auto"/>
        </w:rPr>
        <w:t>” means any and all governmental or Regulatory Authority approvals necessary or required for the processing, Packaging, importation, marketing, distribution and sale of the Final Product as labeled, packaged and presented for sale to the pharmaceutical trade, and the term “</w:t>
      </w:r>
      <w:r>
        <w:rPr>
          <w:rFonts w:ascii="Arial" w:cs="Arial" w:eastAsia="Arial" w:hAnsi="Arial"/>
          <w:sz w:val="19"/>
          <w:szCs w:val="19"/>
          <w:b w:val="1"/>
          <w:bCs w:val="1"/>
          <w:color w:val="auto"/>
        </w:rPr>
        <w:t>Registration</w:t>
      </w:r>
      <w:r>
        <w:rPr>
          <w:rFonts w:ascii="Arial" w:cs="Arial" w:eastAsia="Arial" w:hAnsi="Arial"/>
          <w:sz w:val="19"/>
          <w:szCs w:val="19"/>
          <w:color w:val="auto"/>
        </w:rPr>
        <w:t>” shall also apply to any renewals of such approvals and to any other steps required to maintain such approvals.</w:t>
      </w:r>
    </w:p>
    <w:p>
      <w:pPr>
        <w:spacing w:after="0" w:line="70" w:lineRule="exact"/>
        <w:rPr>
          <w:sz w:val="20"/>
          <w:szCs w:val="20"/>
          <w:color w:val="auto"/>
        </w:rPr>
      </w:pPr>
    </w:p>
    <w:p>
      <w:pPr>
        <w:jc w:val="both"/>
        <w:ind w:left="88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international, national or other governmental, regulatory or administrative authority or other body competent to grant, maintain and extend approvals (including pricing), registrations or other consents for the processing, Packaging, importation, marketing, distribution or sale of pharmaceutical products, including without limitation the Final Products.</w:t>
      </w:r>
    </w:p>
    <w:p>
      <w:pPr>
        <w:spacing w:after="0" w:line="47"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Representatives</w:t>
      </w:r>
      <w:r>
        <w:rPr>
          <w:rFonts w:ascii="Arial" w:cs="Arial" w:eastAsia="Arial" w:hAnsi="Arial"/>
          <w:sz w:val="19"/>
          <w:szCs w:val="19"/>
          <w:color w:val="auto"/>
        </w:rPr>
        <w:t>” has the meaning in Clause 12.1.</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Requested Delivery Date</w:t>
      </w:r>
      <w:r>
        <w:rPr>
          <w:rFonts w:ascii="Arial" w:cs="Arial" w:eastAsia="Arial" w:hAnsi="Arial"/>
          <w:sz w:val="19"/>
          <w:szCs w:val="19"/>
          <w:color w:val="auto"/>
        </w:rPr>
        <w:t>” has the meaning in Clause 5.2.</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Requested Order Quantities</w:t>
      </w:r>
      <w:r>
        <w:rPr>
          <w:rFonts w:ascii="Arial" w:cs="Arial" w:eastAsia="Arial" w:hAnsi="Arial"/>
          <w:sz w:val="19"/>
          <w:szCs w:val="19"/>
          <w:color w:val="auto"/>
        </w:rPr>
        <w:t>” has the meaning in Clause 5.2.</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Set-up Phase</w:t>
      </w:r>
      <w:r>
        <w:rPr>
          <w:rFonts w:ascii="Arial" w:cs="Arial" w:eastAsia="Arial" w:hAnsi="Arial"/>
          <w:sz w:val="19"/>
          <w:szCs w:val="19"/>
          <w:color w:val="auto"/>
        </w:rPr>
        <w:t>” has the meaning in Clause 1.6.</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Set-up Activities</w:t>
      </w:r>
      <w:r>
        <w:rPr>
          <w:rFonts w:ascii="Arial" w:cs="Arial" w:eastAsia="Arial" w:hAnsi="Arial"/>
          <w:sz w:val="19"/>
          <w:szCs w:val="19"/>
          <w:color w:val="auto"/>
        </w:rPr>
        <w:t>” has the meaning in Clause 2.1.</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Subcontractor</w:t>
      </w:r>
      <w:r>
        <w:rPr>
          <w:rFonts w:ascii="Arial" w:cs="Arial" w:eastAsia="Arial" w:hAnsi="Arial"/>
          <w:sz w:val="19"/>
          <w:szCs w:val="19"/>
          <w:color w:val="auto"/>
        </w:rPr>
        <w:t>” has the meaning in Clause 15.2.</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Supplier</w:t>
      </w:r>
      <w:r>
        <w:rPr>
          <w:rFonts w:ascii="Arial" w:cs="Arial" w:eastAsia="Arial" w:hAnsi="Arial"/>
          <w:sz w:val="19"/>
          <w:szCs w:val="19"/>
          <w:color w:val="auto"/>
        </w:rPr>
        <w:t>” has the meaning attributed to it in the preamble of this Agreement.</w:t>
      </w:r>
    </w:p>
    <w:p>
      <w:pPr>
        <w:spacing w:after="0" w:line="103" w:lineRule="exact"/>
        <w:rPr>
          <w:sz w:val="20"/>
          <w:szCs w:val="20"/>
          <w:color w:val="auto"/>
        </w:rPr>
      </w:pPr>
    </w:p>
    <w:p>
      <w:pPr>
        <w:ind w:left="880"/>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Supplier ANDAs”</w:t>
      </w:r>
      <w:r>
        <w:rPr>
          <w:rFonts w:ascii="Arial" w:cs="Arial" w:eastAsia="Arial" w:hAnsi="Arial"/>
          <w:sz w:val="19"/>
          <w:szCs w:val="19"/>
          <w:color w:val="auto"/>
        </w:rPr>
        <w:t xml:space="preserve"> means [***], certain abbreviated new drug applications filed by Supplier with the FDA for certain finished products containing the Supplier Provided Bulk Products.</w:t>
      </w:r>
    </w:p>
    <w:p>
      <w:pPr>
        <w:spacing w:after="0" w:line="5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Supplier Bulk Specifications</w:t>
      </w:r>
      <w:r>
        <w:rPr>
          <w:rFonts w:ascii="Arial" w:cs="Arial" w:eastAsia="Arial" w:hAnsi="Arial"/>
          <w:sz w:val="19"/>
          <w:szCs w:val="19"/>
          <w:color w:val="auto"/>
        </w:rPr>
        <w:t xml:space="preserve"> has the meaning in Clause 3.2.</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Supplier Bulk Supply</w:t>
      </w:r>
      <w:r>
        <w:rPr>
          <w:rFonts w:ascii="Arial" w:cs="Arial" w:eastAsia="Arial" w:hAnsi="Arial"/>
          <w:sz w:val="19"/>
          <w:szCs w:val="19"/>
          <w:color w:val="auto"/>
        </w:rPr>
        <w:t>” has the meaning in Clause 1.2.</w:t>
      </w:r>
    </w:p>
    <w:p>
      <w:pPr>
        <w:spacing w:after="0" w:line="103" w:lineRule="exact"/>
        <w:rPr>
          <w:sz w:val="20"/>
          <w:szCs w:val="20"/>
          <w:color w:val="auto"/>
        </w:rPr>
      </w:pPr>
    </w:p>
    <w:p>
      <w:pPr>
        <w:ind w:left="880"/>
        <w:spacing w:after="0" w:line="33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Supplier Provided Bulk Products</w:t>
      </w:r>
      <w:r>
        <w:rPr>
          <w:rFonts w:ascii="Arial" w:cs="Arial" w:eastAsia="Arial" w:hAnsi="Arial"/>
          <w:sz w:val="17"/>
          <w:szCs w:val="17"/>
          <w:color w:val="auto"/>
        </w:rPr>
        <w:t>” means Supplier’s proprietary pharmaceutical products specified Clause1.3 to be manufactured by Supplier or its Affiliates and to be provided by Supplier in addition to the Packaging Services and to be included in the Final Products.</w:t>
      </w:r>
    </w:p>
    <w:p>
      <w:pPr>
        <w:spacing w:after="0" w:line="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has the meaning in Clause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71386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22"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21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82" w:name="page183"/>
    <w:bookmarkEnd w:id="182"/>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the United States of America.</w:t>
      </w:r>
    </w:p>
    <w:p>
      <w:pPr>
        <w:spacing w:after="0" w:line="103" w:lineRule="exact"/>
        <w:rPr>
          <w:sz w:val="20"/>
          <w:szCs w:val="20"/>
          <w:color w:val="auto"/>
        </w:rPr>
      </w:pPr>
    </w:p>
    <w:p>
      <w:pPr>
        <w:ind w:left="880"/>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 within the European Union such taxation as may be levied in accordance with (but subject to derogation from) Council Directive 2006/112/EC and outside the European Union any taxation levied by reference to added value or sales.</w:t>
      </w:r>
    </w:p>
    <w:p>
      <w:pPr>
        <w:spacing w:after="0" w:line="231" w:lineRule="exact"/>
        <w:rPr>
          <w:sz w:val="20"/>
          <w:szCs w:val="20"/>
          <w:color w:val="auto"/>
        </w:rPr>
      </w:pPr>
    </w:p>
    <w:p>
      <w:pPr>
        <w:ind w:left="880" w:hanging="877"/>
        <w:spacing w:after="0"/>
        <w:tabs>
          <w:tab w:leader="none" w:pos="880"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Interpretation.</w:t>
      </w:r>
    </w:p>
    <w:p>
      <w:pPr>
        <w:spacing w:after="0" w:line="314" w:lineRule="exact"/>
        <w:rPr>
          <w:rFonts w:ascii="Arial" w:cs="Arial" w:eastAsia="Arial" w:hAnsi="Arial"/>
          <w:sz w:val="19"/>
          <w:szCs w:val="19"/>
          <w:b w:val="1"/>
          <w:bCs w:val="1"/>
          <w:color w:val="auto"/>
        </w:rPr>
      </w:pPr>
    </w:p>
    <w:p>
      <w:pPr>
        <w:ind w:left="900"/>
        <w:spacing w:after="0"/>
        <w:rPr>
          <w:rFonts w:ascii="Arial" w:cs="Arial" w:eastAsia="Arial" w:hAnsi="Arial"/>
          <w:sz w:val="19"/>
          <w:szCs w:val="19"/>
          <w:b w:val="1"/>
          <w:bCs w:val="1"/>
          <w:color w:val="auto"/>
        </w:rPr>
      </w:pPr>
      <w:r>
        <w:rPr>
          <w:rFonts w:ascii="Arial" w:cs="Arial" w:eastAsia="Arial" w:hAnsi="Arial"/>
          <w:sz w:val="19"/>
          <w:szCs w:val="19"/>
          <w:color w:val="auto"/>
        </w:rPr>
        <w:t>In this Agreement unless otherwise specified:</w:t>
      </w:r>
    </w:p>
    <w:p>
      <w:pPr>
        <w:spacing w:after="0" w:line="102" w:lineRule="exact"/>
        <w:rPr>
          <w:rFonts w:ascii="Arial" w:cs="Arial" w:eastAsia="Arial" w:hAnsi="Arial"/>
          <w:sz w:val="19"/>
          <w:szCs w:val="19"/>
          <w:b w:val="1"/>
          <w:bCs w:val="1"/>
          <w:color w:val="auto"/>
        </w:rPr>
      </w:pPr>
    </w:p>
    <w:p>
      <w:pPr>
        <w:ind w:left="1320" w:hanging="444"/>
        <w:spacing w:after="0" w:line="263" w:lineRule="auto"/>
        <w:tabs>
          <w:tab w:leader="none" w:pos="1320" w:val="left"/>
        </w:tabs>
        <w:numPr>
          <w:ilvl w:val="1"/>
          <w:numId w:val="94"/>
        </w:numPr>
        <w:rPr>
          <w:rFonts w:ascii="Arial" w:cs="Arial" w:eastAsia="Arial" w:hAnsi="Arial"/>
          <w:sz w:val="19"/>
          <w:szCs w:val="19"/>
          <w:color w:val="auto"/>
        </w:rPr>
      </w:pPr>
      <w:r>
        <w:rPr>
          <w:rFonts w:ascii="Arial" w:cs="Arial" w:eastAsia="Arial" w:hAnsi="Arial"/>
          <w:sz w:val="19"/>
          <w:szCs w:val="19"/>
          <w:color w:val="auto"/>
        </w:rPr>
        <w:t>the division of this Agreement into Clauses, sub-clauses and Annexes and the insertion of headings are for convenience of reference only and shall not affect the interpretation of this Agreement;</w:t>
      </w:r>
    </w:p>
    <w:p>
      <w:pPr>
        <w:spacing w:after="0" w:line="60" w:lineRule="exact"/>
        <w:rPr>
          <w:rFonts w:ascii="Arial" w:cs="Arial" w:eastAsia="Arial" w:hAnsi="Arial"/>
          <w:sz w:val="19"/>
          <w:szCs w:val="19"/>
          <w:color w:val="auto"/>
        </w:rPr>
      </w:pPr>
    </w:p>
    <w:p>
      <w:pPr>
        <w:ind w:left="1320" w:hanging="444"/>
        <w:spacing w:after="0"/>
        <w:tabs>
          <w:tab w:leader="none" w:pos="1320" w:val="left"/>
        </w:tabs>
        <w:numPr>
          <w:ilvl w:val="1"/>
          <w:numId w:val="94"/>
        </w:numPr>
        <w:rPr>
          <w:rFonts w:ascii="Arial" w:cs="Arial" w:eastAsia="Arial" w:hAnsi="Arial"/>
          <w:sz w:val="19"/>
          <w:szCs w:val="19"/>
          <w:color w:val="auto"/>
        </w:rPr>
      </w:pPr>
      <w:r>
        <w:rPr>
          <w:rFonts w:ascii="Arial" w:cs="Arial" w:eastAsia="Arial" w:hAnsi="Arial"/>
          <w:sz w:val="19"/>
          <w:szCs w:val="19"/>
          <w:color w:val="auto"/>
        </w:rPr>
        <w:t>the terms “this Agreement”, “hereof”, “herein”, “hereunder” and similar expressions refer to this Agreement;</w:t>
      </w:r>
    </w:p>
    <w:p>
      <w:pPr>
        <w:spacing w:after="0" w:line="102" w:lineRule="exact"/>
        <w:rPr>
          <w:rFonts w:ascii="Arial" w:cs="Arial" w:eastAsia="Arial" w:hAnsi="Arial"/>
          <w:sz w:val="19"/>
          <w:szCs w:val="19"/>
          <w:color w:val="auto"/>
        </w:rPr>
      </w:pPr>
    </w:p>
    <w:p>
      <w:pPr>
        <w:ind w:left="1320" w:hanging="444"/>
        <w:spacing w:after="0" w:line="291" w:lineRule="auto"/>
        <w:tabs>
          <w:tab w:leader="none" w:pos="13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 statute or statutory instrument or any of their provisions is to be construed as a reference to that statute or statutory instrument or such provision as the same may have been or may from time to time hereafter be amended or re-enacted;</w:t>
      </w:r>
    </w:p>
    <w:p>
      <w:pPr>
        <w:spacing w:after="0" w:line="37" w:lineRule="exact"/>
        <w:rPr>
          <w:rFonts w:ascii="Arial" w:cs="Arial" w:eastAsia="Arial" w:hAnsi="Arial"/>
          <w:sz w:val="18"/>
          <w:szCs w:val="18"/>
          <w:color w:val="auto"/>
        </w:rPr>
      </w:pPr>
    </w:p>
    <w:p>
      <w:pPr>
        <w:ind w:left="1320" w:hanging="444"/>
        <w:spacing w:after="0"/>
        <w:tabs>
          <w:tab w:leader="none" w:pos="1320" w:val="left"/>
        </w:tabs>
        <w:numPr>
          <w:ilvl w:val="1"/>
          <w:numId w:val="94"/>
        </w:numPr>
        <w:rPr>
          <w:rFonts w:ascii="Arial" w:cs="Arial" w:eastAsia="Arial" w:hAnsi="Arial"/>
          <w:sz w:val="19"/>
          <w:szCs w:val="19"/>
          <w:color w:val="auto"/>
        </w:rPr>
      </w:pPr>
      <w:r>
        <w:rPr>
          <w:rFonts w:ascii="Arial" w:cs="Arial" w:eastAsia="Arial" w:hAnsi="Arial"/>
          <w:sz w:val="19"/>
          <w:szCs w:val="19"/>
          <w:color w:val="auto"/>
        </w:rPr>
        <w:t>all references to the singular shall include the plural and vice versa;</w:t>
      </w:r>
    </w:p>
    <w:p>
      <w:pPr>
        <w:spacing w:after="0" w:line="102" w:lineRule="exact"/>
        <w:rPr>
          <w:rFonts w:ascii="Arial" w:cs="Arial" w:eastAsia="Arial" w:hAnsi="Arial"/>
          <w:sz w:val="19"/>
          <w:szCs w:val="19"/>
          <w:color w:val="auto"/>
        </w:rPr>
      </w:pPr>
    </w:p>
    <w:p>
      <w:pPr>
        <w:ind w:left="1320" w:hanging="444"/>
        <w:spacing w:after="0"/>
        <w:tabs>
          <w:tab w:leader="none" w:pos="1320" w:val="left"/>
        </w:tabs>
        <w:numPr>
          <w:ilvl w:val="1"/>
          <w:numId w:val="94"/>
        </w:numPr>
        <w:rPr>
          <w:rFonts w:ascii="Arial" w:cs="Arial" w:eastAsia="Arial" w:hAnsi="Arial"/>
          <w:sz w:val="19"/>
          <w:szCs w:val="19"/>
          <w:color w:val="auto"/>
        </w:rPr>
      </w:pPr>
      <w:r>
        <w:rPr>
          <w:rFonts w:ascii="Arial" w:cs="Arial" w:eastAsia="Arial" w:hAnsi="Arial"/>
          <w:sz w:val="19"/>
          <w:szCs w:val="19"/>
          <w:color w:val="auto"/>
        </w:rPr>
        <w:t>the term “including” shall mean “including without limitation”; and</w:t>
      </w:r>
    </w:p>
    <w:p>
      <w:pPr>
        <w:spacing w:after="0" w:line="102" w:lineRule="exact"/>
        <w:rPr>
          <w:rFonts w:ascii="Arial" w:cs="Arial" w:eastAsia="Arial" w:hAnsi="Arial"/>
          <w:sz w:val="19"/>
          <w:szCs w:val="19"/>
          <w:color w:val="auto"/>
        </w:rPr>
      </w:pPr>
    </w:p>
    <w:p>
      <w:pPr>
        <w:jc w:val="both"/>
        <w:ind w:left="1320" w:hanging="444"/>
        <w:spacing w:after="0" w:line="251" w:lineRule="auto"/>
        <w:tabs>
          <w:tab w:leader="none" w:pos="1320" w:val="left"/>
        </w:tabs>
        <w:numPr>
          <w:ilvl w:val="1"/>
          <w:numId w:val="94"/>
        </w:numPr>
        <w:rPr>
          <w:rFonts w:ascii="Arial" w:cs="Arial" w:eastAsia="Arial" w:hAnsi="Arial"/>
          <w:sz w:val="19"/>
          <w:szCs w:val="19"/>
          <w:color w:val="auto"/>
        </w:rPr>
      </w:pPr>
      <w:r>
        <w:rPr>
          <w:rFonts w:ascii="Arial" w:cs="Arial" w:eastAsia="Arial" w:hAnsi="Arial"/>
          <w:sz w:val="19"/>
          <w:szCs w:val="19"/>
          <w:color w:val="auto"/>
        </w:rPr>
        <w:t>any reference in this Agreement to a “day” or “week” shall be references to a calendar day or week. Where express reference is made to “business day(s)” any such reference shall mean a day (with the exception of Saturday and Sunday) on which banks are open in Austria and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325755</wp:posOffset>
            </wp:positionV>
            <wp:extent cx="713867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22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322" w:right="339" w:bottom="1440" w:gutter="0" w:footer="0" w:header="0"/>
        </w:sectPr>
      </w:pPr>
    </w:p>
    <w:bookmarkStart w:id="183" w:name="page184"/>
    <w:bookmarkEnd w:id="183"/>
    <w:p>
      <w:pPr>
        <w:jc w:val="center"/>
        <w:ind w:right="-1100"/>
        <w:spacing w:after="0"/>
        <w:rPr>
          <w:sz w:val="20"/>
          <w:szCs w:val="20"/>
          <w:color w:val="auto"/>
        </w:rPr>
      </w:pPr>
      <w:r>
        <w:rPr>
          <w:rFonts w:ascii="Arial" w:cs="Arial" w:eastAsia="Arial" w:hAnsi="Arial"/>
          <w:sz w:val="19"/>
          <w:szCs w:val="19"/>
          <w:b w:val="1"/>
          <w:bCs w:val="1"/>
          <w:u w:val="single" w:color="auto"/>
          <w:color w:val="auto"/>
        </w:rPr>
        <w:t>Annex 2</w:t>
      </w:r>
    </w:p>
    <w:p>
      <w:pPr>
        <w:spacing w:after="0" w:line="103"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LETTER OF INTENT</w:t>
      </w:r>
    </w:p>
    <w:p>
      <w:pPr>
        <w:spacing w:after="0" w:line="218" w:lineRule="exact"/>
        <w:rPr>
          <w:sz w:val="20"/>
          <w:szCs w:val="20"/>
          <w:color w:val="auto"/>
        </w:rPr>
      </w:pPr>
    </w:p>
    <w:p>
      <w:pPr>
        <w:ind w:left="5420"/>
        <w:spacing w:after="0"/>
        <w:rPr>
          <w:sz w:val="20"/>
          <w:szCs w:val="20"/>
          <w:color w:val="auto"/>
        </w:rPr>
      </w:pP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561340</wp:posOffset>
            </wp:positionV>
            <wp:extent cx="71386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23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0139"/>
          </w:cols>
          <w:pgMar w:left="320" w:top="323" w:right="1440" w:bottom="1440" w:gutter="0" w:footer="0" w:header="0"/>
        </w:sectPr>
      </w:pPr>
    </w:p>
    <w:bookmarkStart w:id="184" w:name="page185"/>
    <w:bookmarkEnd w:id="184"/>
    <w:p>
      <w:pPr>
        <w:jc w:val="center"/>
        <w:ind w:right="-1100"/>
        <w:spacing w:after="0"/>
        <w:rPr>
          <w:sz w:val="20"/>
          <w:szCs w:val="20"/>
          <w:color w:val="auto"/>
        </w:rPr>
      </w:pPr>
      <w:r>
        <w:rPr>
          <w:rFonts w:ascii="Arial" w:cs="Arial" w:eastAsia="Arial" w:hAnsi="Arial"/>
          <w:sz w:val="19"/>
          <w:szCs w:val="19"/>
          <w:b w:val="1"/>
          <w:bCs w:val="1"/>
          <w:u w:val="single" w:color="auto"/>
          <w:color w:val="auto"/>
        </w:rPr>
        <w:t>Annex 3</w:t>
      </w:r>
    </w:p>
    <w:p>
      <w:pPr>
        <w:spacing w:after="0" w:line="103" w:lineRule="exact"/>
        <w:rPr>
          <w:sz w:val="20"/>
          <w:szCs w:val="20"/>
          <w:color w:val="auto"/>
        </w:rPr>
      </w:pPr>
    </w:p>
    <w:p>
      <w:pPr>
        <w:jc w:val="center"/>
        <w:ind w:right="-1100"/>
        <w:spacing w:after="0"/>
        <w:rPr>
          <w:sz w:val="20"/>
          <w:szCs w:val="20"/>
          <w:color w:val="auto"/>
        </w:rPr>
      </w:pPr>
      <w:r>
        <w:rPr>
          <w:rFonts w:ascii="Arial" w:cs="Arial" w:eastAsia="Arial" w:hAnsi="Arial"/>
          <w:sz w:val="19"/>
          <w:szCs w:val="19"/>
          <w:b w:val="1"/>
          <w:bCs w:val="1"/>
          <w:color w:val="auto"/>
        </w:rPr>
        <w:t>FURTHER IMPLEMENTATION SERVICES</w:t>
      </w:r>
    </w:p>
    <w:p>
      <w:pPr>
        <w:spacing w:after="0" w:line="218" w:lineRule="exact"/>
        <w:rPr>
          <w:sz w:val="20"/>
          <w:szCs w:val="20"/>
          <w:color w:val="auto"/>
        </w:rPr>
      </w:pPr>
    </w:p>
    <w:p>
      <w:pPr>
        <w:ind w:left="5420"/>
        <w:spacing w:after="0"/>
        <w:rPr>
          <w:sz w:val="20"/>
          <w:szCs w:val="20"/>
          <w:color w:val="auto"/>
        </w:rPr>
      </w:pP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422275</wp:posOffset>
            </wp:positionV>
            <wp:extent cx="713867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24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185" w:name="page186"/>
    <w:bookmarkEnd w:id="185"/>
    <w:p>
      <w:pPr>
        <w:jc w:val="center"/>
        <w:ind w:right="-1100"/>
        <w:spacing w:after="0"/>
        <w:rPr>
          <w:sz w:val="20"/>
          <w:szCs w:val="20"/>
          <w:color w:val="auto"/>
        </w:rPr>
      </w:pPr>
      <w:r>
        <w:rPr>
          <w:rFonts w:ascii="Arial" w:cs="Arial" w:eastAsia="Arial" w:hAnsi="Arial"/>
          <w:sz w:val="19"/>
          <w:szCs w:val="19"/>
          <w:b w:val="1"/>
          <w:bCs w:val="1"/>
          <w:u w:val="single" w:color="auto"/>
          <w:color w:val="auto"/>
        </w:rPr>
        <w:t>Annex 4</w:t>
      </w:r>
    </w:p>
    <w:p>
      <w:pPr>
        <w:spacing w:after="0" w:line="10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BULK SPECIFICATIONS</w:t>
      </w:r>
    </w:p>
    <w:p>
      <w:pPr>
        <w:spacing w:after="0" w:line="230" w:lineRule="exact"/>
        <w:rPr>
          <w:sz w:val="20"/>
          <w:szCs w:val="20"/>
          <w:color w:val="auto"/>
        </w:rPr>
      </w:pPr>
    </w:p>
    <w:p>
      <w:pPr>
        <w:ind w:left="5420"/>
        <w:spacing w:after="0"/>
        <w:rPr>
          <w:sz w:val="20"/>
          <w:szCs w:val="20"/>
          <w:color w:val="auto"/>
        </w:rPr>
      </w:pPr>
      <w:r>
        <w:rPr>
          <w:rFonts w:ascii="Arial" w:cs="Arial" w:eastAsia="Arial" w:hAnsi="Arial"/>
          <w:sz w:val="19"/>
          <w:szCs w:val="1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283845</wp:posOffset>
            </wp:positionV>
            <wp:extent cx="713867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25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0139"/>
          </w:cols>
          <w:pgMar w:left="320" w:top="322" w:right="1440" w:bottom="1440" w:gutter="0" w:footer="0" w:header="0"/>
        </w:sectPr>
      </w:pPr>
    </w:p>
    <w:bookmarkStart w:id="186" w:name="page187"/>
    <w:bookmarkEnd w:id="186"/>
    <w:p>
      <w:pPr>
        <w:jc w:val="center"/>
        <w:ind w:right="-1100"/>
        <w:spacing w:after="0"/>
        <w:rPr>
          <w:sz w:val="20"/>
          <w:szCs w:val="20"/>
          <w:color w:val="auto"/>
        </w:rPr>
      </w:pPr>
      <w:r>
        <w:rPr>
          <w:rFonts w:ascii="Arial" w:cs="Arial" w:eastAsia="Arial" w:hAnsi="Arial"/>
          <w:sz w:val="19"/>
          <w:szCs w:val="19"/>
          <w:b w:val="1"/>
          <w:bCs w:val="1"/>
          <w:u w:val="single" w:color="auto"/>
          <w:color w:val="auto"/>
        </w:rPr>
        <w:t>Annex 5</w:t>
      </w:r>
    </w:p>
    <w:p>
      <w:pPr>
        <w:spacing w:after="0" w:line="10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PACKAGING PROCESS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Finished Products - Specifications:</w:t>
      </w:r>
    </w:p>
    <w:p>
      <w:pPr>
        <w:spacing w:after="0" w:line="319"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Process Flow Chart:</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266700</wp:posOffset>
            </wp:positionV>
            <wp:extent cx="713867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26 of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80580" cy="419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0139"/>
          </w:cols>
          <w:pgMar w:left="320" w:top="541" w:right="1440" w:bottom="1440" w:gutter="0" w:footer="0" w:header="0"/>
        </w:sectPr>
      </w:pPr>
    </w:p>
    <w:bookmarkStart w:id="187" w:name="page188"/>
    <w:bookmarkEnd w:id="187"/>
    <w:p>
      <w:pPr>
        <w:ind w:left="5300"/>
        <w:spacing w:after="0"/>
        <w:rPr>
          <w:sz w:val="20"/>
          <w:szCs w:val="20"/>
          <w:color w:val="auto"/>
        </w:rPr>
      </w:pPr>
      <w:r>
        <w:rPr>
          <w:rFonts w:ascii="Arial" w:cs="Arial" w:eastAsia="Arial" w:hAnsi="Arial"/>
          <w:sz w:val="16"/>
          <w:szCs w:val="16"/>
          <w:b w:val="1"/>
          <w:bCs w:val="1"/>
          <w:u w:val="single" w:color="auto"/>
          <w:color w:val="auto"/>
        </w:rPr>
        <w:t>Annex 6</w:t>
      </w:r>
    </w:p>
    <w:p>
      <w:pPr>
        <w:spacing w:after="0" w:line="137" w:lineRule="exact"/>
        <w:rPr>
          <w:sz w:val="20"/>
          <w:szCs w:val="20"/>
          <w:color w:val="auto"/>
        </w:rPr>
      </w:pPr>
    </w:p>
    <w:p>
      <w:pPr>
        <w:jc w:val="right"/>
        <w:ind w:right="4179"/>
        <w:spacing w:after="0"/>
        <w:rPr>
          <w:sz w:val="20"/>
          <w:szCs w:val="20"/>
          <w:color w:val="auto"/>
        </w:rPr>
      </w:pPr>
      <w:r>
        <w:rPr>
          <w:rFonts w:ascii="Arial" w:cs="Arial" w:eastAsia="Arial" w:hAnsi="Arial"/>
          <w:sz w:val="19"/>
          <w:szCs w:val="19"/>
          <w:b w:val="1"/>
          <w:bCs w:val="1"/>
          <w:color w:val="auto"/>
        </w:rPr>
        <w:t>PRICES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Product Price and MOQ</w:t>
      </w:r>
    </w:p>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1386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195" w:lineRule="exact"/>
        <w:rPr>
          <w:sz w:val="20"/>
          <w:szCs w:val="20"/>
          <w:color w:val="auto"/>
        </w:rPr>
      </w:pPr>
    </w:p>
    <w:p>
      <w:pPr>
        <w:spacing w:after="0"/>
        <w:tabs>
          <w:tab w:leader="none" w:pos="2680" w:val="left"/>
        </w:tabs>
        <w:rPr>
          <w:sz w:val="20"/>
          <w:szCs w:val="20"/>
          <w:color w:val="auto"/>
        </w:rPr>
      </w:pPr>
      <w:r>
        <w:rPr>
          <w:rFonts w:ascii="Arial" w:cs="Arial" w:eastAsia="Arial" w:hAnsi="Arial"/>
          <w:sz w:val="17"/>
          <w:szCs w:val="17"/>
          <w:color w:val="auto"/>
        </w:rPr>
        <w:t>Execution Version 2020/12/30</w:t>
      </w:r>
      <w:r>
        <w:rPr>
          <w:sz w:val="20"/>
          <w:szCs w:val="20"/>
          <w:color w:val="auto"/>
        </w:rPr>
        <w:tab/>
      </w:r>
      <w:r>
        <w:rPr>
          <w:rFonts w:ascii="Arial" w:cs="Arial" w:eastAsia="Arial" w:hAnsi="Arial"/>
          <w:sz w:val="15"/>
          <w:szCs w:val="15"/>
          <w:color w:val="auto"/>
        </w:rPr>
        <w:t>Page 27 of 27</w:t>
      </w:r>
    </w:p>
    <w:p>
      <w:pPr>
        <w:sectPr>
          <w:pgSz w:w="11900" w:h="16838" w:orient="portrait"/>
          <w:cols w:equalWidth="0" w:num="1">
            <w:col w:w="10139"/>
          </w:cols>
          <w:pgMar w:left="320" w:top="322" w:right="1440" w:bottom="1440" w:gutter="0" w:footer="0" w:header="0"/>
        </w:sectPr>
      </w:pPr>
    </w:p>
    <w:bookmarkStart w:id="188" w:name="page189"/>
    <w:bookmarkEnd w:id="188"/>
    <w:p>
      <w:pPr>
        <w:ind w:left="10280"/>
        <w:spacing w:after="0"/>
        <w:rPr>
          <w:sz w:val="20"/>
          <w:szCs w:val="20"/>
          <w:color w:val="auto"/>
        </w:rPr>
      </w:pPr>
      <w:r>
        <w:rPr>
          <w:rFonts w:ascii="Arial" w:cs="Arial" w:eastAsia="Arial" w:hAnsi="Arial"/>
          <w:sz w:val="15"/>
          <w:szCs w:val="15"/>
          <w:b w:val="1"/>
          <w:bCs w:val="1"/>
          <w:color w:val="auto"/>
        </w:rPr>
        <w:t>Exhibit 10.22</w:t>
      </w:r>
    </w:p>
    <w:p>
      <w:pPr>
        <w:spacing w:after="0" w:line="50" w:lineRule="exact"/>
        <w:rPr>
          <w:sz w:val="20"/>
          <w:szCs w:val="20"/>
          <w:color w:val="auto"/>
        </w:rPr>
      </w:pPr>
    </w:p>
    <w:p>
      <w:pPr>
        <w:ind w:right="300"/>
        <w:spacing w:after="0" w:line="258" w:lineRule="auto"/>
        <w:rPr>
          <w:sz w:val="20"/>
          <w:szCs w:val="20"/>
          <w:color w:val="auto"/>
        </w:rPr>
      </w:pPr>
      <w:r>
        <w:rPr>
          <w:rFonts w:ascii="Arial" w:cs="Arial" w:eastAsia="Arial" w:hAnsi="Arial"/>
          <w:sz w:val="17"/>
          <w:szCs w:val="17"/>
          <w:b w:val="1"/>
          <w:bCs w:val="1"/>
          <w:color w:val="auto"/>
        </w:rPr>
        <w:t>CERTAIN IDENTIFIED INFORMATION HAS BEEN EXCLUDED FROM THIS EXHIBIT BECAUSE IT IS NOT MATERIAL AND WOULD LIKELY CAUSE COMPETITIVE HARM TO THE REGISTRANT IF PUBLICLY DISCLOSED. THE OMISSIONS HAVE BEEN INDICATED BY “[***].”</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1 TO THE COMMERCIAL SUPPLY AGREEMENT</w:t>
      </w:r>
    </w:p>
    <w:p>
      <w:pPr>
        <w:spacing w:after="0" w:line="200" w:lineRule="exact"/>
        <w:rPr>
          <w:sz w:val="20"/>
          <w:szCs w:val="20"/>
          <w:color w:val="auto"/>
        </w:rPr>
      </w:pPr>
    </w:p>
    <w:p>
      <w:pPr>
        <w:spacing w:after="0" w:line="207"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This amendment 1 (this “</w:t>
      </w:r>
      <w:r>
        <w:rPr>
          <w:rFonts w:ascii="Arial" w:cs="Arial" w:eastAsia="Arial" w:hAnsi="Arial"/>
          <w:sz w:val="21"/>
          <w:szCs w:val="21"/>
          <w:u w:val="single" w:color="auto"/>
          <w:color w:val="auto"/>
        </w:rPr>
        <w:t>Amendment 1</w:t>
      </w:r>
      <w:r>
        <w:rPr>
          <w:rFonts w:ascii="Arial" w:cs="Arial" w:eastAsia="Arial" w:hAnsi="Arial"/>
          <w:sz w:val="21"/>
          <w:szCs w:val="21"/>
          <w:color w:val="auto"/>
        </w:rPr>
        <w:t xml:space="preserve">”) is made on December 1, 2020, to the commercial supply agreement effective on April 30, 2020 by and between </w:t>
      </w:r>
      <w:r>
        <w:rPr>
          <w:rFonts w:ascii="Arial" w:cs="Arial" w:eastAsia="Arial" w:hAnsi="Arial"/>
          <w:sz w:val="21"/>
          <w:szCs w:val="21"/>
          <w:b w:val="1"/>
          <w:bCs w:val="1"/>
          <w:color w:val="auto"/>
        </w:rPr>
        <w:t>Takeda Pharmaceutical Company Limited</w:t>
      </w:r>
      <w:r>
        <w:rPr>
          <w:rFonts w:ascii="Arial" w:cs="Arial" w:eastAsia="Arial" w:hAnsi="Arial"/>
          <w:sz w:val="21"/>
          <w:szCs w:val="21"/>
          <w:color w:val="auto"/>
        </w:rPr>
        <w:t>, a company incorporated under the laws of Japan having its principal place of business at 1-1, Doshomachi 4-chome, Chuo-ku, Osaka 540-8645, Japan (“</w:t>
      </w:r>
      <w:r>
        <w:rPr>
          <w:rFonts w:ascii="Arial" w:cs="Arial" w:eastAsia="Arial" w:hAnsi="Arial"/>
          <w:sz w:val="21"/>
          <w:szCs w:val="21"/>
          <w:u w:val="single" w:color="auto"/>
          <w:color w:val="auto"/>
        </w:rPr>
        <w:t>Takeda</w:t>
      </w:r>
      <w:r>
        <w:rPr>
          <w:rFonts w:ascii="Arial" w:cs="Arial" w:eastAsia="Arial" w:hAnsi="Arial"/>
          <w:sz w:val="21"/>
          <w:szCs w:val="21"/>
          <w:color w:val="auto"/>
        </w:rPr>
        <w:t xml:space="preserve">”) and </w:t>
      </w:r>
      <w:r>
        <w:rPr>
          <w:rFonts w:ascii="Arial" w:cs="Arial" w:eastAsia="Arial" w:hAnsi="Arial"/>
          <w:sz w:val="21"/>
          <w:szCs w:val="21"/>
          <w:b w:val="1"/>
          <w:bCs w:val="1"/>
          <w:color w:val="auto"/>
        </w:rPr>
        <w:t>Phathom Pharmaceuticals,</w:t>
      </w:r>
      <w:r>
        <w:rPr>
          <w:rFonts w:ascii="Arial" w:cs="Arial" w:eastAsia="Arial" w:hAnsi="Arial"/>
          <w:sz w:val="21"/>
          <w:szCs w:val="21"/>
          <w:color w:val="auto"/>
        </w:rPr>
        <w:t xml:space="preserve"> </w:t>
      </w:r>
      <w:r>
        <w:rPr>
          <w:rFonts w:ascii="Arial" w:cs="Arial" w:eastAsia="Arial" w:hAnsi="Arial"/>
          <w:sz w:val="21"/>
          <w:szCs w:val="21"/>
          <w:b w:val="1"/>
          <w:bCs w:val="1"/>
          <w:color w:val="auto"/>
        </w:rPr>
        <w:t>Inc</w:t>
      </w:r>
      <w:r>
        <w:rPr>
          <w:rFonts w:ascii="Arial" w:cs="Arial" w:eastAsia="Arial" w:hAnsi="Arial"/>
          <w:sz w:val="21"/>
          <w:szCs w:val="21"/>
          <w:color w:val="auto"/>
        </w:rPr>
        <w:t>., a company incorporated under the laws of Delaware having its principal place of business at 2150 E. Lake Cook Road, Suite 800,</w:t>
      </w:r>
      <w:r>
        <w:rPr>
          <w:rFonts w:ascii="Arial" w:cs="Arial" w:eastAsia="Arial" w:hAnsi="Arial"/>
          <w:sz w:val="21"/>
          <w:szCs w:val="21"/>
          <w:b w:val="1"/>
          <w:bCs w:val="1"/>
          <w:color w:val="auto"/>
        </w:rPr>
        <w:t xml:space="preserve"> </w:t>
      </w:r>
      <w:r>
        <w:rPr>
          <w:rFonts w:ascii="Arial" w:cs="Arial" w:eastAsia="Arial" w:hAnsi="Arial"/>
          <w:sz w:val="21"/>
          <w:szCs w:val="21"/>
          <w:color w:val="auto"/>
        </w:rPr>
        <w:t>Buffalo Grove, Illinois 60089, U.S.A. (“</w:t>
      </w:r>
      <w:r>
        <w:rPr>
          <w:rFonts w:ascii="Arial" w:cs="Arial" w:eastAsia="Arial" w:hAnsi="Arial"/>
          <w:sz w:val="21"/>
          <w:szCs w:val="21"/>
          <w:u w:val="single" w:color="auto"/>
          <w:color w:val="auto"/>
        </w:rPr>
        <w:t>Company</w:t>
      </w:r>
      <w:r>
        <w:rPr>
          <w:rFonts w:ascii="Arial" w:cs="Arial" w:eastAsia="Arial" w:hAnsi="Arial"/>
          <w:sz w:val="21"/>
          <w:szCs w:val="21"/>
          <w:color w:val="auto"/>
        </w:rPr>
        <w:t>”). Takeda and Company are referred to herein individually as a “Party” and collectively as the “Parties.”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RECITALS</w:t>
      </w:r>
    </w:p>
    <w:p>
      <w:pPr>
        <w:spacing w:after="0" w:line="201" w:lineRule="exact"/>
        <w:rPr>
          <w:sz w:val="20"/>
          <w:szCs w:val="20"/>
          <w:color w:val="auto"/>
        </w:rPr>
      </w:pPr>
    </w:p>
    <w:p>
      <w:pPr>
        <w:jc w:val="both"/>
        <w:ind w:firstLine="860"/>
        <w:spacing w:after="0" w:line="237" w:lineRule="auto"/>
        <w:rPr>
          <w:sz w:val="20"/>
          <w:szCs w:val="20"/>
          <w:color w:val="auto"/>
        </w:rPr>
      </w:pPr>
      <w:r>
        <w:rPr>
          <w:rFonts w:ascii="Arial" w:cs="Arial" w:eastAsia="Arial" w:hAnsi="Arial"/>
          <w:sz w:val="21"/>
          <w:szCs w:val="21"/>
          <w:color w:val="auto"/>
        </w:rPr>
        <w:t>WHEREAS, Takeda and Company are parties to that certain License Agreement effective as of May 7, 2019 (“License Agreement”) pursuant to which Takeda granted to Company a license in the Field in the Territory to Develop and exclusively Commercialize pharmaceutical products containing the Compound (as those terms are defined in the Licensed Agreement), and referred to as “Products” in the License Agreement, in the Field in the Territory;</w:t>
      </w:r>
    </w:p>
    <w:p>
      <w:pPr>
        <w:spacing w:after="0" w:line="177" w:lineRule="exact"/>
        <w:rPr>
          <w:sz w:val="20"/>
          <w:szCs w:val="20"/>
          <w:color w:val="auto"/>
        </w:rPr>
      </w:pPr>
    </w:p>
    <w:p>
      <w:pPr>
        <w:jc w:val="both"/>
        <w:ind w:firstLine="860"/>
        <w:spacing w:after="0"/>
        <w:rPr>
          <w:sz w:val="20"/>
          <w:szCs w:val="20"/>
          <w:color w:val="auto"/>
        </w:rPr>
      </w:pPr>
      <w:r>
        <w:rPr>
          <w:rFonts w:ascii="Arial" w:cs="Arial" w:eastAsia="Arial" w:hAnsi="Arial"/>
          <w:sz w:val="21"/>
          <w:szCs w:val="21"/>
          <w:color w:val="auto"/>
        </w:rPr>
        <w:t>WHEREAS, the Parties have also entered into a Commercial Supply Agreement effective on April 30, 2020 (the “Agreement”) pursuant to which Takeda has agreed to supply to Company, and Company has agreed to purchase from Takeda, certain quantities of Bulk Drug Product to Commercialize the Product in the Territory;</w:t>
      </w:r>
    </w:p>
    <w:p>
      <w:pPr>
        <w:spacing w:after="0" w:line="175" w:lineRule="exact"/>
        <w:rPr>
          <w:sz w:val="20"/>
          <w:szCs w:val="20"/>
          <w:color w:val="auto"/>
        </w:rPr>
      </w:pPr>
    </w:p>
    <w:p>
      <w:pPr>
        <w:jc w:val="both"/>
        <w:ind w:firstLine="860"/>
        <w:spacing w:after="0"/>
        <w:rPr>
          <w:sz w:val="20"/>
          <w:szCs w:val="20"/>
          <w:color w:val="auto"/>
        </w:rPr>
      </w:pPr>
      <w:r>
        <w:rPr>
          <w:rFonts w:ascii="Arial" w:cs="Arial" w:eastAsia="Arial" w:hAnsi="Arial"/>
          <w:sz w:val="21"/>
          <w:szCs w:val="21"/>
          <w:color w:val="auto"/>
        </w:rPr>
        <w:t>WHEREAS, the Parties have now agreed that (i) Company has the option to order certain quantities of API instead of Bulk Drug Product pursuant to the Agreement, and (ii) that PSPA reference standard shall be added to the list of Additional Materials to Support Tech Transfer specified in Exhibit 3 of the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rPr>
          <w:sz w:val="20"/>
          <w:szCs w:val="20"/>
          <w:color w:val="auto"/>
        </w:rPr>
      </w:pPr>
      <w:r>
        <w:rPr>
          <w:rFonts w:ascii="Arial" w:cs="Arial" w:eastAsia="Arial" w:hAnsi="Arial"/>
          <w:sz w:val="21"/>
          <w:szCs w:val="21"/>
          <w:color w:val="auto"/>
        </w:rPr>
        <w:t>NOW, THEREFORE, and in consideration of the mutual covenants contained in this Agreement and other good and valuable consideration, the receipt and sufficiency of which are hereby acknowledged, the Parties, intending to be legally bound,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584835</wp:posOffset>
            </wp:positionV>
            <wp:extent cx="7180580" cy="4191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ind w:left="760" w:hanging="757"/>
        <w:spacing w:after="0"/>
        <w:tabs>
          <w:tab w:leader="none" w:pos="760"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color w:val="auto"/>
        </w:rPr>
        <w:t>DEFINITIONS</w:t>
      </w:r>
    </w:p>
    <w:p>
      <w:pPr>
        <w:spacing w:after="0" w:line="201" w:lineRule="exact"/>
        <w:rPr>
          <w:sz w:val="20"/>
          <w:szCs w:val="20"/>
          <w:color w:val="auto"/>
        </w:rPr>
      </w:pPr>
    </w:p>
    <w:p>
      <w:pPr>
        <w:ind w:left="840" w:hanging="834"/>
        <w:spacing w:after="0" w:line="251" w:lineRule="auto"/>
        <w:tabs>
          <w:tab w:leader="none" w:pos="8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21"/>
          <w:szCs w:val="21"/>
          <w:color w:val="auto"/>
        </w:rPr>
        <w:t>Unless otherwise defined herein, capitalized words in this Amendment 1, including in its preamble, shall have the same meaning as defined in the Agreement or in the License Agreement.</w:t>
      </w:r>
    </w:p>
    <w:p>
      <w:pPr>
        <w:spacing w:after="0" w:line="363" w:lineRule="exact"/>
        <w:rPr>
          <w:sz w:val="20"/>
          <w:szCs w:val="20"/>
          <w:color w:val="auto"/>
        </w:rPr>
      </w:pPr>
    </w:p>
    <w:p>
      <w:pPr>
        <w:ind w:left="760" w:hanging="757"/>
        <w:spacing w:after="0"/>
        <w:tabs>
          <w:tab w:leader="none" w:pos="760"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color w:val="auto"/>
        </w:rPr>
        <w:t>AMENDMENT</w:t>
      </w:r>
    </w:p>
    <w:p>
      <w:pPr>
        <w:spacing w:after="0" w:line="201" w:lineRule="exact"/>
        <w:rPr>
          <w:sz w:val="20"/>
          <w:szCs w:val="20"/>
          <w:color w:val="auto"/>
        </w:rPr>
      </w:pPr>
    </w:p>
    <w:p>
      <w:pPr>
        <w:jc w:val="both"/>
        <w:ind w:left="840" w:hanging="834"/>
        <w:spacing w:after="0" w:line="262" w:lineRule="auto"/>
        <w:tabs>
          <w:tab w:leader="none" w:pos="820" w:val="left"/>
        </w:tabs>
        <w:rPr>
          <w:sz w:val="20"/>
          <w:szCs w:val="20"/>
          <w:color w:val="auto"/>
        </w:rPr>
      </w:pPr>
      <w:r>
        <w:rPr>
          <w:rFonts w:ascii="Arial" w:cs="Arial" w:eastAsia="Arial" w:hAnsi="Arial"/>
          <w:sz w:val="21"/>
          <w:szCs w:val="21"/>
          <w:color w:val="auto"/>
        </w:rPr>
        <w:t>2.1</w:t>
      </w:r>
      <w:r>
        <w:rPr>
          <w:sz w:val="20"/>
          <w:szCs w:val="20"/>
          <w:color w:val="auto"/>
        </w:rPr>
        <w:tab/>
      </w:r>
      <w:r>
        <w:rPr>
          <w:rFonts w:ascii="Arial" w:cs="Arial" w:eastAsia="Arial" w:hAnsi="Arial"/>
          <w:sz w:val="19"/>
          <w:szCs w:val="19"/>
          <w:color w:val="auto"/>
        </w:rPr>
        <w:t>The Parties have agreed that the Company has the option to order API instead of Bulk Drug Product, up to the amount of API required to produce the corresponding maximum order quantities of Bulk Drug Product agreed by the Parties in Exhibit 2 of the Agreement. For the sake of clarity, it is acknowledged that (i) any order of API shall be made by the Company in accordance with the agreed delivery forecast specified in Exhibit 3 (minus the 2 months period to allow for conversion of the API to bulk tablets in case of bulk tablets production), and (ii) the price for such API that the Company may order under the Agreement, as amended by this Amendment 1 is the price specified in paragraph 4. Stage 2 Process Qualification in Exhibit 3 for supply of API for scale-up and validation processes purposes.</w:t>
      </w:r>
    </w:p>
    <w:p>
      <w:pPr>
        <w:spacing w:after="0" w:line="155" w:lineRule="exact"/>
        <w:rPr>
          <w:sz w:val="20"/>
          <w:szCs w:val="20"/>
          <w:color w:val="auto"/>
        </w:rPr>
      </w:pPr>
    </w:p>
    <w:p>
      <w:pPr>
        <w:jc w:val="both"/>
        <w:ind w:left="840" w:hanging="834"/>
        <w:spacing w:after="0" w:line="235" w:lineRule="auto"/>
        <w:tabs>
          <w:tab w:leader="none" w:pos="820" w:val="left"/>
        </w:tabs>
        <w:rPr>
          <w:sz w:val="20"/>
          <w:szCs w:val="20"/>
          <w:color w:val="auto"/>
        </w:rPr>
      </w:pPr>
      <w:r>
        <w:rPr>
          <w:rFonts w:ascii="Arial" w:cs="Arial" w:eastAsia="Arial" w:hAnsi="Arial"/>
          <w:sz w:val="21"/>
          <w:szCs w:val="21"/>
          <w:color w:val="auto"/>
        </w:rPr>
        <w:t>2.2</w:t>
      </w:r>
      <w:r>
        <w:rPr>
          <w:sz w:val="20"/>
          <w:szCs w:val="20"/>
          <w:color w:val="auto"/>
        </w:rPr>
        <w:tab/>
      </w:r>
      <w:r>
        <w:rPr>
          <w:rFonts w:ascii="Arial" w:cs="Arial" w:eastAsia="Arial" w:hAnsi="Arial"/>
          <w:sz w:val="21"/>
          <w:szCs w:val="21"/>
          <w:color w:val="auto"/>
        </w:rPr>
        <w:t>Takeda has two manufacturing sites qualified to produce API [***] which Takeda may use to supply the Company with API. Takeda will decide at its discretion on the best feasible allocation between both sites, taking into consideration its available capacity and quality and regulatory status of those sites.</w:t>
      </w:r>
    </w:p>
    <w:p>
      <w:pPr>
        <w:spacing w:after="0" w:line="2" w:lineRule="exact"/>
        <w:rPr>
          <w:sz w:val="20"/>
          <w:szCs w:val="20"/>
          <w:color w:val="auto"/>
        </w:rPr>
      </w:pPr>
    </w:p>
    <w:p>
      <w:pPr>
        <w:jc w:val="both"/>
        <w:ind w:left="840" w:hanging="834"/>
        <w:spacing w:after="0" w:line="236" w:lineRule="auto"/>
        <w:tabs>
          <w:tab w:leader="none" w:pos="820" w:val="left"/>
        </w:tabs>
        <w:rPr>
          <w:sz w:val="20"/>
          <w:szCs w:val="20"/>
          <w:color w:val="auto"/>
        </w:rPr>
      </w:pPr>
      <w:r>
        <w:rPr>
          <w:rFonts w:ascii="Arial" w:cs="Arial" w:eastAsia="Arial" w:hAnsi="Arial"/>
          <w:sz w:val="21"/>
          <w:szCs w:val="21"/>
          <w:color w:val="auto"/>
        </w:rPr>
        <w:t>2.3</w:t>
      </w:r>
      <w:r>
        <w:rPr>
          <w:sz w:val="20"/>
          <w:szCs w:val="20"/>
          <w:color w:val="auto"/>
        </w:rPr>
        <w:tab/>
      </w:r>
      <w:r>
        <w:rPr>
          <w:rFonts w:ascii="Arial" w:cs="Arial" w:eastAsia="Arial" w:hAnsi="Arial"/>
          <w:sz w:val="21"/>
          <w:szCs w:val="21"/>
          <w:color w:val="auto"/>
        </w:rPr>
        <w:t>The Parties agree to amend Exhibit 3 of the Agreement to add the “PSPA Reference Standard” to the list of Additional Materials to Support Tech Transfer, under section 1. Analytical Method Transfer Reference Materials.</w:t>
      </w:r>
    </w:p>
    <w:p>
      <w:pPr>
        <w:spacing w:after="0" w:line="400" w:lineRule="exact"/>
        <w:rPr>
          <w:sz w:val="20"/>
          <w:szCs w:val="20"/>
          <w:color w:val="auto"/>
        </w:rPr>
      </w:pPr>
    </w:p>
    <w:p>
      <w:pPr>
        <w:ind w:left="760" w:hanging="757"/>
        <w:spacing w:after="0"/>
        <w:tabs>
          <w:tab w:leader="none" w:pos="760" w:val="left"/>
        </w:tabs>
        <w:numPr>
          <w:ilvl w:val="0"/>
          <w:numId w:val="97"/>
        </w:numPr>
        <w:rPr>
          <w:rFonts w:ascii="Arial" w:cs="Arial" w:eastAsia="Arial" w:hAnsi="Arial"/>
          <w:sz w:val="21"/>
          <w:szCs w:val="21"/>
          <w:b w:val="1"/>
          <w:bCs w:val="1"/>
          <w:color w:val="auto"/>
        </w:rPr>
      </w:pPr>
      <w:r>
        <w:rPr>
          <w:rFonts w:ascii="Arial" w:cs="Arial" w:eastAsia="Arial" w:hAnsi="Arial"/>
          <w:sz w:val="21"/>
          <w:szCs w:val="21"/>
          <w:b w:val="1"/>
          <w:bCs w:val="1"/>
          <w:color w:val="auto"/>
        </w:rPr>
        <w:t>MISCELLANEOUS</w:t>
      </w:r>
    </w:p>
    <w:p>
      <w:pPr>
        <w:spacing w:after="0" w:line="201" w:lineRule="exact"/>
        <w:rPr>
          <w:sz w:val="20"/>
          <w:szCs w:val="20"/>
          <w:color w:val="auto"/>
        </w:rPr>
      </w:pPr>
    </w:p>
    <w:p>
      <w:pPr>
        <w:spacing w:after="0"/>
        <w:tabs>
          <w:tab w:leader="none" w:pos="840" w:val="left"/>
        </w:tabs>
        <w:rPr>
          <w:sz w:val="20"/>
          <w:szCs w:val="20"/>
          <w:color w:val="auto"/>
        </w:rPr>
      </w:pPr>
      <w:r>
        <w:rPr>
          <w:rFonts w:ascii="Arial" w:cs="Arial" w:eastAsia="Arial" w:hAnsi="Arial"/>
          <w:sz w:val="21"/>
          <w:szCs w:val="21"/>
          <w:color w:val="auto"/>
        </w:rPr>
        <w:t>3.1</w:t>
      </w:r>
      <w:r>
        <w:rPr>
          <w:sz w:val="20"/>
          <w:szCs w:val="20"/>
          <w:color w:val="auto"/>
        </w:rPr>
        <w:tab/>
      </w:r>
      <w:r>
        <w:rPr>
          <w:rFonts w:ascii="Arial" w:cs="Arial" w:eastAsia="Arial" w:hAnsi="Arial"/>
          <w:sz w:val="17"/>
          <w:szCs w:val="17"/>
          <w:color w:val="auto"/>
        </w:rPr>
        <w:t>This Amendment 1 shall enter into force on the Effective Date for the term of the Agreement.</w:t>
      </w:r>
    </w:p>
    <w:p>
      <w:pPr>
        <w:spacing w:after="0" w:line="195" w:lineRule="exact"/>
        <w:rPr>
          <w:sz w:val="20"/>
          <w:szCs w:val="20"/>
          <w:color w:val="auto"/>
        </w:rPr>
      </w:pPr>
    </w:p>
    <w:p>
      <w:pPr>
        <w:ind w:left="840" w:hanging="834"/>
        <w:spacing w:after="0" w:line="251" w:lineRule="auto"/>
        <w:tabs>
          <w:tab w:leader="none" w:pos="820" w:val="left"/>
        </w:tabs>
        <w:rPr>
          <w:sz w:val="20"/>
          <w:szCs w:val="20"/>
          <w:color w:val="auto"/>
        </w:rPr>
      </w:pPr>
      <w:r>
        <w:rPr>
          <w:rFonts w:ascii="Arial" w:cs="Arial" w:eastAsia="Arial" w:hAnsi="Arial"/>
          <w:sz w:val="21"/>
          <w:szCs w:val="21"/>
          <w:color w:val="auto"/>
        </w:rPr>
        <w:t>3.2</w:t>
      </w:r>
      <w:r>
        <w:rPr>
          <w:sz w:val="20"/>
          <w:szCs w:val="20"/>
          <w:color w:val="auto"/>
        </w:rPr>
        <w:tab/>
      </w:r>
      <w:r>
        <w:rPr>
          <w:rFonts w:ascii="Arial" w:cs="Arial" w:eastAsia="Arial" w:hAnsi="Arial"/>
          <w:sz w:val="21"/>
          <w:szCs w:val="21"/>
          <w:color w:val="auto"/>
        </w:rPr>
        <w:t>All provisions of the Agreement, that do not contradict the terms set forth in this Amendment 1,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170180</wp:posOffset>
            </wp:positionV>
            <wp:extent cx="718058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190" w:name="page191"/>
    <w:bookmarkEnd w:id="190"/>
    <w:p>
      <w:pPr>
        <w:ind w:right="20"/>
        <w:spacing w:after="0" w:line="251" w:lineRule="auto"/>
        <w:rPr>
          <w:sz w:val="20"/>
          <w:szCs w:val="20"/>
          <w:color w:val="auto"/>
        </w:rPr>
      </w:pPr>
      <w:r>
        <w:rPr>
          <w:rFonts w:ascii="Arial" w:cs="Arial" w:eastAsia="Arial" w:hAnsi="Arial"/>
          <w:sz w:val="21"/>
          <w:szCs w:val="21"/>
          <w:color w:val="auto"/>
        </w:rPr>
        <w:t>IN WITNESS WHEREOF, the Parties hereto have caused this Amendment 1 to be executed by their duly authorized officers in two counterparts, each of which shall be deemed to be an original.</w:t>
      </w:r>
    </w:p>
    <w:p>
      <w:pPr>
        <w:sectPr>
          <w:pgSz w:w="11900" w:h="16838" w:orient="portrait"/>
          <w:cols w:equalWidth="0" w:num="1">
            <w:col w:w="11260"/>
          </w:cols>
          <w:pgMar w:left="320" w:top="555"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PHATHOM PHARMACEUTICALS,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TAKEDA PHARMACEUTICAL COMPANY</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LIMITED</w:t>
      </w:r>
    </w:p>
    <w:p>
      <w:pPr>
        <w:spacing w:after="0" w:line="200" w:lineRule="exact"/>
        <w:rPr>
          <w:sz w:val="20"/>
          <w:szCs w:val="20"/>
          <w:color w:val="auto"/>
        </w:rPr>
      </w:pPr>
    </w:p>
    <w:p>
      <w:pPr>
        <w:sectPr>
          <w:pgSz w:w="11900" w:h="16838" w:orient="portrait"/>
          <w:cols w:equalWidth="0" w:num="2">
            <w:col w:w="5480" w:space="720"/>
            <w:col w:w="5060"/>
          </w:cols>
          <w:pgMar w:left="320" w:top="555" w:right="31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/s/ Azmi Nabulsi</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/s/ Greg Timmons</w:t>
      </w:r>
    </w:p>
    <w:p>
      <w:pPr>
        <w:spacing w:after="0" w:line="223" w:lineRule="exact"/>
        <w:rPr>
          <w:sz w:val="20"/>
          <w:szCs w:val="20"/>
          <w:color w:val="auto"/>
        </w:rPr>
      </w:pPr>
    </w:p>
    <w:p>
      <w:pPr>
        <w:sectPr>
          <w:pgSz w:w="11900" w:h="16838" w:orient="portrait"/>
          <w:cols w:equalWidth="0" w:num="2">
            <w:col w:w="5560" w:space="720"/>
            <w:col w:w="4980"/>
          </w:cols>
          <w:pgMar w:left="320" w:top="555" w:right="319"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Arial" w:cs="Arial" w:eastAsia="Arial" w:hAnsi="Arial"/>
          <w:sz w:val="21"/>
          <w:szCs w:val="21"/>
          <w:color w:val="auto"/>
        </w:rPr>
        <w:t>Name : Azmi Nabulsi</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Title :Chief Operating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Name : Greg Timmons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Title : Senior Vice President, Head of Global Manufacturing</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21"/>
          <w:szCs w:val="21"/>
          <w:color w:val="auto"/>
        </w:rPr>
        <w:t>Supply, Japan</w:t>
      </w:r>
    </w:p>
    <w:p>
      <w:pPr>
        <w:spacing w:after="0" w:line="177" w:lineRule="exact"/>
        <w:rPr>
          <w:sz w:val="20"/>
          <w:szCs w:val="20"/>
          <w:color w:val="auto"/>
        </w:rPr>
      </w:pPr>
    </w:p>
    <w:p>
      <w:pPr>
        <w:sectPr>
          <w:pgSz w:w="11900" w:h="16838" w:orient="portrait"/>
          <w:cols w:equalWidth="0" w:num="2">
            <w:col w:w="5560" w:space="720"/>
            <w:col w:w="4980"/>
          </w:cols>
          <w:pgMar w:left="320" w:top="555" w:right="319" w:bottom="1440" w:gutter="0" w:footer="0" w:header="0"/>
          <w:type w:val="continuous"/>
        </w:sectPr>
      </w:pPr>
    </w:p>
    <w:p>
      <w:pPr>
        <w:spacing w:after="0"/>
        <w:rPr>
          <w:sz w:val="20"/>
          <w:szCs w:val="20"/>
          <w:color w:val="auto"/>
        </w:rPr>
      </w:pPr>
      <w:r>
        <w:rPr>
          <w:rFonts w:ascii="Arial" w:cs="Arial" w:eastAsia="Arial" w:hAnsi="Arial"/>
          <w:sz w:val="17"/>
          <w:szCs w:val="17"/>
          <w:color w:val="auto"/>
        </w:rPr>
        <w:t>Date: November 30, 2020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Date : December 01, 2020</w:t>
      </w:r>
    </w:p>
    <w:p>
      <w:pPr>
        <w:spacing w:after="0" w:line="200" w:lineRule="exact"/>
        <w:rPr>
          <w:sz w:val="20"/>
          <w:szCs w:val="20"/>
          <w:color w:val="auto"/>
        </w:rPr>
      </w:pPr>
    </w:p>
    <w:p>
      <w:pPr>
        <w:sectPr>
          <w:pgSz w:w="11900" w:h="16838" w:orient="portrait"/>
          <w:cols w:equalWidth="0" w:num="2">
            <w:col w:w="5560" w:space="720"/>
            <w:col w:w="4980"/>
          </w:cols>
          <w:pgMar w:left="320" w:top="555"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60"/>
          </w:cols>
          <w:pgMar w:left="320" w:top="555" w:right="319" w:bottom="1440" w:gutter="0" w:footer="0" w:header="0"/>
          <w:type w:val="continuous"/>
        </w:sectPr>
      </w:pPr>
    </w:p>
    <w:bookmarkStart w:id="191" w:name="page192"/>
    <w:bookmarkEnd w:id="191"/>
    <w:p>
      <w:pPr>
        <w:jc w:val="right"/>
        <w:spacing w:after="0"/>
        <w:rPr>
          <w:sz w:val="20"/>
          <w:szCs w:val="20"/>
          <w:color w:val="auto"/>
        </w:rPr>
      </w:pPr>
      <w:r>
        <w:rPr>
          <w:rFonts w:ascii="Arial" w:cs="Arial" w:eastAsia="Arial" w:hAnsi="Arial"/>
          <w:sz w:val="17"/>
          <w:szCs w:val="17"/>
          <w:color w:val="333333"/>
        </w:rPr>
        <w:t>Exhibit 23.1</w:t>
      </w:r>
    </w:p>
    <w:p>
      <w:pPr>
        <w:spacing w:after="0" w:line="216" w:lineRule="exact"/>
        <w:rPr>
          <w:sz w:val="20"/>
          <w:szCs w:val="20"/>
          <w:color w:val="auto"/>
        </w:rPr>
      </w:pPr>
    </w:p>
    <w:p>
      <w:pPr>
        <w:ind w:left="2460"/>
        <w:spacing w:after="0"/>
        <w:rPr>
          <w:sz w:val="20"/>
          <w:szCs w:val="20"/>
          <w:color w:val="auto"/>
        </w:rPr>
      </w:pPr>
      <w:r>
        <w:rPr>
          <w:rFonts w:ascii="Arial" w:cs="Arial" w:eastAsia="Arial" w:hAnsi="Arial"/>
          <w:sz w:val="17"/>
          <w:szCs w:val="17"/>
          <w:color w:val="333333"/>
        </w:rPr>
        <w:t>Consent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333333"/>
        </w:rPr>
        <w:t>We consent to the incorporation by reference in the following Registration Statements:</w:t>
      </w:r>
    </w:p>
    <w:p>
      <w:pPr>
        <w:spacing w:after="0" w:line="216" w:lineRule="exact"/>
        <w:rPr>
          <w:sz w:val="20"/>
          <w:szCs w:val="20"/>
          <w:color w:val="auto"/>
        </w:rPr>
      </w:pPr>
    </w:p>
    <w:p>
      <w:pPr>
        <w:ind w:left="640" w:right="160" w:hanging="432"/>
        <w:spacing w:after="0" w:line="278" w:lineRule="auto"/>
        <w:tabs>
          <w:tab w:leader="none" w:pos="640" w:val="left"/>
        </w:tabs>
        <w:numPr>
          <w:ilvl w:val="0"/>
          <w:numId w:val="98"/>
        </w:numPr>
        <w:rPr>
          <w:rFonts w:ascii="Arial" w:cs="Arial" w:eastAsia="Arial" w:hAnsi="Arial"/>
          <w:sz w:val="17"/>
          <w:szCs w:val="17"/>
          <w:color w:val="333333"/>
        </w:rPr>
      </w:pPr>
      <w:r>
        <w:rPr>
          <w:rFonts w:ascii="Arial" w:cs="Arial" w:eastAsia="Arial" w:hAnsi="Arial"/>
          <w:sz w:val="17"/>
          <w:szCs w:val="17"/>
          <w:color w:val="333333"/>
        </w:rPr>
        <w:t>Registration Statement (Form S-8 No. 333-234357) pertaining to the 2019 Equity Incentive Plan, 2019 Incentive Award Plan, and 2019 Employee Stock Purchase Plan of Phathom Pharmaceuticals, Inc., and</w:t>
      </w:r>
    </w:p>
    <w:p>
      <w:pPr>
        <w:spacing w:after="0" w:line="163" w:lineRule="exact"/>
        <w:rPr>
          <w:rFonts w:ascii="Arial" w:cs="Arial" w:eastAsia="Arial" w:hAnsi="Arial"/>
          <w:sz w:val="17"/>
          <w:szCs w:val="17"/>
          <w:color w:val="333333"/>
        </w:rPr>
      </w:pPr>
    </w:p>
    <w:p>
      <w:pPr>
        <w:ind w:left="640" w:hanging="432"/>
        <w:spacing w:after="0"/>
        <w:tabs>
          <w:tab w:leader="none" w:pos="640" w:val="left"/>
        </w:tabs>
        <w:numPr>
          <w:ilvl w:val="0"/>
          <w:numId w:val="98"/>
        </w:numPr>
        <w:rPr>
          <w:rFonts w:ascii="Arial" w:cs="Arial" w:eastAsia="Arial" w:hAnsi="Arial"/>
          <w:sz w:val="17"/>
          <w:szCs w:val="17"/>
          <w:color w:val="333333"/>
        </w:rPr>
      </w:pPr>
      <w:r>
        <w:rPr>
          <w:rFonts w:ascii="Arial" w:cs="Arial" w:eastAsia="Arial" w:hAnsi="Arial"/>
          <w:sz w:val="17"/>
          <w:szCs w:val="17"/>
          <w:color w:val="333333"/>
        </w:rPr>
        <w:t>Registration Statement (Form S-3 No. 333-250014) of Phathom Pharmaceuticals, Inc.;</w:t>
      </w:r>
    </w:p>
    <w:p>
      <w:pPr>
        <w:spacing w:after="0" w:line="216" w:lineRule="exact"/>
        <w:rPr>
          <w:sz w:val="20"/>
          <w:szCs w:val="20"/>
          <w:color w:val="auto"/>
        </w:rPr>
      </w:pPr>
    </w:p>
    <w:p>
      <w:pPr>
        <w:ind w:right="160"/>
        <w:spacing w:after="0" w:line="278" w:lineRule="auto"/>
        <w:rPr>
          <w:sz w:val="20"/>
          <w:szCs w:val="20"/>
          <w:color w:val="auto"/>
        </w:rPr>
      </w:pPr>
      <w:r>
        <w:rPr>
          <w:rFonts w:ascii="Arial" w:cs="Arial" w:eastAsia="Arial" w:hAnsi="Arial"/>
          <w:sz w:val="17"/>
          <w:szCs w:val="17"/>
          <w:color w:val="333333"/>
        </w:rPr>
        <w:t>of our report dated March 30, 2021, with respect to the financial statements of Phathom Pharmaceuticals, Inc. included in this Annual Report (Form 10-K) for the year ended December 31, 2020.</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San Diego, California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30, 2021</w:t>
      </w:r>
    </w:p>
    <w:p>
      <w:pPr>
        <w:sectPr>
          <w:pgSz w:w="11900" w:h="16838" w:orient="portrait"/>
          <w:cols w:equalWidth="0" w:num="1">
            <w:col w:w="11240"/>
          </w:cols>
          <w:pgMar w:left="320" w:top="127"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1"/>
          <w:szCs w:val="21"/>
          <w:color w:val="auto"/>
        </w:rPr>
        <w:t>Exhibit 24.1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LIMITED POWER OF ATTORNEY</w:t>
      </w:r>
    </w:p>
    <w:p>
      <w:pPr>
        <w:spacing w:after="0" w:line="203"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9"/>
          <w:szCs w:val="19"/>
          <w:color w:val="auto"/>
        </w:rPr>
        <w:t>KNOW ALL PERSONS BY THESE PRESENTS, that each person or entity whose signature appears below constitutes, designates and appoints each of Terrie Curran and Larry Miller, each of whom are officers of Phathom Pharmaceuticals, Inc. (the “Company”), as its true and lawful attorneys-in-fact and agent, each with power of substitution, with full power to act without the other and on behalf of and as attorney for me, for the purpose of executing and filing with the Securities and Exchange Commission the Company’s Annual Report on Form 10-K for the year ended December 31, 2020, and any and all amendments thereto, and to do all such other acts and execute all such other instruments which said attorney may deem necessary or desirable in connection therewith.</w:t>
      </w: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720" w:type="dxa"/>
            <w:vAlign w:val="bottom"/>
            <w:gridSpan w:val="8"/>
          </w:tcPr>
          <w:p>
            <w:pPr>
              <w:spacing w:after="0"/>
              <w:rPr>
                <w:sz w:val="20"/>
                <w:szCs w:val="20"/>
                <w:color w:val="auto"/>
              </w:rPr>
            </w:pPr>
            <w:r>
              <w:rPr>
                <w:rFonts w:ascii="Arial" w:cs="Arial" w:eastAsia="Arial" w:hAnsi="Arial"/>
                <w:sz w:val="21"/>
                <w:szCs w:val="21"/>
                <w:b w:val="1"/>
                <w:bCs w:val="1"/>
                <w:color w:val="auto"/>
              </w:rPr>
              <w:t>Signature</w:t>
            </w:r>
          </w:p>
        </w:tc>
        <w:tc>
          <w:tcPr>
            <w:tcW w:w="3220" w:type="dxa"/>
            <w:vAlign w:val="bottom"/>
          </w:tcPr>
          <w:p>
            <w:pPr>
              <w:ind w:left="1000"/>
              <w:spacing w:after="0"/>
              <w:rPr>
                <w:sz w:val="20"/>
                <w:szCs w:val="20"/>
                <w:color w:val="auto"/>
              </w:rPr>
            </w:pPr>
            <w:r>
              <w:rPr>
                <w:rFonts w:ascii="Arial" w:cs="Arial" w:eastAsia="Arial" w:hAnsi="Arial"/>
                <w:sz w:val="21"/>
                <w:szCs w:val="21"/>
                <w:b w:val="1"/>
                <w:bCs w:val="1"/>
                <w:color w:val="auto"/>
              </w:rPr>
              <w:t>Title</w:t>
            </w:r>
          </w:p>
        </w:tc>
        <w:tc>
          <w:tcPr>
            <w:tcW w:w="2840" w:type="dxa"/>
            <w:vAlign w:val="bottom"/>
            <w:gridSpan w:val="2"/>
          </w:tcPr>
          <w:p>
            <w:pPr>
              <w:ind w:left="1540"/>
              <w:spacing w:after="0"/>
              <w:rPr>
                <w:sz w:val="20"/>
                <w:szCs w:val="20"/>
                <w:color w:val="auto"/>
              </w:rPr>
            </w:pPr>
            <w:r>
              <w:rPr>
                <w:rFonts w:ascii="Arial" w:cs="Arial" w:eastAsia="Arial" w:hAnsi="Arial"/>
                <w:sz w:val="21"/>
                <w:szCs w:val="21"/>
                <w:b w:val="1"/>
                <w:bCs w:val="1"/>
                <w:color w:val="auto"/>
              </w:rPr>
              <w:t>Date</w:t>
            </w:r>
          </w:p>
        </w:tc>
        <w:tc>
          <w:tcPr>
            <w:tcW w:w="0" w:type="dxa"/>
            <w:vAlign w:val="bottom"/>
          </w:tcPr>
          <w:p>
            <w:pPr>
              <w:spacing w:after="0"/>
              <w:rPr>
                <w:sz w:val="1"/>
                <w:szCs w:val="1"/>
                <w:color w:val="auto"/>
              </w:rPr>
            </w:pPr>
          </w:p>
        </w:tc>
      </w:tr>
      <w:tr>
        <w:trPr>
          <w:trHeight w:val="645"/>
        </w:trPr>
        <w:tc>
          <w:tcPr>
            <w:tcW w:w="2720" w:type="dxa"/>
            <w:vAlign w:val="bottom"/>
            <w:gridSpan w:val="8"/>
          </w:tcPr>
          <w:p>
            <w:pPr>
              <w:spacing w:after="0"/>
              <w:rPr>
                <w:sz w:val="20"/>
                <w:szCs w:val="20"/>
                <w:color w:val="auto"/>
              </w:rPr>
            </w:pPr>
            <w:r>
              <w:rPr>
                <w:rFonts w:ascii="Arial" w:cs="Arial" w:eastAsia="Arial" w:hAnsi="Arial"/>
                <w:sz w:val="21"/>
                <w:szCs w:val="21"/>
                <w:color w:val="auto"/>
              </w:rPr>
              <w:t>/s/ Michael Cola</w:t>
            </w:r>
          </w:p>
        </w:tc>
        <w:tc>
          <w:tcPr>
            <w:tcW w:w="3220" w:type="dxa"/>
            <w:vAlign w:val="bottom"/>
            <w:vMerge w:val="restart"/>
          </w:tcPr>
          <w:p>
            <w:pPr>
              <w:ind w:left="1000"/>
              <w:spacing w:after="0"/>
              <w:rPr>
                <w:sz w:val="20"/>
                <w:szCs w:val="20"/>
                <w:color w:val="auto"/>
              </w:rPr>
            </w:pPr>
            <w:r>
              <w:rPr>
                <w:rFonts w:ascii="Arial" w:cs="Arial" w:eastAsia="Arial" w:hAnsi="Arial"/>
                <w:sz w:val="21"/>
                <w:szCs w:val="21"/>
                <w:color w:val="auto"/>
              </w:rPr>
              <w:t>Director</w:t>
            </w:r>
          </w:p>
        </w:tc>
        <w:tc>
          <w:tcPr>
            <w:tcW w:w="2840" w:type="dxa"/>
            <w:vAlign w:val="bottom"/>
            <w:gridSpan w:val="2"/>
          </w:tcPr>
          <w:p>
            <w:pPr>
              <w:ind w:left="1540"/>
              <w:spacing w:after="0"/>
              <w:rPr>
                <w:sz w:val="20"/>
                <w:szCs w:val="20"/>
                <w:color w:val="auto"/>
              </w:rPr>
            </w:pPr>
            <w:r>
              <w:rPr>
                <w:rFonts w:ascii="Arial" w:cs="Arial" w:eastAsia="Arial" w:hAnsi="Arial"/>
                <w:sz w:val="21"/>
                <w:szCs w:val="21"/>
                <w:color w:val="auto"/>
                <w:w w:val="87"/>
              </w:rPr>
              <w:t>March 10, 2021</w:t>
            </w:r>
          </w:p>
        </w:tc>
        <w:tc>
          <w:tcPr>
            <w:tcW w:w="0" w:type="dxa"/>
            <w:vAlign w:val="bottom"/>
          </w:tcPr>
          <w:p>
            <w:pPr>
              <w:spacing w:after="0"/>
              <w:rPr>
                <w:sz w:val="1"/>
                <w:szCs w:val="1"/>
                <w:color w:val="auto"/>
              </w:rPr>
            </w:pPr>
          </w:p>
        </w:tc>
      </w:tr>
      <w:tr>
        <w:trPr>
          <w:trHeight w:val="260"/>
        </w:trPr>
        <w:tc>
          <w:tcPr>
            <w:tcW w:w="1360" w:type="dxa"/>
            <w:vAlign w:val="bottom"/>
            <w:tcBorders>
              <w:top w:val="single" w:sz="8" w:color="auto"/>
            </w:tcBorders>
            <w:gridSpan w:val="4"/>
          </w:tcPr>
          <w:p>
            <w:pPr>
              <w:spacing w:after="0"/>
              <w:rPr>
                <w:sz w:val="20"/>
                <w:szCs w:val="20"/>
                <w:color w:val="auto"/>
              </w:rPr>
            </w:pPr>
            <w:r>
              <w:rPr>
                <w:rFonts w:ascii="Arial" w:cs="Arial" w:eastAsia="Arial" w:hAnsi="Arial"/>
                <w:sz w:val="21"/>
                <w:szCs w:val="21"/>
                <w:color w:val="auto"/>
              </w:rPr>
              <w:t>Michael Cola</w:t>
            </w:r>
          </w:p>
        </w:tc>
        <w:tc>
          <w:tcPr>
            <w:tcW w:w="1360" w:type="dxa"/>
            <w:vAlign w:val="bottom"/>
            <w:gridSpan w:val="4"/>
          </w:tcPr>
          <w:p>
            <w:pPr>
              <w:spacing w:after="0"/>
              <w:rPr>
                <w:sz w:val="22"/>
                <w:szCs w:val="22"/>
                <w:color w:val="auto"/>
              </w:rPr>
            </w:pPr>
          </w:p>
        </w:tc>
        <w:tc>
          <w:tcPr>
            <w:tcW w:w="3220" w:type="dxa"/>
            <w:vAlign w:val="bottom"/>
            <w:vMerge w:val="continue"/>
          </w:tcPr>
          <w:p>
            <w:pPr>
              <w:spacing w:after="0"/>
              <w:rPr>
                <w:sz w:val="22"/>
                <w:szCs w:val="22"/>
                <w:color w:val="auto"/>
              </w:rPr>
            </w:pPr>
          </w:p>
        </w:tc>
        <w:tc>
          <w:tcPr>
            <w:tcW w:w="154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45"/>
        </w:trPr>
        <w:tc>
          <w:tcPr>
            <w:tcW w:w="2720" w:type="dxa"/>
            <w:vAlign w:val="bottom"/>
            <w:gridSpan w:val="8"/>
          </w:tcPr>
          <w:p>
            <w:pPr>
              <w:spacing w:after="0"/>
              <w:rPr>
                <w:sz w:val="20"/>
                <w:szCs w:val="20"/>
                <w:color w:val="auto"/>
              </w:rPr>
            </w:pPr>
            <w:r>
              <w:rPr>
                <w:rFonts w:ascii="Arial" w:cs="Arial" w:eastAsia="Arial" w:hAnsi="Arial"/>
                <w:sz w:val="21"/>
                <w:szCs w:val="21"/>
                <w:color w:val="auto"/>
              </w:rPr>
              <w:t>/s/ Heidi Kunz</w:t>
            </w:r>
          </w:p>
        </w:tc>
        <w:tc>
          <w:tcPr>
            <w:tcW w:w="3220" w:type="dxa"/>
            <w:vAlign w:val="bottom"/>
            <w:vMerge w:val="restart"/>
          </w:tcPr>
          <w:p>
            <w:pPr>
              <w:ind w:left="1000"/>
              <w:spacing w:after="0"/>
              <w:rPr>
                <w:sz w:val="20"/>
                <w:szCs w:val="20"/>
                <w:color w:val="auto"/>
              </w:rPr>
            </w:pPr>
            <w:r>
              <w:rPr>
                <w:rFonts w:ascii="Arial" w:cs="Arial" w:eastAsia="Arial" w:hAnsi="Arial"/>
                <w:sz w:val="21"/>
                <w:szCs w:val="21"/>
                <w:color w:val="auto"/>
              </w:rPr>
              <w:t>Director</w:t>
            </w:r>
          </w:p>
        </w:tc>
        <w:tc>
          <w:tcPr>
            <w:tcW w:w="2840" w:type="dxa"/>
            <w:vAlign w:val="bottom"/>
            <w:gridSpan w:val="2"/>
          </w:tcPr>
          <w:p>
            <w:pPr>
              <w:ind w:left="1540"/>
              <w:spacing w:after="0"/>
              <w:rPr>
                <w:sz w:val="20"/>
                <w:szCs w:val="20"/>
                <w:color w:val="auto"/>
              </w:rPr>
            </w:pPr>
            <w:r>
              <w:rPr>
                <w:rFonts w:ascii="Arial" w:cs="Arial" w:eastAsia="Arial" w:hAnsi="Arial"/>
                <w:sz w:val="21"/>
                <w:szCs w:val="21"/>
                <w:color w:val="auto"/>
                <w:w w:val="87"/>
              </w:rPr>
              <w:t>March 11, 2021</w:t>
            </w:r>
          </w:p>
        </w:tc>
        <w:tc>
          <w:tcPr>
            <w:tcW w:w="0" w:type="dxa"/>
            <w:vAlign w:val="bottom"/>
          </w:tcPr>
          <w:p>
            <w:pPr>
              <w:spacing w:after="0"/>
              <w:rPr>
                <w:sz w:val="1"/>
                <w:szCs w:val="1"/>
                <w:color w:val="auto"/>
              </w:rPr>
            </w:pPr>
          </w:p>
        </w:tc>
      </w:tr>
      <w:tr>
        <w:trPr>
          <w:trHeight w:val="260"/>
        </w:trPr>
        <w:tc>
          <w:tcPr>
            <w:tcW w:w="1200" w:type="dxa"/>
            <w:vAlign w:val="bottom"/>
            <w:tcBorders>
              <w:top w:val="single" w:sz="8" w:color="auto"/>
            </w:tcBorders>
            <w:gridSpan w:val="2"/>
          </w:tcPr>
          <w:p>
            <w:pPr>
              <w:spacing w:after="0"/>
              <w:rPr>
                <w:sz w:val="20"/>
                <w:szCs w:val="20"/>
                <w:color w:val="auto"/>
              </w:rPr>
            </w:pPr>
            <w:r>
              <w:rPr>
                <w:rFonts w:ascii="Arial" w:cs="Arial" w:eastAsia="Arial" w:hAnsi="Arial"/>
                <w:sz w:val="21"/>
                <w:szCs w:val="21"/>
                <w:color w:val="auto"/>
              </w:rPr>
              <w:t>Heidi Kunz</w:t>
            </w:r>
          </w:p>
        </w:tc>
        <w:tc>
          <w:tcPr>
            <w:tcW w:w="1520" w:type="dxa"/>
            <w:vAlign w:val="bottom"/>
            <w:gridSpan w:val="6"/>
          </w:tcPr>
          <w:p>
            <w:pPr>
              <w:spacing w:after="0"/>
              <w:rPr>
                <w:sz w:val="22"/>
                <w:szCs w:val="22"/>
                <w:color w:val="auto"/>
              </w:rPr>
            </w:pPr>
          </w:p>
        </w:tc>
        <w:tc>
          <w:tcPr>
            <w:tcW w:w="3220" w:type="dxa"/>
            <w:vAlign w:val="bottom"/>
            <w:vMerge w:val="continue"/>
          </w:tcPr>
          <w:p>
            <w:pPr>
              <w:spacing w:after="0"/>
              <w:rPr>
                <w:sz w:val="22"/>
                <w:szCs w:val="22"/>
                <w:color w:val="auto"/>
              </w:rPr>
            </w:pPr>
          </w:p>
        </w:tc>
        <w:tc>
          <w:tcPr>
            <w:tcW w:w="154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45"/>
        </w:trPr>
        <w:tc>
          <w:tcPr>
            <w:tcW w:w="118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90"/>
              </w:rPr>
              <w:t>/s/ Asit Parikh</w:t>
            </w:r>
          </w:p>
        </w:tc>
        <w:tc>
          <w:tcPr>
            <w:tcW w:w="1540" w:type="dxa"/>
            <w:vAlign w:val="bottom"/>
            <w:gridSpan w:val="7"/>
          </w:tcPr>
          <w:p>
            <w:pPr>
              <w:spacing w:after="0"/>
              <w:rPr>
                <w:sz w:val="24"/>
                <w:szCs w:val="24"/>
                <w:color w:val="auto"/>
              </w:rPr>
            </w:pPr>
          </w:p>
        </w:tc>
        <w:tc>
          <w:tcPr>
            <w:tcW w:w="3220" w:type="dxa"/>
            <w:vAlign w:val="bottom"/>
            <w:vMerge w:val="restart"/>
          </w:tcPr>
          <w:p>
            <w:pPr>
              <w:ind w:left="1000"/>
              <w:spacing w:after="0"/>
              <w:rPr>
                <w:sz w:val="20"/>
                <w:szCs w:val="20"/>
                <w:color w:val="auto"/>
              </w:rPr>
            </w:pPr>
            <w:r>
              <w:rPr>
                <w:rFonts w:ascii="Arial" w:cs="Arial" w:eastAsia="Arial" w:hAnsi="Arial"/>
                <w:sz w:val="21"/>
                <w:szCs w:val="21"/>
                <w:color w:val="auto"/>
              </w:rPr>
              <w:t>Director</w:t>
            </w:r>
          </w:p>
        </w:tc>
        <w:tc>
          <w:tcPr>
            <w:tcW w:w="154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87"/>
              </w:rPr>
              <w:t>March 11, 2021</w:t>
            </w:r>
          </w:p>
        </w:tc>
        <w:tc>
          <w:tcPr>
            <w:tcW w:w="0" w:type="dxa"/>
            <w:vAlign w:val="bottom"/>
          </w:tcPr>
          <w:p>
            <w:pPr>
              <w:spacing w:after="0"/>
              <w:rPr>
                <w:sz w:val="1"/>
                <w:szCs w:val="1"/>
                <w:color w:val="auto"/>
              </w:rPr>
            </w:pPr>
          </w:p>
        </w:tc>
      </w:tr>
      <w:tr>
        <w:trPr>
          <w:trHeight w:val="260"/>
        </w:trPr>
        <w:tc>
          <w:tcPr>
            <w:tcW w:w="2720" w:type="dxa"/>
            <w:vAlign w:val="bottom"/>
            <w:gridSpan w:val="8"/>
          </w:tcPr>
          <w:p>
            <w:pPr>
              <w:spacing w:after="0"/>
              <w:rPr>
                <w:sz w:val="20"/>
                <w:szCs w:val="20"/>
                <w:color w:val="auto"/>
              </w:rPr>
            </w:pPr>
            <w:r>
              <w:rPr>
                <w:rFonts w:ascii="Arial" w:cs="Arial" w:eastAsia="Arial" w:hAnsi="Arial"/>
                <w:sz w:val="21"/>
                <w:szCs w:val="21"/>
                <w:color w:val="auto"/>
              </w:rPr>
              <w:t>Asit Parikh</w:t>
            </w:r>
          </w:p>
        </w:tc>
        <w:tc>
          <w:tcPr>
            <w:tcW w:w="3220" w:type="dxa"/>
            <w:vAlign w:val="bottom"/>
            <w:vMerge w:val="continue"/>
          </w:tcPr>
          <w:p>
            <w:pPr>
              <w:spacing w:after="0"/>
              <w:rPr>
                <w:sz w:val="22"/>
                <w:szCs w:val="22"/>
                <w:color w:val="auto"/>
              </w:rPr>
            </w:pPr>
          </w:p>
        </w:tc>
        <w:tc>
          <w:tcPr>
            <w:tcW w:w="15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5"/>
        </w:trPr>
        <w:tc>
          <w:tcPr>
            <w:tcW w:w="1300" w:type="dxa"/>
            <w:vAlign w:val="bottom"/>
            <w:tcBorders>
              <w:bottom w:val="single" w:sz="8" w:color="auto"/>
            </w:tcBorders>
            <w:gridSpan w:val="3"/>
          </w:tcPr>
          <w:p>
            <w:pPr>
              <w:spacing w:after="0"/>
              <w:rPr>
                <w:sz w:val="20"/>
                <w:szCs w:val="20"/>
                <w:color w:val="auto"/>
              </w:rPr>
            </w:pPr>
            <w:r>
              <w:rPr>
                <w:rFonts w:ascii="Arial" w:cs="Arial" w:eastAsia="Arial" w:hAnsi="Arial"/>
                <w:sz w:val="21"/>
                <w:szCs w:val="21"/>
                <w:color w:val="auto"/>
                <w:w w:val="88"/>
              </w:rPr>
              <w:t>/s/ David Socks</w:t>
            </w:r>
          </w:p>
        </w:tc>
        <w:tc>
          <w:tcPr>
            <w:tcW w:w="1420" w:type="dxa"/>
            <w:vAlign w:val="bottom"/>
            <w:gridSpan w:val="5"/>
          </w:tcPr>
          <w:p>
            <w:pPr>
              <w:spacing w:after="0"/>
              <w:rPr>
                <w:sz w:val="24"/>
                <w:szCs w:val="24"/>
                <w:color w:val="auto"/>
              </w:rPr>
            </w:pPr>
          </w:p>
        </w:tc>
        <w:tc>
          <w:tcPr>
            <w:tcW w:w="3220" w:type="dxa"/>
            <w:vAlign w:val="bottom"/>
            <w:vMerge w:val="restart"/>
          </w:tcPr>
          <w:p>
            <w:pPr>
              <w:ind w:left="1000"/>
              <w:spacing w:after="0"/>
              <w:rPr>
                <w:sz w:val="20"/>
                <w:szCs w:val="20"/>
                <w:color w:val="auto"/>
              </w:rPr>
            </w:pPr>
            <w:r>
              <w:rPr>
                <w:rFonts w:ascii="Arial" w:cs="Arial" w:eastAsia="Arial" w:hAnsi="Arial"/>
                <w:sz w:val="21"/>
                <w:szCs w:val="21"/>
                <w:color w:val="auto"/>
              </w:rPr>
              <w:t>Director</w:t>
            </w:r>
          </w:p>
        </w:tc>
        <w:tc>
          <w:tcPr>
            <w:tcW w:w="154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87"/>
              </w:rPr>
              <w:t>March 10, 2021</w:t>
            </w:r>
          </w:p>
        </w:tc>
        <w:tc>
          <w:tcPr>
            <w:tcW w:w="0" w:type="dxa"/>
            <w:vAlign w:val="bottom"/>
          </w:tcPr>
          <w:p>
            <w:pPr>
              <w:spacing w:after="0"/>
              <w:rPr>
                <w:sz w:val="1"/>
                <w:szCs w:val="1"/>
                <w:color w:val="auto"/>
              </w:rPr>
            </w:pPr>
          </w:p>
        </w:tc>
      </w:tr>
      <w:tr>
        <w:trPr>
          <w:trHeight w:val="260"/>
        </w:trPr>
        <w:tc>
          <w:tcPr>
            <w:tcW w:w="2720" w:type="dxa"/>
            <w:vAlign w:val="bottom"/>
            <w:gridSpan w:val="8"/>
          </w:tcPr>
          <w:p>
            <w:pPr>
              <w:spacing w:after="0"/>
              <w:rPr>
                <w:sz w:val="20"/>
                <w:szCs w:val="20"/>
                <w:color w:val="auto"/>
              </w:rPr>
            </w:pPr>
            <w:r>
              <w:rPr>
                <w:rFonts w:ascii="Arial" w:cs="Arial" w:eastAsia="Arial" w:hAnsi="Arial"/>
                <w:sz w:val="21"/>
                <w:szCs w:val="21"/>
                <w:color w:val="auto"/>
              </w:rPr>
              <w:t>David Socks</w:t>
            </w:r>
          </w:p>
        </w:tc>
        <w:tc>
          <w:tcPr>
            <w:tcW w:w="3220" w:type="dxa"/>
            <w:vAlign w:val="bottom"/>
            <w:vMerge w:val="continue"/>
          </w:tcPr>
          <w:p>
            <w:pPr>
              <w:spacing w:after="0"/>
              <w:rPr>
                <w:sz w:val="22"/>
                <w:szCs w:val="22"/>
                <w:color w:val="auto"/>
              </w:rPr>
            </w:pPr>
          </w:p>
        </w:tc>
        <w:tc>
          <w:tcPr>
            <w:tcW w:w="15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5"/>
        </w:trPr>
        <w:tc>
          <w:tcPr>
            <w:tcW w:w="1600" w:type="dxa"/>
            <w:vAlign w:val="bottom"/>
            <w:tcBorders>
              <w:bottom w:val="single" w:sz="8" w:color="auto"/>
            </w:tcBorders>
            <w:gridSpan w:val="6"/>
          </w:tcPr>
          <w:p>
            <w:pPr>
              <w:spacing w:after="0"/>
              <w:rPr>
                <w:sz w:val="20"/>
                <w:szCs w:val="20"/>
                <w:color w:val="auto"/>
              </w:rPr>
            </w:pPr>
            <w:r>
              <w:rPr>
                <w:rFonts w:ascii="Arial" w:cs="Arial" w:eastAsia="Arial" w:hAnsi="Arial"/>
                <w:sz w:val="21"/>
                <w:szCs w:val="21"/>
                <w:color w:val="auto"/>
                <w:w w:val="87"/>
              </w:rPr>
              <w:t>/s/ Mark Stenhouse</w:t>
            </w:r>
          </w:p>
        </w:tc>
        <w:tc>
          <w:tcPr>
            <w:tcW w:w="1120" w:type="dxa"/>
            <w:vAlign w:val="bottom"/>
            <w:gridSpan w:val="2"/>
          </w:tcPr>
          <w:p>
            <w:pPr>
              <w:spacing w:after="0"/>
              <w:rPr>
                <w:sz w:val="24"/>
                <w:szCs w:val="24"/>
                <w:color w:val="auto"/>
              </w:rPr>
            </w:pPr>
          </w:p>
        </w:tc>
        <w:tc>
          <w:tcPr>
            <w:tcW w:w="3220" w:type="dxa"/>
            <w:vAlign w:val="bottom"/>
            <w:vMerge w:val="restart"/>
          </w:tcPr>
          <w:p>
            <w:pPr>
              <w:ind w:left="1000"/>
              <w:spacing w:after="0"/>
              <w:rPr>
                <w:sz w:val="20"/>
                <w:szCs w:val="20"/>
                <w:color w:val="auto"/>
              </w:rPr>
            </w:pPr>
            <w:r>
              <w:rPr>
                <w:rFonts w:ascii="Arial" w:cs="Arial" w:eastAsia="Arial" w:hAnsi="Arial"/>
                <w:sz w:val="21"/>
                <w:szCs w:val="21"/>
                <w:color w:val="auto"/>
              </w:rPr>
              <w:t>Director</w:t>
            </w:r>
          </w:p>
        </w:tc>
        <w:tc>
          <w:tcPr>
            <w:tcW w:w="154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21"/>
                <w:szCs w:val="21"/>
                <w:color w:val="auto"/>
                <w:w w:val="87"/>
              </w:rPr>
              <w:t>March 10, 2021</w:t>
            </w:r>
          </w:p>
        </w:tc>
        <w:tc>
          <w:tcPr>
            <w:tcW w:w="0" w:type="dxa"/>
            <w:vAlign w:val="bottom"/>
          </w:tcPr>
          <w:p>
            <w:pPr>
              <w:spacing w:after="0"/>
              <w:rPr>
                <w:sz w:val="1"/>
                <w:szCs w:val="1"/>
                <w:color w:val="auto"/>
              </w:rPr>
            </w:pPr>
          </w:p>
        </w:tc>
      </w:tr>
      <w:tr>
        <w:trPr>
          <w:trHeight w:val="260"/>
        </w:trPr>
        <w:tc>
          <w:tcPr>
            <w:tcW w:w="2720" w:type="dxa"/>
            <w:vAlign w:val="bottom"/>
            <w:gridSpan w:val="8"/>
          </w:tcPr>
          <w:p>
            <w:pPr>
              <w:spacing w:after="0"/>
              <w:rPr>
                <w:sz w:val="20"/>
                <w:szCs w:val="20"/>
                <w:color w:val="auto"/>
              </w:rPr>
            </w:pPr>
            <w:r>
              <w:rPr>
                <w:rFonts w:ascii="Arial" w:cs="Arial" w:eastAsia="Arial" w:hAnsi="Arial"/>
                <w:sz w:val="21"/>
                <w:szCs w:val="21"/>
                <w:color w:val="auto"/>
              </w:rPr>
              <w:t>Mark Stenhouse</w:t>
            </w:r>
          </w:p>
        </w:tc>
        <w:tc>
          <w:tcPr>
            <w:tcW w:w="3220" w:type="dxa"/>
            <w:vAlign w:val="bottom"/>
            <w:vMerge w:val="continue"/>
          </w:tcPr>
          <w:p>
            <w:pPr>
              <w:spacing w:after="0"/>
              <w:rPr>
                <w:sz w:val="22"/>
                <w:szCs w:val="22"/>
                <w:color w:val="auto"/>
              </w:rPr>
            </w:pPr>
          </w:p>
        </w:tc>
        <w:tc>
          <w:tcPr>
            <w:tcW w:w="15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5"/>
        </w:trPr>
        <w:tc>
          <w:tcPr>
            <w:tcW w:w="2720" w:type="dxa"/>
            <w:vAlign w:val="bottom"/>
            <w:gridSpan w:val="8"/>
          </w:tcPr>
          <w:p>
            <w:pPr>
              <w:spacing w:after="0"/>
              <w:rPr>
                <w:sz w:val="20"/>
                <w:szCs w:val="20"/>
                <w:color w:val="auto"/>
              </w:rPr>
            </w:pPr>
            <w:r>
              <w:rPr>
                <w:rFonts w:ascii="Arial" w:cs="Arial" w:eastAsia="Arial" w:hAnsi="Arial"/>
                <w:sz w:val="21"/>
                <w:szCs w:val="21"/>
                <w:color w:val="auto"/>
              </w:rPr>
              <w:t>/s/ James Topper</w:t>
            </w:r>
          </w:p>
        </w:tc>
        <w:tc>
          <w:tcPr>
            <w:tcW w:w="3220" w:type="dxa"/>
            <w:vAlign w:val="bottom"/>
            <w:vMerge w:val="restart"/>
          </w:tcPr>
          <w:p>
            <w:pPr>
              <w:ind w:left="1000"/>
              <w:spacing w:after="0"/>
              <w:rPr>
                <w:sz w:val="20"/>
                <w:szCs w:val="20"/>
                <w:color w:val="auto"/>
              </w:rPr>
            </w:pPr>
            <w:r>
              <w:rPr>
                <w:rFonts w:ascii="Arial" w:cs="Arial" w:eastAsia="Arial" w:hAnsi="Arial"/>
                <w:sz w:val="21"/>
                <w:szCs w:val="21"/>
                <w:color w:val="auto"/>
              </w:rPr>
              <w:t>Director</w:t>
            </w:r>
          </w:p>
        </w:tc>
        <w:tc>
          <w:tcPr>
            <w:tcW w:w="2840" w:type="dxa"/>
            <w:vAlign w:val="bottom"/>
            <w:gridSpan w:val="2"/>
          </w:tcPr>
          <w:p>
            <w:pPr>
              <w:ind w:left="1540"/>
              <w:spacing w:after="0"/>
              <w:rPr>
                <w:sz w:val="20"/>
                <w:szCs w:val="20"/>
                <w:color w:val="auto"/>
              </w:rPr>
            </w:pPr>
            <w:r>
              <w:rPr>
                <w:rFonts w:ascii="Arial" w:cs="Arial" w:eastAsia="Arial" w:hAnsi="Arial"/>
                <w:sz w:val="21"/>
                <w:szCs w:val="21"/>
                <w:color w:val="auto"/>
                <w:w w:val="87"/>
              </w:rPr>
              <w:t>March 10, 2021</w:t>
            </w:r>
          </w:p>
        </w:tc>
        <w:tc>
          <w:tcPr>
            <w:tcW w:w="0" w:type="dxa"/>
            <w:vAlign w:val="bottom"/>
          </w:tcPr>
          <w:p>
            <w:pPr>
              <w:spacing w:after="0"/>
              <w:rPr>
                <w:sz w:val="1"/>
                <w:szCs w:val="1"/>
                <w:color w:val="auto"/>
              </w:rPr>
            </w:pPr>
          </w:p>
        </w:tc>
      </w:tr>
      <w:tr>
        <w:trPr>
          <w:trHeight w:val="260"/>
        </w:trPr>
        <w:tc>
          <w:tcPr>
            <w:tcW w:w="1380" w:type="dxa"/>
            <w:vAlign w:val="bottom"/>
            <w:tcBorders>
              <w:top w:val="single" w:sz="8" w:color="auto"/>
            </w:tcBorders>
            <w:gridSpan w:val="5"/>
          </w:tcPr>
          <w:p>
            <w:pPr>
              <w:spacing w:after="0"/>
              <w:rPr>
                <w:sz w:val="20"/>
                <w:szCs w:val="20"/>
                <w:color w:val="auto"/>
              </w:rPr>
            </w:pPr>
            <w:r>
              <w:rPr>
                <w:rFonts w:ascii="Arial" w:cs="Arial" w:eastAsia="Arial" w:hAnsi="Arial"/>
                <w:sz w:val="21"/>
                <w:szCs w:val="21"/>
                <w:color w:val="auto"/>
              </w:rPr>
              <w:t>James Topper</w:t>
            </w:r>
          </w:p>
        </w:tc>
        <w:tc>
          <w:tcPr>
            <w:tcW w:w="1340" w:type="dxa"/>
            <w:vAlign w:val="bottom"/>
            <w:gridSpan w:val="3"/>
          </w:tcPr>
          <w:p>
            <w:pPr>
              <w:spacing w:after="0"/>
              <w:rPr>
                <w:sz w:val="22"/>
                <w:szCs w:val="22"/>
                <w:color w:val="auto"/>
              </w:rPr>
            </w:pPr>
          </w:p>
        </w:tc>
        <w:tc>
          <w:tcPr>
            <w:tcW w:w="3220" w:type="dxa"/>
            <w:vAlign w:val="bottom"/>
            <w:vMerge w:val="continue"/>
          </w:tcPr>
          <w:p>
            <w:pPr>
              <w:spacing w:after="0"/>
              <w:rPr>
                <w:sz w:val="22"/>
                <w:szCs w:val="22"/>
                <w:color w:val="auto"/>
              </w:rPr>
            </w:pPr>
          </w:p>
        </w:tc>
        <w:tc>
          <w:tcPr>
            <w:tcW w:w="154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45"/>
        </w:trPr>
        <w:tc>
          <w:tcPr>
            <w:tcW w:w="2720" w:type="dxa"/>
            <w:vAlign w:val="bottom"/>
            <w:gridSpan w:val="8"/>
          </w:tcPr>
          <w:p>
            <w:pPr>
              <w:spacing w:after="0"/>
              <w:rPr>
                <w:sz w:val="20"/>
                <w:szCs w:val="20"/>
                <w:color w:val="auto"/>
              </w:rPr>
            </w:pPr>
            <w:r>
              <w:rPr>
                <w:rFonts w:ascii="Arial" w:cs="Arial" w:eastAsia="Arial" w:hAnsi="Arial"/>
                <w:sz w:val="21"/>
                <w:szCs w:val="21"/>
                <w:color w:val="auto"/>
              </w:rPr>
              <w:t>/s/ Tadataka Yamada</w:t>
            </w:r>
          </w:p>
        </w:tc>
        <w:tc>
          <w:tcPr>
            <w:tcW w:w="3220" w:type="dxa"/>
            <w:vAlign w:val="bottom"/>
            <w:vMerge w:val="restart"/>
          </w:tcPr>
          <w:p>
            <w:pPr>
              <w:ind w:left="1000"/>
              <w:spacing w:after="0"/>
              <w:rPr>
                <w:sz w:val="20"/>
                <w:szCs w:val="20"/>
                <w:color w:val="auto"/>
              </w:rPr>
            </w:pPr>
            <w:r>
              <w:rPr>
                <w:rFonts w:ascii="Arial" w:cs="Arial" w:eastAsia="Arial" w:hAnsi="Arial"/>
                <w:sz w:val="21"/>
                <w:szCs w:val="21"/>
                <w:color w:val="auto"/>
              </w:rPr>
              <w:t>Director</w:t>
            </w:r>
          </w:p>
        </w:tc>
        <w:tc>
          <w:tcPr>
            <w:tcW w:w="2840" w:type="dxa"/>
            <w:vAlign w:val="bottom"/>
            <w:gridSpan w:val="2"/>
          </w:tcPr>
          <w:p>
            <w:pPr>
              <w:ind w:left="1540"/>
              <w:spacing w:after="0"/>
              <w:rPr>
                <w:sz w:val="20"/>
                <w:szCs w:val="20"/>
                <w:color w:val="auto"/>
              </w:rPr>
            </w:pPr>
            <w:r>
              <w:rPr>
                <w:rFonts w:ascii="Arial" w:cs="Arial" w:eastAsia="Arial" w:hAnsi="Arial"/>
                <w:sz w:val="21"/>
                <w:szCs w:val="21"/>
                <w:color w:val="auto"/>
                <w:w w:val="87"/>
              </w:rPr>
              <w:t>March 10, 2021</w:t>
            </w:r>
          </w:p>
        </w:tc>
        <w:tc>
          <w:tcPr>
            <w:tcW w:w="0" w:type="dxa"/>
            <w:vAlign w:val="bottom"/>
          </w:tcPr>
          <w:p>
            <w:pPr>
              <w:spacing w:after="0"/>
              <w:rPr>
                <w:sz w:val="1"/>
                <w:szCs w:val="1"/>
                <w:color w:val="auto"/>
              </w:rPr>
            </w:pPr>
          </w:p>
        </w:tc>
      </w:tr>
      <w:tr>
        <w:trPr>
          <w:trHeight w:val="260"/>
        </w:trPr>
        <w:tc>
          <w:tcPr>
            <w:tcW w:w="1700" w:type="dxa"/>
            <w:vAlign w:val="bottom"/>
            <w:tcBorders>
              <w:top w:val="single" w:sz="8" w:color="auto"/>
            </w:tcBorders>
            <w:gridSpan w:val="7"/>
          </w:tcPr>
          <w:p>
            <w:pPr>
              <w:spacing w:after="0"/>
              <w:rPr>
                <w:sz w:val="20"/>
                <w:szCs w:val="20"/>
                <w:color w:val="auto"/>
              </w:rPr>
            </w:pPr>
            <w:r>
              <w:rPr>
                <w:rFonts w:ascii="Arial" w:cs="Arial" w:eastAsia="Arial" w:hAnsi="Arial"/>
                <w:sz w:val="21"/>
                <w:szCs w:val="21"/>
                <w:color w:val="auto"/>
                <w:w w:val="97"/>
              </w:rPr>
              <w:t>Tadataka Yamada</w:t>
            </w:r>
          </w:p>
        </w:tc>
        <w:tc>
          <w:tcPr>
            <w:tcW w:w="1020" w:type="dxa"/>
            <w:vAlign w:val="bottom"/>
          </w:tcPr>
          <w:p>
            <w:pPr>
              <w:spacing w:after="0"/>
              <w:rPr>
                <w:sz w:val="22"/>
                <w:szCs w:val="22"/>
                <w:color w:val="auto"/>
              </w:rPr>
            </w:pPr>
          </w:p>
        </w:tc>
        <w:tc>
          <w:tcPr>
            <w:tcW w:w="3220" w:type="dxa"/>
            <w:vAlign w:val="bottom"/>
            <w:vMerge w:val="continue"/>
          </w:tcPr>
          <w:p>
            <w:pPr>
              <w:spacing w:after="0"/>
              <w:rPr>
                <w:sz w:val="22"/>
                <w:szCs w:val="22"/>
                <w:color w:val="auto"/>
              </w:rPr>
            </w:pPr>
          </w:p>
        </w:tc>
        <w:tc>
          <w:tcPr>
            <w:tcW w:w="154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0" w:right="339" w:bottom="1440" w:gutter="0" w:footer="0" w:header="0"/>
        </w:sectPr>
      </w:pPr>
    </w:p>
    <w:bookmarkStart w:id="193" w:name="page194"/>
    <w:bookmarkEnd w:id="193"/>
    <w:p>
      <w:pPr>
        <w:ind w:left="10220"/>
        <w:spacing w:after="0"/>
        <w:rPr>
          <w:sz w:val="20"/>
          <w:szCs w:val="20"/>
          <w:color w:val="auto"/>
        </w:rPr>
      </w:pPr>
      <w:r>
        <w:rPr>
          <w:rFonts w:ascii="Arial" w:cs="Arial" w:eastAsia="Arial" w:hAnsi="Arial"/>
          <w:sz w:val="17"/>
          <w:szCs w:val="17"/>
          <w:b w:val="1"/>
          <w:bCs w:val="1"/>
          <w:color w:val="auto"/>
        </w:rPr>
        <w:t>Exhibit 31.1</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CERTIFICATION OF CHIEF EXECUTIVE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I, Terrie Curran, certify that:</w:t>
      </w:r>
    </w:p>
    <w:p>
      <w:pPr>
        <w:spacing w:after="0" w:line="231" w:lineRule="exact"/>
        <w:rPr>
          <w:sz w:val="20"/>
          <w:szCs w:val="20"/>
          <w:color w:val="auto"/>
        </w:rPr>
      </w:pPr>
    </w:p>
    <w:p>
      <w:pPr>
        <w:ind w:left="960" w:hanging="957"/>
        <w:spacing w:after="0"/>
        <w:tabs>
          <w:tab w:leader="none" w:pos="960" w:val="left"/>
        </w:tabs>
        <w:numPr>
          <w:ilvl w:val="0"/>
          <w:numId w:val="99"/>
        </w:numPr>
        <w:rPr>
          <w:rFonts w:ascii="Arial" w:cs="Arial" w:eastAsia="Arial" w:hAnsi="Arial"/>
          <w:sz w:val="19"/>
          <w:szCs w:val="19"/>
          <w:color w:val="010000"/>
        </w:rPr>
      </w:pPr>
      <w:r>
        <w:rPr>
          <w:rFonts w:ascii="Arial" w:cs="Arial" w:eastAsia="Arial" w:hAnsi="Arial"/>
          <w:sz w:val="19"/>
          <w:szCs w:val="19"/>
          <w:color w:val="auto"/>
        </w:rPr>
        <w:t>I have reviewed this Annual Report on Form 10-K of Phathom Pharmaceuticals, Inc.</w:t>
      </w:r>
    </w:p>
    <w:p>
      <w:pPr>
        <w:spacing w:after="0" w:line="218" w:lineRule="exact"/>
        <w:rPr>
          <w:rFonts w:ascii="Arial" w:cs="Arial" w:eastAsia="Arial" w:hAnsi="Arial"/>
          <w:sz w:val="19"/>
          <w:szCs w:val="19"/>
          <w:color w:val="010000"/>
        </w:rPr>
      </w:pPr>
    </w:p>
    <w:p>
      <w:pPr>
        <w:ind w:left="960" w:right="20" w:hanging="957"/>
        <w:spacing w:after="0" w:line="251" w:lineRule="auto"/>
        <w:tabs>
          <w:tab w:leader="none" w:pos="960" w:val="left"/>
        </w:tabs>
        <w:numPr>
          <w:ilvl w:val="0"/>
          <w:numId w:val="99"/>
        </w:numPr>
        <w:rPr>
          <w:rFonts w:ascii="Arial" w:cs="Arial" w:eastAsia="Arial" w:hAnsi="Arial"/>
          <w:sz w:val="19"/>
          <w:szCs w:val="19"/>
          <w:color w:val="010000"/>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9"/>
          <w:szCs w:val="19"/>
          <w:color w:val="010000"/>
        </w:rPr>
      </w:pPr>
    </w:p>
    <w:p>
      <w:pPr>
        <w:ind w:left="960" w:right="80" w:hanging="957"/>
        <w:spacing w:after="0" w:line="322" w:lineRule="auto"/>
        <w:tabs>
          <w:tab w:leader="none" w:pos="960" w:val="left"/>
        </w:tabs>
        <w:numPr>
          <w:ilvl w:val="0"/>
          <w:numId w:val="99"/>
        </w:numPr>
        <w:rPr>
          <w:rFonts w:ascii="Arial" w:cs="Arial" w:eastAsia="Arial" w:hAnsi="Arial"/>
          <w:sz w:val="17"/>
          <w:szCs w:val="17"/>
          <w:color w:val="010000"/>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7"/>
          <w:szCs w:val="17"/>
          <w:color w:val="010000"/>
        </w:rPr>
      </w:pPr>
    </w:p>
    <w:p>
      <w:pPr>
        <w:ind w:left="960" w:right="100" w:hanging="957"/>
        <w:spacing w:after="0" w:line="278" w:lineRule="auto"/>
        <w:tabs>
          <w:tab w:leader="none" w:pos="960" w:val="left"/>
        </w:tabs>
        <w:numPr>
          <w:ilvl w:val="0"/>
          <w:numId w:val="99"/>
        </w:numPr>
        <w:rPr>
          <w:rFonts w:ascii="Arial" w:cs="Arial" w:eastAsia="Arial" w:hAnsi="Arial"/>
          <w:sz w:val="17"/>
          <w:szCs w:val="17"/>
          <w:color w:val="010000"/>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7"/>
          <w:szCs w:val="17"/>
          <w:color w:val="010000"/>
        </w:rPr>
      </w:pPr>
      <w:r>
        <w:rPr>
          <w:rFonts w:ascii="Arial" w:cs="Arial" w:eastAsia="Arial" w:hAnsi="Arial"/>
          <w:sz w:val="19"/>
          <w:szCs w:val="19"/>
          <w:color w:val="auto"/>
        </w:rPr>
        <w:t>13a-15(f) and 15d-15(f)) for the registrant and have:</w:t>
      </w:r>
    </w:p>
    <w:p>
      <w:pPr>
        <w:spacing w:after="0" w:line="202" w:lineRule="exact"/>
        <w:rPr>
          <w:rFonts w:ascii="Arial" w:cs="Arial" w:eastAsia="Arial" w:hAnsi="Arial"/>
          <w:sz w:val="17"/>
          <w:szCs w:val="17"/>
          <w:color w:val="010000"/>
        </w:rPr>
      </w:pPr>
    </w:p>
    <w:p>
      <w:pPr>
        <w:ind w:left="1900" w:right="60" w:hanging="946"/>
        <w:spacing w:after="0" w:line="295" w:lineRule="auto"/>
        <w:tabs>
          <w:tab w:leader="none" w:pos="1900" w:val="left"/>
        </w:tabs>
        <w:numPr>
          <w:ilvl w:val="2"/>
          <w:numId w:val="99"/>
        </w:numPr>
        <w:rPr>
          <w:rFonts w:ascii="Arial" w:cs="Arial" w:eastAsia="Arial" w:hAnsi="Arial"/>
          <w:sz w:val="17"/>
          <w:szCs w:val="17"/>
          <w:color w:val="010000"/>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Arial" w:cs="Arial" w:eastAsia="Arial" w:hAnsi="Arial"/>
          <w:sz w:val="17"/>
          <w:szCs w:val="17"/>
          <w:color w:val="010000"/>
        </w:rPr>
      </w:pPr>
    </w:p>
    <w:p>
      <w:pPr>
        <w:ind w:left="1940" w:right="340" w:hanging="1076"/>
        <w:spacing w:after="0" w:line="295" w:lineRule="auto"/>
        <w:tabs>
          <w:tab w:leader="none" w:pos="1940" w:val="left"/>
        </w:tabs>
        <w:numPr>
          <w:ilvl w:val="1"/>
          <w:numId w:val="9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Arial" w:cs="Arial" w:eastAsia="Arial" w:hAnsi="Arial"/>
          <w:sz w:val="17"/>
          <w:szCs w:val="17"/>
          <w:color w:val="auto"/>
        </w:rPr>
      </w:pPr>
    </w:p>
    <w:p>
      <w:pPr>
        <w:ind w:left="1900" w:right="240" w:hanging="946"/>
        <w:spacing w:after="0" w:line="251" w:lineRule="auto"/>
        <w:tabs>
          <w:tab w:leader="none" w:pos="1900" w:val="left"/>
        </w:tabs>
        <w:numPr>
          <w:ilvl w:val="2"/>
          <w:numId w:val="100"/>
        </w:numPr>
        <w:rPr>
          <w:rFonts w:ascii="Arial" w:cs="Arial" w:eastAsia="Arial" w:hAnsi="Arial"/>
          <w:sz w:val="19"/>
          <w:szCs w:val="19"/>
          <w:color w:val="010000"/>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Arial" w:cs="Arial" w:eastAsia="Arial" w:hAnsi="Arial"/>
          <w:sz w:val="19"/>
          <w:szCs w:val="19"/>
          <w:color w:val="010000"/>
        </w:rPr>
      </w:pPr>
    </w:p>
    <w:p>
      <w:pPr>
        <w:ind w:left="1900" w:right="40" w:hanging="946"/>
        <w:spacing w:after="0" w:line="295" w:lineRule="auto"/>
        <w:tabs>
          <w:tab w:leader="none" w:pos="1900" w:val="left"/>
        </w:tabs>
        <w:numPr>
          <w:ilvl w:val="2"/>
          <w:numId w:val="100"/>
        </w:numPr>
        <w:rPr>
          <w:rFonts w:ascii="Arial" w:cs="Arial" w:eastAsia="Arial" w:hAnsi="Arial"/>
          <w:sz w:val="17"/>
          <w:szCs w:val="17"/>
          <w:color w:val="010000"/>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Arial" w:cs="Arial" w:eastAsia="Arial" w:hAnsi="Arial"/>
          <w:sz w:val="17"/>
          <w:szCs w:val="17"/>
          <w:color w:val="010000"/>
        </w:rPr>
      </w:pPr>
    </w:p>
    <w:p>
      <w:pPr>
        <w:ind w:left="960" w:hanging="957"/>
        <w:spacing w:after="0" w:line="251" w:lineRule="auto"/>
        <w:tabs>
          <w:tab w:leader="none" w:pos="960" w:val="left"/>
        </w:tabs>
        <w:numPr>
          <w:ilvl w:val="0"/>
          <w:numId w:val="101"/>
        </w:numPr>
        <w:rPr>
          <w:rFonts w:ascii="Arial" w:cs="Arial" w:eastAsia="Arial" w:hAnsi="Arial"/>
          <w:sz w:val="19"/>
          <w:szCs w:val="19"/>
          <w:color w:val="010000"/>
        </w:rPr>
      </w:pPr>
      <w:r>
        <w:rPr>
          <w:rFonts w:ascii="Arial" w:cs="Arial" w:eastAsia="Arial" w:hAnsi="Arial"/>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9"/>
          <w:szCs w:val="19"/>
          <w:color w:val="010000"/>
        </w:rPr>
      </w:pPr>
    </w:p>
    <w:p>
      <w:pPr>
        <w:ind w:left="1900" w:hanging="946"/>
        <w:spacing w:after="0"/>
        <w:tabs>
          <w:tab w:leader="none" w:pos="1900" w:val="left"/>
        </w:tabs>
        <w:numPr>
          <w:ilvl w:val="2"/>
          <w:numId w:val="101"/>
        </w:numPr>
        <w:rPr>
          <w:rFonts w:ascii="Arial" w:cs="Arial" w:eastAsia="Arial" w:hAnsi="Arial"/>
          <w:sz w:val="19"/>
          <w:szCs w:val="19"/>
          <w:color w:val="010000"/>
        </w:rPr>
      </w:pPr>
      <w:r>
        <w:rPr>
          <w:rFonts w:ascii="Arial" w:cs="Arial" w:eastAsia="Arial" w:hAnsi="Arial"/>
          <w:sz w:val="19"/>
          <w:szCs w:val="19"/>
          <w:color w:val="auto"/>
        </w:rPr>
        <w:t>All significant deficiencies and material weaknesses in the design or operation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201930</wp:posOffset>
            </wp:positionV>
            <wp:extent cx="7180580" cy="419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4" w:name="page195"/>
    <w:bookmarkEnd w:id="194"/>
    <w:p>
      <w:pPr>
        <w:ind w:left="946"/>
        <w:spacing w:after="0" w:line="262" w:lineRule="auto"/>
        <w:rPr>
          <w:sz w:val="20"/>
          <w:szCs w:val="20"/>
          <w:color w:val="auto"/>
        </w:rPr>
      </w:pPr>
      <w:r>
        <w:rPr>
          <w:rFonts w:ascii="Arial" w:cs="Arial" w:eastAsia="Arial" w:hAnsi="Arial"/>
          <w:sz w:val="19"/>
          <w:szCs w:val="19"/>
          <w:color w:val="auto"/>
        </w:rPr>
        <w:t>internal control over financial reporting which are reasonably likely to adversely affect the registrant’s ability to record, process, summarize and report financial information; and</w:t>
      </w:r>
    </w:p>
    <w:p>
      <w:pPr>
        <w:spacing w:after="0" w:line="177" w:lineRule="exact"/>
        <w:rPr>
          <w:sz w:val="20"/>
          <w:szCs w:val="20"/>
          <w:color w:val="auto"/>
        </w:rPr>
      </w:pPr>
    </w:p>
    <w:p>
      <w:pPr>
        <w:ind w:left="946" w:right="260" w:hanging="946"/>
        <w:spacing w:after="0" w:line="263" w:lineRule="auto"/>
        <w:tabs>
          <w:tab w:leader="none" w:pos="94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1726"/>
        <w:spacing w:after="0"/>
        <w:rPr>
          <w:sz w:val="20"/>
          <w:szCs w:val="20"/>
          <w:color w:val="auto"/>
        </w:rPr>
      </w:pPr>
      <w:r>
        <w:rPr>
          <w:rFonts w:ascii="Arial" w:cs="Arial" w:eastAsia="Arial" w:hAnsi="Arial"/>
          <w:sz w:val="19"/>
          <w:szCs w:val="19"/>
          <w:color w:val="auto"/>
        </w:rPr>
        <w:t>Date: March 30, 2021</w:t>
      </w:r>
    </w:p>
    <w:p>
      <w:pPr>
        <w:spacing w:after="0" w:line="3" w:lineRule="exact"/>
        <w:rPr>
          <w:sz w:val="20"/>
          <w:szCs w:val="20"/>
          <w:color w:val="auto"/>
        </w:rPr>
      </w:pPr>
    </w:p>
    <w:p>
      <w:pPr>
        <w:ind w:left="4606"/>
        <w:spacing w:after="0"/>
        <w:rPr>
          <w:sz w:val="20"/>
          <w:szCs w:val="20"/>
          <w:color w:val="auto"/>
        </w:rPr>
      </w:pPr>
      <w:r>
        <w:rPr>
          <w:rFonts w:ascii="Arial" w:cs="Arial" w:eastAsia="Arial" w:hAnsi="Arial"/>
          <w:sz w:val="19"/>
          <w:szCs w:val="19"/>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635</wp:posOffset>
            </wp:positionV>
            <wp:extent cx="190944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1909445" cy="8255"/>
                    </a:xfrm>
                    <a:prstGeom prst="rect">
                      <a:avLst/>
                    </a:prstGeom>
                    <a:noFill/>
                  </pic:spPr>
                </pic:pic>
              </a:graphicData>
            </a:graphic>
          </wp:anchor>
        </w:drawing>
      </w:r>
    </w:p>
    <w:p>
      <w:pPr>
        <w:ind w:left="4606"/>
        <w:spacing w:after="0"/>
        <w:rPr>
          <w:sz w:val="20"/>
          <w:szCs w:val="20"/>
          <w:color w:val="auto"/>
        </w:rPr>
      </w:pPr>
      <w:r>
        <w:rPr>
          <w:rFonts w:ascii="Arial" w:cs="Arial" w:eastAsia="Arial" w:hAnsi="Arial"/>
          <w:sz w:val="19"/>
          <w:szCs w:val="19"/>
          <w:color w:val="auto"/>
        </w:rPr>
        <w:t>Terrie Curran</w:t>
      </w:r>
    </w:p>
    <w:p>
      <w:pPr>
        <w:spacing w:after="0" w:line="13" w:lineRule="exact"/>
        <w:rPr>
          <w:sz w:val="20"/>
          <w:szCs w:val="20"/>
          <w:color w:val="auto"/>
        </w:rPr>
      </w:pPr>
    </w:p>
    <w:p>
      <w:pPr>
        <w:ind w:left="4606"/>
        <w:spacing w:after="0"/>
        <w:rPr>
          <w:sz w:val="20"/>
          <w:szCs w:val="20"/>
          <w:color w:val="auto"/>
        </w:rPr>
      </w:pPr>
      <w:r>
        <w:rPr>
          <w:rFonts w:ascii="Arial" w:cs="Arial" w:eastAsia="Arial" w:hAnsi="Arial"/>
          <w:sz w:val="19"/>
          <w:szCs w:val="19"/>
          <w:color w:val="auto"/>
        </w:rPr>
        <w:t>Chief Executive Officer and President</w:t>
      </w:r>
    </w:p>
    <w:p>
      <w:pPr>
        <w:spacing w:after="0" w:line="7" w:lineRule="exact"/>
        <w:rPr>
          <w:sz w:val="20"/>
          <w:szCs w:val="20"/>
          <w:color w:val="auto"/>
        </w:rPr>
      </w:pPr>
    </w:p>
    <w:p>
      <w:pPr>
        <w:ind w:left="4606"/>
        <w:spacing w:after="0"/>
        <w:rPr>
          <w:sz w:val="20"/>
          <w:szCs w:val="20"/>
          <w:color w:val="auto"/>
        </w:rPr>
      </w:pPr>
      <w:r>
        <w:rPr>
          <w:rFonts w:ascii="Arial" w:cs="Arial" w:eastAsia="Arial" w:hAnsi="Arial"/>
          <w:sz w:val="19"/>
          <w:szCs w:val="19"/>
          <w:color w:val="auto"/>
        </w:rPr>
        <w:t>(Principal Executive Officer)</w:t>
      </w:r>
    </w:p>
    <w:p>
      <w:pPr>
        <w:sectPr>
          <w:pgSz w:w="11900" w:h="16838" w:orient="portrait"/>
          <w:cols w:equalWidth="0" w:num="1">
            <w:col w:w="9946"/>
          </w:cols>
          <w:pgMar w:left="1274" w:top="124" w:right="679" w:bottom="1440" w:gutter="0" w:footer="0" w:header="0"/>
        </w:sectPr>
      </w:pPr>
    </w:p>
    <w:bookmarkStart w:id="195" w:name="page196"/>
    <w:bookmarkEnd w:id="195"/>
    <w:p>
      <w:pPr>
        <w:ind w:left="10220"/>
        <w:spacing w:after="0"/>
        <w:rPr>
          <w:sz w:val="20"/>
          <w:szCs w:val="20"/>
          <w:color w:val="auto"/>
        </w:rPr>
      </w:pPr>
      <w:r>
        <w:rPr>
          <w:rFonts w:ascii="Arial" w:cs="Arial" w:eastAsia="Arial" w:hAnsi="Arial"/>
          <w:sz w:val="17"/>
          <w:szCs w:val="17"/>
          <w:b w:val="1"/>
          <w:bCs w:val="1"/>
          <w:color w:val="auto"/>
        </w:rPr>
        <w:t>Exhibit 31.2</w:t>
      </w: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CERTIFICATION OF CHIEF FINANCIAL OFFICER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I, Todd P. Branning, certify that:</w:t>
      </w:r>
    </w:p>
    <w:p>
      <w:pPr>
        <w:spacing w:after="0" w:line="231" w:lineRule="exact"/>
        <w:rPr>
          <w:sz w:val="20"/>
          <w:szCs w:val="20"/>
          <w:color w:val="auto"/>
        </w:rPr>
      </w:pPr>
    </w:p>
    <w:p>
      <w:pPr>
        <w:ind w:left="960" w:hanging="957"/>
        <w:spacing w:after="0"/>
        <w:tabs>
          <w:tab w:leader="none" w:pos="960" w:val="left"/>
        </w:tabs>
        <w:numPr>
          <w:ilvl w:val="0"/>
          <w:numId w:val="103"/>
        </w:numPr>
        <w:rPr>
          <w:rFonts w:ascii="Arial" w:cs="Arial" w:eastAsia="Arial" w:hAnsi="Arial"/>
          <w:sz w:val="19"/>
          <w:szCs w:val="19"/>
          <w:color w:val="010000"/>
        </w:rPr>
      </w:pPr>
      <w:r>
        <w:rPr>
          <w:rFonts w:ascii="Arial" w:cs="Arial" w:eastAsia="Arial" w:hAnsi="Arial"/>
          <w:sz w:val="19"/>
          <w:szCs w:val="19"/>
          <w:color w:val="auto"/>
        </w:rPr>
        <w:t>I have reviewed this Annual Report on Form 10-K of Phathom Pharmaceuticals, Inc.</w:t>
      </w:r>
    </w:p>
    <w:p>
      <w:pPr>
        <w:spacing w:after="0" w:line="218" w:lineRule="exact"/>
        <w:rPr>
          <w:rFonts w:ascii="Arial" w:cs="Arial" w:eastAsia="Arial" w:hAnsi="Arial"/>
          <w:sz w:val="19"/>
          <w:szCs w:val="19"/>
          <w:color w:val="010000"/>
        </w:rPr>
      </w:pPr>
    </w:p>
    <w:p>
      <w:pPr>
        <w:ind w:left="960" w:right="20" w:hanging="957"/>
        <w:spacing w:after="0" w:line="251" w:lineRule="auto"/>
        <w:tabs>
          <w:tab w:leader="none" w:pos="960" w:val="left"/>
        </w:tabs>
        <w:numPr>
          <w:ilvl w:val="0"/>
          <w:numId w:val="103"/>
        </w:numPr>
        <w:rPr>
          <w:rFonts w:ascii="Arial" w:cs="Arial" w:eastAsia="Arial" w:hAnsi="Arial"/>
          <w:sz w:val="19"/>
          <w:szCs w:val="19"/>
          <w:color w:val="010000"/>
        </w:rPr>
      </w:pPr>
      <w:r>
        <w:rPr>
          <w:rFonts w:ascii="Arial" w:cs="Arial" w:eastAsia="Arial" w:hAnsi="Arial"/>
          <w:sz w:val="19"/>
          <w:szCs w:val="19"/>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Arial" w:cs="Arial" w:eastAsia="Arial" w:hAnsi="Arial"/>
          <w:sz w:val="19"/>
          <w:szCs w:val="19"/>
          <w:color w:val="010000"/>
        </w:rPr>
      </w:pPr>
    </w:p>
    <w:p>
      <w:pPr>
        <w:ind w:left="960" w:right="80" w:hanging="957"/>
        <w:spacing w:after="0" w:line="322" w:lineRule="auto"/>
        <w:tabs>
          <w:tab w:leader="none" w:pos="960" w:val="left"/>
        </w:tabs>
        <w:numPr>
          <w:ilvl w:val="0"/>
          <w:numId w:val="103"/>
        </w:numPr>
        <w:rPr>
          <w:rFonts w:ascii="Arial" w:cs="Arial" w:eastAsia="Arial" w:hAnsi="Arial"/>
          <w:sz w:val="17"/>
          <w:szCs w:val="17"/>
          <w:color w:val="010000"/>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0" w:lineRule="exact"/>
        <w:rPr>
          <w:rFonts w:ascii="Arial" w:cs="Arial" w:eastAsia="Arial" w:hAnsi="Arial"/>
          <w:sz w:val="17"/>
          <w:szCs w:val="17"/>
          <w:color w:val="010000"/>
        </w:rPr>
      </w:pPr>
    </w:p>
    <w:p>
      <w:pPr>
        <w:ind w:left="960" w:right="100" w:hanging="957"/>
        <w:spacing w:after="0" w:line="278" w:lineRule="auto"/>
        <w:tabs>
          <w:tab w:leader="none" w:pos="960" w:val="left"/>
        </w:tabs>
        <w:numPr>
          <w:ilvl w:val="0"/>
          <w:numId w:val="103"/>
        </w:numPr>
        <w:rPr>
          <w:rFonts w:ascii="Arial" w:cs="Arial" w:eastAsia="Arial" w:hAnsi="Arial"/>
          <w:sz w:val="17"/>
          <w:szCs w:val="17"/>
          <w:color w:val="010000"/>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7"/>
          <w:szCs w:val="17"/>
          <w:color w:val="010000"/>
        </w:rPr>
      </w:pPr>
      <w:r>
        <w:rPr>
          <w:rFonts w:ascii="Arial" w:cs="Arial" w:eastAsia="Arial" w:hAnsi="Arial"/>
          <w:sz w:val="19"/>
          <w:szCs w:val="19"/>
          <w:color w:val="auto"/>
        </w:rPr>
        <w:t>13a-15(f) and 15d-15(f)) for the registrant and have:</w:t>
      </w:r>
    </w:p>
    <w:p>
      <w:pPr>
        <w:spacing w:after="0" w:line="202" w:lineRule="exact"/>
        <w:rPr>
          <w:rFonts w:ascii="Arial" w:cs="Arial" w:eastAsia="Arial" w:hAnsi="Arial"/>
          <w:sz w:val="17"/>
          <w:szCs w:val="17"/>
          <w:color w:val="010000"/>
        </w:rPr>
      </w:pPr>
    </w:p>
    <w:p>
      <w:pPr>
        <w:ind w:left="1900" w:right="60" w:hanging="946"/>
        <w:spacing w:after="0" w:line="295" w:lineRule="auto"/>
        <w:tabs>
          <w:tab w:leader="none" w:pos="1900" w:val="left"/>
        </w:tabs>
        <w:numPr>
          <w:ilvl w:val="1"/>
          <w:numId w:val="103"/>
        </w:numPr>
        <w:rPr>
          <w:rFonts w:ascii="Arial" w:cs="Arial" w:eastAsia="Arial" w:hAnsi="Arial"/>
          <w:sz w:val="17"/>
          <w:szCs w:val="17"/>
          <w:color w:val="010000"/>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2" w:lineRule="exact"/>
        <w:rPr>
          <w:rFonts w:ascii="Arial" w:cs="Arial" w:eastAsia="Arial" w:hAnsi="Arial"/>
          <w:sz w:val="17"/>
          <w:szCs w:val="17"/>
          <w:color w:val="010000"/>
        </w:rPr>
      </w:pPr>
    </w:p>
    <w:p>
      <w:pPr>
        <w:ind w:left="1900" w:right="380" w:hanging="946"/>
        <w:spacing w:after="0" w:line="295" w:lineRule="auto"/>
        <w:tabs>
          <w:tab w:leader="none" w:pos="1900" w:val="left"/>
        </w:tabs>
        <w:numPr>
          <w:ilvl w:val="1"/>
          <w:numId w:val="103"/>
        </w:numPr>
        <w:rPr>
          <w:rFonts w:ascii="Arial" w:cs="Arial" w:eastAsia="Arial" w:hAnsi="Arial"/>
          <w:sz w:val="17"/>
          <w:szCs w:val="17"/>
          <w:color w:val="010000"/>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2" w:lineRule="exact"/>
        <w:rPr>
          <w:rFonts w:ascii="Arial" w:cs="Arial" w:eastAsia="Arial" w:hAnsi="Arial"/>
          <w:sz w:val="17"/>
          <w:szCs w:val="17"/>
          <w:color w:val="010000"/>
        </w:rPr>
      </w:pPr>
    </w:p>
    <w:p>
      <w:pPr>
        <w:ind w:left="1900" w:right="240" w:hanging="946"/>
        <w:spacing w:after="0" w:line="251" w:lineRule="auto"/>
        <w:tabs>
          <w:tab w:leader="none" w:pos="1900" w:val="left"/>
        </w:tabs>
        <w:numPr>
          <w:ilvl w:val="1"/>
          <w:numId w:val="103"/>
        </w:numPr>
        <w:rPr>
          <w:rFonts w:ascii="Arial" w:cs="Arial" w:eastAsia="Arial" w:hAnsi="Arial"/>
          <w:sz w:val="19"/>
          <w:szCs w:val="19"/>
          <w:color w:val="010000"/>
        </w:rPr>
      </w:pPr>
      <w:r>
        <w:rPr>
          <w:rFonts w:ascii="Arial" w:cs="Arial" w:eastAsia="Arial" w:hAnsi="Arial"/>
          <w:sz w:val="19"/>
          <w:szCs w:val="19"/>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Arial" w:cs="Arial" w:eastAsia="Arial" w:hAnsi="Arial"/>
          <w:sz w:val="19"/>
          <w:szCs w:val="19"/>
          <w:color w:val="010000"/>
        </w:rPr>
      </w:pPr>
    </w:p>
    <w:p>
      <w:pPr>
        <w:ind w:left="1900" w:right="40" w:hanging="946"/>
        <w:spacing w:after="0" w:line="295" w:lineRule="auto"/>
        <w:tabs>
          <w:tab w:leader="none" w:pos="1900" w:val="left"/>
        </w:tabs>
        <w:numPr>
          <w:ilvl w:val="1"/>
          <w:numId w:val="103"/>
        </w:numPr>
        <w:rPr>
          <w:rFonts w:ascii="Arial" w:cs="Arial" w:eastAsia="Arial" w:hAnsi="Arial"/>
          <w:sz w:val="17"/>
          <w:szCs w:val="17"/>
          <w:color w:val="010000"/>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2" w:lineRule="exact"/>
        <w:rPr>
          <w:rFonts w:ascii="Arial" w:cs="Arial" w:eastAsia="Arial" w:hAnsi="Arial"/>
          <w:sz w:val="17"/>
          <w:szCs w:val="17"/>
          <w:color w:val="010000"/>
        </w:rPr>
      </w:pPr>
    </w:p>
    <w:p>
      <w:pPr>
        <w:ind w:left="960" w:hanging="957"/>
        <w:spacing w:after="0" w:line="251" w:lineRule="auto"/>
        <w:tabs>
          <w:tab w:leader="none" w:pos="960" w:val="left"/>
        </w:tabs>
        <w:numPr>
          <w:ilvl w:val="0"/>
          <w:numId w:val="103"/>
        </w:numPr>
        <w:rPr>
          <w:rFonts w:ascii="Arial" w:cs="Arial" w:eastAsia="Arial" w:hAnsi="Arial"/>
          <w:sz w:val="19"/>
          <w:szCs w:val="19"/>
          <w:color w:val="010000"/>
        </w:rPr>
      </w:pPr>
      <w:r>
        <w:rPr>
          <w:rFonts w:ascii="Arial" w:cs="Arial" w:eastAsia="Arial" w:hAnsi="Arial"/>
          <w:sz w:val="19"/>
          <w:szCs w:val="19"/>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Arial" w:cs="Arial" w:eastAsia="Arial" w:hAnsi="Arial"/>
          <w:sz w:val="19"/>
          <w:szCs w:val="19"/>
          <w:color w:val="010000"/>
        </w:rPr>
      </w:pPr>
    </w:p>
    <w:p>
      <w:pPr>
        <w:ind w:left="1900" w:hanging="946"/>
        <w:spacing w:after="0"/>
        <w:tabs>
          <w:tab w:leader="none" w:pos="1900" w:val="left"/>
        </w:tabs>
        <w:numPr>
          <w:ilvl w:val="1"/>
          <w:numId w:val="103"/>
        </w:numPr>
        <w:rPr>
          <w:rFonts w:ascii="Arial" w:cs="Arial" w:eastAsia="Arial" w:hAnsi="Arial"/>
          <w:sz w:val="19"/>
          <w:szCs w:val="19"/>
          <w:color w:val="010000"/>
        </w:rPr>
      </w:pPr>
      <w:r>
        <w:rPr>
          <w:rFonts w:ascii="Arial" w:cs="Arial" w:eastAsia="Arial" w:hAnsi="Arial"/>
          <w:sz w:val="19"/>
          <w:szCs w:val="19"/>
          <w:color w:val="auto"/>
        </w:rPr>
        <w:t>All significant deficiencies and material weaknesses in the design or operation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201930</wp:posOffset>
            </wp:positionV>
            <wp:extent cx="7180580" cy="4191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718058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6" w:name="page197"/>
    <w:bookmarkEnd w:id="196"/>
    <w:p>
      <w:pPr>
        <w:ind w:left="946"/>
        <w:spacing w:after="0" w:line="262" w:lineRule="auto"/>
        <w:rPr>
          <w:sz w:val="20"/>
          <w:szCs w:val="20"/>
          <w:color w:val="auto"/>
        </w:rPr>
      </w:pPr>
      <w:r>
        <w:rPr>
          <w:rFonts w:ascii="Arial" w:cs="Arial" w:eastAsia="Arial" w:hAnsi="Arial"/>
          <w:sz w:val="19"/>
          <w:szCs w:val="19"/>
          <w:color w:val="auto"/>
        </w:rPr>
        <w:t>internal control over financial reporting which are reasonably likely to adversely affect the registrant’s ability to record, process, summarize and report financial information; and</w:t>
      </w:r>
    </w:p>
    <w:p>
      <w:pPr>
        <w:spacing w:after="0" w:line="177" w:lineRule="exact"/>
        <w:rPr>
          <w:sz w:val="20"/>
          <w:szCs w:val="20"/>
          <w:color w:val="auto"/>
        </w:rPr>
      </w:pPr>
    </w:p>
    <w:p>
      <w:pPr>
        <w:ind w:left="946" w:right="260" w:hanging="946"/>
        <w:spacing w:after="0" w:line="263" w:lineRule="auto"/>
        <w:tabs>
          <w:tab w:leader="none" w:pos="94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1726" w:type="dxa"/>
        <w:tblCellMar>
          <w:top w:w="0" w:type="dxa"/>
          <w:left w:w="0" w:type="dxa"/>
          <w:bottom w:w="0" w:type="dxa"/>
          <w:right w:w="0" w:type="dxa"/>
        </w:tblCellMar>
      </w:tblPr>
      <w:tr>
        <w:trPr>
          <w:trHeight w:val="244"/>
        </w:trPr>
        <w:tc>
          <w:tcPr>
            <w:tcW w:w="2880" w:type="dxa"/>
            <w:vAlign w:val="bottom"/>
          </w:tcPr>
          <w:p>
            <w:pPr>
              <w:spacing w:after="0"/>
              <w:rPr>
                <w:sz w:val="20"/>
                <w:szCs w:val="20"/>
                <w:color w:val="auto"/>
              </w:rPr>
            </w:pPr>
            <w:r>
              <w:rPr>
                <w:rFonts w:ascii="Arial" w:cs="Arial" w:eastAsia="Arial" w:hAnsi="Arial"/>
                <w:sz w:val="19"/>
                <w:szCs w:val="19"/>
                <w:color w:val="auto"/>
              </w:rPr>
              <w:t>Date: March 30, 2021</w:t>
            </w:r>
          </w:p>
        </w:tc>
        <w:tc>
          <w:tcPr>
            <w:tcW w:w="302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Todd P. Branning</w:t>
            </w:r>
          </w:p>
        </w:tc>
      </w:tr>
      <w:tr>
        <w:trPr>
          <w:trHeight w:val="211"/>
        </w:trPr>
        <w:tc>
          <w:tcPr>
            <w:tcW w:w="2880" w:type="dxa"/>
            <w:vAlign w:val="bottom"/>
          </w:tcPr>
          <w:p>
            <w:pPr>
              <w:spacing w:after="0"/>
              <w:rPr>
                <w:sz w:val="18"/>
                <w:szCs w:val="18"/>
                <w:color w:val="auto"/>
              </w:rPr>
            </w:pPr>
          </w:p>
        </w:tc>
        <w:tc>
          <w:tcPr>
            <w:tcW w:w="3020" w:type="dxa"/>
            <w:vAlign w:val="bottom"/>
          </w:tcPr>
          <w:p>
            <w:pPr>
              <w:spacing w:after="0" w:line="212" w:lineRule="exact"/>
              <w:rPr>
                <w:sz w:val="20"/>
                <w:szCs w:val="20"/>
                <w:color w:val="auto"/>
              </w:rPr>
            </w:pPr>
            <w:r>
              <w:rPr>
                <w:rFonts w:ascii="Arial" w:cs="Arial" w:eastAsia="Arial" w:hAnsi="Arial"/>
                <w:sz w:val="19"/>
                <w:szCs w:val="19"/>
                <w:color w:val="auto"/>
              </w:rPr>
              <w:t>Todd P. Branning</w:t>
            </w:r>
          </w:p>
        </w:tc>
      </w:tr>
      <w:tr>
        <w:trPr>
          <w:trHeight w:val="218"/>
        </w:trPr>
        <w:tc>
          <w:tcPr>
            <w:tcW w:w="288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9"/>
                <w:szCs w:val="19"/>
                <w:color w:val="auto"/>
                <w:w w:val="96"/>
              </w:rPr>
              <w:t>Chief Financial Officer and Treasurer</w:t>
            </w:r>
          </w:p>
        </w:tc>
      </w:tr>
      <w:tr>
        <w:trPr>
          <w:trHeight w:val="240"/>
        </w:trPr>
        <w:tc>
          <w:tcPr>
            <w:tcW w:w="288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9"/>
                <w:szCs w:val="19"/>
                <w:color w:val="auto"/>
              </w:rPr>
              <w:t>(Principal Financial Officer)</w:t>
            </w:r>
          </w:p>
        </w:tc>
      </w:tr>
    </w:tbl>
    <w:p>
      <w:pPr>
        <w:sectPr>
          <w:pgSz w:w="11900" w:h="16838" w:orient="portrait"/>
          <w:cols w:equalWidth="0" w:num="1">
            <w:col w:w="9946"/>
          </w:cols>
          <w:pgMar w:left="1274" w:top="124" w:right="679" w:bottom="1440" w:gutter="0" w:footer="0" w:header="0"/>
        </w:sectPr>
      </w:pPr>
    </w:p>
    <w:bookmarkStart w:id="197" w:name="page198"/>
    <w:bookmarkEnd w:id="197"/>
    <w:p>
      <w:pPr>
        <w:jc w:val="right"/>
        <w:spacing w:after="0"/>
        <w:rPr>
          <w:sz w:val="20"/>
          <w:szCs w:val="20"/>
          <w:color w:val="auto"/>
        </w:rPr>
      </w:pPr>
      <w:r>
        <w:rPr>
          <w:rFonts w:ascii="Arial" w:cs="Arial" w:eastAsia="Arial" w:hAnsi="Arial"/>
          <w:sz w:val="19"/>
          <w:szCs w:val="19"/>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237" w:lineRule="exact"/>
        <w:rPr>
          <w:sz w:val="20"/>
          <w:szCs w:val="20"/>
          <w:color w:val="auto"/>
        </w:rPr>
      </w:pPr>
    </w:p>
    <w:p>
      <w:pPr>
        <w:ind w:firstLine="951"/>
        <w:spacing w:after="0" w:line="247" w:lineRule="auto"/>
        <w:rPr>
          <w:sz w:val="20"/>
          <w:szCs w:val="20"/>
          <w:color w:val="auto"/>
        </w:rPr>
      </w:pPr>
      <w:r>
        <w:rPr>
          <w:rFonts w:ascii="Arial" w:cs="Arial" w:eastAsia="Arial" w:hAnsi="Arial"/>
          <w:sz w:val="19"/>
          <w:szCs w:val="19"/>
          <w:color w:val="auto"/>
        </w:rPr>
        <w:t>In connection with the Annual Report on Form 10-K of Phathom Pharmaceuticals, Inc. (the “Company”) for the year ended December 31, 2020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193" w:lineRule="exact"/>
        <w:rPr>
          <w:sz w:val="20"/>
          <w:szCs w:val="20"/>
          <w:color w:val="auto"/>
        </w:rPr>
      </w:pPr>
    </w:p>
    <w:p>
      <w:pPr>
        <w:ind w:left="960" w:right="340" w:hanging="957"/>
        <w:spacing w:after="0" w:line="263" w:lineRule="auto"/>
        <w:tabs>
          <w:tab w:leader="none" w:pos="96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as applicable, of the Securities Exchange Act of 1934, as amended; and</w:t>
      </w:r>
    </w:p>
    <w:p>
      <w:pPr>
        <w:spacing w:after="0" w:line="176" w:lineRule="exact"/>
        <w:rPr>
          <w:rFonts w:ascii="Arial" w:cs="Arial" w:eastAsia="Arial" w:hAnsi="Arial"/>
          <w:sz w:val="19"/>
          <w:szCs w:val="19"/>
          <w:color w:val="auto"/>
        </w:rPr>
      </w:pPr>
    </w:p>
    <w:p>
      <w:pPr>
        <w:ind w:left="960" w:right="200" w:hanging="957"/>
        <w:spacing w:after="0" w:line="263" w:lineRule="auto"/>
        <w:tabs>
          <w:tab w:leader="none" w:pos="96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720" w:type="dxa"/>
        <w:tblCellMar>
          <w:top w:w="0" w:type="dxa"/>
          <w:left w:w="0" w:type="dxa"/>
          <w:bottom w:w="0" w:type="dxa"/>
          <w:right w:w="0" w:type="dxa"/>
        </w:tblCellMar>
      </w:tblPr>
      <w:tr>
        <w:trPr>
          <w:trHeight w:val="235"/>
        </w:trPr>
        <w:tc>
          <w:tcPr>
            <w:tcW w:w="2780" w:type="dxa"/>
            <w:vAlign w:val="bottom"/>
          </w:tcPr>
          <w:p>
            <w:pPr>
              <w:spacing w:after="0"/>
              <w:rPr>
                <w:sz w:val="20"/>
                <w:szCs w:val="20"/>
                <w:color w:val="auto"/>
              </w:rPr>
            </w:pPr>
            <w:r>
              <w:rPr>
                <w:rFonts w:ascii="Arial" w:cs="Arial" w:eastAsia="Arial" w:hAnsi="Arial"/>
                <w:sz w:val="19"/>
                <w:szCs w:val="19"/>
                <w:color w:val="auto"/>
              </w:rPr>
              <w:t>Date: March 30, 2021</w:t>
            </w:r>
          </w:p>
        </w:tc>
        <w:tc>
          <w:tcPr>
            <w:tcW w:w="30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Terrie Curran</w:t>
            </w:r>
          </w:p>
        </w:tc>
      </w:tr>
      <w:tr>
        <w:trPr>
          <w:trHeight w:val="220"/>
        </w:trPr>
        <w:tc>
          <w:tcPr>
            <w:tcW w:w="278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9"/>
                <w:szCs w:val="19"/>
                <w:color w:val="auto"/>
              </w:rPr>
              <w:t>Terrie Curran</w:t>
            </w:r>
          </w:p>
        </w:tc>
      </w:tr>
      <w:tr>
        <w:trPr>
          <w:trHeight w:val="240"/>
        </w:trPr>
        <w:tc>
          <w:tcPr>
            <w:tcW w:w="27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9"/>
                <w:szCs w:val="19"/>
                <w:color w:val="auto"/>
                <w:w w:val="95"/>
              </w:rPr>
              <w:t>Chief Executive Officer and President</w:t>
            </w:r>
          </w:p>
        </w:tc>
      </w:tr>
    </w:tbl>
    <w:p>
      <w:pPr>
        <w:spacing w:after="0" w:line="200" w:lineRule="exact"/>
        <w:rPr>
          <w:sz w:val="20"/>
          <w:szCs w:val="20"/>
          <w:color w:val="auto"/>
        </w:rPr>
      </w:pPr>
    </w:p>
    <w:p>
      <w:pPr>
        <w:spacing w:after="0" w:line="233" w:lineRule="exact"/>
        <w:rPr>
          <w:sz w:val="20"/>
          <w:szCs w:val="20"/>
          <w:color w:val="auto"/>
        </w:rPr>
      </w:pPr>
    </w:p>
    <w:p>
      <w:pPr>
        <w:ind w:right="400"/>
        <w:spacing w:after="0" w:line="278" w:lineRule="auto"/>
        <w:rPr>
          <w:sz w:val="20"/>
          <w:szCs w:val="20"/>
          <w:color w:val="auto"/>
        </w:rPr>
      </w:pPr>
      <w:r>
        <w:rPr>
          <w:rFonts w:ascii="Arial" w:cs="Arial" w:eastAsia="Arial" w:hAnsi="Arial"/>
          <w:sz w:val="17"/>
          <w:szCs w:val="17"/>
          <w:color w:val="auto"/>
        </w:rPr>
        <w:t>The foregoing certification is being furnished solely pursuant to 18 U.S.C. Section 1350 and is not being filed as part of the Report or as a separate disclosure document.</w:t>
      </w:r>
    </w:p>
    <w:p>
      <w:pPr>
        <w:sectPr>
          <w:pgSz w:w="11900" w:h="16838" w:orient="portrait"/>
          <w:cols w:equalWidth="0" w:num="1">
            <w:col w:w="11200"/>
          </w:cols>
          <w:pgMar w:left="320" w:top="155" w:right="379" w:bottom="1440" w:gutter="0" w:footer="0" w:header="0"/>
        </w:sectPr>
      </w:pPr>
    </w:p>
    <w:bookmarkStart w:id="198" w:name="page199"/>
    <w:bookmarkEnd w:id="198"/>
    <w:p>
      <w:pPr>
        <w:jc w:val="right"/>
        <w:spacing w:after="0"/>
        <w:rPr>
          <w:sz w:val="20"/>
          <w:szCs w:val="20"/>
          <w:color w:val="auto"/>
        </w:rPr>
      </w:pPr>
      <w:r>
        <w:rPr>
          <w:rFonts w:ascii="Arial" w:cs="Arial" w:eastAsia="Arial" w:hAnsi="Arial"/>
          <w:sz w:val="19"/>
          <w:szCs w:val="19"/>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 PURSUANT TO</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237" w:lineRule="exact"/>
        <w:rPr>
          <w:sz w:val="20"/>
          <w:szCs w:val="20"/>
          <w:color w:val="auto"/>
        </w:rPr>
      </w:pPr>
    </w:p>
    <w:p>
      <w:pPr>
        <w:jc w:val="both"/>
        <w:ind w:right="40" w:firstLine="951"/>
        <w:spacing w:after="0" w:line="247" w:lineRule="auto"/>
        <w:rPr>
          <w:sz w:val="20"/>
          <w:szCs w:val="20"/>
          <w:color w:val="auto"/>
        </w:rPr>
      </w:pPr>
      <w:r>
        <w:rPr>
          <w:rFonts w:ascii="Arial" w:cs="Arial" w:eastAsia="Arial" w:hAnsi="Arial"/>
          <w:sz w:val="19"/>
          <w:szCs w:val="19"/>
          <w:color w:val="auto"/>
        </w:rPr>
        <w:t>In connection with the Annual Report on Form 10-K of Phathom Pharmaceuticals, Inc. (the “Company”) for the year ended December 31, 2020 as filed with the Securities and Exchange Commission on the date hereof (the “Report”), I, Todd P. Branning, as Chief Financial Officer of the company, certify, pursuant to 18 U.S.C. Section 1350, as adopted pursuant to Section 906 of the Sarbanes-Oxley Act of 2002, to my knowledge, that:</w:t>
      </w:r>
    </w:p>
    <w:p>
      <w:pPr>
        <w:spacing w:after="0" w:line="193" w:lineRule="exact"/>
        <w:rPr>
          <w:sz w:val="20"/>
          <w:szCs w:val="20"/>
          <w:color w:val="auto"/>
        </w:rPr>
      </w:pPr>
    </w:p>
    <w:p>
      <w:pPr>
        <w:ind w:left="960" w:right="340" w:hanging="957"/>
        <w:spacing w:after="0" w:line="263" w:lineRule="auto"/>
        <w:tabs>
          <w:tab w:leader="none" w:pos="9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Report fully complies with the requirements of Section 13(a) or 15(d), as applicable, of the Securities Exchange Act of 1934, as amended; and</w:t>
      </w:r>
    </w:p>
    <w:p>
      <w:pPr>
        <w:spacing w:after="0" w:line="176" w:lineRule="exact"/>
        <w:rPr>
          <w:rFonts w:ascii="Arial" w:cs="Arial" w:eastAsia="Arial" w:hAnsi="Arial"/>
          <w:sz w:val="19"/>
          <w:szCs w:val="19"/>
          <w:color w:val="auto"/>
        </w:rPr>
      </w:pPr>
    </w:p>
    <w:p>
      <w:pPr>
        <w:ind w:left="960" w:right="200" w:hanging="957"/>
        <w:spacing w:after="0" w:line="263" w:lineRule="auto"/>
        <w:tabs>
          <w:tab w:leader="none" w:pos="96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720" w:type="dxa"/>
        <w:tblCellMar>
          <w:top w:w="0" w:type="dxa"/>
          <w:left w:w="0" w:type="dxa"/>
          <w:bottom w:w="0" w:type="dxa"/>
          <w:right w:w="0" w:type="dxa"/>
        </w:tblCellMar>
      </w:tblPr>
      <w:tr>
        <w:trPr>
          <w:trHeight w:val="235"/>
        </w:trPr>
        <w:tc>
          <w:tcPr>
            <w:tcW w:w="2780" w:type="dxa"/>
            <w:vAlign w:val="bottom"/>
          </w:tcPr>
          <w:p>
            <w:pPr>
              <w:spacing w:after="0"/>
              <w:rPr>
                <w:sz w:val="20"/>
                <w:szCs w:val="20"/>
                <w:color w:val="auto"/>
              </w:rPr>
            </w:pPr>
            <w:r>
              <w:rPr>
                <w:rFonts w:ascii="Arial" w:cs="Arial" w:eastAsia="Arial" w:hAnsi="Arial"/>
                <w:sz w:val="19"/>
                <w:szCs w:val="19"/>
                <w:color w:val="auto"/>
              </w:rPr>
              <w:t>Date: March 30, 2021</w:t>
            </w:r>
          </w:p>
        </w:tc>
        <w:tc>
          <w:tcPr>
            <w:tcW w:w="30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Todd P. Branning</w:t>
            </w:r>
          </w:p>
        </w:tc>
      </w:tr>
      <w:tr>
        <w:trPr>
          <w:trHeight w:val="220"/>
        </w:trPr>
        <w:tc>
          <w:tcPr>
            <w:tcW w:w="278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9"/>
                <w:szCs w:val="19"/>
                <w:color w:val="auto"/>
              </w:rPr>
              <w:t>Todd P. Branning</w:t>
            </w:r>
          </w:p>
        </w:tc>
      </w:tr>
      <w:tr>
        <w:trPr>
          <w:trHeight w:val="240"/>
        </w:trPr>
        <w:tc>
          <w:tcPr>
            <w:tcW w:w="278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9"/>
                <w:szCs w:val="19"/>
                <w:color w:val="auto"/>
                <w:w w:val="96"/>
              </w:rPr>
              <w:t>Chief Financial Officer and Treasurer</w:t>
            </w:r>
          </w:p>
        </w:tc>
      </w:tr>
    </w:tbl>
    <w:p>
      <w:pPr>
        <w:spacing w:after="0" w:line="200" w:lineRule="exact"/>
        <w:rPr>
          <w:sz w:val="20"/>
          <w:szCs w:val="20"/>
          <w:color w:val="auto"/>
        </w:rPr>
      </w:pPr>
    </w:p>
    <w:p>
      <w:pPr>
        <w:spacing w:after="0" w:line="233" w:lineRule="exact"/>
        <w:rPr>
          <w:sz w:val="20"/>
          <w:szCs w:val="20"/>
          <w:color w:val="auto"/>
        </w:rPr>
      </w:pPr>
    </w:p>
    <w:p>
      <w:pPr>
        <w:ind w:right="400"/>
        <w:spacing w:after="0" w:line="278" w:lineRule="auto"/>
        <w:rPr>
          <w:sz w:val="20"/>
          <w:szCs w:val="20"/>
          <w:color w:val="auto"/>
        </w:rPr>
      </w:pPr>
      <w:r>
        <w:rPr>
          <w:rFonts w:ascii="Arial" w:cs="Arial" w:eastAsia="Arial" w:hAnsi="Arial"/>
          <w:sz w:val="17"/>
          <w:szCs w:val="17"/>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abstractNum>
  <w:abstractNum w:abstractNumId="2">
    <w:nsid w:val="4F4EF005"/>
    <w:multiLevelType w:val="hybridMultilevel"/>
    <w:lvl w:ilvl="0">
      <w:lvlJc w:val="left"/>
      <w:lvlText w:val="•"/>
      <w:numFmt w:val="bullet"/>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
      <w:numFmt w:val="bullet"/>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
      <w:numFmt w:val="bullet"/>
      <w:start w:val="1"/>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
      <w:numFmt w:val="bullet"/>
      <w:start w:val="1"/>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
      <w:numFmt w:val="bullet"/>
      <w:start w:val="1"/>
    </w:lvl>
  </w:abstractNum>
  <w:abstractNum w:abstractNumId="23">
    <w:nsid w:val="2F305DEF"/>
    <w:multiLevelType w:val="hybridMultilevel"/>
    <w:lvl w:ilvl="0">
      <w:lvlJc w:val="left"/>
      <w:lvlText w:val="•"/>
      <w:numFmt w:val="bullet"/>
      <w:start w:val="1"/>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
      <w:numFmt w:val="bullet"/>
      <w:start w:val="1"/>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1)"/>
      <w:numFmt w:val="decimal"/>
      <w:start w:val="2"/>
    </w:lvl>
  </w:abstractNum>
  <w:abstractNum w:abstractNumId="28">
    <w:nsid w:val="1381823A"/>
    <w:multiLevelType w:val="hybridMultilevel"/>
    <w:lvl w:ilvl="0">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
      <w:numFmt w:val="bullet"/>
      <w:start w:val="1"/>
    </w:lvl>
  </w:abstractNum>
  <w:abstractNum w:abstractNumId="31">
    <w:nsid w:val="6590700B"/>
    <w:multiLevelType w:val="hybridMultilevel"/>
    <w:lvl w:ilvl="0">
      <w:lvlJc w:val="left"/>
      <w:lvlText w:val="•"/>
      <w:numFmt w:val="bullet"/>
      <w:start w:val="1"/>
    </w:lvl>
  </w:abstractNum>
  <w:abstractNum w:abstractNumId="32">
    <w:nsid w:val="15014ACB"/>
    <w:multiLevelType w:val="hybridMultilevel"/>
    <w:lvl w:ilvl="0">
      <w:lvlJc w:val="left"/>
      <w:lvlText w:val="•"/>
      <w:numFmt w:val="bullet"/>
      <w:start w:val="1"/>
    </w:lvl>
  </w:abstractNum>
  <w:abstractNum w:abstractNumId="33">
    <w:nsid w:val="5F5E7FD0"/>
    <w:multiLevelType w:val="hybridMultilevel"/>
    <w:lvl w:ilvl="0">
      <w:lvlJc w:val="left"/>
      <w:lvlText w:val="•"/>
      <w:numFmt w:val="bullet"/>
      <w:start w:val="1"/>
    </w:lvl>
  </w:abstractNum>
  <w:abstractNum w:abstractNumId="34">
    <w:nsid w:val="98A3148"/>
    <w:multiLevelType w:val="hybridMultilevel"/>
    <w:lvl w:ilvl="0">
      <w:lvlJc w:val="left"/>
      <w:lvlText w:val="•"/>
      <w:numFmt w:val="bullet"/>
      <w:start w:val="1"/>
    </w:lvl>
  </w:abstractNum>
  <w:abstractNum w:abstractNumId="35">
    <w:nsid w:val="799D0247"/>
    <w:multiLevelType w:val="hybridMultilevel"/>
    <w:lvl w:ilvl="0">
      <w:lvlJc w:val="left"/>
      <w:lvlText w:val="•"/>
      <w:numFmt w:val="bullet"/>
      <w:start w:val="1"/>
    </w:lvl>
  </w:abstractNum>
  <w:abstractNum w:abstractNumId="36">
    <w:nsid w:val="6B94764"/>
    <w:multiLevelType w:val="hybridMultilevel"/>
    <w:lvl w:ilvl="0">
      <w:lvlJc w:val="left"/>
      <w:lvlText w:val="•"/>
      <w:numFmt w:val="bullet"/>
      <w:start w:val="1"/>
    </w:lvl>
  </w:abstractNum>
  <w:abstractNum w:abstractNumId="37">
    <w:nsid w:val="42C296BD"/>
    <w:multiLevelType w:val="hybridMultilevel"/>
    <w:lvl w:ilvl="0">
      <w:lvlJc w:val="left"/>
      <w:lvlText w:val="•"/>
      <w:numFmt w:val="bullet"/>
      <w:start w:val="1"/>
    </w:lvl>
  </w:abstractNum>
  <w:abstractNum w:abstractNumId="38">
    <w:nsid w:val="168E121F"/>
    <w:multiLevelType w:val="hybridMultilevel"/>
    <w:lvl w:ilvl="0">
      <w:lvlJc w:val="left"/>
      <w:lvlText w:val="•"/>
      <w:numFmt w:val="bullet"/>
      <w:start w:val="1"/>
    </w:lvl>
  </w:abstractNum>
  <w:abstractNum w:abstractNumId="39">
    <w:nsid w:val="1EBA5D23"/>
    <w:multiLevelType w:val="hybridMultilevel"/>
    <w:lvl w:ilvl="0">
      <w:lvlJc w:val="left"/>
      <w:lvlText w:val="•"/>
      <w:numFmt w:val="bullet"/>
      <w:start w:val="1"/>
    </w:lvl>
  </w:abstractNum>
  <w:abstractNum w:abstractNumId="40">
    <w:nsid w:val="661E3F1E"/>
    <w:multiLevelType w:val="hybridMultilevel"/>
    <w:lvl w:ilvl="0">
      <w:lvlJc w:val="left"/>
      <w:lvlText w:val="•"/>
      <w:numFmt w:val="bullet"/>
      <w:start w:val="1"/>
    </w:lvl>
  </w:abstractNum>
  <w:abstractNum w:abstractNumId="41">
    <w:nsid w:val="5DC79EA8"/>
    <w:multiLevelType w:val="hybridMultilevel"/>
    <w:lvl w:ilvl="0">
      <w:lvlJc w:val="left"/>
      <w:lvlText w:val="•"/>
      <w:numFmt w:val="bullet"/>
      <w:start w:val="1"/>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
      <w:numFmt w:val="bullet"/>
      <w:start w:val="1"/>
    </w:lvl>
  </w:abstractNum>
  <w:abstractNum w:abstractNumId="44">
    <w:nsid w:val="51D9C564"/>
    <w:multiLevelType w:val="hybridMultilevel"/>
    <w:lvl w:ilvl="0">
      <w:lvlJc w:val="left"/>
      <w:lvlText w:val="•"/>
      <w:numFmt w:val="bullet"/>
      <w:start w:val="1"/>
    </w:lvl>
  </w:abstractNum>
  <w:abstractNum w:abstractNumId="45">
    <w:nsid w:val="613EFDC5"/>
    <w:multiLevelType w:val="hybridMultilevel"/>
    <w:lvl w:ilvl="0">
      <w:lvlJc w:val="left"/>
      <w:lvlText w:val="•"/>
      <w:numFmt w:val="bullet"/>
      <w:start w:val="1"/>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1)"/>
      <w:numFmt w:val="lowerRoman"/>
      <w:start w:val="3"/>
    </w:lvl>
  </w:abstractNum>
  <w:abstractNum w:abstractNumId="51">
    <w:nsid w:val="1A32234B"/>
    <w:multiLevelType w:val="hybridMultilevel"/>
    <w:lvl w:ilvl="0">
      <w:lvlJc w:val="left"/>
      <w:lvlText w:val="•"/>
      <w:numFmt w:val="bullet"/>
      <w:start w:val="1"/>
    </w:lvl>
  </w:abstractNum>
  <w:abstractNum w:abstractNumId="52">
    <w:nsid w:val="3B0FD379"/>
    <w:multiLevelType w:val="hybridMultilevel"/>
    <w:lvl w:ilvl="0">
      <w:lvlJc w:val="left"/>
      <w:lvlText w:val="•"/>
      <w:numFmt w:val="bullet"/>
      <w:start w:val="1"/>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1."/>
      <w:numFmt w:val="decimal"/>
      <w:start w:val="1"/>
    </w:lvl>
  </w:abstractNum>
  <w:abstractNum w:abstractNumId="58">
    <w:nsid w:val="7FFFCA11"/>
    <w:multiLevelType w:val="hybridMultilevel"/>
    <w:lvl w:ilvl="0">
      <w:lvlJc w:val="left"/>
      <w:lvlText w:val="%1."/>
      <w:numFmt w:val="decimal"/>
      <w:start w:val="6"/>
    </w:lvl>
  </w:abstractNum>
  <w:abstractNum w:abstractNumId="59">
    <w:nsid w:val="1A27709E"/>
    <w:multiLevelType w:val="hybridMultilevel"/>
    <w:lvl w:ilvl="0">
      <w:lvlJc w:val="left"/>
      <w:lvlText w:val="(%1)"/>
      <w:numFmt w:val="decimal"/>
      <w:start w:val="1"/>
    </w:lvl>
  </w:abstractNum>
  <w:abstractNum w:abstractNumId="60">
    <w:nsid w:val="71EA1109"/>
    <w:multiLevelType w:val="hybridMultilevel"/>
    <w:lvl w:ilvl="0">
      <w:lvlJc w:val="left"/>
      <w:lvlText w:val="(%1)"/>
      <w:numFmt w:val="decimal"/>
      <w:start w:val="1"/>
    </w:lvl>
  </w:abstractNum>
  <w:abstractNum w:abstractNumId="61">
    <w:nsid w:val="100F59DC"/>
    <w:multiLevelType w:val="hybridMultilevel"/>
    <w:lvl w:ilvl="0">
      <w:lvlJc w:val="left"/>
      <w:lvlText w:val="•"/>
      <w:numFmt w:val="bullet"/>
      <w:start w:val="1"/>
    </w:lvl>
  </w:abstractNum>
  <w:abstractNum w:abstractNumId="62">
    <w:nsid w:val="7FB7E0AA"/>
    <w:multiLevelType w:val="hybridMultilevel"/>
    <w:lvl w:ilvl="0">
      <w:lvlJc w:val="left"/>
      <w:lvlText w:val="•"/>
      <w:numFmt w:val="bullet"/>
      <w:start w:val="1"/>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
      <w:numFmt w:val="bullet"/>
      <w:start w:val="1"/>
    </w:lvl>
  </w:abstractNum>
  <w:abstractNum w:abstractNumId="65">
    <w:nsid w:val="94211F2"/>
    <w:multiLevelType w:val="hybridMultilevel"/>
    <w:lvl w:ilvl="0">
      <w:lvlJc w:val="left"/>
      <w:lvlText w:val="•"/>
      <w:numFmt w:val="bullet"/>
      <w:start w:val="1"/>
    </w:lvl>
  </w:abstractNum>
  <w:abstractNum w:abstractNumId="66">
    <w:nsid w:val="885E1B"/>
    <w:multiLevelType w:val="hybridMultilevel"/>
    <w:lvl w:ilvl="0">
      <w:lvlJc w:val="left"/>
      <w:lvlText w:val="(%1)"/>
      <w:numFmt w:val="decimal"/>
      <w:start w:val="1"/>
    </w:lvl>
  </w:abstractNum>
  <w:abstractNum w:abstractNumId="67">
    <w:nsid w:val="76272110"/>
    <w:multiLevelType w:val="hybridMultilevel"/>
    <w:lvl w:ilvl="0">
      <w:lvlJc w:val="left"/>
      <w:lvlText w:val="%1."/>
      <w:numFmt w:val="decimal"/>
      <w:start w:val="1"/>
    </w:lvl>
  </w:abstractNum>
  <w:abstractNum w:abstractNumId="68">
    <w:nsid w:val="4C04A8AF"/>
    <w:multiLevelType w:val="hybridMultilevel"/>
    <w:lvl w:ilvl="0">
      <w:lvlJc w:val="left"/>
      <w:lvlText w:val="%1."/>
      <w:numFmt w:val="decimal"/>
      <w:start w:val="2"/>
    </w:lvl>
  </w:abstractNum>
  <w:abstractNum w:abstractNumId="69">
    <w:nsid w:val="1716703B"/>
    <w:multiLevelType w:val="hybridMultilevel"/>
    <w:lvl w:ilvl="0">
      <w:lvlJc w:val="left"/>
      <w:lvlText w:val="%1."/>
      <w:numFmt w:val="decimal"/>
      <w:start w:val="3"/>
    </w:lvl>
  </w:abstractNum>
  <w:abstractNum w:abstractNumId="70">
    <w:nsid w:val="14E17E33"/>
    <w:multiLevelType w:val="hybridMultilevel"/>
    <w:lvl w:ilvl="0">
      <w:lvlJc w:val="left"/>
      <w:lvlText w:val="#"/>
      <w:numFmt w:val="bullet"/>
      <w:start w:val="1"/>
    </w:lvl>
  </w:abstractNum>
  <w:abstractNum w:abstractNumId="71">
    <w:nsid w:val="3222E7CD"/>
    <w:multiLevelType w:val="hybridMultilevel"/>
    <w:lvl w:ilvl="0">
      <w:lvlJc w:val="left"/>
      <w:lvlText w:val="†"/>
      <w:numFmt w:val="bullet"/>
      <w:start w:val="1"/>
    </w:lvl>
  </w:abstractNum>
  <w:abstractNum w:abstractNumId="72">
    <w:nsid w:val="74DE0EE3"/>
    <w:multiLevelType w:val="hybridMultilevel"/>
    <w:lvl w:ilvl="0">
      <w:lvlJc w:val="left"/>
      <w:lvlText w:val="*"/>
      <w:numFmt w:val="bullet"/>
      <w:start w:val="1"/>
    </w:lvl>
  </w:abstractNum>
  <w:abstractNum w:abstractNumId="73">
    <w:nsid w:val="68EBC550"/>
    <w:multiLevelType w:val="hybridMultilevel"/>
    <w:lvl w:ilvl="0">
      <w:lvlJc w:val="left"/>
      <w:lvlText w:val="(%1)"/>
      <w:numFmt w:val="decimal"/>
      <w:start w:val="1"/>
    </w:lvl>
  </w:abstractNum>
  <w:abstractNum w:abstractNumId="74">
    <w:nsid w:val="2DF6D648"/>
    <w:multiLevelType w:val="hybridMultilevel"/>
    <w:lvl w:ilvl="0">
      <w:lvlJc w:val="left"/>
      <w:lvlText w:val="(%1)"/>
      <w:numFmt w:val="upperLetter"/>
      <w:start w:val="1"/>
    </w:lvl>
  </w:abstractNum>
  <w:abstractNum w:abstractNumId="75">
    <w:nsid w:val="46B7D447"/>
    <w:multiLevelType w:val="hybridMultilevel"/>
    <w:lvl w:ilvl="0">
      <w:lvlJc w:val="left"/>
      <w:lvlText w:val="%1."/>
      <w:numFmt w:val="decimal"/>
      <w:start w:val="1"/>
    </w:lvl>
  </w:abstractNum>
  <w:abstractNum w:abstractNumId="76">
    <w:nsid w:val="4A2AC315"/>
    <w:multiLevelType w:val="hybridMultilevel"/>
    <w:lvl w:ilvl="0">
      <w:lvlJc w:val="left"/>
      <w:lvlText w:val="%1."/>
      <w:numFmt w:val="decimal"/>
      <w:start w:val="2"/>
    </w:lvl>
  </w:abstractNum>
  <w:abstractNum w:abstractNumId="77">
    <w:nsid w:val="39EE015C"/>
    <w:multiLevelType w:val="hybridMultilevel"/>
    <w:lvl w:ilvl="0">
      <w:lvlJc w:val="left"/>
      <w:lvlText w:val="%1."/>
      <w:numFmt w:val="decimal"/>
      <w:start w:val="3"/>
    </w:lvl>
  </w:abstractNum>
  <w:abstractNum w:abstractNumId="78">
    <w:nsid w:val="57FC4FBB"/>
    <w:multiLevelType w:val="hybridMultilevel"/>
    <w:lvl w:ilvl="0">
      <w:lvlJc w:val="left"/>
      <w:lvlText w:val="%1."/>
      <w:numFmt w:val="decimal"/>
      <w:start w:val="4"/>
    </w:lvl>
  </w:abstractNum>
  <w:abstractNum w:abstractNumId="79">
    <w:nsid w:val="CC1016F"/>
    <w:multiLevelType w:val="hybridMultilevel"/>
    <w:lvl w:ilvl="0">
      <w:lvlJc w:val="left"/>
      <w:lvlText w:val="%1."/>
      <w:numFmt w:val="decimal"/>
      <w:start w:val="6"/>
    </w:lvl>
  </w:abstractNum>
  <w:abstractNum w:abstractNumId="80">
    <w:nsid w:val="43F18422"/>
    <w:multiLevelType w:val="hybridMultilevel"/>
    <w:lvl w:ilvl="0">
      <w:lvlJc w:val="left"/>
      <w:lvlText w:val="%1."/>
      <w:numFmt w:val="decimal"/>
      <w:start w:val="7"/>
    </w:lvl>
  </w:abstractNum>
  <w:abstractNum w:abstractNumId="81">
    <w:nsid w:val="60EF0119"/>
    <w:multiLevelType w:val="hybridMultilevel"/>
    <w:lvl w:ilvl="0">
      <w:lvlJc w:val="left"/>
      <w:lvlText w:val="(%1)"/>
      <w:numFmt w:val="lowerLetter"/>
      <w:start w:val="3"/>
    </w:lvl>
  </w:abstractNum>
  <w:abstractNum w:abstractNumId="82">
    <w:nsid w:val="26F324BA"/>
    <w:multiLevelType w:val="hybridMultilevel"/>
    <w:lvl w:ilvl="0">
      <w:lvlJc w:val="left"/>
      <w:lvlText w:val="(%1)"/>
      <w:numFmt w:val="lowerLetter"/>
      <w:start w:val="1"/>
    </w:lvl>
  </w:abstractNum>
  <w:abstractNum w:abstractNumId="83">
    <w:nsid w:val="7F01579B"/>
    <w:multiLevelType w:val="hybridMultilevel"/>
    <w:lvl w:ilvl="0">
      <w:lvlJc w:val="left"/>
      <w:lvlText w:val="(%1)"/>
      <w:numFmt w:val="lowerLetter"/>
      <w:start w:val="1"/>
    </w:lvl>
  </w:abstractNum>
  <w:abstractNum w:abstractNumId="84">
    <w:nsid w:val="49DA307D"/>
    <w:multiLevelType w:val="hybridMultilevel"/>
    <w:lvl w:ilvl="0">
      <w:lvlJc w:val="left"/>
      <w:lvlText w:val="%1."/>
      <w:numFmt w:val="decimal"/>
      <w:start w:val="9"/>
    </w:lvl>
  </w:abstractNum>
  <w:abstractNum w:abstractNumId="85">
    <w:nsid w:val="7055A5F5"/>
    <w:multiLevelType w:val="hybridMultilevel"/>
    <w:lvl w:ilvl="0">
      <w:lvlJc w:val="left"/>
      <w:lvlText w:val="%1."/>
      <w:numFmt w:val="decimal"/>
      <w:start w:val="11"/>
    </w:lvl>
  </w:abstractNum>
  <w:abstractNum w:abstractNumId="86">
    <w:nsid w:val="5FB8370B"/>
    <w:multiLevelType w:val="hybridMultilevel"/>
    <w:lvl w:ilvl="0">
      <w:lvlJc w:val="left"/>
      <w:lvlText w:val="%1."/>
      <w:numFmt w:val="decimal"/>
      <w:start w:val="12"/>
    </w:lvl>
  </w:abstractNum>
  <w:abstractNum w:abstractNumId="87">
    <w:nsid w:val="50801EE1"/>
    <w:multiLevelType w:val="hybridMultilevel"/>
    <w:lvl w:ilvl="0">
      <w:lvlJc w:val="left"/>
      <w:lvlText w:val="(%1)"/>
      <w:numFmt w:val="lowerLetter"/>
      <w:start w:val="1"/>
    </w:lvl>
  </w:abstractNum>
  <w:abstractNum w:abstractNumId="88">
    <w:nsid w:val="488AC1A"/>
    <w:multiLevelType w:val="hybridMultilevel"/>
    <w:lvl w:ilvl="0">
      <w:lvlJc w:val="left"/>
      <w:lvlText w:val="(%1)"/>
      <w:numFmt w:val="lowerRoman"/>
      <w:start w:val="10"/>
    </w:lvl>
  </w:abstractNum>
  <w:abstractNum w:abstractNumId="89">
    <w:nsid w:val="5FB8011C"/>
    <w:multiLevelType w:val="hybridMultilevel"/>
    <w:lvl w:ilvl="0">
      <w:lvlJc w:val="left"/>
      <w:lvlText w:val="%1."/>
      <w:numFmt w:val="decimal"/>
      <w:start w:val="13"/>
    </w:lvl>
  </w:abstractNum>
  <w:abstractNum w:abstractNumId="90">
    <w:nsid w:val="6AA78F7F"/>
    <w:multiLevelType w:val="hybridMultilevel"/>
    <w:lvl w:ilvl="0">
      <w:lvlJc w:val="left"/>
      <w:lvlText w:val="%1."/>
      <w:numFmt w:val="decimal"/>
      <w:start w:val="14"/>
    </w:lvl>
  </w:abstractNum>
  <w:abstractNum w:abstractNumId="91">
    <w:nsid w:val="7672BD23"/>
    <w:multiLevelType w:val="hybridMultilevel"/>
    <w:lvl w:ilvl="0">
      <w:lvlJc w:val="left"/>
      <w:lvlText w:val="%1."/>
      <w:numFmt w:val="decimal"/>
      <w:start w:val="15"/>
    </w:lvl>
  </w:abstractNum>
  <w:abstractNum w:abstractNumId="92">
    <w:nsid w:val="6FC75AF8"/>
    <w:multiLevelType w:val="hybridMultilevel"/>
    <w:lvl w:ilvl="0">
      <w:lvlJc w:val="left"/>
      <w:lvlText w:val="%1."/>
      <w:numFmt w:val="decimal"/>
      <w:start w:val="1"/>
    </w:lvl>
  </w:abstractNum>
  <w:abstractNum w:abstractNumId="93">
    <w:nsid w:val="6A5F7029"/>
    <w:multiLevelType w:val="hybridMultilevel"/>
    <w:lvl w:ilvl="0">
      <w:lvlJc w:val="left"/>
      <w:lvlText w:val="%1."/>
      <w:numFmt w:val="decimal"/>
      <w:start w:val="2"/>
    </w:lvl>
    <w:lvl w:ilvl="1">
      <w:lvlJc w:val="left"/>
      <w:lvlText w:val="(%2)"/>
      <w:numFmt w:val="lowerLetter"/>
      <w:start w:val="1"/>
    </w:lvl>
  </w:abstractNum>
  <w:abstractNum w:abstractNumId="94">
    <w:nsid w:val="7D5E18F8"/>
    <w:multiLevelType w:val="hybridMultilevel"/>
    <w:lvl w:ilvl="0">
      <w:lvlJc w:val="left"/>
      <w:lvlText w:val="%1."/>
      <w:numFmt w:val="decimal"/>
      <w:start w:val="1"/>
    </w:lvl>
  </w:abstractNum>
  <w:abstractNum w:abstractNumId="95">
    <w:nsid w:val="5F3534A4"/>
    <w:multiLevelType w:val="hybridMultilevel"/>
    <w:lvl w:ilvl="0">
      <w:lvlJc w:val="left"/>
      <w:lvlText w:val="%1."/>
      <w:numFmt w:val="decimal"/>
      <w:start w:val="2"/>
    </w:lvl>
  </w:abstractNum>
  <w:abstractNum w:abstractNumId="96">
    <w:nsid w:val="73A1821B"/>
    <w:multiLevelType w:val="hybridMultilevel"/>
    <w:lvl w:ilvl="0">
      <w:lvlJc w:val="left"/>
      <w:lvlText w:val="%1."/>
      <w:numFmt w:val="decimal"/>
      <w:start w:val="3"/>
    </w:lvl>
  </w:abstractNum>
  <w:abstractNum w:abstractNumId="97">
    <w:nsid w:val="7DE67713"/>
    <w:multiLevelType w:val="hybridMultilevel"/>
    <w:lvl w:ilvl="0">
      <w:lvlJc w:val="left"/>
      <w:lvlText w:val="(%1)"/>
      <w:numFmt w:val="decimal"/>
      <w:start w:val="1"/>
    </w:lvl>
  </w:abstractNum>
  <w:abstractNum w:abstractNumId="98">
    <w:nsid w:val="555C55B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99">
    <w:nsid w:val="3FA62A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00">
    <w:nsid w:val="14FCE74E"/>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01">
    <w:nsid w:val="6A3DD3E8"/>
    <w:multiLevelType w:val="hybridMultilevel"/>
    <w:lvl w:ilvl="0">
      <w:lvlJc w:val="left"/>
      <w:lvlText w:val="%1)"/>
      <w:numFmt w:val="lowerLetter"/>
      <w:start w:val="2"/>
    </w:lvl>
  </w:abstractNum>
  <w:abstractNum w:abstractNumId="102">
    <w:nsid w:val="71C91298"/>
    <w:multiLevelType w:val="hybridMultilevel"/>
    <w:lvl w:ilvl="0">
      <w:lvlJc w:val="left"/>
      <w:lvlText w:val="%1."/>
      <w:numFmt w:val="decimal"/>
      <w:start w:val="1"/>
    </w:lvl>
    <w:lvl w:ilvl="1">
      <w:lvlJc w:val="left"/>
      <w:lvlText w:val="%2)"/>
      <w:numFmt w:val="lowerLetter"/>
      <w:start w:val="1"/>
    </w:lvl>
  </w:abstractNum>
  <w:abstractNum w:abstractNumId="103">
    <w:nsid w:val="9DAF632"/>
    <w:multiLevelType w:val="hybridMultilevel"/>
    <w:lvl w:ilvl="0">
      <w:lvlJc w:val="left"/>
      <w:lvlText w:val="%1)"/>
      <w:numFmt w:val="lowerLetter"/>
      <w:start w:val="2"/>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216" Type="http://schemas.openxmlformats.org/officeDocument/2006/relationships/image" Target="media/image188.png"/><Relationship Id="rId217"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195" Type="http://schemas.openxmlformats.org/officeDocument/2006/relationships/hyperlink" Target="http://www.sec.gov/Archives/edgar/data/1783183/000119312519277761/d795888dex31.htm" TargetMode="External"/><Relationship Id="rId196" Type="http://schemas.openxmlformats.org/officeDocument/2006/relationships/hyperlink" Target="http://www.sec.gov/Archives/edgar/data/1783183/000119312520254563/d10693dex31.htm" TargetMode="External"/><Relationship Id="rId197" Type="http://schemas.openxmlformats.org/officeDocument/2006/relationships/hyperlink" Target="http://www.sec.gov/Archives/edgar/data/1783183/000119312519267053/d63338dex41.htm" TargetMode="External"/><Relationship Id="rId198" Type="http://schemas.openxmlformats.org/officeDocument/2006/relationships/hyperlink" Target="http://www.sec.gov/Archives/edgar/data/1783183/000119312519258922/d63338dex42.htm" TargetMode="External"/><Relationship Id="rId199" Type="http://schemas.openxmlformats.org/officeDocument/2006/relationships/hyperlink" Target="http://www.sec.gov/Archives/edgar/data/1783183/000119312519258922/d63338dex43.htm" TargetMode="External"/><Relationship Id="rId200" Type="http://schemas.openxmlformats.org/officeDocument/2006/relationships/hyperlink" Target="http://www.sec.gov/Archives/edgar/data/1783183/000119312519258922/d63338dex44.htm" TargetMode="External"/><Relationship Id="rId201" Type="http://schemas.openxmlformats.org/officeDocument/2006/relationships/hyperlink" Target="http://www.sec.gov/Archives/edgar/data/1783183/000119312519267053/d63338dex45.htm" TargetMode="External"/><Relationship Id="rId202" Type="http://schemas.openxmlformats.org/officeDocument/2006/relationships/hyperlink" Target="http://www.sec.gov/Archives/edgar/data/1783183/000119312519258922/d63338dex101.htm" TargetMode="External"/><Relationship Id="rId203" Type="http://schemas.openxmlformats.org/officeDocument/2006/relationships/hyperlink" Target="http://www.sec.gov/Archives/edgar/data/1783183/000119312519258922/d63338dex102.htm" TargetMode="External"/><Relationship Id="rId204" Type="http://schemas.openxmlformats.org/officeDocument/2006/relationships/hyperlink" Target="http://www.sec.gov/Archives/edgar/data/1783183/000119312519258922/d63338dex103.htm" TargetMode="External"/><Relationship Id="rId205" Type="http://schemas.openxmlformats.org/officeDocument/2006/relationships/hyperlink" Target="http://www.sec.gov/Archives/edgar/data/1783183/000119312519267053/d63338dex104.htm" TargetMode="External"/><Relationship Id="rId206" Type="http://schemas.openxmlformats.org/officeDocument/2006/relationships/hyperlink" Target="http://www.sec.gov/Archives/edgar/data/1783183/000156459020037296/phat-ex103_248.htm" TargetMode="External"/><Relationship Id="rId207" Type="http://schemas.openxmlformats.org/officeDocument/2006/relationships/hyperlink" Target="http://www.sec.gov/Archives/edgar/data/1783183/000156459020037296/phat-ex104_77.htm" TargetMode="External"/><Relationship Id="rId208" Type="http://schemas.openxmlformats.org/officeDocument/2006/relationships/hyperlink" Target="http://www.sec.gov/Archives/edgar/data/1783183/000119312519267053/d63338dex105.htm" TargetMode="External"/><Relationship Id="rId209" Type="http://schemas.openxmlformats.org/officeDocument/2006/relationships/hyperlink" Target="http://www.sec.gov/Archives/edgar/data/1783183/000119312519267053/d63338dex106.htm" TargetMode="External"/><Relationship Id="rId210" Type="http://schemas.openxmlformats.org/officeDocument/2006/relationships/hyperlink" Target="http://www.sec.gov/Archives/edgar/data/1783183/000156459020024514/phat-ex101_133.htm" TargetMode="External"/><Relationship Id="rId211" Type="http://schemas.openxmlformats.org/officeDocument/2006/relationships/hyperlink" Target="http://www.sec.gov/Archives/edgar/data/1783183/000119312519258922/d63338dex107.htm" TargetMode="External"/><Relationship Id="rId212" Type="http://schemas.openxmlformats.org/officeDocument/2006/relationships/hyperlink" Target="http://www.sec.gov/Archives/edgar/data/1783183/000119312519258922/d63338dex108.htm" TargetMode="External"/><Relationship Id="rId213" Type="http://schemas.openxmlformats.org/officeDocument/2006/relationships/hyperlink" Target="http://www.sec.gov/Archives/edgar/data/1783183/000119312519258922/d63338dex109.htm" TargetMode="External"/><Relationship Id="rId214" Type="http://schemas.openxmlformats.org/officeDocument/2006/relationships/hyperlink" Target="http://www.sec.gov/Archives/edgar/data/1783183/000119312520191565/d54915dex101.htm" TargetMode="External"/><Relationship Id="rId215" Type="http://schemas.openxmlformats.org/officeDocument/2006/relationships/hyperlink" Target="http://www.sec.gov/Archives/edgar/data/1783183/000119312519258922/d63338dex1011.htm" TargetMode="External"/><Relationship Id="rId218" Type="http://schemas.openxmlformats.org/officeDocument/2006/relationships/hyperlink" Target="http://www.sec.gov/Archives/edgar/data/1783183/000119312519258922/d63338dex1012.htm" TargetMode="External"/><Relationship Id="rId219" Type="http://schemas.openxmlformats.org/officeDocument/2006/relationships/hyperlink" Target="http://www.sec.gov/Archives/edgar/data/1783183/000119312519258922/d63338dex1013.htm" TargetMode="External"/><Relationship Id="rId220" Type="http://schemas.openxmlformats.org/officeDocument/2006/relationships/hyperlink" Target="http://www.sec.gov/Archives/edgar/data/1783183/000156459020024514/phat-ex102_134.htm" TargetMode="External"/><Relationship Id="rId221" Type="http://schemas.openxmlformats.org/officeDocument/2006/relationships/hyperlink" Target="http://www.sec.gov/Archives/edgar/data/1783183/000119312519258922/d63338dex1014.htm" TargetMode="External"/><Relationship Id="rId222" Type="http://schemas.openxmlformats.org/officeDocument/2006/relationships/hyperlink" Target="http://www.sec.gov/Archives/edgar/data/1783183/000156459020037296/phat-ex101_7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2021-03-30T17:18:59Z</dcterms:created>
  <dcterms:modified xsi:type="dcterms:W3CDTF">2021-03-30T17:18:59Z</dcterms:modified>
</cp:coreProperties>
</file>