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92710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9"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3480"/>
        <w:spacing w:after="0"/>
        <w:tabs>
          <w:tab w:leader="none" w:pos="670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18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001-39094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82-4151574</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100 Campus Drive, Suite 102</w:t>
            </w:r>
          </w:p>
        </w:tc>
        <w:tc>
          <w:tcPr>
            <w:tcW w:w="3120" w:type="dxa"/>
            <w:vAlign w:val="bottom"/>
          </w:tcPr>
          <w:p>
            <w:pPr>
              <w:spacing w:after="0"/>
              <w:rPr>
                <w:sz w:val="24"/>
                <w:szCs w:val="24"/>
                <w:color w:val="auto"/>
              </w:rPr>
            </w:pPr>
          </w:p>
        </w:tc>
      </w:tr>
      <w:tr>
        <w:trPr>
          <w:trHeight w:val="21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Florham Park, New Jersey</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07932</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742-8466</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PHAT</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4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3, 2020, the registrant had 28,964,506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jc w:val="center"/>
        <w:ind w:left="400"/>
        <w:spacing w:after="0"/>
        <w:rPr>
          <w:sz w:val="20"/>
          <w:szCs w:val="20"/>
          <w:color w:val="auto"/>
        </w:rPr>
      </w:pPr>
      <w:r>
        <w:rPr>
          <w:rFonts w:ascii="Arial" w:cs="Arial" w:eastAsia="Arial" w:hAnsi="Arial"/>
          <w:sz w:val="18"/>
          <w:szCs w:val="18"/>
          <w:b w:val="1"/>
          <w:bCs w:val="1"/>
          <w:color w:val="231F20"/>
        </w:rPr>
        <w:t>TABLE OF CONTENTS</w:t>
      </w:r>
    </w:p>
    <w:p>
      <w:pPr>
        <w:spacing w:after="0" w:line="25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560"/>
              <w:spacing w:after="0"/>
              <w:rPr>
                <w:sz w:val="20"/>
                <w:szCs w:val="20"/>
                <w:color w:val="auto"/>
              </w:rPr>
            </w:pPr>
            <w:r>
              <w:rPr>
                <w:rFonts w:ascii="Arial" w:cs="Arial" w:eastAsia="Arial" w:hAnsi="Arial"/>
                <w:sz w:val="18"/>
                <w:szCs w:val="18"/>
                <w:color w:val="auto"/>
              </w:rPr>
              <w:t>Item 1</w:t>
            </w:r>
          </w:p>
        </w:tc>
        <w:tc>
          <w:tcPr>
            <w:tcW w:w="812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Balance Sheets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and Comprehensive Loss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Stockholders’ Equity (Deficit)</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Financial Statements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2</w:t>
            </w:r>
          </w:p>
        </w:tc>
        <w:tc>
          <w:tcPr>
            <w:tcW w:w="8120" w:type="dxa"/>
            <w:vAlign w:val="bottom"/>
          </w:tcPr>
          <w:p>
            <w:pPr>
              <w:ind w:left="2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3</w:t>
            </w:r>
          </w:p>
        </w:tc>
        <w:tc>
          <w:tcPr>
            <w:tcW w:w="8120" w:type="dxa"/>
            <w:vAlign w:val="bottom"/>
          </w:tcPr>
          <w:p>
            <w:pPr>
              <w:ind w:left="2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4</w:t>
            </w:r>
          </w:p>
        </w:tc>
        <w:tc>
          <w:tcPr>
            <w:tcW w:w="812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46"/>
        </w:trPr>
        <w:tc>
          <w:tcPr>
            <w:tcW w:w="9500" w:type="dxa"/>
            <w:vAlign w:val="bottom"/>
            <w:gridSpan w:val="2"/>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PART II. OTHER INFORMATION</w:t>
              </w:r>
            </w:hyperlink>
          </w:p>
        </w:tc>
        <w:tc>
          <w:tcPr>
            <w:tcW w:w="1680" w:type="dxa"/>
            <w:vAlign w:val="bottom"/>
          </w:tcPr>
          <w:p>
            <w:pPr>
              <w:spacing w:after="0"/>
              <w:rPr>
                <w:sz w:val="24"/>
                <w:szCs w:val="24"/>
                <w:color w:val="auto"/>
              </w:rPr>
            </w:pPr>
          </w:p>
        </w:tc>
      </w:tr>
      <w:tr>
        <w:trPr>
          <w:trHeight w:val="540"/>
        </w:trPr>
        <w:tc>
          <w:tcPr>
            <w:tcW w:w="1380" w:type="dxa"/>
            <w:vAlign w:val="bottom"/>
          </w:tcPr>
          <w:p>
            <w:pPr>
              <w:ind w:left="560"/>
              <w:spacing w:after="0"/>
              <w:rPr>
                <w:sz w:val="20"/>
                <w:szCs w:val="20"/>
                <w:color w:val="auto"/>
              </w:rPr>
            </w:pPr>
            <w:r>
              <w:rPr>
                <w:rFonts w:ascii="Arial" w:cs="Arial" w:eastAsia="Arial" w:hAnsi="Arial"/>
                <w:sz w:val="18"/>
                <w:szCs w:val="18"/>
                <w:color w:val="auto"/>
              </w:rPr>
              <w:t>Item 1</w:t>
            </w:r>
          </w:p>
        </w:tc>
        <w:tc>
          <w:tcPr>
            <w:tcW w:w="812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1A</w:t>
            </w:r>
          </w:p>
        </w:tc>
        <w:tc>
          <w:tcPr>
            <w:tcW w:w="812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2</w:t>
            </w:r>
          </w:p>
        </w:tc>
        <w:tc>
          <w:tcPr>
            <w:tcW w:w="812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Unregistered Sales of Equity Securities and Use of Proceeds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3</w:t>
            </w:r>
          </w:p>
        </w:tc>
        <w:tc>
          <w:tcPr>
            <w:tcW w:w="8120" w:type="dxa"/>
            <w:vAlign w:val="bottom"/>
          </w:tcPr>
          <w:p>
            <w:pPr>
              <w:ind w:left="2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Defaults Upon Senior Securities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4</w:t>
            </w:r>
          </w:p>
        </w:tc>
        <w:tc>
          <w:tcPr>
            <w:tcW w:w="8120" w:type="dxa"/>
            <w:vAlign w:val="bottom"/>
          </w:tcPr>
          <w:p>
            <w:pPr>
              <w:ind w:left="2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Mine Safety Disclosures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5</w:t>
            </w:r>
          </w:p>
        </w:tc>
        <w:tc>
          <w:tcPr>
            <w:tcW w:w="8120" w:type="dxa"/>
            <w:vAlign w:val="bottom"/>
          </w:tcPr>
          <w:p>
            <w:pPr>
              <w:ind w:left="2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Other Information</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80" w:type="dxa"/>
            <w:vAlign w:val="bottom"/>
          </w:tcPr>
          <w:p>
            <w:pPr>
              <w:ind w:left="560"/>
              <w:spacing w:after="0"/>
              <w:rPr>
                <w:sz w:val="20"/>
                <w:szCs w:val="20"/>
                <w:color w:val="auto"/>
              </w:rPr>
            </w:pPr>
            <w:r>
              <w:rPr>
                <w:rFonts w:ascii="Arial" w:cs="Arial" w:eastAsia="Arial" w:hAnsi="Arial"/>
                <w:sz w:val="18"/>
                <w:szCs w:val="18"/>
                <w:color w:val="auto"/>
              </w:rPr>
              <w:t>Item 6</w:t>
            </w:r>
          </w:p>
        </w:tc>
        <w:tc>
          <w:tcPr>
            <w:tcW w:w="812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380" w:type="dxa"/>
            <w:vAlign w:val="bottom"/>
          </w:tcPr>
          <w:p>
            <w:pPr>
              <w:spacing w:after="0"/>
              <w:rPr>
                <w:sz w:val="23"/>
                <w:szCs w:val="23"/>
                <w:color w:val="auto"/>
              </w:rPr>
            </w:pPr>
          </w:p>
        </w:tc>
        <w:tc>
          <w:tcPr>
            <w:tcW w:w="8120" w:type="dxa"/>
            <w:vAlign w:val="bottom"/>
          </w:tcPr>
          <w:p>
            <w:pPr>
              <w:ind w:left="2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600" w:type="dxa"/>
            <w:vAlign w:val="bottom"/>
          </w:tcPr>
          <w:p>
            <w:pPr>
              <w:jc w:val="center"/>
              <w:ind w:left="2250"/>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3"/>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(unaudited)</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6600" w:type="dxa"/>
            <w:vAlign w:val="bottom"/>
          </w:tcPr>
          <w:p>
            <w:pPr>
              <w:jc w:val="center"/>
              <w:ind w:left="2250"/>
              <w:spacing w:after="0"/>
              <w:rPr>
                <w:sz w:val="20"/>
                <w:szCs w:val="20"/>
                <w:color w:val="auto"/>
              </w:rPr>
            </w:pPr>
            <w:r>
              <w:rPr>
                <w:rFonts w:ascii="Arial" w:cs="Arial" w:eastAsia="Arial" w:hAnsi="Arial"/>
                <w:sz w:val="18"/>
                <w:szCs w:val="18"/>
                <w:b w:val="1"/>
                <w:bCs w:val="1"/>
                <w:color w:val="auto"/>
              </w:rPr>
              <w:t>PHATHOM PHARMACEUTICALS, INC.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600" w:type="dxa"/>
            <w:vAlign w:val="bottom"/>
          </w:tcPr>
          <w:p>
            <w:pPr>
              <w:jc w:val="center"/>
              <w:ind w:left="2250"/>
              <w:spacing w:after="0"/>
              <w:rPr>
                <w:sz w:val="20"/>
                <w:szCs w:val="20"/>
                <w:color w:val="auto"/>
              </w:rPr>
            </w:pPr>
            <w:r>
              <w:rPr>
                <w:rFonts w:ascii="Arial" w:cs="Arial" w:eastAsia="Arial" w:hAnsi="Arial"/>
                <w:sz w:val="18"/>
                <w:szCs w:val="18"/>
                <w:b w:val="1"/>
                <w:bCs w:val="1"/>
                <w:color w:val="auto"/>
                <w:w w:val="85"/>
              </w:rPr>
              <w:t>Balance Sheets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600" w:type="dxa"/>
            <w:vAlign w:val="bottom"/>
          </w:tcPr>
          <w:p>
            <w:pPr>
              <w:jc w:val="center"/>
              <w:ind w:left="223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6600" w:type="dxa"/>
            <w:vAlign w:val="bottom"/>
          </w:tcPr>
          <w:p>
            <w:pPr>
              <w:jc w:val="center"/>
              <w:ind w:left="225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5"/>
        </w:trPr>
        <w:tc>
          <w:tcPr>
            <w:tcW w:w="11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ind w:right="531"/>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160" w:type="dxa"/>
            <w:vAlign w:val="bottom"/>
            <w:tcBorders>
              <w:bottom w:val="single" w:sz="8" w:color="CFF0FC"/>
            </w:tcBorders>
          </w:tcPr>
          <w:p>
            <w:pPr>
              <w:spacing w:after="0"/>
              <w:rPr>
                <w:sz w:val="14"/>
                <w:szCs w:val="14"/>
                <w:color w:val="auto"/>
              </w:rPr>
            </w:pPr>
          </w:p>
        </w:tc>
        <w:tc>
          <w:tcPr>
            <w:tcW w:w="66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23"/>
        </w:trPr>
        <w:tc>
          <w:tcPr>
            <w:tcW w:w="1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3"/>
              </w:rPr>
              <w:t>Current assets:</w:t>
            </w:r>
          </w:p>
        </w:tc>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247,271</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243,765</w:t>
            </w:r>
          </w:p>
        </w:tc>
      </w:tr>
      <w:tr>
        <w:trPr>
          <w:trHeight w:val="230"/>
        </w:trPr>
        <w:tc>
          <w:tcPr>
            <w:tcW w:w="77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1,408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11,836</w:t>
            </w:r>
          </w:p>
        </w:tc>
      </w:tr>
      <w:tr>
        <w:trPr>
          <w:trHeight w:val="223"/>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248,679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255,601</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463</w:t>
            </w: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2,614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933</w:t>
            </w:r>
          </w:p>
        </w:tc>
      </w:tr>
      <w:tr>
        <w:trPr>
          <w:trHeight w:val="229"/>
        </w:trPr>
        <w:tc>
          <w:tcPr>
            <w:tcW w:w="7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w:t>
            </w:r>
          </w:p>
        </w:tc>
      </w:tr>
      <w:tr>
        <w:trPr>
          <w:trHeight w:val="223"/>
        </w:trPr>
        <w:tc>
          <w:tcPr>
            <w:tcW w:w="1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6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252,422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257,178</w:t>
            </w:r>
          </w:p>
        </w:tc>
      </w:tr>
      <w:tr>
        <w:trPr>
          <w:trHeight w:val="20"/>
        </w:trPr>
        <w:tc>
          <w:tcPr>
            <w:tcW w:w="77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(including related party amounts of $142 and $200, respectively)</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4,894</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699</w:t>
            </w:r>
          </w:p>
        </w:tc>
      </w:tr>
      <w:tr>
        <w:trPr>
          <w:trHeight w:val="229"/>
        </w:trPr>
        <w:tc>
          <w:tcPr>
            <w:tcW w:w="7760" w:type="dxa"/>
            <w:vAlign w:val="bottom"/>
            <w:gridSpan w:val="2"/>
          </w:tcPr>
          <w:p>
            <w:pPr>
              <w:ind w:left="260"/>
              <w:spacing w:after="0"/>
              <w:rPr>
                <w:sz w:val="20"/>
                <w:szCs w:val="20"/>
                <w:color w:val="auto"/>
              </w:rPr>
            </w:pPr>
            <w:r>
              <w:rPr>
                <w:rFonts w:ascii="Arial" w:cs="Arial" w:eastAsia="Arial" w:hAnsi="Arial"/>
                <w:sz w:val="18"/>
                <w:szCs w:val="18"/>
                <w:color w:val="auto"/>
              </w:rPr>
              <w:t>Accrued expenses (including related party amounts of $185 and $308, respectively)</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6,257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2,319</w:t>
            </w:r>
          </w:p>
        </w:tc>
      </w:tr>
      <w:tr>
        <w:trPr>
          <w:trHeight w:val="230"/>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interest</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156</w:t>
            </w:r>
          </w:p>
        </w:tc>
      </w:tr>
      <w:tr>
        <w:trPr>
          <w:trHeight w:val="229"/>
        </w:trPr>
        <w:tc>
          <w:tcPr>
            <w:tcW w:w="7760" w:type="dxa"/>
            <w:vAlign w:val="bottom"/>
            <w:gridSpan w:val="2"/>
          </w:tcPr>
          <w:p>
            <w:pPr>
              <w:ind w:left="2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1,389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161</w:t>
            </w:r>
          </w:p>
        </w:tc>
      </w:tr>
      <w:tr>
        <w:trPr>
          <w:trHeight w:val="230"/>
        </w:trPr>
        <w:tc>
          <w:tcPr>
            <w:tcW w:w="77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Warrant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413</w:t>
            </w:r>
          </w:p>
        </w:tc>
      </w:tr>
      <w:tr>
        <w:trPr>
          <w:trHeight w:val="223"/>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13,258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3,748</w:t>
            </w:r>
          </w:p>
        </w:tc>
      </w:tr>
      <w:tr>
        <w:trPr>
          <w:trHeight w:val="230"/>
        </w:trPr>
        <w:tc>
          <w:tcPr>
            <w:tcW w:w="77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net of discount</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44,870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22,777</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635</w:t>
            </w: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4,125</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2,063</w:t>
            </w:r>
          </w:p>
        </w:tc>
      </w:tr>
      <w:tr>
        <w:trPr>
          <w:trHeight w:val="223"/>
        </w:trPr>
        <w:tc>
          <w:tcPr>
            <w:tcW w:w="1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66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63,999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29,223</w:t>
            </w:r>
          </w:p>
        </w:tc>
      </w:tr>
      <w:tr>
        <w:trPr>
          <w:trHeight w:val="223"/>
        </w:trPr>
        <w:tc>
          <w:tcPr>
            <w:tcW w:w="1160" w:type="dxa"/>
            <w:vAlign w:val="bottom"/>
            <w:shd w:val="clear" w:color="auto" w:fill="CFF0FC"/>
          </w:tcPr>
          <w:p>
            <w:pPr>
              <w:spacing w:after="0"/>
              <w:rPr>
                <w:sz w:val="19"/>
                <w:szCs w:val="19"/>
                <w:color w:val="auto"/>
              </w:rPr>
            </w:pPr>
          </w:p>
        </w:tc>
        <w:tc>
          <w:tcPr>
            <w:tcW w:w="6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Commitments and contingencies (Note 4)</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5"/>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3"/>
              </w:rPr>
              <w:t>Common stock, $0.0001 par value; authorized shares — 400,000,000; issued shares — 28,964,506;</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outstanding shares — 25,614,412 at June 30, 2020 and 24,728,258 at December 31, 2019,</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1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respectively</w:t>
            </w:r>
          </w:p>
        </w:tc>
        <w:tc>
          <w:tcPr>
            <w:tcW w:w="6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230"/>
        </w:trPr>
        <w:tc>
          <w:tcPr>
            <w:tcW w:w="776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486,081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484,372</w:t>
            </w:r>
          </w:p>
        </w:tc>
      </w:tr>
      <w:tr>
        <w:trPr>
          <w:trHeight w:val="229"/>
        </w:trPr>
        <w:tc>
          <w:tcPr>
            <w:tcW w:w="7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(297,661)</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(256,419)</w:t>
            </w:r>
          </w:p>
        </w:tc>
      </w:tr>
      <w:tr>
        <w:trPr>
          <w:trHeight w:val="223"/>
        </w:trPr>
        <w:tc>
          <w:tcPr>
            <w:tcW w:w="7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188,423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227,955</w:t>
            </w:r>
          </w:p>
        </w:tc>
      </w:tr>
      <w:tr>
        <w:trPr>
          <w:trHeight w:val="223"/>
        </w:trPr>
        <w:tc>
          <w:tcPr>
            <w:tcW w:w="7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252,422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257,178</w:t>
            </w: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rPr>
              <w:t>Research and development (includes related party amounts of $249, $0,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440"/>
              <w:spacing w:after="0"/>
              <w:rPr>
                <w:sz w:val="20"/>
                <w:szCs w:val="20"/>
                <w:color w:val="auto"/>
              </w:rPr>
            </w:pPr>
            <w:r>
              <w:rPr>
                <w:rFonts w:ascii="Arial" w:cs="Arial" w:eastAsia="Arial" w:hAnsi="Arial"/>
                <w:sz w:val="18"/>
                <w:szCs w:val="18"/>
                <w:color w:val="auto"/>
              </w:rPr>
              <w:t>$653, and $0 respectively)</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14,859</w:t>
            </w:r>
          </w:p>
        </w:tc>
        <w:tc>
          <w:tcPr>
            <w:tcW w:w="1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30,724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In-process research and development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78,897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78,897</w:t>
            </w:r>
          </w:p>
        </w:tc>
        <w:tc>
          <w:tcPr>
            <w:tcW w:w="0" w:type="dxa"/>
            <w:vAlign w:val="bottom"/>
          </w:tcPr>
          <w:p>
            <w:pPr>
              <w:spacing w:after="0"/>
              <w:rPr>
                <w:sz w:val="1"/>
                <w:szCs w:val="1"/>
                <w:color w:val="auto"/>
              </w:rPr>
            </w:pP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rPr>
              <w:t>General and administrative (includes related party amounts of $34, $47,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$77, and $18, respectively)</w:t>
            </w:r>
          </w:p>
        </w:tc>
        <w:tc>
          <w:tcPr>
            <w:tcW w:w="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5,162</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9,672</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20,021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83,014</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40,396</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84,240</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(83,014)</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(40,396)</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(84,240)</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(includes related party amounts of $0, $(71), $0 and</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$(82), respectively)</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w w:val="98"/>
              </w:rPr>
              <w:t>Change in fair value of warrant liabilities (includes related party amounts of $0,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$(1,277), $0 and $(1,277), respectively)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Change in fair value of convertible promissory notes (includes related party amounts</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$0, $(488), $0, and $(502), respectively)</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(21,101)</w:t>
            </w: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(87,762)</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(41,242)</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(89,013)</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basic</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32,997,099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6,694,682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3"/>
              </w:rPr>
              <w:t>32,733,750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4"/>
              </w:rPr>
              <w:t>6,640,394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398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80" w:type="dxa"/>
            <w:vAlign w:val="bottom"/>
            <w:gridSpan w:val="3"/>
            <w:vMerge w:val="restart"/>
          </w:tcPr>
          <w:p>
            <w:pPr>
              <w:jc w:val="right"/>
              <w:ind w:right="327"/>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40" w:type="dxa"/>
            <w:vAlign w:val="bottom"/>
          </w:tcPr>
          <w:p>
            <w:pPr>
              <w:jc w:val="center"/>
              <w:ind w:right="233"/>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w w:val="92"/>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22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3"/>
                <w:szCs w:val="13"/>
                <w:color w:val="auto"/>
              </w:rPr>
            </w:pPr>
          </w:p>
        </w:tc>
        <w:tc>
          <w:tcPr>
            <w:tcW w:w="940" w:type="dxa"/>
            <w:vAlign w:val="bottom"/>
          </w:tcPr>
          <w:p>
            <w:pPr>
              <w:jc w:val="center"/>
              <w:ind w:right="233"/>
              <w:spacing w:after="0" w:line="155"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24,728,258</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484,372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(256,419)</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Conversion of Lender Warrants into equity</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425,295</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2020</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25,153,553</w:t>
            </w: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485,253</w:t>
            </w:r>
          </w:p>
        </w:tc>
        <w:tc>
          <w:tcPr>
            <w:tcW w:w="1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(276,560)</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208,695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460,859</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25,614,412</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486,081</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(297,661)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188,423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20" w:type="dxa"/>
            <w:vAlign w:val="bottom"/>
          </w:tcPr>
          <w:p>
            <w:pPr>
              <w:spacing w:after="0"/>
              <w:rPr>
                <w:sz w:val="24"/>
                <w:szCs w:val="24"/>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F-3</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5" w:name="page6"/>
    <w:bookmarkEnd w:id="5"/>
    <w:p>
      <w:pPr>
        <w:ind w:left="398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80" w:type="dxa"/>
            <w:vAlign w:val="bottom"/>
            <w:gridSpan w:val="3"/>
            <w:vMerge w:val="restart"/>
          </w:tcPr>
          <w:p>
            <w:pPr>
              <w:jc w:val="right"/>
              <w:ind w:right="327"/>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60" w:type="dxa"/>
            <w:vAlign w:val="bottom"/>
          </w:tcPr>
          <w:p>
            <w:pPr>
              <w:jc w:val="center"/>
              <w:ind w:right="2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9"/>
                <w:szCs w:val="19"/>
                <w:color w:val="auto"/>
              </w:rPr>
            </w:pPr>
          </w:p>
        </w:tc>
        <w:tc>
          <w:tcPr>
            <w:tcW w:w="96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1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Merger of entities under common control into the Company</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6,760,334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restrictions placed on previously issued and outstanding</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common stock</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(3,373,408)</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1,491,072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1,054,192</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2019</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5,932,190</w:t>
            </w: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in connection with license agreement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1,084,000</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5,885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Vesting of restricted shares</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203,078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(87,762)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(87,762)</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11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7,219,268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(84,385)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(41,242)</w:t>
            </w:r>
          </w:p>
        </w:tc>
        <w:tc>
          <w:tcPr>
            <w:tcW w:w="16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(89,013)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1,391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Amortization of debt discount</w:t>
            </w:r>
          </w:p>
        </w:tc>
        <w:tc>
          <w:tcPr>
            <w:tcW w:w="98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544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in-process research and development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78,897</w:t>
            </w:r>
          </w:p>
        </w:tc>
        <w:tc>
          <w:tcPr>
            <w:tcW w:w="0" w:type="dxa"/>
            <w:vAlign w:val="bottom"/>
          </w:tcPr>
          <w:p>
            <w:pPr>
              <w:spacing w:after="0"/>
              <w:rPr>
                <w:sz w:val="1"/>
                <w:szCs w:val="1"/>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rPr>
              <w:t>Change in fair value of warrant liabilities (includes related party</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6"/>
                <w:szCs w:val="16"/>
                <w:color w:val="auto"/>
              </w:rPr>
              <w:t>amounts of $0 and $1,277, respectively)</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convertible promissory notes (includes related party</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amounts of $0 and $502, respectively)</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current assets (includes the change in related party</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amounts of $0, and $4, respectively)</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10,428</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206"/>
        </w:trPr>
        <w:tc>
          <w:tcPr>
            <w:tcW w:w="7720" w:type="dxa"/>
            <w:vAlign w:val="bottom"/>
          </w:tcPr>
          <w:p>
            <w:pPr>
              <w:ind w:left="500"/>
              <w:spacing w:after="0"/>
              <w:rPr>
                <w:sz w:val="20"/>
                <w:szCs w:val="20"/>
                <w:color w:val="auto"/>
              </w:rPr>
            </w:pPr>
            <w:r>
              <w:rPr>
                <w:rFonts w:ascii="Arial" w:cs="Arial" w:eastAsia="Arial" w:hAnsi="Arial"/>
                <w:sz w:val="16"/>
                <w:szCs w:val="16"/>
                <w:color w:val="auto"/>
              </w:rPr>
              <w:t>Accounts payable and accrued expenses (includes the change in related party</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620"/>
              <w:spacing w:after="0"/>
              <w:rPr>
                <w:sz w:val="20"/>
                <w:szCs w:val="20"/>
                <w:color w:val="auto"/>
              </w:rPr>
            </w:pPr>
            <w:r>
              <w:rPr>
                <w:rFonts w:ascii="Arial" w:cs="Arial" w:eastAsia="Arial" w:hAnsi="Arial"/>
                <w:sz w:val="16"/>
                <w:szCs w:val="16"/>
                <w:color w:val="auto"/>
              </w:rPr>
              <w:t>amounts of $(181), and $3, respectively)</w:t>
            </w:r>
          </w:p>
        </w:tc>
        <w:tc>
          <w:tcPr>
            <w:tcW w:w="98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8,129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interest (includes the change in related party amounts of $0 and $82,</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respectively)</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Operating right-of-use asset and lease liabilities</w:t>
            </w:r>
          </w:p>
        </w:tc>
        <w:tc>
          <w:tcPr>
            <w:tcW w:w="98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long-term assets</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(20,761)</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(6,018)</w:t>
            </w: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purchased in-process research and development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(25,118)</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paid for property, plant and equipment</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(733)</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(25,118)</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Proceeds from issuance of convertible promissory notes</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88,324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proceeds from issuance of long-term debt</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25,000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24,850</w:t>
            </w: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25,000</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113,174</w:t>
            </w: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increase in cash and cash equivalents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3,506</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82,038</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 beginning of period</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3"/>
              </w:rPr>
              <w:t>243,765</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 end of period</w:t>
            </w: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3"/>
              </w:rPr>
              <w:t>247,271</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82,917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paid</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1,309</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Exchange of accrued interest for convertible promissory notes</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7"/>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Issuance of Takeda Warrants in connection with Takeda License</w:t>
            </w: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47,894</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Issuance of common stock in connection with Takeda License</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vMerge w:val="continue"/>
          </w:tcPr>
          <w:p>
            <w:pPr>
              <w:spacing w:after="0"/>
              <w:rPr>
                <w:sz w:val="20"/>
                <w:szCs w:val="20"/>
                <w:color w:val="auto"/>
              </w:rPr>
            </w:pP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5,885</w:t>
            </w:r>
          </w:p>
        </w:tc>
        <w:tc>
          <w:tcPr>
            <w:tcW w:w="0" w:type="dxa"/>
            <w:vAlign w:val="bottom"/>
          </w:tcPr>
          <w:p>
            <w:pPr>
              <w:spacing w:after="0"/>
              <w:rPr>
                <w:sz w:val="1"/>
                <w:szCs w:val="1"/>
                <w:color w:val="auto"/>
              </w:rPr>
            </w:pPr>
          </w:p>
        </w:tc>
      </w:tr>
      <w:tr>
        <w:trPr>
          <w:trHeight w:val="197"/>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warrants in connection with long-term debt</w:t>
            </w:r>
          </w:p>
        </w:tc>
        <w:tc>
          <w:tcPr>
            <w:tcW w:w="980" w:type="dxa"/>
            <w:vAlign w:val="bottom"/>
            <w:shd w:val="clear" w:color="auto" w:fill="CFF0FC"/>
          </w:tcPr>
          <w:p>
            <w:pPr>
              <w:jc w:val="right"/>
              <w:ind w:right="80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vMerge w:val="continue"/>
          </w:tcPr>
          <w:p>
            <w:pPr>
              <w:spacing w:after="0"/>
              <w:rPr>
                <w:sz w:val="20"/>
                <w:szCs w:val="20"/>
                <w:color w:val="auto"/>
              </w:rPr>
            </w:pP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Final interest payment fee</w:t>
            </w: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2,063</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vMerge w:val="continue"/>
          </w:tcPr>
          <w:p>
            <w:pPr>
              <w:spacing w:after="0"/>
              <w:rPr>
                <w:sz w:val="20"/>
                <w:szCs w:val="20"/>
                <w:color w:val="auto"/>
              </w:rPr>
            </w:pP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1,423</w:t>
            </w: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Conversion of Lender Warrants into equity</w:t>
            </w: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318</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Unpaid initial public offering costs</w:t>
            </w: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Phathom Pharmaceuticals, Inc. (the “Company” or “Phathom”) was incorporated in the state of Delaware in January 2018 under the name North Bridge IV, Inc. On March 13, 2019, the Company changed its name to Phathom Pharmaceuticals, Inc. and merged with YamadaCo IIA, Inc. (“YamadaCo”), a Delaware corporation formed in September 2017, with Phathom being the surviving entity (the “Merger”). All activities of YamadaCo prior to 2018 related to formation and were insignificant. The Company is a late clinical-stage biopharmaceutical company focused on developing and commercializing novel treatments for gastrointestinal diseases.</w:t>
      </w:r>
    </w:p>
    <w:p>
      <w:pPr>
        <w:spacing w:after="0" w:line="14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On October 29, 2019, the Company completed its initial public offering (the “IPO”) and issued 10,997,630 shares of common stock for net proceeds of approximately $191.5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8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October 11, 2019, the Company effected a 2.168-for-1 forward stock split of its common stock (the “Forward Stock Split”). The par value of the common stock was not adjusted as a result of the Forward Stock Split and the authorized shares were increased to 50,000,000 shares of common stock in connection with the Forward Stock Split. In conjunction with the Company’s IPO, the authorized shares of common stock were increased to 400,000,000. The accompanying financial statements and notes to the financial statements give retroactive effect to the Forward Stock Split for all periods presented, unless otherwise indicated.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Company’s financial statements are prepared in accordance with U.S. generally accepted accounting principles (“GAAP”). The accompanying financial statements include the accounts of the Company (the receiving entity) and YamadaCo, prior to the Merger. The Company and YamadaCo were entities under the common control of Frazier Life Sciences IX, L.P. (“Frazier”) as a result of, among other things, Frazier’s; (i) ownership of a majority of the outstanding capital stock of both companies, (ii) financing of both companies, (iii) control of the board of directors of both companies, and (iv) management of both companies. Both the Company and YamadaCo were formed for the purpose of identifying potential assets around which to form an operating company. As the merged entities were under common control, the financial statements report the financial position, results of operations and cash flows of the Company and YamadaCo as though the transfer of net assets and equity interests had occurred at the beginning of 2018. All intercompany accounts and transactions have been eliminated.</w:t>
      </w:r>
    </w:p>
    <w:p>
      <w:pPr>
        <w:spacing w:after="0" w:line="151"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Interim results may not be indicative of the results that may be expected for the full year. In the opinion of management, these unaudited financial statements include all normal and recurring adjustments considered necessary for a fair presentation of these interim unaudited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From inception to June 30, 2020, the Company has devoted substantially all of its efforts to organizing and staffing the Company, business planning, raising capital, in-licensing its initial product candidate, vonoprazan, meeting with regulatory authorities, preparing for and managing the Phase 3 clinical trials of vonoprazan,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the development and commercialization of vonoprazan. From inception to June 30, 2020, the Company has funded its operations through the issuance of convertible promissory notes, commercial bank debt and the sale of 10,997,630 shares of common stock for net proceeds of approximately $191.5 million in its 2019 IPO.</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211" w:lineRule="exact"/>
        <w:rPr>
          <w:sz w:val="20"/>
          <w:szCs w:val="20"/>
          <w:color w:val="auto"/>
        </w:rPr>
      </w:pPr>
    </w:p>
    <w:p>
      <w:pPr>
        <w:ind w:right="280" w:firstLine="510"/>
        <w:spacing w:after="0" w:line="293"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300" w:firstLine="510"/>
        <w:spacing w:after="0" w:line="296" w:lineRule="auto"/>
        <w:rPr>
          <w:sz w:val="20"/>
          <w:szCs w:val="20"/>
          <w:color w:val="auto"/>
        </w:rPr>
      </w:pPr>
      <w:r>
        <w:rPr>
          <w:rFonts w:ascii="Arial" w:cs="Arial" w:eastAsia="Arial" w:hAnsi="Arial"/>
          <w:sz w:val="16"/>
          <w:szCs w:val="16"/>
          <w:color w:val="auto"/>
        </w:rPr>
        <w:t>The preparation of the Company’s financial statements requires it to make estimates and assumptions that impact the reported 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convertible promissory notes, warrant liabilities and various other equity instruments. Although these estimates are based on the Company’s knowledge of current events and actions it may undertake in the future, actual results could differ materially from those estimates and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98"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 xml:space="preserve">As permitted under Accounting Standards Codification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(“ASC 825”), the Company has elected the fair value option to account for its convertible promissory notes issued since inception. In accordance with ASC 825, the Company records these convertible promissory notes at fair value with changes in fair value recorded in the statements of operations. As a result of applying the fair value option, direct costs and fees related to the convertible promissory notes were recognized in earnings as incurred and not deferred.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98"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 Warrant liabilities and convertible promissory notes are recorded at fair value on a recurring basis.</w:t>
      </w:r>
    </w:p>
    <w:p>
      <w:pPr>
        <w:spacing w:after="0" w:line="143" w:lineRule="exact"/>
        <w:rPr>
          <w:sz w:val="20"/>
          <w:szCs w:val="20"/>
          <w:color w:val="auto"/>
        </w:rPr>
      </w:pPr>
    </w:p>
    <w:p>
      <w:pPr>
        <w:ind w:right="480" w:firstLine="510"/>
        <w:spacing w:after="0" w:line="308"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Liabilities measured at fair value on a recurring basis are as follows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8"/>
          </w:tcPr>
          <w:p>
            <w:pPr>
              <w:jc w:val="center"/>
              <w:ind w:right="179"/>
              <w:spacing w:after="0"/>
              <w:rPr>
                <w:sz w:val="20"/>
                <w:szCs w:val="20"/>
                <w:color w:val="auto"/>
              </w:rPr>
            </w:pPr>
            <w:r>
              <w:rPr>
                <w:rFonts w:ascii="Arial" w:cs="Arial" w:eastAsia="Arial" w:hAnsi="Arial"/>
                <w:sz w:val="14"/>
                <w:szCs w:val="14"/>
                <w:b w:val="1"/>
                <w:bCs w:val="1"/>
                <w:color w:val="auto"/>
                <w:w w:val="93"/>
              </w:rPr>
              <w:t>Fair Value Measurements at</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Reporting Date Using:</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December 31, 2019:</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As of June 30, 2020: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warrant liabilities consist of warrants (the “Lender Warrants”) issued in connection with the loan and security agreement (the “Loan Agreement”) for commercial bank debt (see Note 7). The Lender Warrants were accounted for as liabilities as they contained a holder put right under which the lenders could have required the Company to pay cash in exchange for the Lender Warrants. The fair value of the Lender Warrants was estimated on the date of grant using the Black-Scholes option-pricing model with an expected term equal to the remaining contractual term of the warrants.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grant of the award for time periods approximately equal to the expected term of the award. The Company uses an expected dividend yield of zero based on the fact that the Company has never paid cash dividends and does not expect to pay cash dividends in the foreseeable future. When the Company drew down the Term Loan B under the Loan Agreement in March 2020 (see Note 7), the Lenders’ put right expired, and the Company recorded a final fair value adjustment and reclassified the Lender Warrants balance of $0.3 million to additional paid-in-capital.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reconciliation of all liabilities measured at fair value using Level 3 significant unobservable inputs (in thousands):</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jc w:val="right"/>
              <w:ind w:right="876"/>
              <w:spacing w:after="0"/>
              <w:rPr>
                <w:sz w:val="20"/>
                <w:szCs w:val="20"/>
                <w:color w:val="auto"/>
              </w:rPr>
            </w:pPr>
            <w:r>
              <w:rPr>
                <w:rFonts w:ascii="Arial" w:cs="Arial" w:eastAsia="Arial" w:hAnsi="Arial"/>
                <w:sz w:val="14"/>
                <w:szCs w:val="14"/>
                <w:b w:val="1"/>
                <w:bCs w:val="1"/>
                <w:color w:val="auto"/>
              </w:rPr>
              <w:t>Warrant</w:t>
            </w:r>
          </w:p>
        </w:tc>
      </w:tr>
      <w:tr>
        <w:trPr>
          <w:trHeight w:val="171"/>
        </w:trPr>
        <w:tc>
          <w:tcPr>
            <w:tcW w:w="5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Liabilities</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413</w:t>
            </w: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4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of Lender Warrants into equity (Note 7)</w:t>
            </w:r>
          </w:p>
        </w:tc>
        <w:tc>
          <w:tcPr>
            <w:tcW w:w="46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9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June 30,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198" w:lineRule="exact"/>
        <w:rPr>
          <w:sz w:val="20"/>
          <w:szCs w:val="20"/>
          <w:color w:val="auto"/>
        </w:rPr>
      </w:pPr>
    </w:p>
    <w:p>
      <w:pPr>
        <w:jc w:val="both"/>
        <w:ind w:right="280" w:firstLine="510"/>
        <w:spacing w:after="0" w:line="259" w:lineRule="auto"/>
        <w:rPr>
          <w:sz w:val="20"/>
          <w:szCs w:val="20"/>
          <w:color w:val="auto"/>
        </w:rPr>
      </w:pPr>
      <w:r>
        <w:rPr>
          <w:rFonts w:ascii="Arial" w:cs="Arial" w:eastAsia="Arial" w:hAnsi="Arial"/>
          <w:sz w:val="18"/>
          <w:szCs w:val="18"/>
          <w:color w:val="231F20"/>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r>
        <w:rPr>
          <w:rFonts w:ascii="Arial" w:cs="Arial" w:eastAsia="Arial" w:hAnsi="Arial"/>
          <w:sz w:val="18"/>
          <w:szCs w:val="18"/>
          <w:color w:val="000000"/>
        </w:rPr>
        <w:t>.</w:t>
      </w:r>
    </w:p>
    <w:p>
      <w:pPr>
        <w:spacing w:after="0" w:line="14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9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(generally the vesting period) on a straight-line basis. The Company recognizes forfeitures as they occur.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4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3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Comprehensive loss is defined as a change in equity during a period from transactions and other events and circumstances from non-owner sources.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comprehensive loss was the same as its reported net loss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8"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For the three and six months ended June 30, 2019, the net loss per share was recast to include in the numerator the net losses of both the Company and YamadaCo and include in the denominator the weighted-average outstanding shares of both the Company and YamadaCo. Basic net loss per share is computed by dividing the net loss by the weighted-average number of common shares outstanding for the period, without consideration for potentially dilutive securities. The Company included 7,588,000 shares of common stock under its warrant (the “Takeda Warrant”) issued to Takeda Pharmaceutical Company Limited (“Takeda”) in connection with a May 2019 license agreement (see Note 4) in the calculation of basic weighted-average common shares outstanding from the time it became exercisable at the Company’s IPO because the Takeda Warrant is exercisable for little consideration. For the three and six months ended June 30, 2020, the Company has excluded weighted-average unvested shares of 3,555,407 and 3,818,756, respectively, from the weighted-average number of common shares outstanding, compared to 4,579,030 and 2,728,593, respectively, for the same periods in 2019.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warrants and convertible promissory notes. For all periods presented, there is no difference in the number of shares used to calculate basic and diluted shares outstanding as inclusion of the potentially dilutive securities (warrants, stock options, and common shares subject to repurchase) would be antidilutive.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8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212529"/>
        </w:rPr>
        <w:t xml:space="preserve">In June 2016, the </w:t>
      </w:r>
      <w:r>
        <w:rPr>
          <w:rFonts w:ascii="Arial" w:cs="Arial" w:eastAsia="Arial" w:hAnsi="Arial"/>
          <w:sz w:val="18"/>
          <w:szCs w:val="18"/>
          <w:color w:val="000000"/>
        </w:rPr>
        <w:t>Financial Accounting Standards Board (“FASB”)</w:t>
      </w:r>
      <w:r>
        <w:rPr>
          <w:rFonts w:ascii="Arial" w:cs="Arial" w:eastAsia="Arial" w:hAnsi="Arial"/>
          <w:sz w:val="18"/>
          <w:szCs w:val="18"/>
          <w:color w:val="212529"/>
        </w:rPr>
        <w:t xml:space="preserve"> issued Accounting Standards Update (“ASU”) No. 2016-13, </w:t>
      </w:r>
      <w:r>
        <w:rPr>
          <w:rFonts w:ascii="Arial" w:cs="Arial" w:eastAsia="Arial" w:hAnsi="Arial"/>
          <w:sz w:val="18"/>
          <w:szCs w:val="18"/>
          <w:i w:val="1"/>
          <w:iCs w:val="1"/>
          <w:color w:val="212529"/>
        </w:rPr>
        <w:t>Financial</w:t>
      </w:r>
      <w:r>
        <w:rPr>
          <w:rFonts w:ascii="Arial" w:cs="Arial" w:eastAsia="Arial" w:hAnsi="Arial"/>
          <w:sz w:val="18"/>
          <w:szCs w:val="18"/>
          <w:color w:val="212529"/>
        </w:rPr>
        <w:t xml:space="preserve"> </w:t>
      </w:r>
      <w:r>
        <w:rPr>
          <w:rFonts w:ascii="Arial" w:cs="Arial" w:eastAsia="Arial" w:hAnsi="Arial"/>
          <w:sz w:val="18"/>
          <w:szCs w:val="18"/>
          <w:i w:val="1"/>
          <w:iCs w:val="1"/>
          <w:color w:val="212529"/>
        </w:rPr>
        <w:t xml:space="preserve">Instruments - Credit Losses (Topic 326): Measurement of Credit Losses on Financial Instruments </w:t>
      </w:r>
      <w:r>
        <w:rPr>
          <w:rFonts w:ascii="Arial" w:cs="Arial" w:eastAsia="Arial" w:hAnsi="Arial"/>
          <w:sz w:val="18"/>
          <w:szCs w:val="18"/>
          <w:color w:val="212529"/>
        </w:rPr>
        <w:t>(“ASU 2016-13”). ASU 2016-13 implements an</w:t>
      </w:r>
      <w:r>
        <w:rPr>
          <w:rFonts w:ascii="Arial" w:cs="Arial" w:eastAsia="Arial" w:hAnsi="Arial"/>
          <w:sz w:val="18"/>
          <w:szCs w:val="18"/>
          <w:i w:val="1"/>
          <w:iCs w:val="1"/>
          <w:color w:val="212529"/>
        </w:rPr>
        <w:t xml:space="preserve"> </w:t>
      </w:r>
      <w:r>
        <w:rPr>
          <w:rFonts w:ascii="Arial" w:cs="Arial" w:eastAsia="Arial" w:hAnsi="Arial"/>
          <w:sz w:val="18"/>
          <w:szCs w:val="18"/>
          <w:color w:val="212529"/>
        </w:rPr>
        <w:t xml:space="preserve">impairment model, known as the current expected credit loss model, based on expected losses rather than incurred losses. Under the new guidance, an entity will recognize, as an allowance, its estimate of expected credit losses. ASU 2016-13 is effective for interim and annual periods beginning after December 15, 2019, with early adoption permitted. </w:t>
      </w:r>
      <w:r>
        <w:rPr>
          <w:rFonts w:ascii="Arial" w:cs="Arial" w:eastAsia="Arial" w:hAnsi="Arial"/>
          <w:sz w:val="18"/>
          <w:szCs w:val="18"/>
          <w:color w:val="000000"/>
        </w:rPr>
        <w:t>The Company adopted this guidance effective January 1, 2020, and the adoption did not have a material</w:t>
      </w:r>
      <w:r>
        <w:rPr>
          <w:rFonts w:ascii="Arial" w:cs="Arial" w:eastAsia="Arial" w:hAnsi="Arial"/>
          <w:sz w:val="18"/>
          <w:szCs w:val="18"/>
          <w:color w:val="212529"/>
        </w:rPr>
        <w:t xml:space="preserve"> </w:t>
      </w:r>
      <w:r>
        <w:rPr>
          <w:rFonts w:ascii="Arial" w:cs="Arial" w:eastAsia="Arial" w:hAnsi="Arial"/>
          <w:sz w:val="18"/>
          <w:szCs w:val="18"/>
          <w:color w:val="000000"/>
        </w:rPr>
        <w:t>impact on the Company's financial statements.</w:t>
      </w:r>
    </w:p>
    <w:p>
      <w:pPr>
        <w:spacing w:after="0" w:line="152"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which eliminates, modifies and adds disclosure requirements on fair value measurements. The standard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annual periods beginning after December 15, 2019, including interim periods within those fiscal years, and early adoption is permitted. The Company adopted this guidance effective January 1, 2020, and the adoption did not have a material impact on the Company's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ASU 2019-12 is effective for annual reporting periods, and interim periods within those annual periods, beginning after December 15, 2020 on a prospective basis, and early adoption is permitted. The Company does not expect the adoption of ASU 2019-12 will have a significant impact on its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net, consist of the following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2019</w:t>
            </w: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152</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0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306</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13</w:t>
            </w:r>
          </w:p>
        </w:tc>
      </w:tr>
      <w:tr>
        <w:trPr>
          <w:trHeight w:val="223"/>
        </w:trPr>
        <w:tc>
          <w:tcPr>
            <w:tcW w:w="4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471</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4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463</w:t>
            </w:r>
          </w:p>
        </w:tc>
      </w:tr>
      <w:tr>
        <w:trPr>
          <w:trHeight w:val="20"/>
        </w:trPr>
        <w:tc>
          <w:tcPr>
            <w:tcW w:w="4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21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Depreciation expense for the three and six months ended June 30, 2020 was approximately $77,000 and $129,000, respectively. There was no depreciation expense for the six months ended June 30, 2019. No property, plant or equipment was disposed of during the six months ended June 30, 2020 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jc w:val="right"/>
              <w:ind w:right="76"/>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57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960" w:type="dxa"/>
            <w:vAlign w:val="bottom"/>
          </w:tcPr>
          <w:p>
            <w:pPr>
              <w:spacing w:after="0"/>
              <w:rPr>
                <w:sz w:val="14"/>
                <w:szCs w:val="14"/>
                <w:color w:val="auto"/>
              </w:rPr>
            </w:pPr>
          </w:p>
        </w:tc>
        <w:tc>
          <w:tcPr>
            <w:tcW w:w="216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855"/>
              <w:spacing w:after="0"/>
              <w:rPr>
                <w:sz w:val="20"/>
                <w:szCs w:val="20"/>
                <w:color w:val="auto"/>
              </w:rPr>
            </w:pPr>
            <w:r>
              <w:rPr>
                <w:rFonts w:ascii="Arial" w:cs="Arial" w:eastAsia="Arial" w:hAnsi="Arial"/>
                <w:sz w:val="14"/>
                <w:szCs w:val="14"/>
                <w:b w:val="1"/>
                <w:bCs w:val="1"/>
                <w:color w:val="auto"/>
              </w:rPr>
              <w:t>2019</w:t>
            </w: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R&amp;D expenses</w:t>
            </w:r>
          </w:p>
        </w:tc>
        <w:tc>
          <w:tcPr>
            <w:tcW w:w="7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12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4,534</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384</w:t>
            </w: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Accrued compensation expenses</w:t>
            </w: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1,052</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&amp; consulting expenses</w:t>
            </w:r>
          </w:p>
        </w:tc>
        <w:tc>
          <w:tcPr>
            <w:tcW w:w="7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478</w:t>
            </w:r>
          </w:p>
        </w:tc>
      </w:tr>
      <w:tr>
        <w:trPr>
          <w:trHeight w:val="229"/>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6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405</w:t>
            </w:r>
          </w:p>
        </w:tc>
      </w:tr>
      <w:tr>
        <w:trPr>
          <w:trHeight w:val="223"/>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7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2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6,257</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2,319</w:t>
            </w:r>
          </w:p>
        </w:tc>
      </w:tr>
      <w:tr>
        <w:trPr>
          <w:trHeight w:val="20"/>
        </w:trPr>
        <w:tc>
          <w:tcPr>
            <w:tcW w:w="3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89"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Frazier is a principal stockholder of the Company and is represented on the Company’s board of directors. The Company has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June 30, 2020 and December 31, 2019, the Company had outstanding accounts payable and accrued expenses due to Frazier in the amount of $34,000 and $0.1 million, respectively, related to these shared operating expenses. For the three months ended June 30, 2020 and 2019, the Company incurred $34,000 and $52,000, respectively, of shared operating expenses. For the six months ended June 30, 2020 and 2019, the Company incurred $77,000 and $0.1 million, respectively, of shared operating expenses. In addition to the shared operating expenses, the Company issued convertible promissory notes to Frazier during 2018 and 2019 (see Note 5).</w:t>
      </w:r>
    </w:p>
    <w:p>
      <w:pPr>
        <w:spacing w:after="0" w:line="125"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Frazier is a principal stockholder in PCI Pharma Services (“PCI”). In the third quarter of 2019, the Company engaged PCI for clinical manufacturing services. As of June 30, 2020 and December 31, 2019, the Company had $0.3 million outstanding accounts payable and accrued expenses related to these manufacturing services. For the three and six months ended June 30, 2020, the Company incurred $0.2 million and $0.7 million, respectively, of expenses related to services performed by PCI. The Company did not incur expenses related to services performed by PCI for the same periods in 2019.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Mountain Field LLC (“Mountain Field”) is an entity owned by the chairman of the Company’s board of directors. During 2019, the Company</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charged Mountain Field for certain rent and payroll related expenses. These shared expenses were allocated based on usage of the related facilities and time incurred by personnel. For the three and six months ended June 30, 2019, the Company charged Mountain Field $5,000 and $0.1 million, respectively, for shared expenses. There were no such expenses for the six months ended June 30, 2020.</w:t>
      </w:r>
    </w:p>
    <w:p>
      <w:pPr>
        <w:spacing w:after="0" w:line="135"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As of June 30, 2020 and December 31, 2019, the Company had $22,000 and $0.1 million, respectively, in outstanding accounts payable and accrued expenses related to these supply services. The Company did not have any such expenses incurred for the three and six months ended June 30, 2020 and 2019 related to services performed by Takeda.</w:t>
      </w:r>
    </w:p>
    <w:p>
      <w:pPr>
        <w:spacing w:after="0" w:line="121"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On May 5, 2020, the Company entered into a Commercial Supply Agreement (the “Commercial Supply Agreement”) with Takeda, pursuant to which Takeda will supply commercial quantities of vonoprazan bulk drug product. Pursuant to the Commercial Supply Agreement, Takeda has agreed to supply the Company with and the Company has agreed to purchase from Takeda certain quantities of vonoprazan bulk drug product according to approved specifications at a fixed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 As of June 30, 2020, no costs have been incurred related to the Commercial Supply Agreement. The Company has a minimum purchase obligation of approximately $2.5 million related to this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9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5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Company incurred $0.1 million of transaction costs in connection with the Takeda License. The Takeda Warrant has an exercise price of $0.00004613 per share, expires on May 7, 2029 and became exercisable upon the consummation of the IPO. Following the October 11, 2019 increase in the Company’s authorized shares of common stock to 50,000,000, the Company recorded a non-cash charge related to the final fair value adjustment of the Takeda Warrants and reclassified the full balance of $144.2 million from warrant liabilities to additional paid-in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Promissory Notes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Frazier Convertible Note Financing</w:t>
      </w:r>
    </w:p>
    <w:p>
      <w:pPr>
        <w:spacing w:after="0" w:line="19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From January 2018 to April 2019, the Company issued convertible promissory notes to Frazier (the “Frazier Notes”) for an aggregate of $2.4 million and bearing interest at per annum rates ranging from 1.68% to 2.55%. Of the Frazier Notes, $1.9 million were issued in 2018 and $0.5 million were issued in April 2019. Due to certain embedded features within the Frazier Notes, the Company elected to account for these notes and all their embedded features under the fair value option. The Company recorded changes in the fair value of the Frazier Notes in the statements of operations until May 2019, when the Frazier Notes and related accrued interest were exchanged, at their then fair value of $2.4 million, for the convertible promissory notes issued by the Company in May 2019 (the “May 2019 Notes”). For the three and six months ended June 30, 2019, the Company recognized $64,000 and $50,000, respectively, of other income in the statements of operations related to decreases in the fair value of the Frazier Notes. For the three and six months ended June 30, 2019, the Company recognized $4,000 and $15,000, respectively, of interest expense in connection with the Frazier Notes. The Company did not have any such expenses incurred for the three and six months ended June 30, 2020 in connection with the Frazier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2019 Convertible Note Financing</w:t>
      </w:r>
    </w:p>
    <w:p>
      <w:pPr>
        <w:spacing w:after="0" w:line="185"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In May 2019, the Company entered into a note purchase agreement under which it issued the unsecured May 2019 Notes for an aggregate of $90.3 million, resulting in gross proceeds to the Company of $87.8 million in cash and $2.4 million related to the exchange of the Frazier Notes and related accrued interest for the May 2019 Notes. Including the conversion of the Frazier Notes, Frazier purchased $20.0 million of the May 2019 Notes. The May 2019 Notes bore interest at a rate of 6% per annum and were subordinated to borrowings under the Company’s loan and security agreement (see Note 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Due to certain embedded features within the May 2019 Notes, the Company elected to account for these notes and all their embedded features under the fair value option. The outstanding principal and accrued interest of the May 2019 Notes automatically converted into 6,107,918 shares of common stock immediately prior to the completion of the IPO on October 29,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 Commitments</w:t>
      </w:r>
    </w:p>
    <w:p>
      <w:pPr>
        <w:spacing w:after="0" w:line="18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As of June 30, 2020, the Company had operating leases for office space in both Buffalo Grove, Illinois and Florham Park, New Jersey, with remaining lease terms of 4.8 years and 5.2 years, respectively. Both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4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total rent expense for the three and six months ended June 30, 2020 was approximately $0.1 million and $0.2 million, respectively. There was no rent expense for the three and six months ended June 30, 2019.</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supplemental balance sheet information related to the operating leases as of June 30, 2020 and December 31, 2019.</w:t>
      </w:r>
    </w:p>
    <w:p>
      <w:pPr>
        <w:spacing w:after="0" w:line="33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0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Operating lease right-of-use assets</w:t>
            </w:r>
          </w:p>
        </w:tc>
        <w:tc>
          <w:tcPr>
            <w:tcW w:w="11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2,614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right-of-use assets</w:t>
            </w:r>
          </w:p>
        </w:tc>
        <w:tc>
          <w:tcPr>
            <w:tcW w:w="11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7"/>
              </w:rPr>
              <w:t>2,614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Operating lease liabilities, current</w:t>
            </w: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11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7"/>
              </w:rPr>
              <w:t>1,746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1180" w:type="dxa"/>
            <w:vAlign w:val="bottom"/>
          </w:tcPr>
          <w:p>
            <w:pPr>
              <w:spacing w:after="0"/>
              <w:rPr>
                <w:sz w:val="19"/>
                <w:szCs w:val="19"/>
                <w:color w:val="auto"/>
              </w:rPr>
            </w:pPr>
          </w:p>
        </w:tc>
        <w:tc>
          <w:tcPr>
            <w:tcW w:w="1120" w:type="dxa"/>
            <w:vAlign w:val="bottom"/>
            <w:tcBorders>
              <w:bottom w:val="single" w:sz="8" w:color="auto"/>
            </w:tcBorders>
          </w:tcPr>
          <w:p>
            <w:pPr>
              <w:jc w:val="right"/>
              <w:ind w:right="9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2,162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2020, the future minimum annual lease payments under the operating leases were as follows (in thousands):</w:t>
      </w:r>
    </w:p>
    <w:p>
      <w:pPr>
        <w:sectPr>
          <w:pgSz w:w="11900" w:h="16838" w:orient="portrait"/>
          <w:cols w:equalWidth="0" w:num="1">
            <w:col w:w="11200"/>
          </w:cols>
          <w:pgMar w:left="320" w:top="121" w:right="379" w:bottom="1440" w:gutter="0" w:footer="0" w:header="0"/>
        </w:sectPr>
      </w:pPr>
    </w:p>
    <w:p>
      <w:pPr>
        <w:spacing w:after="0" w:line="23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minimum lease payments</w:t>
      </w: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Present value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operating lease liabilities, current</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7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29210</wp:posOffset>
            </wp:positionV>
            <wp:extent cx="570039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Weighted-average incremental borrowing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jc w:val="right"/>
              <w:ind w:right="1109"/>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188</w:t>
            </w:r>
          </w:p>
        </w:tc>
      </w:t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490</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503</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516</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529</w:t>
            </w:r>
          </w:p>
        </w:tc>
      </w:tr>
      <w:tr>
        <w:trPr>
          <w:trHeight w:val="230"/>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342</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10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2,568</w:t>
            </w: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(406)</w:t>
            </w:r>
          </w:p>
        </w:tc>
      </w:tr>
      <w:tr>
        <w:trPr>
          <w:trHeight w:val="230"/>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2,162</w:t>
            </w:r>
          </w:p>
        </w:tc>
      </w:tr>
      <w:tr>
        <w:trPr>
          <w:trHeight w:val="230"/>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10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1,746</w:t>
            </w: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5.06</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7.25%</w:t>
            </w:r>
          </w:p>
        </w:tc>
      </w:tr>
    </w:tbl>
    <w:p>
      <w:pPr>
        <w:spacing w:after="0" w:line="200" w:lineRule="exact"/>
        <w:rPr>
          <w:sz w:val="20"/>
          <w:szCs w:val="20"/>
          <w:color w:val="auto"/>
        </w:rPr>
      </w:pPr>
    </w:p>
    <w:p>
      <w:pPr>
        <w:sectPr>
          <w:pgSz w:w="11900" w:h="16838" w:orient="portrait"/>
          <w:cols w:equalWidth="0" w:num="2">
            <w:col w:w="6400" w:space="720"/>
            <w:col w:w="4080"/>
          </w:cols>
          <w:pgMar w:left="320" w:top="121" w:right="379" w:bottom="1440" w:gutter="0" w:footer="0" w:header="0"/>
          <w:type w:val="continuous"/>
        </w:sectPr>
      </w:pPr>
    </w:p>
    <w:p>
      <w:pPr>
        <w:spacing w:after="0" w:line="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Operating cash flows for the six months ended June 30, 2020 included $0.7 million in cash payments for operating leases, $0.5 million of which were prepaid lease payments. There were no lease costs for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Long-term debt consists of the following (in thousands):</w:t>
      </w:r>
    </w:p>
    <w:p>
      <w:pPr>
        <w:spacing w:after="0" w:line="230" w:lineRule="exact"/>
        <w:rPr>
          <w:sz w:val="20"/>
          <w:szCs w:val="20"/>
          <w:color w:val="auto"/>
        </w:rPr>
      </w:pPr>
    </w:p>
    <w:p>
      <w:pPr>
        <w:jc w:val="center"/>
        <w:ind w:left="4980"/>
        <w:spacing w:after="0"/>
        <w:rPr>
          <w:sz w:val="20"/>
          <w:szCs w:val="20"/>
          <w:color w:val="auto"/>
        </w:rPr>
      </w:pPr>
      <w:r>
        <w:rPr>
          <w:rFonts w:ascii="Arial" w:cs="Arial" w:eastAsia="Arial" w:hAnsi="Arial"/>
          <w:sz w:val="12"/>
          <w:szCs w:val="12"/>
          <w:b w:val="1"/>
          <w:bCs w:val="1"/>
          <w:color w:val="auto"/>
        </w:rPr>
        <w:t>June 30,</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-3175</wp:posOffset>
            </wp:positionV>
            <wp:extent cx="427736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Long-term debt, current portion</w:t>
      </w:r>
    </w:p>
    <w:p>
      <w:pPr>
        <w:spacing w:after="0" w:line="21"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Long-term debt,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29210</wp:posOffset>
            </wp:positionV>
            <wp:extent cx="427736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Unamortized debt discount</w:t>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Long-term debt, net of debt discount</w:t>
      </w:r>
    </w:p>
    <w:p>
      <w:pPr>
        <w:spacing w:after="0" w:line="20" w:lineRule="exact"/>
        <w:rPr>
          <w:sz w:val="20"/>
          <w:szCs w:val="20"/>
          <w:color w:val="auto"/>
        </w:rPr>
      </w:pPr>
      <w:r>
        <w:rPr>
          <w:sz w:val="20"/>
          <w:szCs w:val="20"/>
          <w:color w:val="auto"/>
        </w:rPr>
        <w:br w:type="column"/>
      </w:r>
    </w:p>
    <w:p>
      <w:pPr>
        <w:ind w:left="1155" w:hanging="1155"/>
        <w:spacing w:after="0"/>
        <w:tabs>
          <w:tab w:leader="none" w:pos="1155" w:val="left"/>
        </w:tabs>
        <w:numPr>
          <w:ilvl w:val="0"/>
          <w:numId w:val="3"/>
        </w:numPr>
        <w:rPr>
          <w:rFonts w:ascii="Arial" w:cs="Arial" w:eastAsia="Arial" w:hAnsi="Arial"/>
          <w:sz w:val="18"/>
          <w:szCs w:val="18"/>
          <w:color w:val="auto"/>
        </w:rPr>
      </w:pPr>
      <w:r>
        <w:rPr>
          <w:rFonts w:ascii="Arial" w:cs="Arial" w:eastAsia="Arial" w:hAnsi="Arial"/>
          <w:sz w:val="18"/>
          <w:szCs w:val="18"/>
          <w:color w:val="auto"/>
        </w:rPr>
        <w:t>1,389</w:t>
      </w:r>
    </w:p>
    <w:p>
      <w:pPr>
        <w:spacing w:after="0" w:line="21" w:lineRule="exact"/>
        <w:rPr>
          <w:rFonts w:ascii="Arial" w:cs="Arial" w:eastAsia="Arial" w:hAnsi="Arial"/>
          <w:sz w:val="18"/>
          <w:szCs w:val="18"/>
          <w:color w:val="auto"/>
        </w:rPr>
      </w:pPr>
    </w:p>
    <w:p>
      <w:pPr>
        <w:ind w:left="1055"/>
        <w:spacing w:after="0"/>
        <w:rPr>
          <w:rFonts w:ascii="Arial" w:cs="Arial" w:eastAsia="Arial" w:hAnsi="Arial"/>
          <w:sz w:val="18"/>
          <w:szCs w:val="18"/>
          <w:color w:val="auto"/>
        </w:rPr>
      </w:pPr>
      <w:r>
        <w:rPr>
          <w:rFonts w:ascii="Arial" w:cs="Arial" w:eastAsia="Arial" w:hAnsi="Arial"/>
          <w:sz w:val="18"/>
          <w:szCs w:val="18"/>
          <w:color w:val="auto"/>
        </w:rPr>
        <w:t>48,611</w:t>
      </w:r>
    </w:p>
    <w:p>
      <w:pPr>
        <w:spacing w:after="0" w:line="22" w:lineRule="exact"/>
        <w:rPr>
          <w:rFonts w:ascii="Arial" w:cs="Arial" w:eastAsia="Arial" w:hAnsi="Arial"/>
          <w:sz w:val="18"/>
          <w:szCs w:val="18"/>
          <w:color w:val="auto"/>
        </w:rPr>
      </w:pPr>
    </w:p>
    <w:p>
      <w:pPr>
        <w:ind w:left="1095"/>
        <w:spacing w:after="0"/>
        <w:rPr>
          <w:rFonts w:ascii="Arial" w:cs="Arial" w:eastAsia="Arial" w:hAnsi="Arial"/>
          <w:sz w:val="18"/>
          <w:szCs w:val="18"/>
          <w:color w:val="auto"/>
        </w:rPr>
      </w:pPr>
      <w:r>
        <w:rPr>
          <w:rFonts w:ascii="Arial" w:cs="Arial" w:eastAsia="Arial" w:hAnsi="Arial"/>
          <w:sz w:val="17"/>
          <w:szCs w:val="17"/>
          <w:color w:val="auto"/>
        </w:rPr>
        <w:t>(3,741)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045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7" w:lineRule="exact"/>
        <w:rPr>
          <w:sz w:val="20"/>
          <w:szCs w:val="20"/>
          <w:color w:val="auto"/>
        </w:rPr>
      </w:pPr>
    </w:p>
    <w:p>
      <w:pPr>
        <w:ind w:left="1055" w:hanging="1055"/>
        <w:spacing w:after="0"/>
        <w:tabs>
          <w:tab w:leader="none" w:pos="1055" w:val="left"/>
        </w:tabs>
        <w:numPr>
          <w:ilvl w:val="0"/>
          <w:numId w:val="4"/>
        </w:numPr>
        <w:rPr>
          <w:rFonts w:ascii="Arial" w:cs="Arial" w:eastAsia="Arial" w:hAnsi="Arial"/>
          <w:sz w:val="18"/>
          <w:szCs w:val="18"/>
          <w:color w:val="auto"/>
        </w:rPr>
      </w:pPr>
      <w:r>
        <w:rPr>
          <w:rFonts w:ascii="Arial" w:cs="Arial" w:eastAsia="Arial" w:hAnsi="Arial"/>
          <w:sz w:val="18"/>
          <w:szCs w:val="18"/>
          <w:color w:val="auto"/>
        </w:rPr>
        <w:t>46,259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45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1045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5" w:space="720"/>
            <w:col w:w="3895"/>
          </w:cols>
          <w:pgMar w:left="320" w:top="121" w:right="339" w:bottom="1440" w:gutter="0" w:footer="0" w:header="0"/>
          <w:type w:val="continuous"/>
        </w:sectPr>
      </w:pPr>
    </w:p>
    <w:p>
      <w:pPr>
        <w:spacing w:after="0" w:line="6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231F20"/>
        </w:rPr>
        <w:t>On May 14, 2019, the Company entered into a loan and security agreement (the “Loan Agreement”, and all amounts borrowed thereunder the “Term Loans”) with Silicon Valley Bank (“SVB”), as administrative and collateral agent, and lenders including SVB and WestRiver Innovation Lending Fund VIII, L.P. (“WestRiver”). The Company borrowed $25.0 million (“Term Loan A”) at the inception of the Loan Agreement and an additional $25.0 million (“Term Loan B”) on March 16, 2020.</w:t>
      </w:r>
    </w:p>
    <w:p>
      <w:pPr>
        <w:spacing w:after="0" w:line="16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231F20"/>
        </w:rPr>
        <w:t xml:space="preserve">The Term Loans bear interest at a floating rate of the higher of the Wall Street Journal Prime rate plus 1.75% (5% at June 30, 2020) or 7.25%. Under the original Loan Agreement, the monthly payments consisted of interest-only through May 31, 2021. On March 11, 2020, the Company entered into the first amendment (the “Amendment”) to the Loan Agreement. Pursuant to the Amendment, the interest-only payment period was extended either (i) until December 31, 2021, if the Company receives positive data from its Phase 3 clinical trial in H. pylori infection sufficient to file a New Drug Application (“NDA”) with the U.S. Food and Drug Administration (“FDA”); or (ii) until November 30, 2022, if the Company receives positive data from its Phase 3 clinical trials in both indications for vonoprazan sufficient to file an NDA with the FDA; </w:t>
      </w:r>
      <w:r>
        <w:rPr>
          <w:rFonts w:ascii="Arial" w:cs="Arial" w:eastAsia="Arial" w:hAnsi="Arial"/>
          <w:sz w:val="17"/>
          <w:szCs w:val="17"/>
          <w:color w:val="000000"/>
        </w:rPr>
        <w:t>provided, in each case, that the Company had drawn down an</w:t>
      </w:r>
      <w:r>
        <w:rPr>
          <w:rFonts w:ascii="Arial" w:cs="Arial" w:eastAsia="Arial" w:hAnsi="Arial"/>
          <w:sz w:val="17"/>
          <w:szCs w:val="17"/>
          <w:color w:val="231F20"/>
        </w:rPr>
        <w:t xml:space="preserve"> </w:t>
      </w:r>
      <w:r>
        <w:rPr>
          <w:rFonts w:ascii="Arial" w:cs="Arial" w:eastAsia="Arial" w:hAnsi="Arial"/>
          <w:sz w:val="17"/>
          <w:szCs w:val="17"/>
          <w:color w:val="000000"/>
        </w:rPr>
        <w:t xml:space="preserve">additional $25.0 million, Term Loan B, pursuant to the Loan Agreement. </w:t>
      </w:r>
      <w:r>
        <w:rPr>
          <w:rFonts w:ascii="Arial" w:cs="Arial" w:eastAsia="Arial" w:hAnsi="Arial"/>
          <w:sz w:val="17"/>
          <w:szCs w:val="17"/>
          <w:color w:val="231F20"/>
        </w:rPr>
        <w:t>Subsequent to the interest-only period, the Term Loans will be payable in equal</w:t>
      </w:r>
      <w:r>
        <w:rPr>
          <w:rFonts w:ascii="Arial" w:cs="Arial" w:eastAsia="Arial" w:hAnsi="Arial"/>
          <w:sz w:val="17"/>
          <w:szCs w:val="17"/>
          <w:color w:val="000000"/>
        </w:rPr>
        <w:t xml:space="preserve"> </w:t>
      </w:r>
      <w:r>
        <w:rPr>
          <w:rFonts w:ascii="Arial" w:cs="Arial" w:eastAsia="Arial" w:hAnsi="Arial"/>
          <w:sz w:val="17"/>
          <w:szCs w:val="17"/>
          <w:color w:val="231F20"/>
        </w:rPr>
        <w:t>monthly installments of principal, plus accrued and unpaid interest through the maturity date of May 1, 2024. In addition, the Company is obligated to pay a final payment fee of 8.25% of the original principal amount of the Term Loans. As of June 30, 2020, the aggregate final payment fee for the Term Loans of $4.1 million has been recorded as an other long-term liability.</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231F20"/>
        </w:rPr>
        <w:t>The Company may elect to prepay all or a portion of the Term Loans prior to maturity, subject to a prepayment fee of up to 2.0% of the then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231F20"/>
        </w:rPr>
        <w:t>outstanding principal balance and payment of a pro rata portion of the final payment fee. After repayment, no Term Loan amounts may be borrowed again.</w:t>
      </w:r>
    </w:p>
    <w:p>
      <w:pPr>
        <w:spacing w:after="0" w:line="193"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borrowings under the Loan Agreement are collateralized by substantially all of the Company’s assets, excluding intellectual property and certain other assets. The Loan Agreement includes affirmative and negative covenants. The affirmative covenants include, among others, covenants requiring the Company to maintain its legal existence and governmental approvals, deliver certain financial reports, maintain insurance coverage and satisfy certain requirements regarding its operating accounts. The negative covenants include, among others, limitations on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The Loan Agreement also contains customary events of default, including bankruptcy, the failure to make payments when due, and a material adverse change. Upon the occurrence of an event of default, subject to any specified cure periods, all amounts owed by the Company would begin to bear interest at a rate that is 4.00% above the rate effective immediately before the event of default and may be declared immediately due and payable by SVB, as collateral agent. As of June 30, 2020, the Company was in compliance with all applicable covenants under the Loan Agreement.</w:t>
      </w:r>
    </w:p>
    <w:p>
      <w:pPr>
        <w:spacing w:after="0" w:line="14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connection with the Loan Agreement, the Company issued the Lender Warrants to purchase stock of the Company, which expire ten years from the date of issuance. Upon completion of the IPO in 2019, the Lender Warrants became exercisable for 16,446 shares of common stock. The Lender Warrants included a put option pursuant to which, in the event that the Company did not draw down Term Loan B on or before March 31, 2020, the warrant holders could have required that the Company repurchase the warrants for a total aggregate repurchase price of $0.5 million. Upon the Term Loan B draw in March 2020, the Lender Warrants became exercisable and the put option related to the Lender Warrants expired. Accordingly, the Company recorded a final fair value adjustment and reclassified the Lender Warrants balance of $0.3 million to additional paid-in-capital.</w:t>
      </w:r>
    </w:p>
    <w:p>
      <w:pPr>
        <w:spacing w:after="0" w:line="12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initial $0.4 million fair value of the Lender Warrants, the $4.1 million final payment fee and $0.2 million of debt issuance costs have been recorded as debt discount and are being amortized to interest expense using the effective interest method over the term of the Term Loans. During the three and six months ended June 30, 2020, the Company recognized $1.3 million and $2.0 million, respectively, of interest expense, including amortization of the debt discount, in connection with the Loan Agreement, compared to $0.3 million for the same periods in 2019. As of June 30, 2020, the Company had outstanding Term Loans of $50.0 million and accrued interest of $0.3 million.</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Future minimum principal and interest payments under the Term Loans, including the final payment fee, as of June 30, 2020 are as follows (in thousands):</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3860" w:type="dxa"/>
            <w:vAlign w:val="bottom"/>
          </w:tcPr>
          <w:p>
            <w:pPr>
              <w:jc w:val="right"/>
              <w:ind w:right="3170"/>
              <w:spacing w:after="0"/>
              <w:rPr>
                <w:sz w:val="20"/>
                <w:szCs w:val="20"/>
                <w:color w:val="auto"/>
              </w:rPr>
            </w:pPr>
            <w:r>
              <w:rPr>
                <w:rFonts w:ascii="Arial" w:cs="Arial" w:eastAsia="Arial" w:hAnsi="Arial"/>
                <w:sz w:val="18"/>
                <w:szCs w:val="18"/>
                <w:color w:val="auto"/>
              </w:rPr>
              <w:t>2020</w:t>
            </w:r>
          </w:p>
        </w:tc>
        <w:tc>
          <w:tcPr>
            <w:tcW w:w="17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1,843</w:t>
            </w:r>
          </w:p>
        </w:tc>
      </w:tr>
      <w:tr>
        <w:trPr>
          <w:trHeight w:val="229"/>
        </w:trPr>
        <w:tc>
          <w:tcPr>
            <w:tcW w:w="3860" w:type="dxa"/>
            <w:vAlign w:val="bottom"/>
            <w:shd w:val="clear" w:color="auto" w:fill="CFF0FC"/>
          </w:tcPr>
          <w:p>
            <w:pPr>
              <w:jc w:val="right"/>
              <w:ind w:right="3170"/>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13,219</w:t>
            </w:r>
          </w:p>
        </w:tc>
      </w:tr>
      <w:tr>
        <w:trPr>
          <w:trHeight w:val="230"/>
        </w:trPr>
        <w:tc>
          <w:tcPr>
            <w:tcW w:w="3860" w:type="dxa"/>
            <w:vAlign w:val="bottom"/>
          </w:tcPr>
          <w:p>
            <w:pPr>
              <w:jc w:val="right"/>
              <w:ind w:right="3170"/>
              <w:spacing w:after="0"/>
              <w:rPr>
                <w:sz w:val="20"/>
                <w:szCs w:val="20"/>
                <w:color w:val="auto"/>
              </w:rPr>
            </w:pPr>
            <w:r>
              <w:rPr>
                <w:rFonts w:ascii="Arial" w:cs="Arial" w:eastAsia="Arial" w:hAnsi="Arial"/>
                <w:sz w:val="18"/>
                <w:szCs w:val="18"/>
                <w:color w:val="auto"/>
              </w:rPr>
              <w:t>2022</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19,065</w:t>
            </w:r>
          </w:p>
        </w:tc>
      </w:tr>
      <w:tr>
        <w:trPr>
          <w:trHeight w:val="229"/>
        </w:trPr>
        <w:tc>
          <w:tcPr>
            <w:tcW w:w="3860" w:type="dxa"/>
            <w:vAlign w:val="bottom"/>
            <w:shd w:val="clear" w:color="auto" w:fill="CFF0FC"/>
          </w:tcPr>
          <w:p>
            <w:pPr>
              <w:jc w:val="right"/>
              <w:ind w:right="3170"/>
              <w:spacing w:after="0"/>
              <w:rPr>
                <w:sz w:val="20"/>
                <w:szCs w:val="20"/>
                <w:color w:val="auto"/>
              </w:rPr>
            </w:pPr>
            <w:r>
              <w:rPr>
                <w:rFonts w:ascii="Arial" w:cs="Arial" w:eastAsia="Arial" w:hAnsi="Arial"/>
                <w:sz w:val="18"/>
                <w:szCs w:val="18"/>
                <w:color w:val="auto"/>
              </w:rPr>
              <w:t>2023</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17,840</w:t>
            </w:r>
          </w:p>
        </w:tc>
      </w:tr>
      <w:tr>
        <w:trPr>
          <w:trHeight w:val="230"/>
        </w:trPr>
        <w:tc>
          <w:tcPr>
            <w:tcW w:w="3860" w:type="dxa"/>
            <w:vAlign w:val="bottom"/>
            <w:tcBorders>
              <w:bottom w:val="single" w:sz="8" w:color="CFF0FC"/>
            </w:tcBorders>
          </w:tcPr>
          <w:p>
            <w:pPr>
              <w:jc w:val="right"/>
              <w:ind w:right="3170"/>
              <w:spacing w:after="0"/>
              <w:rPr>
                <w:sz w:val="20"/>
                <w:szCs w:val="20"/>
                <w:color w:val="auto"/>
              </w:rPr>
            </w:pPr>
            <w:r>
              <w:rPr>
                <w:rFonts w:ascii="Arial" w:cs="Arial" w:eastAsia="Arial" w:hAnsi="Arial"/>
                <w:sz w:val="18"/>
                <w:szCs w:val="18"/>
                <w:color w:val="auto"/>
              </w:rPr>
              <w:t>2024</w:t>
            </w:r>
          </w:p>
        </w:tc>
        <w:tc>
          <w:tcPr>
            <w:tcW w:w="1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11,197</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principal and interest payments</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63,164</w:t>
            </w:r>
          </w:p>
        </w:tc>
      </w:tr>
      <w:tr>
        <w:trPr>
          <w:trHeight w:val="229"/>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 and final payment fee</w:t>
            </w:r>
          </w:p>
        </w:tc>
        <w:tc>
          <w:tcPr>
            <w:tcW w:w="1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(13,164)</w:t>
            </w:r>
          </w:p>
        </w:tc>
      </w:tr>
      <w:tr>
        <w:trPr>
          <w:trHeight w:val="223"/>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term loan borrowings</w:t>
            </w: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50,000</w:t>
            </w:r>
          </w:p>
        </w:tc>
      </w:tr>
      <w:tr>
        <w:trPr>
          <w:trHeight w:val="20"/>
        </w:trPr>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March 2019, subsequent to the Merger, the Company sold 1,491,072 shares of the Company’s common stock to Frazier.</w:t>
      </w:r>
    </w:p>
    <w:p>
      <w:pPr>
        <w:spacing w:after="0" w:line="18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June 30, 2020, 1,739,436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2019, the Company issued Takeda 1,084,000 shares of common stock in connection with the Takeda License.</w:t>
      </w:r>
    </w:p>
    <w:p>
      <w:pPr>
        <w:spacing w:after="0" w:line="185"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June 30, 2020, 1,610,664 shares remain available for repurchase by the Company and the associated repurchase liability was not significant.</w:t>
      </w:r>
    </w:p>
    <w:p>
      <w:pPr>
        <w:spacing w:after="0" w:line="15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Company is authorized to issue up to 40 million shares of preferred stock. As of June 30, 2020, and December 31, 2019, there were no shares of preferred stock issued or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98"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in 2019. As a result of the adoption of the 2019 Incentive Award Plan (the “2019 Plan”) in October 2019, no further shares are available for issuance under the Existing Incentive Plan.</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9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The Company initially had 2,700,000 shares of common stock available for issuance under the 2019 Plan, of which, 134,227 stock options were granted. As of June 30, 2020, 3,581,853 shares remain available for issuance, which includes the annual increase of 1,158,580 shares that were authorized on January 1,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October 2019, the board of directors adopted, and the Company’s stockholders approved, the Employee Stock Purchase Plan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June 30, 2020, 559,645 shares of common stock remain available for issuance, which includes the annual increase of 289,645 shares that were authorized on January 1, 2020.</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A summary of the Company’s unvested shares is as follows: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40" w:type="dxa"/>
            <w:vAlign w:val="bottom"/>
            <w:vMerge w:val="continue"/>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4,236,248</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 vesting</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(886,154)</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3,350,094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accounting purposes, unvested shares of common stock are considered issued, but not outstanding until they vest.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00" w:type="dxa"/>
            <w:vAlign w:val="bottom"/>
          </w:tcPr>
          <w:p>
            <w:pPr>
              <w:jc w:val="right"/>
              <w:ind w:right="455"/>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24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5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7,604,446</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1,677,255</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the 2019 Incentive Plan</w:t>
            </w:r>
          </w:p>
        </w:tc>
        <w:tc>
          <w:tcPr>
            <w:tcW w:w="15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3,581,853</w:t>
            </w: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available for issuance under the ESPP Plan</w:t>
            </w: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559,645</w:t>
            </w: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15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13,423,199</w:t>
            </w:r>
          </w:p>
        </w:tc>
      </w:tr>
      <w:tr>
        <w:trPr>
          <w:trHeight w:val="20"/>
        </w:trPr>
        <w:tc>
          <w:tcPr>
            <w:tcW w:w="5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Financial Statements − (Continued)</w:t>
      </w:r>
    </w:p>
    <w:p>
      <w:pPr>
        <w:spacing w:after="0" w:line="3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14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14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114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1140" w:type="dxa"/>
            <w:vAlign w:val="bottom"/>
          </w:tcPr>
          <w:p>
            <w:pPr>
              <w:jc w:val="center"/>
              <w:ind w:right="22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2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1,400,528</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9.10</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9.69</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30,874</w:t>
            </w: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276,727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 and shares vested</w:t>
            </w:r>
          </w:p>
        </w:tc>
        <w:tc>
          <w:tcPr>
            <w:tcW w:w="12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12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1,677,255</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12.93</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9.28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33,512</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Options exercisable as of June 30, 2020</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during 2020 was $18.65. As of June 30, 2020, the Company had $10.6 million of unrecognized stock-based compensation expense, which is expected to be recognized over a weighted-average period of 3.28 years. As of June 30, 2019, the unrecognized stock-based compensation expense was $59,000, which was recognized as expense over a weighted-average period of approximately 0.7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assumptions used to estimate the fair value of stock options using the Black-Scholes option valuation model were as follows:</w:t>
      </w:r>
    </w:p>
    <w:p>
      <w:pPr>
        <w:spacing w:after="0" w:line="253" w:lineRule="exact"/>
        <w:rPr>
          <w:sz w:val="20"/>
          <w:szCs w:val="20"/>
          <w:color w:val="auto"/>
        </w:rPr>
      </w:pPr>
    </w:p>
    <w:p>
      <w:pPr>
        <w:jc w:val="center"/>
        <w:ind w:left="3340"/>
        <w:spacing w:after="0"/>
        <w:rPr>
          <w:sz w:val="20"/>
          <w:szCs w:val="20"/>
          <w:color w:val="auto"/>
        </w:rPr>
      </w:pPr>
      <w:r>
        <w:rPr>
          <w:rFonts w:ascii="Arial" w:cs="Arial" w:eastAsia="Arial" w:hAnsi="Arial"/>
          <w:sz w:val="14"/>
          <w:szCs w:val="14"/>
          <w:b w:val="1"/>
          <w:bCs w:val="1"/>
          <w:color w:val="auto"/>
        </w:rPr>
        <w:t>Six Months Ended</w:t>
      </w:r>
    </w:p>
    <w:p>
      <w:pPr>
        <w:jc w:val="center"/>
        <w:ind w:left="33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700" w:type="dxa"/>
        <w:tblCellMar>
          <w:top w:w="0" w:type="dxa"/>
          <w:left w:w="0" w:type="dxa"/>
          <w:bottom w:w="0" w:type="dxa"/>
          <w:right w:w="0" w:type="dxa"/>
        </w:tblCellMar>
      </w:tblPr>
      <w:tr>
        <w:trPr>
          <w:trHeight w:val="156"/>
        </w:trPr>
        <w:tc>
          <w:tcPr>
            <w:tcW w:w="3420" w:type="dxa"/>
            <w:vAlign w:val="bottom"/>
            <w:tcBorders>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100" w:type="dxa"/>
            <w:vAlign w:val="bottom"/>
            <w:tcBorders>
              <w:top w:val="single" w:sz="8" w:color="auto"/>
              <w:bottom w:val="single" w:sz="8" w:color="auto"/>
            </w:tcBorders>
          </w:tcPr>
          <w:p>
            <w:pPr>
              <w:ind w:left="860"/>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Assumptions:</w:t>
            </w:r>
          </w:p>
        </w:tc>
        <w:tc>
          <w:tcPr>
            <w:tcW w:w="1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r>
      <w:tr>
        <w:trPr>
          <w:trHeight w:val="230"/>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Expected term (in years)</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19"/>
                <w:szCs w:val="19"/>
                <w:color w:val="auto"/>
              </w:rPr>
            </w:pPr>
          </w:p>
        </w:tc>
        <w:tc>
          <w:tcPr>
            <w:tcW w:w="2100" w:type="dxa"/>
            <w:vAlign w:val="bottom"/>
          </w:tcPr>
          <w:p>
            <w:pPr>
              <w:ind w:left="1840"/>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w:t>
            </w:r>
          </w:p>
        </w:tc>
        <w:tc>
          <w:tcPr>
            <w:tcW w:w="140" w:type="dxa"/>
            <w:vAlign w:val="bottom"/>
            <w:shd w:val="clear" w:color="auto" w:fill="CFF0FC"/>
          </w:tcPr>
          <w:p>
            <w:pPr>
              <w:spacing w:after="0"/>
              <w:rPr>
                <w:sz w:val="19"/>
                <w:szCs w:val="19"/>
                <w:color w:val="auto"/>
              </w:rPr>
            </w:pPr>
          </w:p>
        </w:tc>
        <w:tc>
          <w:tcPr>
            <w:tcW w:w="2100" w:type="dxa"/>
            <w:vAlign w:val="bottom"/>
            <w:shd w:val="clear" w:color="auto" w:fill="CFF0FC"/>
          </w:tcPr>
          <w:p>
            <w:pPr>
              <w:ind w:left="1840"/>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Risk free interest rate</w:t>
            </w:r>
          </w:p>
        </w:tc>
        <w:tc>
          <w:tcPr>
            <w:tcW w:w="840" w:type="dxa"/>
            <w:vAlign w:val="bottom"/>
          </w:tcPr>
          <w:p>
            <w:pPr>
              <w:jc w:val="right"/>
              <w:spacing w:after="0"/>
              <w:rPr>
                <w:sz w:val="20"/>
                <w:szCs w:val="20"/>
                <w:color w:val="auto"/>
              </w:rPr>
            </w:pPr>
            <w:r>
              <w:rPr>
                <w:rFonts w:ascii="Arial" w:cs="Arial" w:eastAsia="Arial" w:hAnsi="Arial"/>
                <w:sz w:val="18"/>
                <w:szCs w:val="18"/>
                <w:color w:val="auto"/>
              </w:rPr>
              <w:t>0.82%</w:t>
            </w:r>
          </w:p>
        </w:tc>
        <w:tc>
          <w:tcPr>
            <w:tcW w:w="140" w:type="dxa"/>
            <w:vAlign w:val="bottom"/>
          </w:tcPr>
          <w:p>
            <w:pPr>
              <w:spacing w:after="0"/>
              <w:rPr>
                <w:sz w:val="19"/>
                <w:szCs w:val="19"/>
                <w:color w:val="auto"/>
              </w:rPr>
            </w:pPr>
          </w:p>
        </w:tc>
        <w:tc>
          <w:tcPr>
            <w:tcW w:w="2100" w:type="dxa"/>
            <w:vAlign w:val="bottom"/>
          </w:tcPr>
          <w:p>
            <w:pPr>
              <w:ind w:left="1840"/>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ind w:left="18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Stock-based compensation expense recognized for all equity awards, including founder stock, has been reported in the statements of operations as follows (in thousands):</w:t>
      </w:r>
    </w:p>
    <w:p>
      <w:pPr>
        <w:spacing w:after="0" w:line="163"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gridSpan w:val="4"/>
          </w:tcPr>
          <w:p>
            <w:pPr>
              <w:jc w:val="right"/>
              <w:ind w:right="18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567"/>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r>
      <w:tr>
        <w:trPr>
          <w:trHeight w:val="155"/>
        </w:trPr>
        <w:tc>
          <w:tcPr>
            <w:tcW w:w="2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90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41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Research and development expense</w:t>
            </w:r>
          </w:p>
        </w:tc>
        <w:tc>
          <w:tcPr>
            <w:tcW w:w="3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29"/>
        </w:trPr>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3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29</w:t>
            </w:r>
          </w:p>
        </w:tc>
      </w:tr>
      <w:tr>
        <w:trPr>
          <w:trHeight w:val="223"/>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29</w:t>
            </w:r>
          </w:p>
        </w:tc>
      </w:tr>
      <w:tr>
        <w:trPr>
          <w:trHeight w:val="20"/>
        </w:trPr>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2019 and the related Management’s Discussion and Analysis of Financial Condition and Results of Operations, both of which are contained in our Annual Report on Form 10-K for the year ended December 31, 2019 (“2019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impact of COVID-19,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We are a late clinical-stage biopharmaceutical company focused on developing and commercializing novel treatments for gastrointestinal, or GI, diseases. Our initial product candidate, vonoprazan, is an oral small molecule potassium 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Takeda Pharmaceutical Company Limited, or Takeda, developed vonoprazan and has received marketing approval in thirteen countries in Asia and Latin America. Vonoprazan generated over $670 million in net sales in its fifth full year on the market since its approval in Japan in late 2014. In May 2019, we in-licensed the U.S., European, and Canadian rights to vonoprazan from Takeda. We initiated two pivotal Phase 3 clinical trials in the fourth quarter of 2019 for vonoprazan: one for the treatment of erosive GERD (PHALCON-EE), also known as erosive esophagitis, and a second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(PHALCON-HP). We have received qualified infectious disease product, or QIDP, and Fast Track designations from the U.S. Food and Drug Administration, or FDA, for vonoprazan in combination with certain antibiotics for the treatment of </w:t>
      </w:r>
      <w:r>
        <w:rPr>
          <w:rFonts w:ascii="Arial" w:cs="Arial" w:eastAsia="Arial" w:hAnsi="Arial"/>
          <w:sz w:val="17"/>
          <w:szCs w:val="17"/>
          <w:i w:val="1"/>
          <w:iCs w:val="1"/>
          <w:color w:val="auto"/>
        </w:rPr>
        <w:t xml:space="preserve">H. pylori </w:t>
      </w:r>
      <w:r>
        <w:rPr>
          <w:rFonts w:ascii="Arial" w:cs="Arial" w:eastAsia="Arial" w:hAnsi="Arial"/>
          <w:sz w:val="17"/>
          <w:szCs w:val="17"/>
          <w:color w:val="auto"/>
        </w:rPr>
        <w:t>infection. QIDP designation also provides potential eligibility for priority review and extension of any regulatory exclusivity awarded, if</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Vonoprazan has the potential to be the first gastric anti-secretory agent from a novel class approved in the United States, Europe, or Canada in over 30 years. In addition, we continue to plan to pursue vonoprazan lifecycle extension strategies in areas with clear unmet need, clinical rationale, and commercial justification. For example, one indication for which we are evaluating is whether to study vonoprazan for potential use in non-erosive reflux disease or NERD with daily and/or on-demand, or as-needed, dosing regimens.</w:t>
      </w:r>
    </w:p>
    <w:p>
      <w:pPr>
        <w:spacing w:after="0" w:line="155"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In March 2020, we announced a pause in randomization of new patients in our Phase 3 trials. The decision was not based on any study-related COVID-19 infections or other safety events, but supported global efforts to combat COVID-19, and aligned with guidance from the American Society of Gastrointestinal Endoscopy, or ASGE, on limiting endoscopies, which are required in both Phase 3 clinical trials. During the pause, we worked with our clinical trial sites to ensure uninterrupted clinical trial supply, and supported the continuation of patients who were enrolled in our Phase 3 trials prior to the randomization pause while providing for their safety and the safety of physicians and other staff at the clinical trial sites. On June 15, 2020, we announced that we had restarted randomization of new patients on a site-by-site basis in both of our Phase 3 trials. To date, we have not experienced any interruption in our clinical trial supply, however, there is no guarantee that, as COVID-19 continues, it will not disrupt our supply chain in the future.</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right="40" w:firstLine="510"/>
        <w:spacing w:after="0" w:line="272" w:lineRule="auto"/>
        <w:rPr>
          <w:sz w:val="20"/>
          <w:szCs w:val="20"/>
          <w:color w:val="auto"/>
        </w:rPr>
      </w:pPr>
      <w:r>
        <w:rPr>
          <w:rFonts w:ascii="Arial" w:cs="Arial" w:eastAsia="Arial" w:hAnsi="Arial"/>
          <w:sz w:val="17"/>
          <w:szCs w:val="17"/>
          <w:color w:val="auto"/>
        </w:rPr>
        <w:t xml:space="preserve">Despite the pause in randomization, we continue to expect that topline data will be available from both trials in 2021, and that the successful completion of our Phase 3 clinical trials, together with the existing clinical data, will support regulatory submissions in 2021 and 2022 for marketing approval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erosive esophagitis, respectively. However, our assumptions used to determine expected timelines for clinical trials and regulatory filings may not be correct due to a number of factors, including the uncertainties regarding COVID-19 and its potential further impact on our operations and clinical trials, and we may experience delays in the completion of such trials beyond our expected timelines and resulting delays in the filing of our regulatory submissions. Any delays in the completion of our clinical trials and regulatory filings or disruption in our supply chain could have a material adverse effect on our business, financial condition and results of operations.</w:t>
      </w:r>
    </w:p>
    <w:p>
      <w:pPr>
        <w:spacing w:after="0" w:line="150"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addition to our focus on the well-being of physicians and other staff at the clinical trial sites and the patients currently participating in our trials, we are actively working with each study site to implement measures to avoid study protocol violations, to minimize any disruption of treatment visits, to accommodate for other patient visit delays caused by limited access to healthcare facilities, to continue monitoring and supporting patients leveraging alternative methods (e.g., phone or virtual visits), and to properly record protocol violations and other information that may be related to COVID-19. In this respect, we are also incorporating recent direction and flexibility provided by regulatory authorities, including the FDA in its March 2020 Guidance (updated July 2, 2020) entitled “FDA Guidance on Conduct of Clinical Trials of Medicinal Products during COVID-19.” This guidance is continually being updated by the FDA and updates can be found on the FDA’s website at www.fda.gov. In addition, we may refer to guidance documents provided by other regulatory agencies, such as, for example, the European Medicines Agency’s “Implications of coronavirus disease (COVID-19) on methodological aspect of ongoing clinical trials” found on www.ema.europe.eu, which are also continually being updated. We will continue to evaluate the impact of COVID-19 on our business and as additional information and guidance about its impact on our industry is available.</w:t>
      </w:r>
    </w:p>
    <w:p>
      <w:pPr>
        <w:spacing w:after="0" w:line="128"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preparing for and managing our Phase 3 clinical trials of vonoprazan, and providing other general and administrative support for these operations. Our operations to date have been funded primarily through the issuance of convertible promissory notes, commercial bank debt, and the proceeds from our initial public offering, or IPO. From our inception through June 30, 2020, we have raised aggregate gross proceeds of $90.3 million from the issuance of convertible promissory notes in 2019, $50.0 million of commercial bank debt, and net proceeds from our IPO of $191.5 million from the sale of 10,997,630 shares of common stock, which included the exercise in full by the underwriters of their option to purchase 1,434,473 additional shares at a public offering price of $19.00 per share, after deducting underwriting discounts, commissions and offering costs. As of June 30, 2020, we had cash and cash equivalents of $247.3 million. Based on our current operating plan, and subject to the potential delays and cost increases resulting from the evolving COVID-19 pandemic, we believe that our existing cash and cash equivalents will be sufficient to meet our anticipated cash requirements for approximately the next 24 months.</w:t>
      </w:r>
    </w:p>
    <w:p>
      <w:pPr>
        <w:spacing w:after="0" w:line="128"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do not have any products approved for sale and have incurred net losses since our inception. Our net losses for the six month periods ended June 30, 2020 and 2019 were $41.2 million and $89 million, respectively. As of June 30, 2020, we had an accumulated deficit of $297.7 million. Our net losses may fluctuate significantly from quarter-to-quarter and year-to-year, depending on the timing of our clinical development activities, other research and development activities, and pre-commercialization activities. We expect our expenses and operating losses will increase substantially as we advance vonoprazan through clinical trials, seek regulatory approval for vonoprazan, expand our clinical, regulatory, quality, manufacturing and commercialization capabilities, incur significant commercialization expenses for marketing, sales, manufacturing and distribution if we obtain marketing approval for vonoprazan, protect our intellectual property, expand our general and administrative support functions, including hiring additional personnel, and incur additional costs associated with operating as a public company.</w:t>
      </w:r>
    </w:p>
    <w:p>
      <w:pPr>
        <w:spacing w:after="0" w:line="151"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have never generated any revenue and do not expect to generate any revenues from product sales unless and until we successfully complete development and obtain regulatory approval for vonoprazan, which will not be for several years, if ever. Accordingly, until such time as we can generate significant revenue from sales of vonoprazan, if ever, we expect to finance our cash needs through equity offerings, our existing loan and security agreement, or the Loan Agreement,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COVID-19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Financial Operations Overview</w:t>
      </w:r>
    </w:p>
    <w:p>
      <w:pPr>
        <w:spacing w:after="0" w:line="198"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Our financial statements include our accounts (the receiving entity) and the accounts of YamadaCo IIA, Inc., or YamadaCo, prior to being merged into a single entity effective March 13, 2019. We and YamadaCo were entities under common control of Frazier Life Sciences IX, L.P., or Frazier, as a result of, among other things, Frazier’s: (i) ownership of a majority of the outstanding capital stock of both companies; (ii) financing of both companies;</w:t>
      </w:r>
    </w:p>
    <w:p>
      <w:pPr>
        <w:spacing w:after="0" w:line="2" w:lineRule="exact"/>
        <w:rPr>
          <w:sz w:val="20"/>
          <w:szCs w:val="20"/>
          <w:color w:val="auto"/>
        </w:rPr>
      </w:pPr>
    </w:p>
    <w:p>
      <w:pPr>
        <w:jc w:val="both"/>
        <w:ind w:right="360" w:firstLine="8"/>
        <w:spacing w:after="0" w:line="273" w:lineRule="auto"/>
        <w:tabs>
          <w:tab w:leader="none" w:pos="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control of the board of directors of both companies; and (iv) management of both companies. Both Phathom and YamadaCo were formed for the purpose of identifying potential assets around which to form an operating company. As the merged entities were under common control, the financial statements report the financial position, results of operations and cash flows of Phathom and YamadaCo as though the transfer of net assets and equity interests had occurred at the beginning of 2018. All intercompany accounts and transactions have been eliminated.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8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4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43"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paid Takeda upfront consideration consisting of a cash fee of $25.0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85" w:lineRule="exact"/>
        <w:rPr>
          <w:sz w:val="20"/>
          <w:szCs w:val="20"/>
          <w:color w:val="auto"/>
        </w:rPr>
      </w:pPr>
    </w:p>
    <w:p>
      <w:pPr>
        <w:ind w:left="880" w:right="1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payroll taxes, employee benefits, and stock-based compensation charges for those individuals involved in research and development efforts;</w:t>
      </w:r>
    </w:p>
    <w:p>
      <w:pPr>
        <w:spacing w:after="0" w:line="129"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and consultants to conduct and support our ongoing clinical trials of vonoprazan; and</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related to the manufacturing of vonoprazan for our clinical trials.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23" w:name="page24"/>
    <w:bookmarkEnd w:id="23"/>
    <w:p>
      <w:pPr>
        <w:ind w:right="20" w:firstLine="510"/>
        <w:spacing w:after="0" w:line="255" w:lineRule="auto"/>
        <w:rPr>
          <w:sz w:val="20"/>
          <w:szCs w:val="20"/>
          <w:color w:val="auto"/>
        </w:rPr>
      </w:pPr>
      <w:r>
        <w:rPr>
          <w:rFonts w:ascii="Arial" w:cs="Arial" w:eastAsia="Arial" w:hAnsi="Arial"/>
          <w:sz w:val="18"/>
          <w:szCs w:val="18"/>
          <w:color w:val="auto"/>
        </w:rPr>
        <w:t>We plan to substantially increase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clinical development costs may vary significantly based on factors such as:</w:t>
      </w:r>
    </w:p>
    <w:p>
      <w:pPr>
        <w:spacing w:after="0" w:line="185" w:lineRule="exact"/>
        <w:rPr>
          <w:sz w:val="20"/>
          <w:szCs w:val="20"/>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evaluated in the trials;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and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8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In-process research and development expenses relate to the Takeda License, and include the $78.9 million purchase price of the acquired research and development assets. The purchase price of the Takeda License consisted of the following: (i) $25.0 million in cash; (ii) issuance to Takeda of 1,084,000 shares of our common stock at a fair value of $5.9 million; (iii) issuance of the Takeda Warrant at an initial fair value of $47.9 million; (iv) issuance of the Takeda Warrant Right, with a nominal initial fair value due to the low probability of issuance; and (v) $0.1 million of transaction costs incurred by us. The fair value of the Takeda Warrant and Takeda Warrant Right were derived from the model used to estimate the fair value of our common stock and the fair value of the common stock was determined using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 Privately Held Company Equity Securities Issued as Compensation</w:t>
      </w:r>
      <w:r>
        <w:rPr>
          <w:rFonts w:ascii="Arial" w:cs="Arial" w:eastAsia="Arial" w:hAnsi="Arial"/>
          <w:sz w:val="16"/>
          <w:szCs w:val="16"/>
          <w:color w:val="auto"/>
        </w:rPr>
        <w:t>, or the Practice Aid. The Practice Aid prescribes several valuation approaches for setting the value of an enterprise, such as the cost, income and market approaches, and various methodologies for allocating the value of an enterprise to its common stock. We utilized a scenario-based analysis that estimated the fair value per share based on the probability-weighted present value of expected future investment returns, considering each of the possible outcomes available to us, including various initial public offering, stay private and dissolution scenarios, and applying a discount for lack of marketability. We considered various stay private scenarios using the income approach and allocated the indicated equity value to each class of equity based on the current-value method. We also considered various initial public offering scenarios based on expected equity values in an initial public offering and allocated the indicated equity value to each class of equity on a fully-diluted basis considering the dilutive impacts of the unsecured convertible promissory notes we issued in May 2019, or the May 2019 Notes, and the Lender Warrants.</w:t>
      </w:r>
    </w:p>
    <w:p>
      <w:pPr>
        <w:spacing w:after="0" w:line="14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There were significant judgments and estimates inherent in the determination of the fair value of our common stock prior to our 2019 IPO. These judgments and estimates included assumptions regarding our future operating performance, the time to complete an initial public offering or other liquidity event and the determination of the appropriate valuation methods. If we had made different assumptions, our fair value per share of common stock could have been significantly different.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8"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increase in the future to support our continued research and development activities, pre-commercial preparation activities for vonoprazan and, if any future product candidate receives marketing approval, commercialization activities. We also anticipate increased expenses related to audit, legal, regulatory, and tax-related services associated with maintaining compliance with exchange listing and Securities and Exchange Commission, or SEC, requirements, director and officer insurance premiums, and investor relations costs associated with operating as a public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Interest expense consists of interest on our outstanding commercial bank debt at a floating per annum interest rate which was 7.25% as of June 30, 2020, and amortization of the commercial bank debt discount recorded in connection with the fair value of warrants issued to the lenders, the debt issuance costs incurred, and the obligation to make a final payment fee.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98"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In connection with the entry into the Loan Agreement, we issued the lenders warrants to purchase our capital stock, or the Lender Warrants. The Lender Warrants were accounted for as liabilities as they contained a holder put right under which the lenders could have required us to pay cash in exchange for the warrants. We adjusted the carrying value of the Lender Warrants to their estimated fair value at each reporting date, with any change in fair value of the warrant liabilities recorded as an increase or decrease to change in fair value of warrant liabilities in the statements of operations. The Lender Warrants were accounted for at fair value using the Black-Scholes option-pricing model with an expected term equal to the remaining contractual term of the warrants. When we drew down an additional $25.0 million, or the Term Loan B, in March 2020, the Lender put right expired, and we recorded a final fair value adjustment and reclassified the Lender Warrants balance of $0.3 million to additional paid-in-capital.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Promissory Notes</w:t>
      </w:r>
    </w:p>
    <w:p>
      <w:pPr>
        <w:spacing w:after="0" w:line="185"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We issued convertible promissory notes in 2018 and 2019 for which we elected the fair value option. We adjusted the carrying value of our convertible promissory notes to their estimated fair value at each reporting date, with any change in fair value of the convertible promissory notes recorded as an increase or decrease to change in fair value of convertible promissory notes in our statements of operations.</w:t>
      </w:r>
    </w:p>
    <w:p>
      <w:pPr>
        <w:spacing w:after="0" w:line="13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Prior to their exchange into convertible promissory notes issued in May 2019, the fair value of convertible promissory notes issued from inception through April 2019 was estimated using a scenario-based analysis that estimated the fair value of the convertible promissory notes based on the probability-weighted present value of expected future investment returns, considering possible outcomes available to the noteholders, including conversions in subsequent equity financings, change of control transactions, settlement and dissolution. The fair value of the convertible promissory notes issued in May 2019 was estimated using a scenario-based analysis that estimated the fair value of the convertible promissory notes based on the probability-weighted present value of expected future investment returns, considering each of the possible outcomes available to the noteholders, including various IPO, settlement, equity financing, corporate transaction and dissolution scenarios.</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notes issued in May 2019 and related accrued interest thereon were converted into 6,107,918 shares immediately prior to the completion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2020 and 2019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30,724</w:t>
            </w:r>
          </w:p>
        </w:tc>
        <w:tc>
          <w:tcPr>
            <w:tcW w:w="60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27,523</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In-process research and development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78,897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(78,897)</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9,672</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40,396</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84,240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(43,844)</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(40,396)</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43,844</w:t>
            </w: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convertible</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promissory notes</w:t>
            </w:r>
          </w:p>
        </w:tc>
        <w:tc>
          <w:tcPr>
            <w:tcW w:w="7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7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(89,013)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47,771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$30.7 million and $3.2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respectively. The increase of $27.5 million consisted of $22.4 million of clinical trial costs and $1.1 million of chemistry manufacturing and controls (“CMC”) costs related to vonoprazan, $2.7 million of personnel-related expenses, $0.6 million of consulting expenses, $0.4 million of expenses related to regulatory requirements, and $0.3 million of other operating expenses.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i w:val="1"/>
          <w:iCs w:val="1"/>
          <w:color w:val="auto"/>
        </w:rPr>
        <w:t xml:space="preserve">In-Process Research and Development Expenses. </w:t>
      </w:r>
      <w:r>
        <w:rPr>
          <w:rFonts w:ascii="Arial" w:cs="Arial" w:eastAsia="Arial" w:hAnsi="Arial"/>
          <w:sz w:val="18"/>
          <w:szCs w:val="18"/>
          <w:color w:val="auto"/>
        </w:rPr>
        <w:t>We had no in-process research and development expenses for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$78.9 million of in-process research and development expenses for the six months ended June 30, 2019 consisted of the purchase price for the research and development assets we acquired as part of the Takeda License.</w:t>
      </w:r>
    </w:p>
    <w:p>
      <w:pPr>
        <w:spacing w:after="0" w:line="143"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$9.7 million and $2.2 million for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 respectively. The increase of $7.5 million was due to increases of $3.0 million in personnel-related expenses, $2.9 million in professional services expenses for accounting, audit, tax, valuation and other services, $1.4 million of insurance premiums related to general operating matters, $0.1 million of consulting expenses, and $0.4 million of other operating expenses, partially offset by a $0.3 million decrease in legal fees related to corporate and intellectual property matters.</w:t>
      </w:r>
    </w:p>
    <w:p>
      <w:pPr>
        <w:spacing w:after="0" w:line="16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$0.9 million for the six months ended June 30, 2020 consisted of $2.0 million of interest expense on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commercial bank debt partially offset by $1.1 million of interest income and $0.1 million of other income related to the decrease in the fair value of warrant liabilities. Other expense of $4.8 million for the six months ended June 30, 2019 consisted of $2.4 million of other expense related to the increase in the fair value of our convertible promissory notes, $1.3 million of other expense related to the increase in the fair value of warrant liabilities, $0.9 million of interest expense on our outstanding convertible promissory notes, $0.3 million of interest expense on outstanding commercial bank debt, partially offset by $0.1 million of interest income.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2020 and 2019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7"/>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46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14,859</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12,087</w:t>
            </w:r>
          </w:p>
        </w:tc>
      </w:tr>
      <w:tr>
        <w:trPr>
          <w:trHeight w:val="229"/>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In-process research and development</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78,897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(78,897)</w:t>
            </w:r>
          </w:p>
        </w:tc>
      </w:tr>
      <w:tr>
        <w:trPr>
          <w:trHeight w:val="230"/>
        </w:trPr>
        <w:tc>
          <w:tcPr>
            <w:tcW w:w="4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6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5,162</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3,817</w:t>
            </w: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20,021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83,014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(62,993)</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62,993</w:t>
            </w: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29"/>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1,284</w:t>
            </w: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convertible promissory notes</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2,428</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6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3,668</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(87,762)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66,661</w:t>
            </w:r>
          </w:p>
        </w:tc>
      </w:tr>
      <w:tr>
        <w:trPr>
          <w:trHeight w:val="20"/>
        </w:trPr>
        <w:tc>
          <w:tcPr>
            <w:tcW w:w="4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$14.9 million and $2.8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respectively. The increase of $12.1 million consisted of $9.6 million of clinical trial costs and $0.6 million of CMC costs related to vonoprazan, $1.4 million of personnel-related expenses, $0.2 million of consulting expenses, $0.1 million of expenses related to regulatory requirements, and $0.2 million of other operating expenses.</w:t>
      </w:r>
    </w:p>
    <w:p>
      <w:pPr>
        <w:spacing w:after="0" w:line="146" w:lineRule="exact"/>
        <w:rPr>
          <w:sz w:val="20"/>
          <w:szCs w:val="20"/>
          <w:color w:val="auto"/>
        </w:rPr>
      </w:pPr>
    </w:p>
    <w:p>
      <w:pPr>
        <w:jc w:val="both"/>
        <w:ind w:right="40" w:firstLine="510"/>
        <w:spacing w:after="0" w:line="279"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were $5.2 million and $1.4 million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2020 and 2019, respectively. The increase of $3.8 million was due to increases of $1.6 million in professional services expenses for accounting, audit, tax, valuation and other services, $1.5 million in personnel-related expenses, $0.7 million of insurance premiums related to general operating matters, and $0.1 million of other operating expenses, partially offset by a $0.1 million decrease in legal fees.</w:t>
      </w:r>
    </w:p>
    <w:p>
      <w:pPr>
        <w:spacing w:after="0" w:line="144"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expense of $1.1 million for the three months ended June 30, 2020 consisted of $1.3 million of interest expense on</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commercial bank debt and interest income of $0.2 million. Other expense of $4.8 million for the three months ended June 30, 2019 consisted of $2.4 million of other expense related to the increase in the fair value of our convertible promissory notes, $1.3 million of other expense related to the increase in the fair value of warrant liabilities, $0.9 million of interest expense on our outstanding convertible promissory notes, $0.3 million of interest expense on outstanding commercial bank debt, partially offset by $0.1 million of interest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As of June 30, 2020, we had cash and cash equivalents of $247.3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Bank Debt</w:t>
      </w:r>
    </w:p>
    <w:p>
      <w:pPr>
        <w:spacing w:after="0" w:line="18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 May 14, 2019, we entered into the Loan Agreement with Silicon Valley Bank, or SVB, as administrative and collateral agent, and lenders SVB and WestRiver Innovation Lending Fund VIII, L.P. We borrowed $25.0 million, Term Loan A, at the inception of the Loan Agreement and the additional $25.0 million, Term Loan B, in March 2020, which we collectively refer to as the Term Loans. As of June 30, 2020, we had outstanding Term Loans of $50.0 million and accrued interest of $0.3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27" w:name="page28"/>
    <w:bookmarkEnd w:id="27"/>
    <w:p>
      <w:pPr>
        <w:ind w:right="20" w:firstLine="510"/>
        <w:spacing w:after="0" w:line="291" w:lineRule="auto"/>
        <w:rPr>
          <w:sz w:val="20"/>
          <w:szCs w:val="20"/>
          <w:color w:val="auto"/>
        </w:rPr>
      </w:pPr>
      <w:r>
        <w:rPr>
          <w:rFonts w:ascii="Arial" w:cs="Arial" w:eastAsia="Arial" w:hAnsi="Arial"/>
          <w:sz w:val="16"/>
          <w:szCs w:val="16"/>
          <w:color w:val="231F20"/>
        </w:rPr>
        <w:t>The Term Loans bear interest at a floating rate of the higher of the Wall Street Journal Prime rate plus 1.75% (5% at June 30, 2020) or 7.25%. Under the original Loan Agreement, the monthly payments consisted of interest-only through May 31, 2021. Pursuant to the first amendment to the Loan Agreement entered into on March 11, 2020, the interest-only payment period was extended either (i) until December 31, 2021, if we receive positive data from our Phase 3 clinical trial in H. pylori infection sufficient to file a new drug application, or NDA, with the FDA; or (ii) until November 30, 2022, if we receive positive data from our Phase 3 clinical trials in both indications for vonoprazan sufficient to file an NDA with the FDA; provided, in each case, that we had drawn down an additional $25.0 million, Term Loan B, pursuant to the Loan Agreement. Subsequent to the interest-only period, the Term Loans will be payable in equal monthly installments of principal, plus accrued and unpaid interest through the maturity date of May 1, 2024.</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we are obligated to pay a final payment fee of 8.25% of the original principal amount of the Term Loans. We may elect to prepay all or a portion of the Term Loans prior to maturity, subject to a prepayment fee of up to 2.0% of the then outstanding principal balance and payment of a pro rata portion of the final payment fee. After repayment, no Term Loan amounts may be borrowed again. The borrowings under the Loan Agreement are collateralized by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w:t>
      </w:r>
    </w:p>
    <w:p>
      <w:pPr>
        <w:spacing w:after="0" w:line="154"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Loan Agreement contains certain customary affirmative and negative covenants and events of default.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Upon the occurrence of an event of default, subject to any specified cure periods, all amounts owed by us would begin to bear interest at a rate that is 4.00% above the rate effective immediately before the event of default and may be declared immediately due and payable by SVB, as collateral agent. As of June 30, 2020, we were in compliance with all applicable covenants under the Loan Agreement.</w:t>
      </w:r>
    </w:p>
    <w:p>
      <w:pPr>
        <w:spacing w:after="0" w:line="138"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In connection with the Loan Agreement, we issued the Lender Warrants, which became exercisable when we borrowed Term Loan B in March 2020. The Lender Warrants are exercisable for 16,446 shares of common stock. The Lender Warrants expire ten years from the date of issuance. The Lender Warrants included a put option pursuant to which, in the event that we did not draw down Term Loan B on or before March 31, 2020, the warrant holders could have required us to repurchase the warrants for a total aggregate repurchase price of $0.5 million. Upon the Term Loan B draw in March 2020, the put option related to the Lender Warrants expired, at which time we recorded a final fair value adjustment and reclassified the Lender Warrants balance of $0.3 million to additional paid-in-capital.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Financings</w:t>
      </w:r>
    </w:p>
    <w:p>
      <w:pPr>
        <w:spacing w:after="0" w:line="185"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From January 2018 to April 2019, we issued an aggregate of $2.4 million of convertible promissory notes to Frazier, or the Frazier Notes, bearing interest at per annum rates ranging from 1.68% to 2.55%. In May 2019, these notes and related accrued interest were exchanged, at their then fair value of $2.4 million, for the May 2019 convertible promissory notes described below.</w:t>
      </w:r>
    </w:p>
    <w:p>
      <w:pPr>
        <w:spacing w:after="0" w:line="15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On May 7, 2019, we entered into a note purchase agreement under which we issued an aggregate of $90.3 million of May 2019 Notes resulting in gross proceeds to us of $87.8 million in cash and $2.4 million related to the exchange of the Frazier Notes. Including the conversion of the Frazier Notes, Frazier purchased $20.0 million of the May 2019 Notes. The May 2019 Notes bore an interest at a rate of 6% per annum and were subordinated to borrowings under our Loan Agreement. Immediately prior to the completion of our IPO on October 29, 2019, the May 2019 Notes automatically converted into 6,107,918 shares of common stock, representing the outstanding principal and interest of the May 2019 notes at the date of automatic conversion.</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9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Based on our current operating plan, we believe that our existing cash and cash equivalents will be sufficient to meet our anticipated cash requirements for approximately the next 24 months. We expect our current cash and cash equivalents will allow us to complete our ongoing Phase 3 clinical trials of vonoprazan for the treatment of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880" w:right="80" w:hanging="373"/>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05" w:lineRule="exact"/>
        <w:rPr>
          <w:rFonts w:ascii="Arial" w:cs="Arial" w:eastAsia="Arial" w:hAnsi="Arial"/>
          <w:sz w:val="17"/>
          <w:szCs w:val="17"/>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84"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manufacturing for vonoprazan or any future product candidates, including commercial scale manufacturing if any product candidate is approved;</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vonoprazan or any future product candidates;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84"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29"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for vonoprazan or any future product candidate;</w:t>
      </w:r>
    </w:p>
    <w:p>
      <w:pPr>
        <w:spacing w:after="0" w:line="184"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29"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29"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8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85"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jc w:val="both"/>
        <w:ind w:right="40" w:firstLine="510"/>
        <w:spacing w:after="0" w:line="259" w:lineRule="auto"/>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its future working capital needs will prove accurate, or that any additional funding would be sufficient to continue operations in future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(20,761)</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(14,743)</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113,174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(88,174)</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3,506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82,038</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(78,532)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Net cash used in operating activities was approximately $20.8 million and $6.0 million for the six months ended June 30, 2020 and 2019, respectively. The net cash used in operating activities for the six months ended June 30, 2020 was due to approximately $39.3 million spent on ongoing research and development and general and administrative activities, partially offset by a $18.5 million net change in operating assets and liabilities. The net change in operating assets and liabilities primarily related to a $10.4 million decrease in prepaid clinical activities, and a $8.3 million increase in accounts payable and accrued expenses in support of the growth in our operating activities, partially offset by a $0.2 million increase in other long-term assets. The net cash used in operating activities for the six months ended June 30, 2019 was due to approximately $6.3 million spent on ongoing research and development and general and administrative activities, partially offset by a $0.3 million net change in operating assets and liabilities . The net change in operating assets and liabilities related to a $1.0 million increase in accrued interest on our outstanding convertible promissory notes and commercial bank debt and a $0.9 million increase in accounts payable and accrued expenses in support of the growth in our operating activities, partially offset by a $1.6 million increase in prepaid clinical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2020 was primarily due to the cash we paid for acquiring property, plant and equipment. Net cash used in investing activities for the six months ended June 30, 2019 was primarily due to the cash we paid, including transaction costs, to acquire the Takeda License.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8"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Net cash provided by financing activities for the six months ended June 30, 2020 was due to our commercial bank debt proceeds of $25.0 million related to the Term Loan B drawdown. Net cash provided by financing activities for the six months ended June 30, 2019 was $113.2 million, due to $88.3 million of net proceeds from our issuance of convertible promissory notes and $24.9 million of net proceeds from our commercial bank debt.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Other than disclosed below, there were no material changes outside the ordinary course of our business during the six months ended June 30, 2020 to the information regarding our contractual obligations that was disclosed in Management’s Discussion and Analysis of Financial Condition and Results of Operations contained in our 2019 Form 10-K.</w:t>
      </w:r>
    </w:p>
    <w:p>
      <w:pPr>
        <w:spacing w:after="0" w:line="15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On March 16, 2020, we drew down the additional $25.0 million Term Loan B. As of June 30, 2020, we had outstanding Term Loans of $50.0 million and accrued interest of $0.3 million.</w:t>
      </w:r>
    </w:p>
    <w:p>
      <w:pPr>
        <w:spacing w:after="0" w:line="130"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On May 5, 2020, the Company entered into a Commercial Supply Agreement with Takeda, pursuant to which Takeda will supply commercial quantities of vonoprazan bulk drug product. The Company has a minimum purchase obligation of approximately $2.5 million related to this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4"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2019 Form 10-K. There have not been any material changes to the critical accounting policies discussed therein during the six months ended June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85"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52"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19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As of June 30, 2020,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2019 Form 10-K.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1" w:name="page32"/>
    <w:bookmarkEnd w:id="31"/>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six months ended June 30, 2020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w:t>
      </w:r>
    </w:p>
    <w:p>
      <w:pPr>
        <w:spacing w:after="0" w:line="23"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9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than as set forth below, there have been no material changes to the risk factors disclosed in Part I, Item 1A, “Risk Factors” of our 2019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has been impacted by, and is subject to further risks arising from, epidemic diseases such as the recent global outbreak of COVID-19.</w:t>
      </w:r>
    </w:p>
    <w:p>
      <w:pPr>
        <w:spacing w:after="0" w:line="219"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The recent outbreak of COVID-19, which has been declared by the World Health Organization to be a pandemic, has spread across the globe and is impacting worldwide economic activity. A pandemic, including COVID-19 or other public health epidemic, poses the risk that we or our employees, contractors, including our CROs, suppliers, and other partners may be prevented from conducting business activities for an indefinite period of time, including due to spread of the disease within these groups or due to shutdowns that may be requested or mandated by governmental authorities. In March 2020, in view of efforts to combat COVID-19, as well as then-current guidance from the American Society of Gastrointestinal Endoscopy limiting endoscopies, which are required in both of our Phase 3 trials, we announced a pause in randomization of new patients in our Phase 3 trials. In June 2020, we announced that we restarted randomization of new patients in each our trials, however, it is not possible at this time to estimate the full impact that COVID-19 will have on our business. The continued spread of COVID-19 and the measures taken by the governments of countries affected could, in addition to the disruption of our clinical trial randomization, disrupt the supply chain and the manufacture or shipment of drug substance and finished drug product for vonoprazan for use in our clinical trials, cause patients to discontinue the trial, adversely affecting our trial results, ultimately lead to a discontinuation of the trials prior to their completion, and impede our future clinical trial recruitment, testing, monitoring, data collection and analysis and other related activities, which could delay our ongoing clinical trials, increase development costs and have a material adverse effect on our business, financial condition and results of operations. Moreover, to the extent any of these risks and uncertainties adversely impact us in the ways described above or otherwise, they may also have the effect of heightening many of the other risks set forth in our 2019 Form 10-K. COVID-19 and mitigation measures have also had an adverse impact on global economic conditions which could have an adverse effect on our business and financial condition, including impairing our ability to raise capital when needed. The extent to which COVID-19 impacts our expected clinical and regulatory timelines and other results will depend on future developments that are highly uncertain and cannot be predicted, including new information that may emerge concerning the virus and the actions to contain its impact or treat it.</w:t>
      </w:r>
    </w:p>
    <w:p>
      <w:pPr>
        <w:spacing w:after="0" w:line="14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202"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On October 24, 2019, our registration statement on Form S-1 (File No. 333-234020) was declared effective by the SEC for our initial public offering. At the closing of the offering on October 29, 2019, we sold 10,997,630 shares of common stock, which included the exercise in full by the underwriters of their option to purchase 1,434,473 additional shares, at an initial public offering price of $19.00 per share and received gross proceeds of $209.0 million, which resulted in net proceeds to us of approximately $191.5 million, after deducting underwriting discounts and commissions of approximately $14.6 million and offering-related transaction costs of approximately $2.9 million. None of the expenses associated with the initial public offering were paid to directors, officers, persons owning ten percent or more of any class of equity securities, or to their associates, or to our affiliates. Goldman Sachs &amp; Co. LLC, Jefferies LLC and Evercore Group L.L.C. acted as joint book-running managers for the offering.</w:t>
      </w:r>
    </w:p>
    <w:p>
      <w:pPr>
        <w:spacing w:after="0" w:line="12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As of June 30, 2020, the net proceeds from our initial public offering have been applied as follows: $21.7 million towards the clinical development of vonoprazan and $12.9 million towards working capital and general corporate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940" w:type="dxa"/>
            <w:vAlign w:val="bottom"/>
            <w:gridSpan w:val="21"/>
          </w:tcPr>
          <w:p>
            <w:pPr>
              <w:ind w:left="80"/>
              <w:spacing w:after="0"/>
              <w:rPr>
                <w:sz w:val="20"/>
                <w:szCs w:val="20"/>
                <w:color w:val="auto"/>
              </w:rPr>
            </w:pPr>
            <w:r>
              <w:rPr>
                <w:rFonts w:ascii="Arial" w:cs="Arial" w:eastAsia="Arial" w:hAnsi="Arial"/>
                <w:sz w:val="18"/>
                <w:szCs w:val="18"/>
                <w:b w:val="1"/>
                <w:bCs w:val="1"/>
                <w:color w:val="auto"/>
              </w:rPr>
              <w:t>Exhibits</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15"/>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10"/>
                <w:szCs w:val="10"/>
                <w:color w:val="auto"/>
              </w:rPr>
            </w:pPr>
          </w:p>
        </w:tc>
        <w:tc>
          <w:tcPr>
            <w:tcW w:w="62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80" w:type="dxa"/>
            <w:vAlign w:val="bottom"/>
            <w:vMerge w:val="restart"/>
          </w:tcPr>
          <w:p>
            <w:pPr>
              <w:spacing w:after="0"/>
              <w:rPr>
                <w:sz w:val="10"/>
                <w:szCs w:val="10"/>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5"/>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5840" w:type="dxa"/>
            <w:vAlign w:val="bottom"/>
            <w:gridSpan w:val="20"/>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Amended and Restated Certificate of Incorporation</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9"/>
              </w:rPr>
              <w:t>8-K</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10/29/19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5840" w:type="dxa"/>
            <w:vAlign w:val="bottom"/>
            <w:gridSpan w:val="20"/>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Amended and Restated Bylaws</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9"/>
              </w:rPr>
              <w:t>8-K</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10/29/19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5840" w:type="dxa"/>
            <w:vAlign w:val="bottom"/>
            <w:gridSpan w:val="20"/>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Form of Common Stock Certificate</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7"/>
              </w:rPr>
              <w:t>S-1/A</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10/15/19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5840" w:type="dxa"/>
            <w:vAlign w:val="bottom"/>
            <w:gridSpan w:val="20"/>
          </w:tcPr>
          <w:p>
            <w:pPr>
              <w:spacing w:after="0"/>
              <w:rPr>
                <w:rFonts w:ascii="Arial" w:cs="Arial" w:eastAsia="Arial" w:hAnsi="Arial"/>
                <w:sz w:val="18"/>
                <w:szCs w:val="18"/>
                <w:color w:val="0000EE"/>
                <w:w w:val="99"/>
              </w:rPr>
            </w:pPr>
            <w:hyperlink r:id="rId70">
              <w:r>
                <w:rPr>
                  <w:rFonts w:ascii="Arial" w:cs="Arial" w:eastAsia="Arial" w:hAnsi="Arial"/>
                  <w:sz w:val="18"/>
                  <w:szCs w:val="18"/>
                  <w:color w:val="0000EE"/>
                  <w:w w:val="99"/>
                </w:rPr>
                <w:t>Warrant to purchase shares of common stock issued to Takeda Company</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Limited, dated May 7, 2019</w:t>
              </w:r>
            </w:hyperlink>
          </w:p>
        </w:tc>
        <w:tc>
          <w:tcPr>
            <w:tcW w:w="3200" w:type="dxa"/>
            <w:vAlign w:val="bottom"/>
            <w:tcBorders>
              <w:top w:val="single" w:sz="8" w:color="0000EE"/>
            </w:tcBorders>
            <w:gridSpan w:val="7"/>
          </w:tcPr>
          <w:p>
            <w:pPr>
              <w:spacing w:after="0"/>
              <w:rPr>
                <w:sz w:val="17"/>
                <w:szCs w:val="17"/>
                <w:color w:val="auto"/>
              </w:rPr>
            </w:pPr>
          </w:p>
        </w:tc>
        <w:tc>
          <w:tcPr>
            <w:tcW w:w="62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5840" w:type="dxa"/>
            <w:vAlign w:val="bottom"/>
            <w:gridSpan w:val="20"/>
          </w:tcPr>
          <w:p>
            <w:pPr>
              <w:spacing w:after="0"/>
              <w:rPr>
                <w:rFonts w:ascii="Arial" w:cs="Arial" w:eastAsia="Arial" w:hAnsi="Arial"/>
                <w:sz w:val="18"/>
                <w:szCs w:val="18"/>
                <w:u w:val="single" w:color="auto"/>
                <w:color w:val="0000EE"/>
                <w:w w:val="94"/>
              </w:rPr>
            </w:pPr>
            <w:hyperlink r:id="rId71">
              <w:r>
                <w:rPr>
                  <w:rFonts w:ascii="Arial" w:cs="Arial" w:eastAsia="Arial" w:hAnsi="Arial"/>
                  <w:sz w:val="18"/>
                  <w:szCs w:val="18"/>
                  <w:u w:val="single" w:color="auto"/>
                  <w:color w:val="0000EE"/>
                  <w:w w:val="94"/>
                </w:rPr>
                <w:t>Warrant to purchase stock issued to Silicon Valley Bank, dated May 14, 2019</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5640" w:type="dxa"/>
            <w:vAlign w:val="bottom"/>
            <w:tcBorders>
              <w:bottom w:val="single" w:sz="8" w:color="0000EE"/>
            </w:tcBorders>
            <w:gridSpan w:val="18"/>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Warrant to purchase stock issued to WestRiver Innovation Lending Fund VIII,</w:t>
              </w:r>
            </w:hyperlink>
          </w:p>
        </w:tc>
        <w:tc>
          <w:tcPr>
            <w:tcW w:w="200" w:type="dxa"/>
            <w:vAlign w:val="bottom"/>
            <w:gridSpan w:val="2"/>
          </w:tcPr>
          <w:p>
            <w:pPr>
              <w:spacing w:after="0"/>
              <w:rPr>
                <w:sz w:val="24"/>
                <w:szCs w:val="24"/>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85"/>
              </w:rPr>
              <w:t>S-1</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9/30/19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L.P., dated May 14, 2019</w:t>
              </w:r>
            </w:hyperlink>
          </w:p>
        </w:tc>
        <w:tc>
          <w:tcPr>
            <w:tcW w:w="4020" w:type="dxa"/>
            <w:vAlign w:val="bottom"/>
            <w:gridSpan w:val="19"/>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5840" w:type="dxa"/>
            <w:vAlign w:val="bottom"/>
            <w:gridSpan w:val="20"/>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Note Purchase Agreement, dated May 7, 2019, by and among the Registrant</w:t>
              </w:r>
            </w:hyperlink>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7"/>
              </w:rPr>
              <w:t>S-1/A</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10/15/19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and the other parties party thereto, as amended</w:t>
              </w:r>
            </w:hyperlink>
          </w:p>
        </w:tc>
        <w:tc>
          <w:tcPr>
            <w:tcW w:w="36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336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Description of Registered Securities</w:t>
              </w:r>
            </w:hyperlink>
          </w:p>
        </w:tc>
        <w:tc>
          <w:tcPr>
            <w:tcW w:w="2480" w:type="dxa"/>
            <w:vAlign w:val="bottom"/>
            <w:gridSpan w:val="14"/>
          </w:tcPr>
          <w:p>
            <w:pPr>
              <w:spacing w:after="0"/>
              <w:rPr>
                <w:sz w:val="24"/>
                <w:szCs w:val="24"/>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4"/>
              </w:rPr>
              <w:t>10-K</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12/31/19</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00" w:type="dxa"/>
            <w:vAlign w:val="bottom"/>
          </w:tcPr>
          <w:p>
            <w:pPr>
              <w:spacing w:after="0"/>
              <w:rPr>
                <w:sz w:val="24"/>
                <w:szCs w:val="24"/>
                <w:color w:val="auto"/>
              </w:rPr>
            </w:pPr>
          </w:p>
        </w:tc>
        <w:tc>
          <w:tcPr>
            <w:tcW w:w="53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Commercial Supply Agreement, by and between Takeda Pharmaceuticals</w:t>
              </w:r>
            </w:hyperlink>
          </w:p>
        </w:tc>
        <w:tc>
          <w:tcPr>
            <w:tcW w:w="540" w:type="dxa"/>
            <w:vAlign w:val="bottom"/>
            <w:gridSpan w:val="9"/>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0"/>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Company Limited and the Company, dated as of April 30, 2020</w:t>
              </w:r>
            </w:hyperlink>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 w:type="dxa"/>
            <w:vAlign w:val="bottom"/>
          </w:tcPr>
          <w:p>
            <w:pPr>
              <w:spacing w:after="0"/>
              <w:rPr>
                <w:sz w:val="22"/>
                <w:szCs w:val="22"/>
                <w:color w:val="auto"/>
              </w:rPr>
            </w:pPr>
          </w:p>
        </w:tc>
        <w:tc>
          <w:tcPr>
            <w:tcW w:w="5420" w:type="dxa"/>
            <w:vAlign w:val="bottom"/>
            <w:tcBorders>
              <w:bottom w:val="single" w:sz="8" w:color="0000EE"/>
            </w:tcBorders>
            <w:gridSpan w:val="12"/>
          </w:tcPr>
          <w:p>
            <w:pPr>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Employment Letter Agreement, dated June 25, 2020, by and between Todd</w:t>
              </w:r>
            </w:hyperlink>
          </w:p>
        </w:tc>
        <w:tc>
          <w:tcPr>
            <w:tcW w:w="420" w:type="dxa"/>
            <w:vAlign w:val="bottom"/>
            <w:gridSpan w:val="8"/>
          </w:tcPr>
          <w:p>
            <w:pPr>
              <w:spacing w:after="0"/>
              <w:rPr>
                <w:sz w:val="22"/>
                <w:szCs w:val="22"/>
                <w:color w:val="auto"/>
              </w:rPr>
            </w:pPr>
          </w:p>
        </w:tc>
        <w:tc>
          <w:tcPr>
            <w:tcW w:w="620" w:type="dxa"/>
            <w:vAlign w:val="bottom"/>
          </w:tcPr>
          <w:p>
            <w:pPr>
              <w:jc w:val="center"/>
              <w:ind w:left="52"/>
              <w:spacing w:after="0"/>
              <w:rPr>
                <w:sz w:val="20"/>
                <w:szCs w:val="20"/>
                <w:color w:val="auto"/>
              </w:rPr>
            </w:pPr>
            <w:r>
              <w:rPr>
                <w:rFonts w:ascii="Arial" w:cs="Arial" w:eastAsia="Arial" w:hAnsi="Arial"/>
                <w:sz w:val="18"/>
                <w:szCs w:val="18"/>
                <w:color w:val="auto"/>
                <w:w w:val="99"/>
              </w:rPr>
              <w:t>8-K</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7/13/20</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gridSpan w:val="20"/>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Branning and the Company</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0" w:type="dxa"/>
            <w:vAlign w:val="bottom"/>
          </w:tcPr>
          <w:p>
            <w:pPr>
              <w:spacing w:after="0"/>
              <w:rPr>
                <w:sz w:val="24"/>
                <w:szCs w:val="24"/>
                <w:color w:val="auto"/>
              </w:rPr>
            </w:pPr>
          </w:p>
        </w:tc>
        <w:tc>
          <w:tcPr>
            <w:tcW w:w="54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Form of Stock Option Grant Notice and Stock Option Agreement under the</w:t>
              </w:r>
            </w:hyperlink>
          </w:p>
        </w:tc>
        <w:tc>
          <w:tcPr>
            <w:tcW w:w="40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Phathom Pharmaceuticals, Inc. 2019 Incentive Award Plan</w:t>
              </w:r>
            </w:hyperlink>
          </w:p>
        </w:tc>
        <w:tc>
          <w:tcPr>
            <w:tcW w:w="160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00" w:type="dxa"/>
            <w:vAlign w:val="bottom"/>
          </w:tcPr>
          <w:p>
            <w:pPr>
              <w:spacing w:after="0"/>
              <w:rPr>
                <w:sz w:val="24"/>
                <w:szCs w:val="24"/>
                <w:color w:val="auto"/>
              </w:rPr>
            </w:pPr>
          </w:p>
        </w:tc>
        <w:tc>
          <w:tcPr>
            <w:tcW w:w="54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Form of Performance Share Unit Grant Notice and Performance Share Unit</w:t>
              </w:r>
            </w:hyperlink>
          </w:p>
        </w:tc>
        <w:tc>
          <w:tcPr>
            <w:tcW w:w="40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0"/>
          </w:tcPr>
          <w:p>
            <w:pPr>
              <w:spacing w:after="0"/>
              <w:rPr>
                <w:rFonts w:ascii="Arial" w:cs="Arial" w:eastAsia="Arial" w:hAnsi="Arial"/>
                <w:sz w:val="18"/>
                <w:szCs w:val="18"/>
                <w:u w:val="single" w:color="auto"/>
                <w:color w:val="0000EE"/>
                <w:w w:val="95"/>
              </w:rPr>
            </w:pPr>
            <w:hyperlink w:anchor="page68">
              <w:r>
                <w:rPr>
                  <w:rFonts w:ascii="Arial" w:cs="Arial" w:eastAsia="Arial" w:hAnsi="Arial"/>
                  <w:sz w:val="18"/>
                  <w:szCs w:val="18"/>
                  <w:u w:val="single" w:color="auto"/>
                  <w:color w:val="0000EE"/>
                  <w:w w:val="95"/>
                </w:rPr>
                <w:t>Agreement under Phathom Pharmaceuticals, Inc. 2019 Incentive Award Plan</w:t>
              </w:r>
            </w:hyperlink>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2"/>
                <w:szCs w:val="22"/>
                <w:color w:val="auto"/>
              </w:rPr>
            </w:pPr>
          </w:p>
        </w:tc>
        <w:tc>
          <w:tcPr>
            <w:tcW w:w="560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Certification of Chief Executive Officer of Phathom Pharmaceuticals, Inc., as</w:t>
              </w:r>
            </w:hyperlink>
          </w:p>
        </w:tc>
        <w:tc>
          <w:tcPr>
            <w:tcW w:w="240" w:type="dxa"/>
            <w:vAlign w:val="bottom"/>
            <w:gridSpan w:val="3"/>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required by Rule 13a-14(a) or Rule 15d-14(a), as adopted pursuant to Section</w:t>
              </w:r>
            </w:hyperlink>
          </w:p>
        </w:tc>
        <w:tc>
          <w:tcPr>
            <w:tcW w:w="2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302 of the Sarbanes-Oxley Act of 2002.</w:t>
              </w:r>
            </w:hyperlink>
          </w:p>
        </w:tc>
        <w:tc>
          <w:tcPr>
            <w:tcW w:w="2960" w:type="dxa"/>
            <w:vAlign w:val="bottom"/>
            <w:gridSpan w:val="15"/>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4"/>
                <w:szCs w:val="24"/>
                <w:color w:val="auto"/>
              </w:rPr>
            </w:pPr>
          </w:p>
        </w:tc>
        <w:tc>
          <w:tcPr>
            <w:tcW w:w="554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Certification of Chief Financial Officer of Phathom Pharmaceuticals, Inc., as</w:t>
              </w:r>
            </w:hyperlink>
          </w:p>
        </w:tc>
        <w:tc>
          <w:tcPr>
            <w:tcW w:w="3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required by Rule 13a-14(a) or Rule 15d-14(a), as adopted pursuant to Section</w:t>
              </w:r>
            </w:hyperlink>
          </w:p>
        </w:tc>
        <w:tc>
          <w:tcPr>
            <w:tcW w:w="2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302 of the Sarbanes-Oxley Act of 2002.</w:t>
              </w:r>
            </w:hyperlink>
          </w:p>
        </w:tc>
        <w:tc>
          <w:tcPr>
            <w:tcW w:w="2960" w:type="dxa"/>
            <w:vAlign w:val="bottom"/>
            <w:gridSpan w:val="15"/>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5840" w:type="dxa"/>
            <w:vAlign w:val="bottom"/>
            <w:gridSpan w:val="2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Certification of Chief Executive Officer pursuant to Section 906 of the</w:t>
              </w:r>
            </w:hyperlink>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Sarbanes-Oxley Act of 2002.</w:t>
              </w:r>
            </w:hyperlink>
          </w:p>
        </w:tc>
        <w:tc>
          <w:tcPr>
            <w:tcW w:w="760" w:type="dxa"/>
            <w:vAlign w:val="bottom"/>
            <w:gridSpan w:val="11"/>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80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504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Certification of Chief Financial Officer pursuant to Section 906 of the</w:t>
              </w:r>
            </w:hyperlink>
          </w:p>
        </w:tc>
        <w:tc>
          <w:tcPr>
            <w:tcW w:w="800" w:type="dxa"/>
            <w:vAlign w:val="bottom"/>
            <w:gridSpan w:val="12"/>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Sarbanes-Oxley Act of 2002.</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740" w:type="dxa"/>
            <w:vAlign w:val="bottom"/>
            <w:gridSpan w:val="1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4"/>
                <w:szCs w:val="24"/>
                <w:color w:val="auto"/>
              </w:rPr>
            </w:pPr>
          </w:p>
        </w:tc>
        <w:tc>
          <w:tcPr>
            <w:tcW w:w="5840" w:type="dxa"/>
            <w:vAlign w:val="bottom"/>
            <w:gridSpan w:val="20"/>
          </w:tcPr>
          <w:p>
            <w:pPr>
              <w:spacing w:after="0"/>
              <w:rPr>
                <w:sz w:val="20"/>
                <w:szCs w:val="20"/>
                <w:color w:val="auto"/>
              </w:rPr>
            </w:pPr>
            <w:r>
              <w:rPr>
                <w:rFonts w:ascii="Arial" w:cs="Arial" w:eastAsia="Arial" w:hAnsi="Arial"/>
                <w:sz w:val="18"/>
                <w:szCs w:val="18"/>
                <w:color w:val="auto"/>
              </w:rPr>
              <w:t>XBRL Report Instance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0" w:type="dxa"/>
            <w:vAlign w:val="bottom"/>
          </w:tcPr>
          <w:p>
            <w:pPr>
              <w:spacing w:after="0"/>
              <w:rPr>
                <w:sz w:val="24"/>
                <w:szCs w:val="24"/>
                <w:color w:val="auto"/>
              </w:rPr>
            </w:pPr>
          </w:p>
        </w:tc>
        <w:tc>
          <w:tcPr>
            <w:tcW w:w="584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11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5840" w:type="dxa"/>
            <w:vAlign w:val="bottom"/>
            <w:gridSpan w:val="20"/>
          </w:tcPr>
          <w:p>
            <w:pPr>
              <w:spacing w:after="0"/>
              <w:rPr>
                <w:sz w:val="20"/>
                <w:szCs w:val="20"/>
                <w:color w:val="auto"/>
              </w:rPr>
            </w:pPr>
            <w:r>
              <w:rPr>
                <w:rFonts w:ascii="Arial" w:cs="Arial" w:eastAsia="Arial" w:hAnsi="Arial"/>
                <w:sz w:val="18"/>
                <w:szCs w:val="18"/>
                <w:color w:val="auto"/>
              </w:rPr>
              <w:t>XBRL Taxonomy Calculation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5840" w:type="dxa"/>
            <w:vAlign w:val="bottom"/>
            <w:gridSpan w:val="20"/>
          </w:tcPr>
          <w:p>
            <w:pPr>
              <w:spacing w:after="0"/>
              <w:rPr>
                <w:sz w:val="20"/>
                <w:szCs w:val="20"/>
                <w:color w:val="auto"/>
              </w:rPr>
            </w:pPr>
            <w:r>
              <w:rPr>
                <w:rFonts w:ascii="Arial" w:cs="Arial" w:eastAsia="Arial" w:hAnsi="Arial"/>
                <w:sz w:val="18"/>
                <w:szCs w:val="18"/>
                <w:color w:val="auto"/>
              </w:rPr>
              <w:t>XBRL Taxonomy Label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4"/>
                <w:szCs w:val="24"/>
                <w:color w:val="auto"/>
              </w:rPr>
            </w:pPr>
          </w:p>
        </w:tc>
        <w:tc>
          <w:tcPr>
            <w:tcW w:w="5840" w:type="dxa"/>
            <w:vAlign w:val="bottom"/>
            <w:gridSpan w:val="20"/>
          </w:tcPr>
          <w:p>
            <w:pPr>
              <w:spacing w:after="0"/>
              <w:rPr>
                <w:sz w:val="20"/>
                <w:szCs w:val="20"/>
                <w:color w:val="auto"/>
              </w:rPr>
            </w:pPr>
            <w:r>
              <w:rPr>
                <w:rFonts w:ascii="Arial" w:cs="Arial" w:eastAsia="Arial" w:hAnsi="Arial"/>
                <w:sz w:val="18"/>
                <w:szCs w:val="18"/>
                <w:color w:val="auto"/>
              </w:rPr>
              <w:t>XBRL Presentation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4"/>
        </w:trPr>
        <w:tc>
          <w:tcPr>
            <w:tcW w:w="11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0" w:type="dxa"/>
            <w:vAlign w:val="bottom"/>
          </w:tcPr>
          <w:p>
            <w:pPr>
              <w:spacing w:after="0"/>
              <w:rPr>
                <w:sz w:val="24"/>
                <w:szCs w:val="24"/>
                <w:color w:val="auto"/>
              </w:rPr>
            </w:pPr>
          </w:p>
        </w:tc>
        <w:tc>
          <w:tcPr>
            <w:tcW w:w="584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ind w:left="380" w:hanging="372"/>
        <w:spacing w:after="0" w:line="208" w:lineRule="auto"/>
        <w:tabs>
          <w:tab w:leader="none" w:pos="380" w:val="left"/>
        </w:tabs>
        <w:numPr>
          <w:ilvl w:val="0"/>
          <w:numId w:val="9"/>
        </w:numPr>
        <w:rPr>
          <w:rFonts w:ascii="Arial" w:cs="Arial" w:eastAsia="Arial" w:hAnsi="Arial"/>
          <w:sz w:val="22"/>
          <w:szCs w:val="22"/>
          <w:color w:val="auto"/>
        </w:rPr>
      </w:pPr>
      <w:r>
        <w:rPr>
          <w:rFonts w:ascii="Arial" w:cs="Arial" w:eastAsia="Arial" w:hAnsi="Arial"/>
          <w:sz w:val="18"/>
          <w:szCs w:val="18"/>
          <w:color w:val="auto"/>
        </w:rPr>
        <w:t>Portions of this exhibit have been omitted for confidentiality purposes.</w:t>
      </w:r>
    </w:p>
    <w:p>
      <w:pPr>
        <w:spacing w:after="0" w:line="2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   Indicates management contract or compensatory plan.</w:t>
      </w:r>
    </w:p>
    <w:p>
      <w:pPr>
        <w:spacing w:after="0" w:line="7" w:lineRule="exact"/>
        <w:rPr>
          <w:rFonts w:ascii="Arial" w:cs="Arial" w:eastAsia="Arial" w:hAnsi="Arial"/>
          <w:sz w:val="22"/>
          <w:szCs w:val="22"/>
          <w:color w:val="auto"/>
        </w:rPr>
      </w:pPr>
    </w:p>
    <w:p>
      <w:pPr>
        <w:ind w:left="380" w:right="160" w:hanging="364"/>
        <w:spacing w:after="0" w:line="260" w:lineRule="auto"/>
        <w:rPr>
          <w:rFonts w:ascii="Arial" w:cs="Arial" w:eastAsia="Arial" w:hAnsi="Arial"/>
          <w:sz w:val="22"/>
          <w:szCs w:val="22"/>
          <w:color w:val="auto"/>
        </w:rPr>
      </w:pPr>
      <w:r>
        <w:rPr>
          <w:rFonts w:ascii="Arial" w:cs="Arial" w:eastAsia="Arial" w:hAnsi="Arial"/>
          <w:sz w:val="18"/>
          <w:szCs w:val="18"/>
          <w:color w:val="auto"/>
        </w:rPr>
        <w:t>*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40" w:type="dxa"/>
            <w:vAlign w:val="bottom"/>
            <w:gridSpan w:val="2"/>
          </w:tcPr>
          <w:p>
            <w:pPr>
              <w:ind w:left="2380"/>
              <w:spacing w:after="0"/>
              <w:rPr>
                <w:sz w:val="20"/>
                <w:szCs w:val="20"/>
                <w:color w:val="auto"/>
              </w:rPr>
            </w:pPr>
            <w:r>
              <w:rPr>
                <w:rFonts w:ascii="Arial" w:cs="Arial" w:eastAsia="Arial" w:hAnsi="Arial"/>
                <w:sz w:val="18"/>
                <w:szCs w:val="18"/>
                <w:color w:val="auto"/>
              </w:rPr>
              <w:t>PHATHOM PHARMACEUTICALS,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200"/>
              <w:spacing w:after="0"/>
              <w:rPr>
                <w:sz w:val="20"/>
                <w:szCs w:val="20"/>
                <w:color w:val="auto"/>
              </w:rPr>
            </w:pPr>
            <w:r>
              <w:rPr>
                <w:rFonts w:ascii="Arial" w:cs="Arial" w:eastAsia="Arial" w:hAnsi="Arial"/>
                <w:sz w:val="18"/>
                <w:szCs w:val="18"/>
                <w:color w:val="auto"/>
              </w:rPr>
              <w:t>August 6, 2020</w:t>
            </w:r>
          </w:p>
        </w:tc>
        <w:tc>
          <w:tcPr>
            <w:tcW w:w="2960" w:type="dxa"/>
            <w:vAlign w:val="bottom"/>
          </w:tcPr>
          <w:p>
            <w:pPr>
              <w:ind w:left="238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6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16"/>
        </w:trPr>
        <w:tc>
          <w:tcPr>
            <w:tcW w:w="6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200"/>
              <w:spacing w:after="0"/>
              <w:rPr>
                <w:sz w:val="20"/>
                <w:szCs w:val="20"/>
                <w:color w:val="auto"/>
              </w:rPr>
            </w:pPr>
            <w:r>
              <w:rPr>
                <w:rFonts w:ascii="Arial" w:cs="Arial" w:eastAsia="Arial" w:hAnsi="Arial"/>
                <w:sz w:val="18"/>
                <w:szCs w:val="18"/>
                <w:color w:val="auto"/>
              </w:rPr>
              <w:t>August 6, 2020</w:t>
            </w:r>
          </w:p>
        </w:tc>
        <w:tc>
          <w:tcPr>
            <w:tcW w:w="2960" w:type="dxa"/>
            <w:vAlign w:val="bottom"/>
          </w:tcPr>
          <w:p>
            <w:pPr>
              <w:ind w:left="238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P. Branning</w:t>
            </w:r>
          </w:p>
        </w:tc>
      </w:tr>
      <w:tr>
        <w:trPr>
          <w:trHeight w:val="195"/>
        </w:trPr>
        <w:tc>
          <w:tcPr>
            <w:tcW w:w="6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Todd P. Branning</w:t>
            </w:r>
          </w:p>
        </w:tc>
      </w:tr>
      <w:tr>
        <w:trPr>
          <w:trHeight w:val="216"/>
        </w:trPr>
        <w:tc>
          <w:tcPr>
            <w:tcW w:w="6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64"/>
        </w:trPr>
        <w:tc>
          <w:tcPr>
            <w:tcW w:w="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960" w:type="dxa"/>
            <w:vAlign w:val="bottom"/>
          </w:tcPr>
          <w:p>
            <w:pPr>
              <w:jc w:val="right"/>
              <w:ind w:right="870"/>
              <w:spacing w:after="0"/>
              <w:rPr>
                <w:sz w:val="20"/>
                <w:szCs w:val="20"/>
                <w:color w:val="auto"/>
              </w:rPr>
            </w:pPr>
            <w:r>
              <w:rPr>
                <w:rFonts w:ascii="Arial" w:cs="Arial" w:eastAsia="Arial" w:hAnsi="Arial"/>
                <w:sz w:val="18"/>
                <w:szCs w:val="18"/>
                <w:color w:val="auto"/>
              </w:rPr>
              <w:t>34</w:t>
            </w:r>
          </w:p>
        </w:tc>
        <w:tc>
          <w:tcPr>
            <w:tcW w:w="45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6" w:name="page37"/>
    <w:bookmarkEnd w:id="36"/>
    <w:p>
      <w:pPr>
        <w:jc w:val="both"/>
        <w:spacing w:after="0" w:line="243" w:lineRule="auto"/>
        <w:rPr>
          <w:sz w:val="20"/>
          <w:szCs w:val="20"/>
          <w:color w:val="auto"/>
        </w:rPr>
      </w:pPr>
      <w:r>
        <w:rPr>
          <w:rFonts w:ascii="Arial" w:cs="Arial" w:eastAsia="Arial" w:hAnsi="Arial"/>
          <w:sz w:val="22"/>
          <w:szCs w:val="22"/>
          <w:b w:val="1"/>
          <w:bCs w:val="1"/>
          <w:color w:val="auto"/>
        </w:rPr>
        <w:t>CERTAIN IDENTIFIED INFORMATION HAS BEEN EXCLUDED FROM THIS EXHIBIT BECAUSE IT IS NOT MATERIAL AND WOULD LIKELY CAUSE COMPETITIVE HARM TO THE REGISTRANT IF PUBLICLY DISCLOSED. THE OMISSIONS HAVE BEEN INDICATED BY “[***].”</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179" w:lineRule="exact"/>
        <w:rPr>
          <w:sz w:val="20"/>
          <w:szCs w:val="20"/>
          <w:color w:val="auto"/>
        </w:rPr>
      </w:pPr>
    </w:p>
    <w:p>
      <w:pPr>
        <w:jc w:val="center"/>
        <w:ind w:left="860"/>
        <w:spacing w:after="0"/>
        <w:rPr>
          <w:sz w:val="20"/>
          <w:szCs w:val="20"/>
          <w:color w:val="auto"/>
        </w:rPr>
      </w:pPr>
      <w:r>
        <w:rPr>
          <w:rFonts w:ascii="Arial" w:cs="Arial" w:eastAsia="Arial" w:hAnsi="Arial"/>
          <w:sz w:val="22"/>
          <w:szCs w:val="22"/>
          <w:b w:val="1"/>
          <w:bCs w:val="1"/>
          <w:color w:val="auto"/>
        </w:rPr>
        <w:t>COMMERCIAL SUPPLY AGREEMENT</w:t>
      </w:r>
    </w:p>
    <w:p>
      <w:pPr>
        <w:spacing w:after="0" w:line="199"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This Commercial Supply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effective as of April 30,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Takeda Pharmaceutical Company Limited, a company incorporated under the laws of Japan having its principal place of business at 1-1, Doshomachi 4-chome, Chuo-ku, Osaka 540-8645, Japan (“</w:t>
      </w:r>
      <w:r>
        <w:rPr>
          <w:rFonts w:ascii="Arial" w:cs="Arial" w:eastAsia="Arial" w:hAnsi="Arial"/>
          <w:sz w:val="21"/>
          <w:szCs w:val="21"/>
          <w:u w:val="single" w:color="auto"/>
          <w:color w:val="auto"/>
        </w:rPr>
        <w:t>Takeda</w:t>
      </w:r>
      <w:r>
        <w:rPr>
          <w:rFonts w:ascii="Arial" w:cs="Arial" w:eastAsia="Arial" w:hAnsi="Arial"/>
          <w:sz w:val="21"/>
          <w:szCs w:val="21"/>
          <w:color w:val="auto"/>
        </w:rPr>
        <w:t>”) and Phathom Pharmaceuticals, Inc., a company incorporated under the laws of Delaware having its principal place of business at 2150 E. Lake Cook Road, Suite 800, Buffalo Grove, Illinois 60089, U.S.A. (“</w:t>
      </w:r>
      <w:r>
        <w:rPr>
          <w:rFonts w:ascii="Arial" w:cs="Arial" w:eastAsia="Arial" w:hAnsi="Arial"/>
          <w:sz w:val="21"/>
          <w:szCs w:val="21"/>
          <w:u w:val="single" w:color="auto"/>
          <w:color w:val="auto"/>
        </w:rPr>
        <w:t>Company</w:t>
      </w:r>
      <w:r>
        <w:rPr>
          <w:rFonts w:ascii="Arial" w:cs="Arial" w:eastAsia="Arial" w:hAnsi="Arial"/>
          <w:sz w:val="21"/>
          <w:szCs w:val="21"/>
          <w:color w:val="auto"/>
        </w:rPr>
        <w:t>”). Takeda and Company are sometimes referred to herein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77"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WHEREAS, Takeda and Company are parties to that certain License Agreement effective as of May 7, 2019 (“</w:t>
      </w:r>
      <w:r>
        <w:rPr>
          <w:rFonts w:ascii="Arial" w:cs="Arial" w:eastAsia="Arial" w:hAnsi="Arial"/>
          <w:sz w:val="21"/>
          <w:szCs w:val="21"/>
          <w:u w:val="single" w:color="auto"/>
          <w:color w:val="auto"/>
        </w:rPr>
        <w:t>License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pursuant to which Takeda granted to Company a license in the Field in the Territory to Develop and exclusively Commercialize pharmaceutical products containing the Compound (as those terms are defined in the Licensed Agreement), and referred to as “Products” in the License Agreement, in the Field in the Territory;</w:t>
      </w:r>
    </w:p>
    <w:p>
      <w:pPr>
        <w:spacing w:after="0" w:line="17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pursuant to the License Agreement, the Parties have entered into good faith discussions to agree on terms under which Takeda will supply Bulk Drug Product to Company; and</w:t>
      </w:r>
    </w:p>
    <w:p>
      <w:pPr>
        <w:spacing w:after="0" w:line="175"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WHEREAS, on the terms and conditions set out below, Takeda has agreed to supply to Company, and Company has agreed to purchase from Takeda, certain quantities of Bulk Drug Product for use to Commercialize the Product in the Territory.</w:t>
      </w:r>
    </w:p>
    <w:p>
      <w:pPr>
        <w:spacing w:after="0" w:line="10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and in consideration of the mutual covenants contained in this Agreement and other good and valuable consideration, the receipt and sufficiency of which are hereby acknowledged, the Parties, intending to be legally bound, agree as follows:</w:t>
      </w:r>
    </w:p>
    <w:p>
      <w:pPr>
        <w:spacing w:after="0" w:line="186" w:lineRule="exact"/>
        <w:rPr>
          <w:sz w:val="20"/>
          <w:szCs w:val="20"/>
          <w:color w:val="auto"/>
        </w:rPr>
      </w:pPr>
    </w:p>
    <w:p>
      <w:pPr>
        <w:jc w:val="both"/>
        <w:ind w:left="860" w:hanging="852"/>
        <w:spacing w:after="0"/>
        <w:tabs>
          <w:tab w:leader="none" w:pos="86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following meanings, and all other capitalized terms used but not otherwise defined in this Agreement shall have their respective meanings set forth in the License Agreement:</w:t>
      </w:r>
    </w:p>
    <w:p>
      <w:pPr>
        <w:spacing w:after="0" w:line="186" w:lineRule="exact"/>
        <w:rPr>
          <w:rFonts w:ascii="Arial" w:cs="Arial" w:eastAsia="Arial" w:hAnsi="Arial"/>
          <w:sz w:val="22"/>
          <w:szCs w:val="22"/>
          <w:color w:val="auto"/>
        </w:rPr>
      </w:pPr>
    </w:p>
    <w:p>
      <w:pPr>
        <w:ind w:left="1700" w:hanging="842"/>
        <w:spacing w:after="0"/>
        <w:tabs>
          <w:tab w:leader="none" w:pos="17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API</w:t>
      </w:r>
      <w:r>
        <w:rPr>
          <w:rFonts w:ascii="Arial" w:cs="Arial" w:eastAsia="Arial" w:hAnsi="Arial"/>
          <w:sz w:val="22"/>
          <w:szCs w:val="22"/>
          <w:color w:val="auto"/>
        </w:rPr>
        <w:t>” means active pharmaceutical ingredient, vonoprazan fumarate Compound.</w:t>
      </w:r>
    </w:p>
    <w:p>
      <w:pPr>
        <w:spacing w:after="0" w:line="206" w:lineRule="exact"/>
        <w:rPr>
          <w:rFonts w:ascii="Arial" w:cs="Arial" w:eastAsia="Arial" w:hAnsi="Arial"/>
          <w:sz w:val="22"/>
          <w:szCs w:val="22"/>
          <w:color w:val="auto"/>
        </w:rPr>
      </w:pPr>
    </w:p>
    <w:p>
      <w:pPr>
        <w:ind w:left="1700" w:hanging="842"/>
        <w:spacing w:after="0" w:line="250" w:lineRule="auto"/>
        <w:tabs>
          <w:tab w:leader="none" w:pos="17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Bulk Drug Product</w:t>
      </w:r>
      <w:r>
        <w:rPr>
          <w:rFonts w:ascii="Arial" w:cs="Arial" w:eastAsia="Arial" w:hAnsi="Arial"/>
          <w:sz w:val="22"/>
          <w:szCs w:val="22"/>
          <w:color w:val="auto"/>
        </w:rPr>
        <w:t>” means drug Product in bulk form (not packaged and labeled), to be supplied to Company under this Agreement, meeting the Specifications.</w:t>
      </w:r>
    </w:p>
    <w:p>
      <w:pPr>
        <w:spacing w:after="0" w:line="174" w:lineRule="exact"/>
        <w:rPr>
          <w:rFonts w:ascii="Arial" w:cs="Arial" w:eastAsia="Arial" w:hAnsi="Arial"/>
          <w:sz w:val="22"/>
          <w:szCs w:val="22"/>
          <w:color w:val="auto"/>
        </w:rPr>
      </w:pPr>
    </w:p>
    <w:p>
      <w:pPr>
        <w:ind w:left="1700" w:hanging="842"/>
        <w:spacing w:after="0" w:line="250" w:lineRule="auto"/>
        <w:tabs>
          <w:tab w:leader="none" w:pos="17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cGMPs</w:t>
      </w:r>
      <w:r>
        <w:rPr>
          <w:rFonts w:ascii="Arial" w:cs="Arial" w:eastAsia="Arial" w:hAnsi="Arial"/>
          <w:sz w:val="22"/>
          <w:szCs w:val="22"/>
          <w:color w:val="auto"/>
        </w:rPr>
        <w:t>” means the current good manufacturing practices, as specified in Applicable Law of the Territory, applicable to the manufacture of Bulk Drug Product for use in the Territory.</w:t>
      </w:r>
    </w:p>
    <w:p>
      <w:pPr>
        <w:spacing w:after="0" w:line="174" w:lineRule="exact"/>
        <w:rPr>
          <w:rFonts w:ascii="Arial" w:cs="Arial" w:eastAsia="Arial" w:hAnsi="Arial"/>
          <w:sz w:val="22"/>
          <w:szCs w:val="22"/>
          <w:color w:val="auto"/>
        </w:rPr>
      </w:pPr>
    </w:p>
    <w:p>
      <w:pPr>
        <w:ind w:left="1700" w:hanging="842"/>
        <w:spacing w:after="0"/>
        <w:tabs>
          <w:tab w:leader="none" w:pos="17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Detectable Defects</w:t>
      </w:r>
      <w:r>
        <w:rPr>
          <w:rFonts w:ascii="Arial" w:cs="Arial" w:eastAsia="Arial" w:hAnsi="Arial"/>
          <w:sz w:val="22"/>
          <w:szCs w:val="22"/>
          <w:color w:val="auto"/>
        </w:rPr>
        <w:t>” has the meaning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ind w:left="1692" w:hanging="842"/>
        <w:spacing w:after="0" w:line="328" w:lineRule="auto"/>
        <w:tabs>
          <w:tab w:leader="none" w:pos="1692" w:val="left"/>
        </w:tabs>
        <w:numPr>
          <w:ilvl w:val="1"/>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Manufacturing Change</w:t>
      </w:r>
      <w:r>
        <w:rPr>
          <w:rFonts w:ascii="Arial" w:cs="Arial" w:eastAsia="Arial" w:hAnsi="Arial"/>
          <w:sz w:val="19"/>
          <w:szCs w:val="19"/>
          <w:color w:val="auto"/>
        </w:rPr>
        <w:t>” means any change to the Specifications and to the manufacturing and/or testing processes used in connection with manufacturing Bulk Drug Product pursuant to this Agreement.</w:t>
      </w:r>
    </w:p>
    <w:p>
      <w:pPr>
        <w:spacing w:after="0" w:line="104" w:lineRule="exact"/>
        <w:rPr>
          <w:rFonts w:ascii="Arial" w:cs="Arial" w:eastAsia="Arial" w:hAnsi="Arial"/>
          <w:sz w:val="19"/>
          <w:szCs w:val="19"/>
          <w:color w:val="auto"/>
        </w:rPr>
      </w:pPr>
    </w:p>
    <w:p>
      <w:pPr>
        <w:ind w:left="1692" w:hanging="842"/>
        <w:spacing w:after="0"/>
        <w:tabs>
          <w:tab w:leader="none" w:pos="16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Payments</w:t>
      </w:r>
      <w:r>
        <w:rPr>
          <w:rFonts w:ascii="Arial" w:cs="Arial" w:eastAsia="Arial" w:hAnsi="Arial"/>
          <w:sz w:val="22"/>
          <w:szCs w:val="22"/>
          <w:color w:val="auto"/>
        </w:rPr>
        <w:t>” has the meaning set forth in Section 3(C).</w:t>
      </w:r>
    </w:p>
    <w:p>
      <w:pPr>
        <w:spacing w:after="0" w:line="206" w:lineRule="exact"/>
        <w:rPr>
          <w:rFonts w:ascii="Arial" w:cs="Arial" w:eastAsia="Arial" w:hAnsi="Arial"/>
          <w:sz w:val="22"/>
          <w:szCs w:val="22"/>
          <w:color w:val="auto"/>
        </w:rPr>
      </w:pPr>
    </w:p>
    <w:p>
      <w:pPr>
        <w:ind w:left="1692" w:hanging="842"/>
        <w:spacing w:after="0"/>
        <w:tabs>
          <w:tab w:leader="none" w:pos="1692" w:val="left"/>
        </w:tabs>
        <w:numPr>
          <w:ilvl w:val="1"/>
          <w:numId w:val="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w:t>
      </w:r>
      <w:r>
        <w:rPr>
          <w:rFonts w:ascii="Arial" w:cs="Arial" w:eastAsia="Arial" w:hAnsi="Arial"/>
          <w:sz w:val="21"/>
          <w:szCs w:val="21"/>
          <w:color w:val="auto"/>
        </w:rPr>
        <w:t>” means the purchase price of Bulk Drug Product supplied to Company hereunder.</w:t>
      </w:r>
    </w:p>
    <w:p>
      <w:pPr>
        <w:spacing w:after="0" w:line="217" w:lineRule="exact"/>
        <w:rPr>
          <w:rFonts w:ascii="Arial" w:cs="Arial" w:eastAsia="Arial" w:hAnsi="Arial"/>
          <w:sz w:val="21"/>
          <w:szCs w:val="21"/>
          <w:color w:val="auto"/>
        </w:rPr>
      </w:pPr>
    </w:p>
    <w:p>
      <w:pPr>
        <w:ind w:left="1692" w:hanging="842"/>
        <w:spacing w:after="0"/>
        <w:tabs>
          <w:tab w:leader="none" w:pos="16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Quality Agreement</w:t>
      </w:r>
      <w:r>
        <w:rPr>
          <w:rFonts w:ascii="Arial" w:cs="Arial" w:eastAsia="Arial" w:hAnsi="Arial"/>
          <w:sz w:val="22"/>
          <w:szCs w:val="22"/>
          <w:color w:val="auto"/>
        </w:rPr>
        <w:t>” has the meaning set forth in Section 6(C).</w:t>
      </w:r>
    </w:p>
    <w:p>
      <w:pPr>
        <w:spacing w:after="0" w:line="206" w:lineRule="exact"/>
        <w:rPr>
          <w:rFonts w:ascii="Arial" w:cs="Arial" w:eastAsia="Arial" w:hAnsi="Arial"/>
          <w:sz w:val="22"/>
          <w:szCs w:val="22"/>
          <w:color w:val="auto"/>
        </w:rPr>
      </w:pPr>
    </w:p>
    <w:p>
      <w:pPr>
        <w:ind w:left="1692" w:hanging="842"/>
        <w:spacing w:after="0" w:line="250" w:lineRule="auto"/>
        <w:tabs>
          <w:tab w:leader="none" w:pos="16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Specifications</w:t>
      </w:r>
      <w:r>
        <w:rPr>
          <w:rFonts w:ascii="Arial" w:cs="Arial" w:eastAsia="Arial" w:hAnsi="Arial"/>
          <w:sz w:val="22"/>
          <w:szCs w:val="22"/>
          <w:color w:val="auto"/>
        </w:rPr>
        <w:t xml:space="preserve">” means the specifications set forth on the attached </w:t>
      </w:r>
      <w:r>
        <w:rPr>
          <w:rFonts w:ascii="Arial" w:cs="Arial" w:eastAsia="Arial" w:hAnsi="Arial"/>
          <w:sz w:val="22"/>
          <w:szCs w:val="22"/>
          <w:u w:val="single" w:color="auto"/>
          <w:color w:val="auto"/>
        </w:rPr>
        <w:t>Exhibit 1</w:t>
      </w:r>
      <w:r>
        <w:rPr>
          <w:rFonts w:ascii="Arial" w:cs="Arial" w:eastAsia="Arial" w:hAnsi="Arial"/>
          <w:sz w:val="22"/>
          <w:szCs w:val="22"/>
          <w:color w:val="auto"/>
        </w:rPr>
        <w:t xml:space="preserve"> as may be amended pursuant to Section 6.</w:t>
      </w:r>
    </w:p>
    <w:p>
      <w:pPr>
        <w:spacing w:after="0" w:line="174" w:lineRule="exact"/>
        <w:rPr>
          <w:rFonts w:ascii="Arial" w:cs="Arial" w:eastAsia="Arial" w:hAnsi="Arial"/>
          <w:sz w:val="22"/>
          <w:szCs w:val="22"/>
          <w:color w:val="auto"/>
        </w:rPr>
      </w:pPr>
    </w:p>
    <w:p>
      <w:pPr>
        <w:ind w:left="1692" w:hanging="842"/>
        <w:spacing w:after="0"/>
        <w:tabs>
          <w:tab w:leader="none" w:pos="16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has the meaning set forth in Section 16(A)</w:t>
      </w:r>
    </w:p>
    <w:p>
      <w:pPr>
        <w:spacing w:after="0" w:line="206" w:lineRule="exact"/>
        <w:rPr>
          <w:rFonts w:ascii="Arial" w:cs="Arial" w:eastAsia="Arial" w:hAnsi="Arial"/>
          <w:sz w:val="22"/>
          <w:szCs w:val="22"/>
          <w:color w:val="auto"/>
        </w:rPr>
      </w:pPr>
    </w:p>
    <w:p>
      <w:pPr>
        <w:ind w:left="1692" w:hanging="842"/>
        <w:spacing w:after="0"/>
        <w:tabs>
          <w:tab w:leader="none" w:pos="16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has the meaning set forth in the License Agreement.</w:t>
      </w:r>
    </w:p>
    <w:p>
      <w:pPr>
        <w:spacing w:after="0" w:line="206" w:lineRule="exact"/>
        <w:rPr>
          <w:rFonts w:ascii="Arial" w:cs="Arial" w:eastAsia="Arial" w:hAnsi="Arial"/>
          <w:sz w:val="22"/>
          <w:szCs w:val="22"/>
          <w:color w:val="auto"/>
        </w:rPr>
      </w:pPr>
    </w:p>
    <w:p>
      <w:pPr>
        <w:ind w:left="852" w:hanging="852"/>
        <w:spacing w:after="0"/>
        <w:tabs>
          <w:tab w:leader="none" w:pos="85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PRODUCT SUPPLY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36" w:lineRule="auto"/>
        <w:tabs>
          <w:tab w:leader="none" w:pos="1692"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Bulk Drug Product Purchase and Supply</w:t>
      </w:r>
      <w:r>
        <w:rPr>
          <w:rFonts w:ascii="Arial" w:cs="Arial" w:eastAsia="Arial" w:hAnsi="Arial"/>
          <w:sz w:val="22"/>
          <w:szCs w:val="22"/>
          <w:color w:val="auto"/>
        </w:rPr>
        <w:t xml:space="preserve">. Subject to the terms and conditions set forth in this Agreement, Takeda shall supply to Company, and Company shall purchase from Takeda, Bulk Drug Product in the dosage form and as per quantities set forth in </w:t>
      </w:r>
      <w:r>
        <w:rPr>
          <w:rFonts w:ascii="Arial" w:cs="Arial" w:eastAsia="Arial" w:hAnsi="Arial"/>
          <w:sz w:val="22"/>
          <w:szCs w:val="22"/>
          <w:u w:val="single" w:color="auto"/>
          <w:color w:val="auto"/>
        </w:rPr>
        <w:t>Exhibit 2</w:t>
      </w:r>
      <w:r>
        <w:rPr>
          <w:rFonts w:ascii="Arial" w:cs="Arial" w:eastAsia="Arial" w:hAnsi="Arial"/>
          <w:sz w:val="22"/>
          <w:szCs w:val="22"/>
          <w:color w:val="auto"/>
        </w:rPr>
        <w:t xml:space="preserve"> of this Agreement for Company’s use. Takeda has no obligation to supply Bulk Drug Product to Company in any form or quantity other than as expressly provided in this Agreement.</w:t>
      </w:r>
    </w:p>
    <w:p>
      <w:pPr>
        <w:spacing w:after="0" w:line="187" w:lineRule="exact"/>
        <w:rPr>
          <w:rFonts w:ascii="Arial" w:cs="Arial" w:eastAsia="Arial" w:hAnsi="Arial"/>
          <w:sz w:val="22"/>
          <w:szCs w:val="22"/>
          <w:color w:val="auto"/>
        </w:rPr>
      </w:pPr>
    </w:p>
    <w:p>
      <w:pPr>
        <w:jc w:val="both"/>
        <w:ind w:left="1692" w:hanging="842"/>
        <w:spacing w:after="0" w:line="236" w:lineRule="auto"/>
        <w:tabs>
          <w:tab w:leader="none" w:pos="1692"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Additional Services</w:t>
      </w:r>
      <w:r>
        <w:rPr>
          <w:rFonts w:ascii="Arial" w:cs="Arial" w:eastAsia="Arial" w:hAnsi="Arial"/>
          <w:sz w:val="22"/>
          <w:szCs w:val="22"/>
          <w:color w:val="auto"/>
        </w:rPr>
        <w:t>: Any services other than the supply of Bulk Drug Product and related costs shall be agreed in writing by the Parties before performance of such services. Company shall be responsible for such agreed upon costs. The costs associated with Takeda staff hours in the performance of activities under Sections 2(B)(i), 2(B)(ii) and 2(C), below, shall be determined in accordance with the hourly rate agreed by the Parties in Section 5.5 of the License Agreement.</w:t>
      </w:r>
    </w:p>
    <w:p>
      <w:pPr>
        <w:spacing w:after="0" w:line="187" w:lineRule="exact"/>
        <w:rPr>
          <w:rFonts w:ascii="Arial" w:cs="Arial" w:eastAsia="Arial" w:hAnsi="Arial"/>
          <w:sz w:val="22"/>
          <w:szCs w:val="22"/>
          <w:color w:val="auto"/>
        </w:rPr>
      </w:pPr>
    </w:p>
    <w:p>
      <w:pPr>
        <w:jc w:val="both"/>
        <w:ind w:left="2572" w:hanging="858"/>
        <w:spacing w:after="0" w:line="275" w:lineRule="auto"/>
        <w:tabs>
          <w:tab w:leader="none" w:pos="2572" w:val="left"/>
        </w:tabs>
        <w:numPr>
          <w:ilvl w:val="2"/>
          <w:numId w:val="12"/>
        </w:numPr>
        <w:rPr>
          <w:rFonts w:ascii="Arial" w:cs="Arial" w:eastAsia="Arial" w:hAnsi="Arial"/>
          <w:sz w:val="18"/>
          <w:szCs w:val="18"/>
          <w:color w:val="auto"/>
        </w:rPr>
      </w:pPr>
      <w:r>
        <w:rPr>
          <w:rFonts w:ascii="Arial" w:cs="Arial" w:eastAsia="Arial" w:hAnsi="Arial"/>
          <w:sz w:val="19"/>
          <w:szCs w:val="19"/>
          <w:u w:val="single" w:color="auto"/>
          <w:color w:val="auto"/>
        </w:rPr>
        <w:t>Pre-Approval Inspection</w:t>
      </w:r>
      <w:r>
        <w:rPr>
          <w:rFonts w:ascii="Arial" w:cs="Arial" w:eastAsia="Arial" w:hAnsi="Arial"/>
          <w:sz w:val="19"/>
          <w:szCs w:val="19"/>
          <w:color w:val="auto"/>
        </w:rPr>
        <w:t>. If required by a Regulatory Authority, Takeda shall prepare for and host pre-approval inspections. [***] prior to the submission of the first NDA or MAA for a Product by Company, the Parties shall enter into good faith negotiations for an agreement defining the activities, costs and responsibilities relating to such inspections. This agreement shall be mutually agreed upon and executed before the first such NDA or MAA submission by Company. For the avoidance of doubt, any such agreed upon costs incurred by Takeda for pre-approval inspections, including pre-approval inspection readiness assessment, or inspections related specifically to the Bulk Drug Product relevant for the Territory shall be solely borne by the Company.</w:t>
      </w:r>
    </w:p>
    <w:p>
      <w:pPr>
        <w:spacing w:after="0" w:line="373" w:lineRule="exact"/>
        <w:rPr>
          <w:rFonts w:ascii="Arial" w:cs="Arial" w:eastAsia="Arial" w:hAnsi="Arial"/>
          <w:sz w:val="18"/>
          <w:szCs w:val="18"/>
          <w:color w:val="auto"/>
        </w:rPr>
      </w:pPr>
    </w:p>
    <w:p>
      <w:pPr>
        <w:ind w:left="5572" w:hanging="136"/>
        <w:spacing w:after="0"/>
        <w:tabs>
          <w:tab w:leader="none" w:pos="5572" w:val="left"/>
        </w:tabs>
        <w:numPr>
          <w:ilvl w:val="3"/>
          <w:numId w:val="12"/>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38" w:name="page39"/>
    <w:bookmarkEnd w:id="38"/>
    <w:p>
      <w:pPr>
        <w:jc w:val="both"/>
        <w:ind w:left="2572" w:hanging="858"/>
        <w:spacing w:after="0" w:line="277" w:lineRule="auto"/>
        <w:tabs>
          <w:tab w:leader="none" w:pos="2572" w:val="left"/>
        </w:tabs>
        <w:numPr>
          <w:ilvl w:val="2"/>
          <w:numId w:val="13"/>
        </w:numPr>
        <w:rPr>
          <w:rFonts w:ascii="Arial" w:cs="Arial" w:eastAsia="Arial" w:hAnsi="Arial"/>
          <w:sz w:val="18"/>
          <w:szCs w:val="18"/>
          <w:color w:val="auto"/>
        </w:rPr>
      </w:pPr>
      <w:r>
        <w:rPr>
          <w:rFonts w:ascii="Arial" w:cs="Arial" w:eastAsia="Arial" w:hAnsi="Arial"/>
          <w:sz w:val="19"/>
          <w:szCs w:val="19"/>
          <w:u w:val="single" w:color="auto"/>
          <w:color w:val="auto"/>
        </w:rPr>
        <w:t>Technology Transfer to a Third Party Manufacturer</w:t>
      </w:r>
      <w:r>
        <w:rPr>
          <w:rFonts w:ascii="Arial" w:cs="Arial" w:eastAsia="Arial" w:hAnsi="Arial"/>
          <w:sz w:val="19"/>
          <w:szCs w:val="19"/>
          <w:color w:val="auto"/>
        </w:rPr>
        <w:t xml:space="preserve">. Any additional service, including technical advice and supply of materials set forth in </w:t>
      </w:r>
      <w:r>
        <w:rPr>
          <w:rFonts w:ascii="Arial" w:cs="Arial" w:eastAsia="Arial" w:hAnsi="Arial"/>
          <w:sz w:val="19"/>
          <w:szCs w:val="19"/>
          <w:u w:val="single" w:color="auto"/>
          <w:color w:val="auto"/>
        </w:rPr>
        <w:t>Exhibit 3</w:t>
      </w:r>
      <w:r>
        <w:rPr>
          <w:rFonts w:ascii="Arial" w:cs="Arial" w:eastAsia="Arial" w:hAnsi="Arial"/>
          <w:sz w:val="19"/>
          <w:szCs w:val="19"/>
          <w:color w:val="auto"/>
        </w:rPr>
        <w:t>, in each case as necessary for technology transfer, other than the provision of technical transfer documents in accordance with Section 5.5 of the License Agreement and Exhibit F of the License Agreement, and related costs shall be paid by Company and agreed in writing by the Parties before any performance of such services. The Parties shall enter into good faith negotiations to agree on reasonable additional support Company needs to develop and execute technology transfers to its own API and Bulk Drug Product CMOs.</w:t>
      </w:r>
    </w:p>
    <w:p>
      <w:pPr>
        <w:spacing w:after="0" w:line="151" w:lineRule="exact"/>
        <w:rPr>
          <w:rFonts w:ascii="Arial" w:cs="Arial" w:eastAsia="Arial" w:hAnsi="Arial"/>
          <w:sz w:val="18"/>
          <w:szCs w:val="18"/>
          <w:color w:val="auto"/>
        </w:rPr>
      </w:pPr>
    </w:p>
    <w:p>
      <w:pPr>
        <w:jc w:val="both"/>
        <w:ind w:left="1692" w:hanging="842"/>
        <w:spacing w:after="0" w:line="236" w:lineRule="auto"/>
        <w:tabs>
          <w:tab w:leader="none" w:pos="1692"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Other Services</w:t>
      </w:r>
      <w:r>
        <w:rPr>
          <w:rFonts w:ascii="Arial" w:cs="Arial" w:eastAsia="Arial" w:hAnsi="Arial"/>
          <w:sz w:val="22"/>
          <w:szCs w:val="22"/>
          <w:color w:val="auto"/>
        </w:rPr>
        <w:t>: For the avoidance of doubt, except as provided in Sections 2(A) and 2(B) of this Agreement, Takeda has no obligation to provide other services to Company under this Agreement. In the event any other services under this Agreement are identified as necessary to enable the Commercialization of the Product in the Territory, the Parties shall enter into good faith negotiations to agree terms for the provision of such other services.</w:t>
      </w:r>
    </w:p>
    <w:p>
      <w:pPr>
        <w:spacing w:after="0" w:line="187" w:lineRule="exact"/>
        <w:rPr>
          <w:rFonts w:ascii="Arial" w:cs="Arial" w:eastAsia="Arial" w:hAnsi="Arial"/>
          <w:sz w:val="22"/>
          <w:szCs w:val="22"/>
          <w:color w:val="auto"/>
        </w:rPr>
      </w:pPr>
    </w:p>
    <w:p>
      <w:pPr>
        <w:ind w:left="852" w:hanging="852"/>
        <w:spacing w:after="0"/>
        <w:tabs>
          <w:tab w:leader="none" w:pos="852"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PURCHASE PRICE, INVOICING AND 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tabs>
          <w:tab w:leader="none" w:pos="1692"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In consideration for Takeda’s agreement to supply Bulk Drug Product under this Agreement, Company shall pay Takeda the Purchase Price for each delivery of Bulk Drug Product set forth on </w:t>
      </w:r>
      <w:r>
        <w:rPr>
          <w:rFonts w:ascii="Arial" w:cs="Arial" w:eastAsia="Arial" w:hAnsi="Arial"/>
          <w:sz w:val="22"/>
          <w:szCs w:val="22"/>
          <w:u w:val="single" w:color="auto"/>
          <w:color w:val="auto"/>
        </w:rPr>
        <w:t>Exhibit 2</w:t>
      </w:r>
      <w:r>
        <w:rPr>
          <w:rFonts w:ascii="Arial" w:cs="Arial" w:eastAsia="Arial" w:hAnsi="Arial"/>
          <w:sz w:val="22"/>
          <w:szCs w:val="22"/>
          <w:color w:val="auto"/>
        </w:rPr>
        <w:t xml:space="preserve"> of this Agreement.</w:t>
      </w:r>
    </w:p>
    <w:p>
      <w:pPr>
        <w:spacing w:after="0" w:line="186" w:lineRule="exact"/>
        <w:rPr>
          <w:rFonts w:ascii="Arial" w:cs="Arial" w:eastAsia="Arial" w:hAnsi="Arial"/>
          <w:sz w:val="22"/>
          <w:szCs w:val="22"/>
          <w:color w:val="auto"/>
        </w:rPr>
      </w:pPr>
    </w:p>
    <w:p>
      <w:pPr>
        <w:jc w:val="both"/>
        <w:ind w:left="1692" w:hanging="842"/>
        <w:spacing w:after="0" w:line="277" w:lineRule="auto"/>
        <w:tabs>
          <w:tab w:leader="none" w:pos="1692"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Purchase Price; Invoices</w:t>
      </w:r>
      <w:r>
        <w:rPr>
          <w:rFonts w:ascii="Arial" w:cs="Arial" w:eastAsia="Arial" w:hAnsi="Arial"/>
          <w:sz w:val="19"/>
          <w:szCs w:val="19"/>
          <w:color w:val="auto"/>
        </w:rPr>
        <w:t>. Upon delivery of Bulk Drug Product in accordance with the terms of Section 7, Takeda shall invoice Company for the applicable Purchase Price of such Bulk Drug Product. Takeda shall send all such invoices in PDF format to phathom.ap@phathompharma.com. Company shall pay Takeda’s invoice for the Purchase Price within thirty (30) days of the date of invoice, in accordance with Section 3(D). For the sake of clarity, any undisputed amount in (i) any invoice due for additional services or (ii) any invoice due for Bulk Drug Product that the Company has not ordered despite its obligation to order as provided for under Section 5(A) shall be paid by the Company within thirty (30) days of the date of invoice.</w:t>
      </w:r>
    </w:p>
    <w:p>
      <w:pPr>
        <w:spacing w:after="0" w:line="151" w:lineRule="exact"/>
        <w:rPr>
          <w:rFonts w:ascii="Arial" w:cs="Arial" w:eastAsia="Arial" w:hAnsi="Arial"/>
          <w:sz w:val="19"/>
          <w:szCs w:val="19"/>
          <w:color w:val="auto"/>
        </w:rPr>
      </w:pPr>
    </w:p>
    <w:p>
      <w:pPr>
        <w:jc w:val="both"/>
        <w:ind w:left="1692" w:hanging="842"/>
        <w:spacing w:after="0" w:line="279" w:lineRule="auto"/>
        <w:tabs>
          <w:tab w:leader="none" w:pos="1692"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Company shall pay any applicable taxes, such as sales, use, excise, value-added, service, goods and services, and consumption taxes imposed by relevant taxing authority as a result of payments it makes to Takeda pursuant to this Agreement (“</w:t>
      </w:r>
      <w:r>
        <w:rPr>
          <w:rFonts w:ascii="Arial" w:cs="Arial" w:eastAsia="Arial" w:hAnsi="Arial"/>
          <w:sz w:val="19"/>
          <w:szCs w:val="19"/>
          <w:u w:val="single" w:color="auto"/>
          <w:color w:val="auto"/>
        </w:rPr>
        <w:t>Payments</w:t>
      </w:r>
      <w:r>
        <w:rPr>
          <w:rFonts w:ascii="Arial" w:cs="Arial" w:eastAsia="Arial" w:hAnsi="Arial"/>
          <w:sz w:val="19"/>
          <w:szCs w:val="19"/>
          <w:color w:val="auto"/>
        </w:rPr>
        <w:t>”). All other taxes, such as income tax, gross receipts tax, foreign withholding tax, etc., applicable to the Payments, shall be the sole responsibility of Takeda. Each Party will provide to the other Party any resale exemption, multiple points of use certificates, treaty certification and other exemption information reasonably requested by the other Party.</w:t>
      </w:r>
    </w:p>
    <w:p>
      <w:pPr>
        <w:spacing w:after="0" w:line="150" w:lineRule="exact"/>
        <w:rPr>
          <w:rFonts w:ascii="Arial" w:cs="Arial" w:eastAsia="Arial" w:hAnsi="Arial"/>
          <w:sz w:val="19"/>
          <w:szCs w:val="19"/>
          <w:color w:val="auto"/>
        </w:rPr>
      </w:pPr>
    </w:p>
    <w:p>
      <w:pPr>
        <w:jc w:val="both"/>
        <w:ind w:left="1692" w:hanging="842"/>
        <w:spacing w:after="0"/>
        <w:tabs>
          <w:tab w:leader="none" w:pos="1692"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Payment of Purchase Price and Exchange Rate</w:t>
      </w:r>
      <w:r>
        <w:rPr>
          <w:rFonts w:ascii="Arial" w:cs="Arial" w:eastAsia="Arial" w:hAnsi="Arial"/>
          <w:sz w:val="22"/>
          <w:szCs w:val="22"/>
          <w:color w:val="auto"/>
        </w:rPr>
        <w:t>. Company shall make all Payments due to Takeda hereunder in U.S. Dollars by wire transfer of immediately available funds into an account designated by Takeda. The rate of exchange to be used in</w:t>
      </w:r>
    </w:p>
    <w:p>
      <w:pPr>
        <w:spacing w:after="0" w:line="186" w:lineRule="exact"/>
        <w:rPr>
          <w:rFonts w:ascii="Arial" w:cs="Arial" w:eastAsia="Arial" w:hAnsi="Arial"/>
          <w:sz w:val="22"/>
          <w:szCs w:val="22"/>
          <w:color w:val="auto"/>
        </w:rPr>
      </w:pPr>
    </w:p>
    <w:p>
      <w:pPr>
        <w:ind w:left="5572" w:hanging="136"/>
        <w:spacing w:after="0"/>
        <w:tabs>
          <w:tab w:leader="none" w:pos="5572" w:val="left"/>
        </w:tabs>
        <w:numPr>
          <w:ilvl w:val="3"/>
          <w:numId w:val="15"/>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39" w:name="page40"/>
    <w:bookmarkEnd w:id="39"/>
    <w:p>
      <w:pPr>
        <w:jc w:val="both"/>
        <w:ind w:left="1692"/>
        <w:spacing w:after="0" w:line="282" w:lineRule="auto"/>
        <w:rPr>
          <w:sz w:val="20"/>
          <w:szCs w:val="20"/>
          <w:color w:val="auto"/>
        </w:rPr>
      </w:pPr>
      <w:r>
        <w:rPr>
          <w:rFonts w:ascii="Arial" w:cs="Arial" w:eastAsia="Arial" w:hAnsi="Arial"/>
          <w:sz w:val="19"/>
          <w:szCs w:val="19"/>
          <w:color w:val="auto"/>
        </w:rPr>
        <w:t>computing the amount of currency equivalent in U.S. Dollars owed to a Party under this Agreement, including any Payments that Company opts to make to Takeda in U.S. Dollars, shall be the monthly average exchange rate between each currency of origin and U.S. Dollars as reported by The Wall Street Journal East Coast Edition. The monthly average exchange rate shall be the average of (i) the exchange rate published on the last day of the month; and (ii) the exchange rate published on the last day of the preceding month.</w:t>
      </w:r>
    </w:p>
    <w:p>
      <w:pPr>
        <w:spacing w:after="0" w:line="147" w:lineRule="exact"/>
        <w:rPr>
          <w:sz w:val="20"/>
          <w:szCs w:val="20"/>
          <w:color w:val="auto"/>
        </w:rPr>
      </w:pPr>
    </w:p>
    <w:p>
      <w:pPr>
        <w:jc w:val="both"/>
        <w:ind w:left="1692" w:hanging="842"/>
        <w:spacing w:after="0" w:line="238" w:lineRule="auto"/>
        <w:tabs>
          <w:tab w:leader="none" w:pos="1692"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Late Payment</w:t>
      </w:r>
      <w:r>
        <w:rPr>
          <w:rFonts w:ascii="Arial" w:cs="Arial" w:eastAsia="Arial" w:hAnsi="Arial"/>
          <w:sz w:val="22"/>
          <w:szCs w:val="22"/>
          <w:color w:val="auto"/>
        </w:rPr>
        <w:t>. If Takeda does not receive payment of any undisputed amount due on or before the due date, simple interest shall thereafter accrue on the amount due to Takeda until the date of payment at the per annum rate of two percent (2%) over the then-current prime rate quoted by Citibank in New York City or the maximum rate allowable by Applicable Law, whichever is lower.</w:t>
      </w:r>
    </w:p>
    <w:p>
      <w:pPr>
        <w:spacing w:after="0" w:line="184" w:lineRule="exact"/>
        <w:rPr>
          <w:rFonts w:ascii="Arial" w:cs="Arial" w:eastAsia="Arial" w:hAnsi="Arial"/>
          <w:sz w:val="22"/>
          <w:szCs w:val="22"/>
          <w:color w:val="auto"/>
        </w:rPr>
      </w:pPr>
    </w:p>
    <w:p>
      <w:pPr>
        <w:ind w:left="852" w:hanging="852"/>
        <w:spacing w:after="0"/>
        <w:tabs>
          <w:tab w:leader="none" w:pos="85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REGULATORY ACTIVITIES AND RESPONSIBILITIES; INSPECTIONS AND AUDITS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tabs>
          <w:tab w:leader="none" w:pos="1692"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General Obligations of Takeda</w:t>
      </w:r>
      <w:r>
        <w:rPr>
          <w:rFonts w:ascii="Arial" w:cs="Arial" w:eastAsia="Arial" w:hAnsi="Arial"/>
          <w:sz w:val="22"/>
          <w:szCs w:val="22"/>
          <w:color w:val="auto"/>
        </w:rPr>
        <w:t>. Takeda shall, or shall cause its Affiliates or Third Parties on its behalf, in Takeda’s sole discretion, to perform its obligations under this Agreement in compliance with all Applicable Law, including all cGMPs, and in accordance with the Quality Agreement.</w:t>
      </w:r>
    </w:p>
    <w:p>
      <w:pPr>
        <w:spacing w:after="0" w:line="186" w:lineRule="exact"/>
        <w:rPr>
          <w:rFonts w:ascii="Arial" w:cs="Arial" w:eastAsia="Arial" w:hAnsi="Arial"/>
          <w:sz w:val="22"/>
          <w:szCs w:val="22"/>
          <w:color w:val="auto"/>
        </w:rPr>
      </w:pPr>
    </w:p>
    <w:p>
      <w:pPr>
        <w:jc w:val="both"/>
        <w:ind w:left="1692" w:hanging="842"/>
        <w:spacing w:after="0" w:line="248" w:lineRule="auto"/>
        <w:tabs>
          <w:tab w:leader="none" w:pos="1692" w:val="left"/>
        </w:tabs>
        <w:numPr>
          <w:ilvl w:val="1"/>
          <w:numId w:val="17"/>
        </w:numPr>
        <w:rPr>
          <w:rFonts w:ascii="Arial" w:cs="Arial" w:eastAsia="Arial" w:hAnsi="Arial"/>
          <w:sz w:val="21"/>
          <w:szCs w:val="21"/>
          <w:color w:val="auto"/>
        </w:rPr>
      </w:pPr>
      <w:r>
        <w:rPr>
          <w:rFonts w:ascii="Arial" w:cs="Arial" w:eastAsia="Arial" w:hAnsi="Arial"/>
          <w:sz w:val="21"/>
          <w:szCs w:val="21"/>
          <w:u w:val="single" w:color="auto"/>
          <w:color w:val="auto"/>
        </w:rPr>
        <w:t>General Obligations of Company</w:t>
      </w:r>
      <w:r>
        <w:rPr>
          <w:rFonts w:ascii="Arial" w:cs="Arial" w:eastAsia="Arial" w:hAnsi="Arial"/>
          <w:sz w:val="21"/>
          <w:szCs w:val="21"/>
          <w:color w:val="auto"/>
        </w:rPr>
        <w:t>. Company shall obtain and maintain at its expense all licenses and permits as well as all Regulatory Approvals required for Company’s use of Bulk Drug Product in accordance with the terms of this Agreement and the License Agreement. Company shall, and shall ensure that its Affiliates, Third Party subcontractors and any employees and agents of Company involved in the use of Bulk Drug Product comply with the requirements and restrictions of any licenses and permits and Applicable Law concerning the use of Bulk Drug Product in the Territory.</w:t>
      </w:r>
    </w:p>
    <w:p>
      <w:pPr>
        <w:spacing w:after="0" w:line="176" w:lineRule="exact"/>
        <w:rPr>
          <w:rFonts w:ascii="Arial" w:cs="Arial" w:eastAsia="Arial" w:hAnsi="Arial"/>
          <w:sz w:val="21"/>
          <w:szCs w:val="21"/>
          <w:color w:val="auto"/>
        </w:rPr>
      </w:pPr>
    </w:p>
    <w:p>
      <w:pPr>
        <w:ind w:left="1692" w:hanging="842"/>
        <w:spacing w:after="0"/>
        <w:tabs>
          <w:tab w:leader="none" w:pos="1692"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Regulatory Authority Inspections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572" w:hanging="858"/>
        <w:spacing w:after="0"/>
        <w:tabs>
          <w:tab w:leader="none" w:pos="2572" w:val="left"/>
        </w:tabs>
        <w:numPr>
          <w:ilvl w:val="2"/>
          <w:numId w:val="17"/>
        </w:numPr>
        <w:rPr>
          <w:rFonts w:ascii="Arial" w:cs="Arial" w:eastAsia="Arial" w:hAnsi="Arial"/>
          <w:sz w:val="20"/>
          <w:szCs w:val="20"/>
          <w:color w:val="auto"/>
        </w:rPr>
      </w:pPr>
      <w:r>
        <w:rPr>
          <w:rFonts w:ascii="Arial" w:cs="Arial" w:eastAsia="Arial" w:hAnsi="Arial"/>
          <w:sz w:val="22"/>
          <w:szCs w:val="22"/>
          <w:color w:val="auto"/>
        </w:rPr>
        <w:t>Takeda shall allow any competent Regulatory Authority access to Takeda’s facilities to perform inspections of such facilities and cGMPs documents that are applicable to the Bulk Drug Product(s) or service(s) provided to the Company under this Agreement.</w:t>
      </w:r>
    </w:p>
    <w:p>
      <w:pPr>
        <w:spacing w:after="0" w:line="186" w:lineRule="exact"/>
        <w:rPr>
          <w:rFonts w:ascii="Arial" w:cs="Arial" w:eastAsia="Arial" w:hAnsi="Arial"/>
          <w:sz w:val="20"/>
          <w:szCs w:val="20"/>
          <w:color w:val="auto"/>
        </w:rPr>
      </w:pPr>
    </w:p>
    <w:p>
      <w:pPr>
        <w:jc w:val="both"/>
        <w:ind w:left="2572" w:hanging="858"/>
        <w:spacing w:after="0" w:line="246" w:lineRule="auto"/>
        <w:tabs>
          <w:tab w:leader="none" w:pos="2572" w:val="left"/>
        </w:tabs>
        <w:numPr>
          <w:ilvl w:val="2"/>
          <w:numId w:val="17"/>
        </w:numPr>
        <w:rPr>
          <w:rFonts w:ascii="Arial" w:cs="Arial" w:eastAsia="Arial" w:hAnsi="Arial"/>
          <w:sz w:val="19"/>
          <w:szCs w:val="19"/>
          <w:color w:val="auto"/>
        </w:rPr>
      </w:pPr>
      <w:r>
        <w:rPr>
          <w:rFonts w:ascii="Arial" w:cs="Arial" w:eastAsia="Arial" w:hAnsi="Arial"/>
          <w:sz w:val="21"/>
          <w:szCs w:val="21"/>
          <w:color w:val="auto"/>
        </w:rPr>
        <w:t>Takeda will notify Company within [***] of any contacts with Regulatory Authorities (both written and verbal) related to Bulk Drug Product to be supplied under this Agreement. Takeda shall inform Company within: (a) [***] of planned impending Regulatory Authority inspections that affect Bulk Drug Product(s) or service(s) provided under this Agreement, (b) [***] of an unannounced Regulatory Authority inspection that affect Bulk Drug Product(s) or such service(s), and (c) [***] of any Regulatory Authority action (e.g., withdrawal of necessary permits and licenses, warning letters, etc.) and/or critical observations that affect Bulk Drug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5572" w:hanging="136"/>
        <w:spacing w:after="0"/>
        <w:tabs>
          <w:tab w:leader="none" w:pos="5572" w:val="left"/>
        </w:tabs>
        <w:numPr>
          <w:ilvl w:val="3"/>
          <w:numId w:val="17"/>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0" w:name="page41"/>
    <w:bookmarkEnd w:id="40"/>
    <w:p>
      <w:pPr>
        <w:jc w:val="both"/>
        <w:ind w:left="1460"/>
        <w:spacing w:after="0" w:line="245" w:lineRule="auto"/>
        <w:rPr>
          <w:sz w:val="20"/>
          <w:szCs w:val="20"/>
          <w:color w:val="auto"/>
        </w:rPr>
      </w:pPr>
      <w:r>
        <w:rPr>
          <w:rFonts w:ascii="Arial" w:cs="Arial" w:eastAsia="Arial" w:hAnsi="Arial"/>
          <w:sz w:val="21"/>
          <w:szCs w:val="21"/>
          <w:color w:val="auto"/>
        </w:rPr>
        <w:t>Product(s), such facilities, or such service(s). Takeda shall cooperate, and shall use reasonable efforts to cause any contract facility to cooperate, with such Regulatory Authority and Company during such inspection. Takeda shall provide Company with regular updates regarding the status of such inspection and any communications by such Regulatory Authorities relating to Bulk Drug Product or the bulk form of the API, provided that with respect to any critical issues Takeda shall provide Company updates within [***]. In addition, Takeda shall promptly notify Company of all contacts with, or audits or inspections by, Regulatory Authorities (both written and verbal) that would reasonably be expected to adversely affect the ability of any party to manufacture Bulk Drug Product or the bulk form of the API used to manufacture Bulk Drug Product anywhere in the world.</w:t>
      </w:r>
    </w:p>
    <w:p>
      <w:pPr>
        <w:spacing w:after="0" w:line="181" w:lineRule="exact"/>
        <w:rPr>
          <w:sz w:val="20"/>
          <w:szCs w:val="20"/>
          <w:color w:val="auto"/>
        </w:rPr>
      </w:pPr>
    </w:p>
    <w:p>
      <w:pPr>
        <w:jc w:val="both"/>
        <w:ind w:left="1460" w:hanging="858"/>
        <w:spacing w:after="0" w:line="269"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9"/>
          <w:szCs w:val="19"/>
          <w:color w:val="auto"/>
        </w:rPr>
        <w:t>The Parties shall consult and agree in preparing commitments to competent Regulatory Authorities or in responding to observations made during Regulatory Authority inspections that relate directly to the Bulk Drug Product(s) or service(s) provided under this Agreement, including any notice of inspection, notice of violation or other similar notice received by Takeda affecting manufacture, testing, storage or handling of any Bulk Drug Product or the facilities used therefor. Following receipt of the inspection observations of such Regulatory Authority, Takeda shall promptly provide Company with a copy of the inspection report and also provide Company with copies of any written communications received from Regulatory Authorities with respect to such facilities promptly after receipt, to the extent such written communications relate to Bulk Drug Product or API or the manufacture thereof, and shall prepare the response to any such observations. If documentation includes confidential information, Company shall be entitled to have access to these documents during the audit under the confidentiality terms set forth in the License Agreement. Company shall provide its comments to the response of these observations within [***]. Takeda shall provide the final written responses to the applicable Regulatory Authority and a copy of such final written responses that affect the Bulk Drug Product(s) or such service(s) to Company. In the event that there are inspectional observations (FDA Form 483, or equivalent), Takeda shall inform Company within [***] of receipt from the applicable Regulatory Authority and Company shall have the opportunity to review and provide Takeda with comments to Takeda’s response. Company shall provide its comments to the response of these observations within [***]. The contents of Takeda’s response shall be determined by Takeda in its sole discretion; provided that Takeda shall provide Company with a copy of any such response prior to submission to such Regulatory Authority and Takeda shall consider in good faith Company’s comments with respect to such response.</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1460" w:right="20" w:hanging="858"/>
        <w:spacing w:after="0" w:line="250" w:lineRule="auto"/>
        <w:tabs>
          <w:tab w:leader="none" w:pos="1460" w:val="left"/>
        </w:tabs>
        <w:numPr>
          <w:ilvl w:val="0"/>
          <w:numId w:val="18"/>
        </w:numPr>
        <w:rPr>
          <w:rFonts w:ascii="Arial" w:cs="Arial" w:eastAsia="Arial" w:hAnsi="Arial"/>
          <w:sz w:val="20"/>
          <w:szCs w:val="20"/>
          <w:color w:val="auto"/>
        </w:rPr>
      </w:pPr>
      <w:r>
        <w:rPr>
          <w:rFonts w:ascii="Arial" w:cs="Arial" w:eastAsia="Arial" w:hAnsi="Arial"/>
          <w:sz w:val="22"/>
          <w:szCs w:val="22"/>
          <w:color w:val="auto"/>
        </w:rPr>
        <w:t>Takeda shall ensure resolution of all observations identified by any such Regulatory Authority within the committed timeframe.</w:t>
      </w:r>
    </w:p>
    <w:p>
      <w:pPr>
        <w:spacing w:after="0" w:line="390" w:lineRule="exact"/>
        <w:rPr>
          <w:rFonts w:ascii="Arial" w:cs="Arial" w:eastAsia="Arial" w:hAnsi="Arial"/>
          <w:sz w:val="20"/>
          <w:szCs w:val="20"/>
          <w:color w:val="auto"/>
        </w:rPr>
      </w:pPr>
    </w:p>
    <w:p>
      <w:pPr>
        <w:ind w:left="4460" w:hanging="136"/>
        <w:spacing w:after="0"/>
        <w:tabs>
          <w:tab w:leader="none" w:pos="44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50" w:right="339" w:bottom="1440" w:gutter="0" w:footer="0" w:header="0"/>
        </w:sectPr>
      </w:pPr>
    </w:p>
    <w:bookmarkStart w:id="41" w:name="page42"/>
    <w:bookmarkEnd w:id="41"/>
    <w:p>
      <w:pPr>
        <w:jc w:val="both"/>
        <w:ind w:left="1692" w:hanging="842"/>
        <w:spacing w:after="0" w:line="238" w:lineRule="auto"/>
        <w:tabs>
          <w:tab w:leader="none" w:pos="1692"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Communications with Regulatory Authorities</w:t>
      </w:r>
      <w:r>
        <w:rPr>
          <w:rFonts w:ascii="Arial" w:cs="Arial" w:eastAsia="Arial" w:hAnsi="Arial"/>
          <w:sz w:val="22"/>
          <w:szCs w:val="22"/>
          <w:color w:val="auto"/>
        </w:rPr>
        <w:t>. Except as provided in Section 4(C), any and all other communications from and to Regulatory Authorities related to the manufacture of Bulk Drug Product to be supplied under this Agreement will be handled in accordance with the terms and conditions of the Quality Agreement, or as otherwise agreed in writing by Takeda and Company.</w:t>
      </w:r>
    </w:p>
    <w:p>
      <w:pPr>
        <w:spacing w:after="0" w:line="184" w:lineRule="exact"/>
        <w:rPr>
          <w:rFonts w:ascii="Arial" w:cs="Arial" w:eastAsia="Arial" w:hAnsi="Arial"/>
          <w:sz w:val="22"/>
          <w:szCs w:val="22"/>
          <w:color w:val="auto"/>
        </w:rPr>
      </w:pPr>
    </w:p>
    <w:p>
      <w:pPr>
        <w:ind w:left="1692" w:hanging="842"/>
        <w:spacing w:after="0"/>
        <w:tabs>
          <w:tab w:leader="none" w:pos="1692"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Company Inspections and Audits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572" w:hanging="858"/>
        <w:spacing w:after="0" w:line="274" w:lineRule="auto"/>
        <w:tabs>
          <w:tab w:leader="none" w:pos="2572" w:val="left"/>
        </w:tabs>
        <w:numPr>
          <w:ilvl w:val="2"/>
          <w:numId w:val="19"/>
        </w:numPr>
        <w:rPr>
          <w:rFonts w:ascii="Arial" w:cs="Arial" w:eastAsia="Arial" w:hAnsi="Arial"/>
          <w:sz w:val="18"/>
          <w:szCs w:val="18"/>
          <w:color w:val="auto"/>
        </w:rPr>
      </w:pPr>
      <w:r>
        <w:rPr>
          <w:rFonts w:ascii="Arial" w:cs="Arial" w:eastAsia="Arial" w:hAnsi="Arial"/>
          <w:sz w:val="19"/>
          <w:szCs w:val="19"/>
          <w:color w:val="auto"/>
        </w:rPr>
        <w:t>Takeda shall allow an [***] pre-scheduled audit to perform inspections of the authorized facilities and all documents relevant to the Bulk Drug Product(s) and/or service(s) provided under this Agreement, with prior notification of [***] by Company, with up to [***] Company auditors (or a Third Party designee) access to the premises for up to [***], or as many days as appropriate relative to such service(s) or Bulk Drug Product(s). Takeda shall cooperate, and shall use reasonable efforts to cause the contract facility to cooperate, with Company during such inspection. As necessary, Company shall provide a request in advance when additional time is needed to conduct audit activities. As often as necessary, Takeda shall allow ‘for cause’ audits with immediate notice, or for other audits such as for pre-approval inspection readiness with advanced notice from the Company.</w:t>
      </w:r>
    </w:p>
    <w:p>
      <w:pPr>
        <w:spacing w:after="0" w:line="158" w:lineRule="exact"/>
        <w:rPr>
          <w:rFonts w:ascii="Arial" w:cs="Arial" w:eastAsia="Arial" w:hAnsi="Arial"/>
          <w:sz w:val="18"/>
          <w:szCs w:val="18"/>
          <w:color w:val="auto"/>
        </w:rPr>
      </w:pPr>
    </w:p>
    <w:p>
      <w:pPr>
        <w:jc w:val="both"/>
        <w:ind w:left="2572" w:hanging="858"/>
        <w:spacing w:after="0" w:line="257" w:lineRule="auto"/>
        <w:tabs>
          <w:tab w:leader="none" w:pos="2572" w:val="left"/>
        </w:tabs>
        <w:numPr>
          <w:ilvl w:val="2"/>
          <w:numId w:val="19"/>
        </w:numPr>
        <w:rPr>
          <w:rFonts w:ascii="Arial" w:cs="Arial" w:eastAsia="Arial" w:hAnsi="Arial"/>
          <w:sz w:val="19"/>
          <w:szCs w:val="19"/>
          <w:color w:val="auto"/>
        </w:rPr>
      </w:pPr>
      <w:r>
        <w:rPr>
          <w:rFonts w:ascii="Arial" w:cs="Arial" w:eastAsia="Arial" w:hAnsi="Arial"/>
          <w:sz w:val="21"/>
          <w:szCs w:val="21"/>
          <w:color w:val="auto"/>
        </w:rPr>
        <w:t>During such audits, Takeda shall allow Company the right to observe the service(s) provided under this Agreement and to observe the use of all associated raw materials and packaging components for the Bulk Drug Product(s) to ensure adherence to the agreed upon standards.</w:t>
      </w:r>
    </w:p>
    <w:p>
      <w:pPr>
        <w:spacing w:after="0" w:line="169" w:lineRule="exact"/>
        <w:rPr>
          <w:rFonts w:ascii="Arial" w:cs="Arial" w:eastAsia="Arial" w:hAnsi="Arial"/>
          <w:sz w:val="19"/>
          <w:szCs w:val="19"/>
          <w:color w:val="auto"/>
        </w:rPr>
      </w:pPr>
    </w:p>
    <w:p>
      <w:pPr>
        <w:jc w:val="both"/>
        <w:ind w:left="2572" w:hanging="858"/>
        <w:spacing w:after="0" w:line="287" w:lineRule="auto"/>
        <w:tabs>
          <w:tab w:leader="none" w:pos="2572" w:val="left"/>
        </w:tabs>
        <w:numPr>
          <w:ilvl w:val="2"/>
          <w:numId w:val="19"/>
        </w:numPr>
        <w:rPr>
          <w:rFonts w:ascii="Arial" w:cs="Arial" w:eastAsia="Arial" w:hAnsi="Arial"/>
          <w:sz w:val="18"/>
          <w:szCs w:val="18"/>
          <w:color w:val="auto"/>
        </w:rPr>
      </w:pPr>
      <w:r>
        <w:rPr>
          <w:rFonts w:ascii="Arial" w:cs="Arial" w:eastAsia="Arial" w:hAnsi="Arial"/>
          <w:sz w:val="19"/>
          <w:szCs w:val="19"/>
          <w:color w:val="auto"/>
        </w:rPr>
        <w:t>Company shall provide to Takeda a detailed audit observation report, listing all observations, if any, as discussed during the on-site audit (the “</w:t>
      </w:r>
      <w:r>
        <w:rPr>
          <w:rFonts w:ascii="Arial" w:cs="Arial" w:eastAsia="Arial" w:hAnsi="Arial"/>
          <w:sz w:val="19"/>
          <w:szCs w:val="19"/>
          <w:u w:val="single" w:color="auto"/>
          <w:color w:val="auto"/>
        </w:rPr>
        <w:t>Audit Report</w:t>
      </w:r>
      <w:r>
        <w:rPr>
          <w:rFonts w:ascii="Arial" w:cs="Arial" w:eastAsia="Arial" w:hAnsi="Arial"/>
          <w:sz w:val="19"/>
          <w:szCs w:val="19"/>
          <w:color w:val="auto"/>
        </w:rPr>
        <w:t>”) within [***]. Takeda shall provide to Company a written response, including corrective actions and preventative actions (“</w:t>
      </w:r>
      <w:r>
        <w:rPr>
          <w:rFonts w:ascii="Arial" w:cs="Arial" w:eastAsia="Arial" w:hAnsi="Arial"/>
          <w:sz w:val="19"/>
          <w:szCs w:val="19"/>
          <w:u w:val="single" w:color="auto"/>
          <w:color w:val="auto"/>
        </w:rPr>
        <w:t>CAPA</w:t>
      </w:r>
      <w:r>
        <w:rPr>
          <w:rFonts w:ascii="Arial" w:cs="Arial" w:eastAsia="Arial" w:hAnsi="Arial"/>
          <w:sz w:val="19"/>
          <w:szCs w:val="19"/>
          <w:color w:val="auto"/>
        </w:rPr>
        <w:t>”) plan for all observations documented in the Audit Report, within [***] of receipt thereof.</w:t>
      </w:r>
    </w:p>
    <w:p>
      <w:pPr>
        <w:spacing w:after="0" w:line="142" w:lineRule="exact"/>
        <w:rPr>
          <w:rFonts w:ascii="Arial" w:cs="Arial" w:eastAsia="Arial" w:hAnsi="Arial"/>
          <w:sz w:val="18"/>
          <w:szCs w:val="18"/>
          <w:color w:val="auto"/>
        </w:rPr>
      </w:pPr>
    </w:p>
    <w:p>
      <w:pPr>
        <w:ind w:left="2572" w:hanging="858"/>
        <w:spacing w:after="0" w:line="250" w:lineRule="auto"/>
        <w:tabs>
          <w:tab w:leader="none" w:pos="2572" w:val="left"/>
        </w:tabs>
        <w:numPr>
          <w:ilvl w:val="2"/>
          <w:numId w:val="19"/>
        </w:numPr>
        <w:rPr>
          <w:rFonts w:ascii="Arial" w:cs="Arial" w:eastAsia="Arial" w:hAnsi="Arial"/>
          <w:sz w:val="20"/>
          <w:szCs w:val="20"/>
          <w:color w:val="auto"/>
        </w:rPr>
      </w:pPr>
      <w:r>
        <w:rPr>
          <w:rFonts w:ascii="Arial" w:cs="Arial" w:eastAsia="Arial" w:hAnsi="Arial"/>
          <w:sz w:val="22"/>
          <w:szCs w:val="22"/>
          <w:color w:val="auto"/>
        </w:rPr>
        <w:t>Takeda shall ensure timely resolution of all deficiencies identified by Company within the committed timeframe.</w:t>
      </w:r>
    </w:p>
    <w:p>
      <w:pPr>
        <w:spacing w:after="0" w:line="174" w:lineRule="exact"/>
        <w:rPr>
          <w:rFonts w:ascii="Arial" w:cs="Arial" w:eastAsia="Arial" w:hAnsi="Arial"/>
          <w:sz w:val="20"/>
          <w:szCs w:val="20"/>
          <w:color w:val="auto"/>
        </w:rPr>
      </w:pPr>
    </w:p>
    <w:p>
      <w:pPr>
        <w:ind w:left="852" w:hanging="852"/>
        <w:spacing w:after="0"/>
        <w:tabs>
          <w:tab w:leader="none" w:pos="8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ORDERING AND PURCHASING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92" w:hanging="842"/>
        <w:spacing w:after="0"/>
        <w:tabs>
          <w:tab w:leader="none" w:pos="1692"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Ordering</w:t>
      </w:r>
    </w:p>
    <w:p>
      <w:pPr>
        <w:spacing w:after="0" w:line="206" w:lineRule="exact"/>
        <w:rPr>
          <w:rFonts w:ascii="Arial" w:cs="Arial" w:eastAsia="Arial" w:hAnsi="Arial"/>
          <w:sz w:val="22"/>
          <w:szCs w:val="22"/>
          <w:color w:val="auto"/>
        </w:rPr>
      </w:pPr>
    </w:p>
    <w:p>
      <w:pPr>
        <w:jc w:val="both"/>
        <w:ind w:left="2572" w:hanging="858"/>
        <w:spacing w:after="0" w:line="248" w:lineRule="auto"/>
        <w:tabs>
          <w:tab w:leader="none" w:pos="2572" w:val="left"/>
        </w:tabs>
        <w:numPr>
          <w:ilvl w:val="2"/>
          <w:numId w:val="20"/>
        </w:numPr>
        <w:rPr>
          <w:rFonts w:ascii="Arial" w:cs="Arial" w:eastAsia="Arial" w:hAnsi="Arial"/>
          <w:sz w:val="19"/>
          <w:szCs w:val="19"/>
          <w:color w:val="auto"/>
        </w:rPr>
      </w:pPr>
      <w:r>
        <w:rPr>
          <w:rFonts w:ascii="Arial" w:cs="Arial" w:eastAsia="Arial" w:hAnsi="Arial"/>
          <w:sz w:val="21"/>
          <w:szCs w:val="21"/>
          <w:color w:val="auto"/>
        </w:rPr>
        <w:t xml:space="preserve">The Parties have agreed that the Company shall order a certain minimum number of batches of Bulk Drug Product each year as described in </w:t>
      </w:r>
      <w:r>
        <w:rPr>
          <w:rFonts w:ascii="Arial" w:cs="Arial" w:eastAsia="Arial" w:hAnsi="Arial"/>
          <w:sz w:val="21"/>
          <w:szCs w:val="21"/>
          <w:u w:val="single" w:color="auto"/>
          <w:color w:val="auto"/>
        </w:rPr>
        <w:t>Exhibit 2</w:t>
      </w:r>
      <w:r>
        <w:rPr>
          <w:rFonts w:ascii="Arial" w:cs="Arial" w:eastAsia="Arial" w:hAnsi="Arial"/>
          <w:sz w:val="21"/>
          <w:szCs w:val="21"/>
          <w:color w:val="auto"/>
        </w:rPr>
        <w:t xml:space="preserve"> of this Agreement, such minimum being binding. In the event the Company does not buy the minimum number of batches of Bulk Drug Product, other than as a result of Takeda’s inability to supply such batches for any reason, or as a result of Force Majeure pursuant to Section 17(C), the Company shall pay to Takeda the amount corresponding to the missing batches.</w:t>
      </w:r>
    </w:p>
    <w:p>
      <w:pPr>
        <w:spacing w:after="0" w:line="392" w:lineRule="exact"/>
        <w:rPr>
          <w:rFonts w:ascii="Arial" w:cs="Arial" w:eastAsia="Arial" w:hAnsi="Arial"/>
          <w:sz w:val="19"/>
          <w:szCs w:val="19"/>
          <w:color w:val="auto"/>
        </w:rPr>
      </w:pPr>
    </w:p>
    <w:p>
      <w:pPr>
        <w:ind w:left="5572" w:hanging="136"/>
        <w:spacing w:after="0"/>
        <w:tabs>
          <w:tab w:leader="none" w:pos="5572" w:val="left"/>
        </w:tabs>
        <w:numPr>
          <w:ilvl w:val="3"/>
          <w:numId w:val="20"/>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2" w:name="page43"/>
    <w:bookmarkEnd w:id="42"/>
    <w:p>
      <w:pPr>
        <w:jc w:val="both"/>
        <w:ind w:left="1722" w:hanging="858"/>
        <w:spacing w:after="0" w:line="245" w:lineRule="auto"/>
        <w:tabs>
          <w:tab w:leader="none" w:pos="1722" w:val="left"/>
        </w:tabs>
        <w:numPr>
          <w:ilvl w:val="2"/>
          <w:numId w:val="21"/>
        </w:numPr>
        <w:rPr>
          <w:rFonts w:ascii="Arial" w:cs="Arial" w:eastAsia="Arial" w:hAnsi="Arial"/>
          <w:sz w:val="19"/>
          <w:szCs w:val="19"/>
          <w:color w:val="auto"/>
        </w:rPr>
      </w:pPr>
      <w:r>
        <w:rPr>
          <w:rFonts w:ascii="Arial" w:cs="Arial" w:eastAsia="Arial" w:hAnsi="Arial"/>
          <w:sz w:val="21"/>
          <w:szCs w:val="21"/>
          <w:color w:val="auto"/>
        </w:rPr>
        <w:t xml:space="preserve">The Company is entitled to order Bulk Drug Product up to the maximum number of batches specified in </w:t>
      </w:r>
      <w:r>
        <w:rPr>
          <w:rFonts w:ascii="Arial" w:cs="Arial" w:eastAsia="Arial" w:hAnsi="Arial"/>
          <w:sz w:val="21"/>
          <w:szCs w:val="21"/>
          <w:u w:val="single" w:color="auto"/>
          <w:color w:val="auto"/>
        </w:rPr>
        <w:t>Exhibit 2</w:t>
      </w:r>
      <w:r>
        <w:rPr>
          <w:rFonts w:ascii="Arial" w:cs="Arial" w:eastAsia="Arial" w:hAnsi="Arial"/>
          <w:sz w:val="21"/>
          <w:szCs w:val="21"/>
          <w:color w:val="auto"/>
        </w:rPr>
        <w:t xml:space="preserve"> of this Agreement. Takeda has no obligation to supply Bulk Drug Product above the maximum number of batches specified in Exhibit 2. After July 15, 2020 and prior to termination of this Agreement, the Company may request additional batches of Bulk Drug Product beyond maximum quantity defined in Exhibit 2. After July 15, 2020, and upon written request of Company if Takeda can support additional batches of Bulk Drug Product, such evaluation to be at its sole discretion, [***], the Parties will agree in writing to add the additional batches of Bulk Drug Product to this Agreement, which addition may also include some amendments to the delivery forecast in </w:t>
      </w:r>
      <w:r>
        <w:rPr>
          <w:rFonts w:ascii="Arial" w:cs="Arial" w:eastAsia="Arial" w:hAnsi="Arial"/>
          <w:sz w:val="21"/>
          <w:szCs w:val="21"/>
          <w:u w:val="single" w:color="auto"/>
          <w:color w:val="auto"/>
        </w:rPr>
        <w:t>Exhibit 3</w:t>
      </w:r>
      <w:r>
        <w:rPr>
          <w:rFonts w:ascii="Arial" w:cs="Arial" w:eastAsia="Arial" w:hAnsi="Arial"/>
          <w:sz w:val="21"/>
          <w:szCs w:val="21"/>
          <w:color w:val="auto"/>
        </w:rPr>
        <w:t>.</w:t>
      </w:r>
    </w:p>
    <w:p>
      <w:pPr>
        <w:spacing w:after="0" w:line="184" w:lineRule="exact"/>
        <w:rPr>
          <w:rFonts w:ascii="Arial" w:cs="Arial" w:eastAsia="Arial" w:hAnsi="Arial"/>
          <w:sz w:val="19"/>
          <w:szCs w:val="19"/>
          <w:color w:val="auto"/>
        </w:rPr>
      </w:pPr>
    </w:p>
    <w:p>
      <w:pPr>
        <w:ind w:left="842" w:hanging="842"/>
        <w:spacing w:after="0"/>
        <w:tabs>
          <w:tab w:leader="none" w:pos="84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Purchase Orders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722" w:hanging="858"/>
        <w:spacing w:after="0" w:line="238" w:lineRule="auto"/>
        <w:tabs>
          <w:tab w:leader="none" w:pos="1722" w:val="left"/>
        </w:tabs>
        <w:numPr>
          <w:ilvl w:val="2"/>
          <w:numId w:val="22"/>
        </w:numPr>
        <w:rPr>
          <w:rFonts w:ascii="Arial" w:cs="Arial" w:eastAsia="Arial" w:hAnsi="Arial"/>
          <w:sz w:val="20"/>
          <w:szCs w:val="20"/>
          <w:color w:val="auto"/>
        </w:rPr>
      </w:pPr>
      <w:r>
        <w:rPr>
          <w:rFonts w:ascii="Arial" w:cs="Arial" w:eastAsia="Arial" w:hAnsi="Arial"/>
          <w:sz w:val="22"/>
          <w:szCs w:val="22"/>
          <w:u w:val="single" w:color="auto"/>
          <w:color w:val="auto"/>
        </w:rPr>
        <w:t>Issuance of Purchase Orders</w:t>
      </w:r>
      <w:r>
        <w:rPr>
          <w:rFonts w:ascii="Arial" w:cs="Arial" w:eastAsia="Arial" w:hAnsi="Arial"/>
          <w:sz w:val="22"/>
          <w:szCs w:val="22"/>
          <w:color w:val="auto"/>
        </w:rPr>
        <w:t>. Company shall submit a purchase order to Takeda for each purchase of Bulk Drug Product at least [***] in advance of the applicable delivery date. Bulk Drug Product will be ordered in number of batches. The purchase orders shall specify the dosage and the requested date of delivery.</w:t>
      </w:r>
    </w:p>
    <w:p>
      <w:pPr>
        <w:spacing w:after="0" w:line="184" w:lineRule="exact"/>
        <w:rPr>
          <w:rFonts w:ascii="Arial" w:cs="Arial" w:eastAsia="Arial" w:hAnsi="Arial"/>
          <w:sz w:val="20"/>
          <w:szCs w:val="20"/>
          <w:color w:val="auto"/>
        </w:rPr>
      </w:pPr>
    </w:p>
    <w:p>
      <w:pPr>
        <w:jc w:val="both"/>
        <w:ind w:left="1722" w:hanging="858"/>
        <w:spacing w:after="0" w:line="275" w:lineRule="auto"/>
        <w:tabs>
          <w:tab w:leader="none" w:pos="1722" w:val="left"/>
        </w:tabs>
        <w:numPr>
          <w:ilvl w:val="2"/>
          <w:numId w:val="22"/>
        </w:numPr>
        <w:rPr>
          <w:rFonts w:ascii="Arial" w:cs="Arial" w:eastAsia="Arial" w:hAnsi="Arial"/>
          <w:sz w:val="18"/>
          <w:szCs w:val="18"/>
          <w:color w:val="auto"/>
        </w:rPr>
      </w:pPr>
      <w:r>
        <w:rPr>
          <w:rFonts w:ascii="Arial" w:cs="Arial" w:eastAsia="Arial" w:hAnsi="Arial"/>
          <w:sz w:val="19"/>
          <w:szCs w:val="19"/>
          <w:u w:val="single" w:color="auto"/>
          <w:color w:val="auto"/>
        </w:rPr>
        <w:t>Acceptance of Purchase Orders</w:t>
      </w:r>
      <w:r>
        <w:rPr>
          <w:rFonts w:ascii="Arial" w:cs="Arial" w:eastAsia="Arial" w:hAnsi="Arial"/>
          <w:sz w:val="19"/>
          <w:szCs w:val="19"/>
          <w:color w:val="auto"/>
        </w:rPr>
        <w:t xml:space="preserve">. Takeda will confirm Company’s purchase order within [***] after receipt. Other than the delivery date, any terms and conditions contained in any Company purchase order will not be binding on Takeda, provided however that delivery shall be considered to have occurred on due date despite the Bulk Drug Product being delivered [***] before or after the delivery date specified in the purchase order. To the extent of any conflict between a purchase order and this Agreement, this Agreement will control. The Parties have agreed on a delivery forecast attached in </w:t>
      </w:r>
      <w:r>
        <w:rPr>
          <w:rFonts w:ascii="Arial" w:cs="Arial" w:eastAsia="Arial" w:hAnsi="Arial"/>
          <w:sz w:val="19"/>
          <w:szCs w:val="19"/>
          <w:u w:val="single" w:color="auto"/>
          <w:color w:val="auto"/>
        </w:rPr>
        <w:t>Exhibit 3</w:t>
      </w:r>
      <w:r>
        <w:rPr>
          <w:rFonts w:ascii="Arial" w:cs="Arial" w:eastAsia="Arial" w:hAnsi="Arial"/>
          <w:sz w:val="19"/>
          <w:szCs w:val="19"/>
          <w:color w:val="auto"/>
        </w:rPr>
        <w:t xml:space="preserve"> and Company shall place purchase orders to Takeda according to the terms of this Agreement considering this agreed delivery forecast.</w:t>
      </w:r>
    </w:p>
    <w:p>
      <w:pPr>
        <w:spacing w:after="0" w:line="157" w:lineRule="exact"/>
        <w:rPr>
          <w:rFonts w:ascii="Arial" w:cs="Arial" w:eastAsia="Arial" w:hAnsi="Arial"/>
          <w:sz w:val="18"/>
          <w:szCs w:val="18"/>
          <w:color w:val="auto"/>
        </w:rPr>
      </w:pPr>
    </w:p>
    <w:p>
      <w:pPr>
        <w:ind w:left="842" w:hanging="842"/>
        <w:spacing w:after="0"/>
        <w:tabs>
          <w:tab w:leader="none" w:pos="84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Notice of Potential Inability to Supply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722" w:hanging="858"/>
        <w:spacing w:after="0" w:line="282" w:lineRule="auto"/>
        <w:tabs>
          <w:tab w:leader="none" w:pos="1722" w:val="left"/>
        </w:tabs>
        <w:numPr>
          <w:ilvl w:val="2"/>
          <w:numId w:val="22"/>
        </w:numPr>
        <w:rPr>
          <w:rFonts w:ascii="Arial" w:cs="Arial" w:eastAsia="Arial" w:hAnsi="Arial"/>
          <w:sz w:val="18"/>
          <w:szCs w:val="18"/>
          <w:color w:val="auto"/>
        </w:rPr>
      </w:pPr>
      <w:r>
        <w:rPr>
          <w:rFonts w:ascii="Arial" w:cs="Arial" w:eastAsia="Arial" w:hAnsi="Arial"/>
          <w:sz w:val="19"/>
          <w:szCs w:val="19"/>
          <w:color w:val="auto"/>
        </w:rPr>
        <w:t>Takeda shall inform Company of any events that may prevent Takeda from supplying all of the Bulk Drug Product included in any purchase order submitted by the Company by the requisite delivery date as soon as reasonably practicable after becoming aware of such events. In the event Takeda notifies Company of a potential inability to supply a Bulk Drug Product by the requisite delivery date, the Parties shall discuss in good faith how to resolve the matter.</w:t>
      </w:r>
    </w:p>
    <w:p>
      <w:pPr>
        <w:spacing w:after="0" w:line="147" w:lineRule="exact"/>
        <w:rPr>
          <w:rFonts w:ascii="Arial" w:cs="Arial" w:eastAsia="Arial" w:hAnsi="Arial"/>
          <w:sz w:val="18"/>
          <w:szCs w:val="18"/>
          <w:color w:val="auto"/>
        </w:rPr>
      </w:pPr>
    </w:p>
    <w:p>
      <w:pPr>
        <w:jc w:val="both"/>
        <w:ind w:left="1682" w:hanging="831"/>
        <w:spacing w:after="0" w:line="252" w:lineRule="auto"/>
        <w:tabs>
          <w:tab w:leader="none" w:pos="1682" w:val="left"/>
        </w:tabs>
        <w:numPr>
          <w:ilvl w:val="1"/>
          <w:numId w:val="22"/>
        </w:numPr>
        <w:rPr>
          <w:rFonts w:ascii="Arial" w:cs="Arial" w:eastAsia="Arial" w:hAnsi="Arial"/>
          <w:sz w:val="19"/>
          <w:szCs w:val="19"/>
          <w:color w:val="auto"/>
        </w:rPr>
      </w:pPr>
      <w:r>
        <w:rPr>
          <w:rFonts w:ascii="Arial" w:cs="Arial" w:eastAsia="Arial" w:hAnsi="Arial"/>
          <w:sz w:val="21"/>
          <w:szCs w:val="21"/>
          <w:color w:val="auto"/>
        </w:rPr>
        <w:t>Takeda enters into this Agreement based on the evaluation of the markets upon the Effective Date with acknowledgement that this situation may change in the next years. Takeda will not be considered in breach of its material obligations under the Agreement in the event that Takeda cannot supply agreed maximum quantities, as set forth in Exhibit 2, because of</w:t>
      </w:r>
    </w:p>
    <w:p>
      <w:pPr>
        <w:spacing w:after="0" w:line="389" w:lineRule="exact"/>
        <w:rPr>
          <w:rFonts w:ascii="Arial" w:cs="Arial" w:eastAsia="Arial" w:hAnsi="Arial"/>
          <w:sz w:val="19"/>
          <w:szCs w:val="19"/>
          <w:color w:val="auto"/>
        </w:rPr>
      </w:pPr>
    </w:p>
    <w:p>
      <w:pPr>
        <w:ind w:left="4722" w:hanging="136"/>
        <w:spacing w:after="0"/>
        <w:tabs>
          <w:tab w:leader="none" w:pos="4722" w:val="left"/>
        </w:tabs>
        <w:numPr>
          <w:ilvl w:val="3"/>
          <w:numId w:val="22"/>
        </w:numPr>
        <w:rPr>
          <w:rFonts w:ascii="Arial" w:cs="Arial" w:eastAsia="Arial" w:hAnsi="Arial"/>
          <w:sz w:val="22"/>
          <w:szCs w:val="22"/>
          <w:color w:val="auto"/>
        </w:rPr>
      </w:pPr>
      <w:r>
        <w:rPr>
          <w:rFonts w:ascii="Arial" w:cs="Arial" w:eastAsia="Arial" w:hAnsi="Arial"/>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43" w:name="page44"/>
    <w:bookmarkEnd w:id="43"/>
    <w:p>
      <w:pPr>
        <w:jc w:val="both"/>
        <w:ind w:left="2532"/>
        <w:spacing w:after="0"/>
        <w:rPr>
          <w:sz w:val="20"/>
          <w:szCs w:val="20"/>
          <w:color w:val="auto"/>
        </w:rPr>
      </w:pPr>
      <w:r>
        <w:rPr>
          <w:rFonts w:ascii="Arial" w:cs="Arial" w:eastAsia="Arial" w:hAnsi="Arial"/>
          <w:sz w:val="22"/>
          <w:szCs w:val="22"/>
          <w:color w:val="auto"/>
        </w:rPr>
        <w:t>higher needs of supply of Product for its commercialization outside of the Territory. Takeda commits to keeping Phathom informed of the supply perspective and will consider the following in allocation decisions:</w:t>
      </w:r>
    </w:p>
    <w:p>
      <w:pPr>
        <w:spacing w:after="0" w:line="186" w:lineRule="exact"/>
        <w:rPr>
          <w:sz w:val="20"/>
          <w:szCs w:val="20"/>
          <w:color w:val="auto"/>
        </w:rPr>
      </w:pPr>
    </w:p>
    <w:p>
      <w:pPr>
        <w:ind w:left="3452" w:hanging="860"/>
        <w:spacing w:after="0"/>
        <w:tabs>
          <w:tab w:leader="none" w:pos="3452" w:val="left"/>
        </w:tabs>
        <w:numPr>
          <w:ilvl w:val="3"/>
          <w:numId w:val="23"/>
        </w:numPr>
        <w:rPr>
          <w:rFonts w:ascii="Arial" w:cs="Arial" w:eastAsia="Arial" w:hAnsi="Arial"/>
          <w:sz w:val="22"/>
          <w:szCs w:val="22"/>
          <w:color w:val="auto"/>
        </w:rPr>
      </w:pPr>
      <w:r>
        <w:rPr>
          <w:rFonts w:ascii="Arial" w:cs="Arial" w:eastAsia="Arial" w:hAnsi="Arial"/>
          <w:sz w:val="22"/>
          <w:szCs w:val="22"/>
          <w:color w:val="auto"/>
        </w:rPr>
        <w:t>Patients in the Licensee’s Territory may need the Product; and</w:t>
      </w:r>
    </w:p>
    <w:p>
      <w:pPr>
        <w:spacing w:after="0" w:line="206" w:lineRule="exact"/>
        <w:rPr>
          <w:rFonts w:ascii="Arial" w:cs="Arial" w:eastAsia="Arial" w:hAnsi="Arial"/>
          <w:sz w:val="22"/>
          <w:szCs w:val="22"/>
          <w:color w:val="auto"/>
        </w:rPr>
      </w:pPr>
    </w:p>
    <w:p>
      <w:pPr>
        <w:ind w:left="3452" w:hanging="860"/>
        <w:spacing w:after="0"/>
        <w:tabs>
          <w:tab w:leader="none" w:pos="3452" w:val="left"/>
        </w:tabs>
        <w:numPr>
          <w:ilvl w:val="3"/>
          <w:numId w:val="23"/>
        </w:numPr>
        <w:rPr>
          <w:rFonts w:ascii="Arial" w:cs="Arial" w:eastAsia="Arial" w:hAnsi="Arial"/>
          <w:sz w:val="19"/>
          <w:szCs w:val="19"/>
          <w:color w:val="auto"/>
        </w:rPr>
      </w:pPr>
      <w:r>
        <w:rPr>
          <w:rFonts w:ascii="Arial" w:cs="Arial" w:eastAsia="Arial" w:hAnsi="Arial"/>
          <w:sz w:val="19"/>
          <w:szCs w:val="19"/>
          <w:color w:val="auto"/>
        </w:rPr>
        <w:t>If there is no other way for the Company to secure Bulk Drug Product than from Takeda.</w:t>
      </w:r>
    </w:p>
    <w:p>
      <w:pPr>
        <w:spacing w:after="0" w:line="240" w:lineRule="exact"/>
        <w:rPr>
          <w:rFonts w:ascii="Arial" w:cs="Arial" w:eastAsia="Arial" w:hAnsi="Arial"/>
          <w:sz w:val="19"/>
          <w:szCs w:val="19"/>
          <w:color w:val="auto"/>
        </w:rPr>
      </w:pPr>
    </w:p>
    <w:p>
      <w:pPr>
        <w:ind w:left="852" w:hanging="852"/>
        <w:spacing w:after="0"/>
        <w:tabs>
          <w:tab w:leader="none" w:pos="85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MANUFACTURING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92" w:hanging="842"/>
        <w:spacing w:after="0" w:line="250" w:lineRule="auto"/>
        <w:tabs>
          <w:tab w:leader="none" w:pos="1692"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Conformance</w:t>
      </w:r>
      <w:r>
        <w:rPr>
          <w:rFonts w:ascii="Arial" w:cs="Arial" w:eastAsia="Arial" w:hAnsi="Arial"/>
          <w:sz w:val="22"/>
          <w:szCs w:val="22"/>
          <w:color w:val="auto"/>
        </w:rPr>
        <w:t>. All units of Bulk Drug Product shall conform to Applicable Law, including all cGMPs, and the Specifications upon delivery to Company.</w:t>
      </w:r>
    </w:p>
    <w:p>
      <w:pPr>
        <w:spacing w:after="0" w:line="174" w:lineRule="exact"/>
        <w:rPr>
          <w:rFonts w:ascii="Arial" w:cs="Arial" w:eastAsia="Arial" w:hAnsi="Arial"/>
          <w:sz w:val="22"/>
          <w:szCs w:val="22"/>
          <w:color w:val="auto"/>
        </w:rPr>
      </w:pPr>
    </w:p>
    <w:p>
      <w:pPr>
        <w:ind w:left="1692" w:hanging="842"/>
        <w:spacing w:after="0"/>
        <w:tabs>
          <w:tab w:leader="none" w:pos="1692"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Control of Manufacturing Changes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572" w:hanging="858"/>
        <w:spacing w:after="0" w:line="238" w:lineRule="auto"/>
        <w:tabs>
          <w:tab w:leader="none" w:pos="2572" w:val="left"/>
        </w:tabs>
        <w:numPr>
          <w:ilvl w:val="2"/>
          <w:numId w:val="24"/>
        </w:numPr>
        <w:rPr>
          <w:rFonts w:ascii="Arial" w:cs="Arial" w:eastAsia="Arial" w:hAnsi="Arial"/>
          <w:sz w:val="20"/>
          <w:szCs w:val="20"/>
          <w:color w:val="auto"/>
        </w:rPr>
      </w:pPr>
      <w:r>
        <w:rPr>
          <w:rFonts w:ascii="Arial" w:cs="Arial" w:eastAsia="Arial" w:hAnsi="Arial"/>
          <w:sz w:val="22"/>
          <w:szCs w:val="22"/>
          <w:u w:val="single" w:color="auto"/>
          <w:color w:val="auto"/>
        </w:rPr>
        <w:t>Manufacturing Changes requested by Takeda</w:t>
      </w:r>
      <w:r>
        <w:rPr>
          <w:rFonts w:ascii="Arial" w:cs="Arial" w:eastAsia="Arial" w:hAnsi="Arial"/>
          <w:sz w:val="22"/>
          <w:szCs w:val="22"/>
          <w:color w:val="auto"/>
        </w:rPr>
        <w:t>. Takeda may request Manufacturing Changes. Takeda shall provide Company with written notice providing details and reason for any such requested Manufacturing Changes. Costs related to such Manufacturing Changes shall solely borne by Takeda.</w:t>
      </w:r>
    </w:p>
    <w:p>
      <w:pPr>
        <w:spacing w:after="0" w:line="184" w:lineRule="exact"/>
        <w:rPr>
          <w:rFonts w:ascii="Arial" w:cs="Arial" w:eastAsia="Arial" w:hAnsi="Arial"/>
          <w:sz w:val="20"/>
          <w:szCs w:val="20"/>
          <w:color w:val="auto"/>
        </w:rPr>
      </w:pPr>
    </w:p>
    <w:p>
      <w:pPr>
        <w:ind w:left="2572" w:hanging="858"/>
        <w:spacing w:after="0"/>
        <w:tabs>
          <w:tab w:leader="none" w:pos="2572" w:val="left"/>
        </w:tabs>
        <w:numPr>
          <w:ilvl w:val="2"/>
          <w:numId w:val="24"/>
        </w:numPr>
        <w:rPr>
          <w:rFonts w:ascii="Arial" w:cs="Arial" w:eastAsia="Arial" w:hAnsi="Arial"/>
          <w:sz w:val="18"/>
          <w:szCs w:val="18"/>
          <w:color w:val="auto"/>
        </w:rPr>
      </w:pPr>
      <w:r>
        <w:rPr>
          <w:rFonts w:ascii="Arial" w:cs="Arial" w:eastAsia="Arial" w:hAnsi="Arial"/>
          <w:sz w:val="19"/>
          <w:szCs w:val="19"/>
          <w:u w:val="single" w:color="auto"/>
          <w:color w:val="auto"/>
        </w:rPr>
        <w:t>Manufacturing Changes requested by the Company or required by the Regulatory Authorities</w:t>
      </w:r>
      <w:r>
        <w:rPr>
          <w:rFonts w:ascii="Arial" w:cs="Arial" w:eastAsia="Arial" w:hAnsi="Arial"/>
          <w:sz w:val="19"/>
          <w:szCs w:val="19"/>
          <w:color w:val="auto"/>
        </w:rPr>
        <w:t>.</w:t>
      </w:r>
    </w:p>
    <w:p>
      <w:pPr>
        <w:spacing w:after="0" w:line="240" w:lineRule="exact"/>
        <w:rPr>
          <w:rFonts w:ascii="Arial" w:cs="Arial" w:eastAsia="Arial" w:hAnsi="Arial"/>
          <w:sz w:val="18"/>
          <w:szCs w:val="18"/>
          <w:color w:val="auto"/>
        </w:rPr>
      </w:pPr>
    </w:p>
    <w:p>
      <w:pPr>
        <w:jc w:val="both"/>
        <w:ind w:left="3452" w:hanging="860"/>
        <w:spacing w:after="0" w:line="287" w:lineRule="auto"/>
        <w:tabs>
          <w:tab w:leader="none" w:pos="3452" w:val="left"/>
        </w:tabs>
        <w:numPr>
          <w:ilvl w:val="3"/>
          <w:numId w:val="24"/>
        </w:numPr>
        <w:rPr>
          <w:rFonts w:ascii="Arial" w:cs="Arial" w:eastAsia="Arial" w:hAnsi="Arial"/>
          <w:sz w:val="18"/>
          <w:szCs w:val="18"/>
          <w:color w:val="auto"/>
        </w:rPr>
      </w:pPr>
      <w:r>
        <w:rPr>
          <w:rFonts w:ascii="Arial" w:cs="Arial" w:eastAsia="Arial" w:hAnsi="Arial"/>
          <w:sz w:val="19"/>
          <w:szCs w:val="19"/>
          <w:color w:val="auto"/>
        </w:rPr>
        <w:t>Company may request Manufacturing Changes. Company shall provide Takeda with details and the reason for any Manufacturing Changes requested by Company or required by Regulatory Authorities. Manufacturing Changes requested by Company, upon requirement of the Regulatory Authorities or not, will be at the Company’s sole cost.</w:t>
      </w:r>
    </w:p>
    <w:p>
      <w:pPr>
        <w:spacing w:after="0" w:line="142" w:lineRule="exact"/>
        <w:rPr>
          <w:rFonts w:ascii="Arial" w:cs="Arial" w:eastAsia="Arial" w:hAnsi="Arial"/>
          <w:sz w:val="18"/>
          <w:szCs w:val="18"/>
          <w:color w:val="auto"/>
        </w:rPr>
      </w:pPr>
    </w:p>
    <w:p>
      <w:pPr>
        <w:jc w:val="both"/>
        <w:ind w:left="3452" w:hanging="860"/>
        <w:spacing w:after="0" w:line="276" w:lineRule="auto"/>
        <w:tabs>
          <w:tab w:leader="none" w:pos="3452" w:val="left"/>
        </w:tabs>
        <w:numPr>
          <w:ilvl w:val="3"/>
          <w:numId w:val="24"/>
        </w:numPr>
        <w:rPr>
          <w:rFonts w:ascii="Arial" w:cs="Arial" w:eastAsia="Arial" w:hAnsi="Arial"/>
          <w:sz w:val="18"/>
          <w:szCs w:val="18"/>
          <w:color w:val="auto"/>
        </w:rPr>
      </w:pPr>
      <w:r>
        <w:rPr>
          <w:rFonts w:ascii="Arial" w:cs="Arial" w:eastAsia="Arial" w:hAnsi="Arial"/>
          <w:sz w:val="19"/>
          <w:szCs w:val="19"/>
          <w:color w:val="auto"/>
        </w:rPr>
        <w:t xml:space="preserve">Company hereby acknowledges that as of the Effective Date, the Specifications for Bulk Drug Product attached in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of this Agreement are the specifications approved by</w:t>
      </w:r>
    </w:p>
    <w:p>
      <w:pPr>
        <w:spacing w:after="0" w:line="1" w:lineRule="exact"/>
        <w:rPr>
          <w:sz w:val="20"/>
          <w:szCs w:val="20"/>
          <w:color w:val="auto"/>
        </w:rPr>
      </w:pPr>
    </w:p>
    <w:p>
      <w:pPr>
        <w:jc w:val="both"/>
        <w:ind w:left="3452"/>
        <w:spacing w:after="0" w:line="232" w:lineRule="auto"/>
        <w:rPr>
          <w:sz w:val="20"/>
          <w:szCs w:val="20"/>
          <w:color w:val="auto"/>
        </w:rPr>
      </w:pPr>
      <w:r>
        <w:rPr>
          <w:rFonts w:ascii="Arial" w:cs="Arial" w:eastAsia="Arial" w:hAnsi="Arial"/>
          <w:sz w:val="22"/>
          <w:szCs w:val="22"/>
          <w:color w:val="auto"/>
        </w:rPr>
        <w:t>the Regulatory Authority in Japan and are used as reference by the Parties. Notwithstanding the foregoing, the Parties acknowledge and agree that such specifications are expected to change in order to manufacture Bulk Drug Product for the Territory, and the Parties will negotiate in good faith the costs of any such changes. Any change to the Specifications for Bulk Drug Product will be at Company’s sole cost, which may include capex and opex related costs.</w:t>
      </w:r>
    </w:p>
    <w:p>
      <w:pPr>
        <w:spacing w:after="0" w:line="189" w:lineRule="exact"/>
        <w:rPr>
          <w:sz w:val="20"/>
          <w:szCs w:val="20"/>
          <w:color w:val="auto"/>
        </w:rPr>
      </w:pPr>
    </w:p>
    <w:p>
      <w:pPr>
        <w:jc w:val="both"/>
        <w:ind w:left="2572" w:hanging="858"/>
        <w:spacing w:after="0" w:line="238" w:lineRule="auto"/>
        <w:tabs>
          <w:tab w:leader="none" w:pos="2572" w:val="left"/>
        </w:tabs>
        <w:numPr>
          <w:ilvl w:val="0"/>
          <w:numId w:val="25"/>
        </w:numPr>
        <w:rPr>
          <w:rFonts w:ascii="Arial" w:cs="Arial" w:eastAsia="Arial" w:hAnsi="Arial"/>
          <w:sz w:val="20"/>
          <w:szCs w:val="20"/>
          <w:color w:val="auto"/>
        </w:rPr>
      </w:pPr>
      <w:r>
        <w:rPr>
          <w:rFonts w:ascii="Arial" w:cs="Arial" w:eastAsia="Arial" w:hAnsi="Arial"/>
          <w:sz w:val="22"/>
          <w:szCs w:val="22"/>
          <w:color w:val="auto"/>
        </w:rPr>
        <w:t>All Manufacturing Changes, including those described in Sections 6(B)(i) and (ii), above, shall require the written approval of both Company and Takeda prior to implementation, which approval shall not be unreasonably withheld, conditioned or delayed. The procedure for managing these changes shall be detailed in the Quality Agreement.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ind w:left="5572" w:hanging="136"/>
        <w:spacing w:after="0"/>
        <w:tabs>
          <w:tab w:leader="none" w:pos="5572" w:val="left"/>
        </w:tabs>
        <w:numPr>
          <w:ilvl w:val="1"/>
          <w:numId w:val="25"/>
        </w:numPr>
        <w:rPr>
          <w:rFonts w:ascii="Arial" w:cs="Arial" w:eastAsia="Arial" w:hAnsi="Arial"/>
          <w:sz w:val="22"/>
          <w:szCs w:val="22"/>
          <w:color w:val="auto"/>
        </w:rPr>
      </w:pPr>
      <w:r>
        <w:rPr>
          <w:rFonts w:ascii="Arial" w:cs="Arial" w:eastAsia="Arial" w:hAnsi="Arial"/>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4" w:name="page45"/>
    <w:bookmarkEnd w:id="44"/>
    <w:p>
      <w:pPr>
        <w:jc w:val="both"/>
        <w:ind w:left="1692" w:right="20" w:hanging="842"/>
        <w:spacing w:after="0" w:line="297" w:lineRule="auto"/>
        <w:tabs>
          <w:tab w:leader="none" w:pos="1692"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Quality</w:t>
      </w:r>
      <w:r>
        <w:rPr>
          <w:rFonts w:ascii="Arial" w:cs="Arial" w:eastAsia="Arial" w:hAnsi="Arial"/>
          <w:sz w:val="19"/>
          <w:szCs w:val="19"/>
          <w:color w:val="auto"/>
        </w:rPr>
        <w:t>. If the Parties have not executed a quality agreement governing the quality terms relating to supply of Bulk Drug Product under this Agreement (“</w:t>
      </w:r>
      <w:r>
        <w:rPr>
          <w:rFonts w:ascii="Arial" w:cs="Arial" w:eastAsia="Arial" w:hAnsi="Arial"/>
          <w:sz w:val="19"/>
          <w:szCs w:val="19"/>
          <w:u w:val="single" w:color="auto"/>
          <w:color w:val="auto"/>
        </w:rPr>
        <w:t>Quality Agreement</w:t>
      </w:r>
      <w:r>
        <w:rPr>
          <w:rFonts w:ascii="Arial" w:cs="Arial" w:eastAsia="Arial" w:hAnsi="Arial"/>
          <w:sz w:val="19"/>
          <w:szCs w:val="19"/>
          <w:color w:val="auto"/>
        </w:rPr>
        <w:t>” ) contemporaneously with the execution of this Agreement, the Parties will execute a Quality Agreement within [***] after the Effective Date.</w:t>
      </w:r>
    </w:p>
    <w:p>
      <w:pPr>
        <w:spacing w:after="0" w:line="133" w:lineRule="exact"/>
        <w:rPr>
          <w:rFonts w:ascii="Arial" w:cs="Arial" w:eastAsia="Arial" w:hAnsi="Arial"/>
          <w:sz w:val="19"/>
          <w:szCs w:val="19"/>
          <w:color w:val="auto"/>
        </w:rPr>
      </w:pPr>
    </w:p>
    <w:p>
      <w:pPr>
        <w:ind w:left="1692" w:hanging="842"/>
        <w:spacing w:after="0"/>
        <w:tabs>
          <w:tab w:leader="none" w:pos="1692" w:val="left"/>
        </w:tabs>
        <w:numPr>
          <w:ilvl w:val="1"/>
          <w:numId w:val="26"/>
        </w:numPr>
        <w:rPr>
          <w:rFonts w:ascii="Arial" w:cs="Arial" w:eastAsia="Arial" w:hAnsi="Arial"/>
          <w:sz w:val="22"/>
          <w:szCs w:val="22"/>
          <w:color w:val="auto"/>
        </w:rPr>
      </w:pPr>
      <w:r>
        <w:rPr>
          <w:rFonts w:ascii="Arial" w:cs="Arial" w:eastAsia="Arial" w:hAnsi="Arial"/>
          <w:sz w:val="22"/>
          <w:szCs w:val="22"/>
          <w:color w:val="auto"/>
        </w:rPr>
        <w:t>Without limiting the foregoing, Takeda shall:</w:t>
      </w:r>
    </w:p>
    <w:p>
      <w:pPr>
        <w:spacing w:after="0" w:line="206" w:lineRule="exact"/>
        <w:rPr>
          <w:rFonts w:ascii="Arial" w:cs="Arial" w:eastAsia="Arial" w:hAnsi="Arial"/>
          <w:sz w:val="22"/>
          <w:szCs w:val="22"/>
          <w:color w:val="auto"/>
        </w:rPr>
      </w:pPr>
    </w:p>
    <w:p>
      <w:pPr>
        <w:ind w:left="2572" w:hanging="858"/>
        <w:spacing w:after="0" w:line="328" w:lineRule="auto"/>
        <w:tabs>
          <w:tab w:leader="none" w:pos="2572" w:val="left"/>
        </w:tabs>
        <w:numPr>
          <w:ilvl w:val="2"/>
          <w:numId w:val="26"/>
        </w:numPr>
        <w:rPr>
          <w:rFonts w:ascii="Arial" w:cs="Arial" w:eastAsia="Arial" w:hAnsi="Arial"/>
          <w:sz w:val="18"/>
          <w:szCs w:val="18"/>
          <w:color w:val="auto"/>
        </w:rPr>
      </w:pPr>
      <w:r>
        <w:rPr>
          <w:rFonts w:ascii="Arial" w:cs="Arial" w:eastAsia="Arial" w:hAnsi="Arial"/>
          <w:sz w:val="19"/>
          <w:szCs w:val="19"/>
          <w:color w:val="auto"/>
        </w:rPr>
        <w:t>maintain a retention program for all cGMPs documents and records in accordance with Applicable Law; and not destroy any of the foregoing without the prior written consent of Company; and</w:t>
      </w:r>
    </w:p>
    <w:p>
      <w:pPr>
        <w:spacing w:after="0" w:line="104" w:lineRule="exact"/>
        <w:rPr>
          <w:rFonts w:ascii="Arial" w:cs="Arial" w:eastAsia="Arial" w:hAnsi="Arial"/>
          <w:sz w:val="18"/>
          <w:szCs w:val="18"/>
          <w:color w:val="auto"/>
        </w:rPr>
      </w:pPr>
    </w:p>
    <w:p>
      <w:pPr>
        <w:ind w:left="2572" w:hanging="858"/>
        <w:spacing w:after="0" w:line="250" w:lineRule="auto"/>
        <w:tabs>
          <w:tab w:leader="none" w:pos="2572" w:val="left"/>
        </w:tabs>
        <w:numPr>
          <w:ilvl w:val="2"/>
          <w:numId w:val="26"/>
        </w:numPr>
        <w:rPr>
          <w:rFonts w:ascii="Arial" w:cs="Arial" w:eastAsia="Arial" w:hAnsi="Arial"/>
          <w:sz w:val="20"/>
          <w:szCs w:val="20"/>
          <w:color w:val="auto"/>
        </w:rPr>
      </w:pPr>
      <w:r>
        <w:rPr>
          <w:rFonts w:ascii="Arial" w:cs="Arial" w:eastAsia="Arial" w:hAnsi="Arial"/>
          <w:sz w:val="22"/>
          <w:szCs w:val="22"/>
          <w:color w:val="auto"/>
        </w:rPr>
        <w:t>prepare an Annual Product Review/Product Quality Review for the Product(s), as required per Applicable Law, and provide such review to Company.</w:t>
      </w:r>
    </w:p>
    <w:p>
      <w:pPr>
        <w:spacing w:after="0" w:line="174" w:lineRule="exact"/>
        <w:rPr>
          <w:rFonts w:ascii="Arial" w:cs="Arial" w:eastAsia="Arial" w:hAnsi="Arial"/>
          <w:sz w:val="20"/>
          <w:szCs w:val="20"/>
          <w:color w:val="auto"/>
        </w:rPr>
      </w:pPr>
    </w:p>
    <w:p>
      <w:pPr>
        <w:ind w:left="852" w:hanging="852"/>
        <w:spacing w:after="0"/>
        <w:tabs>
          <w:tab w:leader="none" w:pos="85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DELIVERY, TITLE AND RISK OF LOSS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38" w:lineRule="auto"/>
        <w:tabs>
          <w:tab w:leader="none" w:pos="1692"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Delivery Terms; Title; Risk of Loss</w:t>
      </w:r>
      <w:r>
        <w:rPr>
          <w:rFonts w:ascii="Arial" w:cs="Arial" w:eastAsia="Arial" w:hAnsi="Arial"/>
          <w:sz w:val="22"/>
          <w:szCs w:val="22"/>
          <w:color w:val="auto"/>
        </w:rPr>
        <w:t>. Bulk Drug Product will be delivered to Company EXW (Incoterms 2010) Takeda’s facility in Hikari City, Japan. Transfer of title will transfer to Company upon delivery to the carrier. Company shall procure, at its expense, insurance, covering damage or loss to Bulk Drug Product during transport as from delivery.</w:t>
      </w:r>
    </w:p>
    <w:p>
      <w:pPr>
        <w:spacing w:after="0" w:line="184" w:lineRule="exact"/>
        <w:rPr>
          <w:rFonts w:ascii="Arial" w:cs="Arial" w:eastAsia="Arial" w:hAnsi="Arial"/>
          <w:sz w:val="22"/>
          <w:szCs w:val="22"/>
          <w:color w:val="auto"/>
        </w:rPr>
      </w:pPr>
    </w:p>
    <w:p>
      <w:pPr>
        <w:jc w:val="both"/>
        <w:ind w:left="1692" w:hanging="842"/>
        <w:spacing w:after="0" w:line="246" w:lineRule="auto"/>
        <w:tabs>
          <w:tab w:leader="none" w:pos="1692"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Importer of Record/Export</w:t>
      </w:r>
      <w:r>
        <w:rPr>
          <w:rFonts w:ascii="Arial" w:cs="Arial" w:eastAsia="Arial" w:hAnsi="Arial"/>
          <w:sz w:val="21"/>
          <w:szCs w:val="21"/>
          <w:color w:val="auto"/>
        </w:rPr>
        <w:t>. Company shall be the “Importer of Record” of Bulk Drug Product supplied under this Agreement. As the Importer of Record, Company shall be responsible for all aspects of importing such Bulk Drug Product, including: (i) customs and other regulatory clearance; (ii) payment of all tariffs, duties, customs, fees, expenses and charges payable in connection with the importation and delivery; and (iii) keeping all records, documents, correspondence and tracking information required by Applicable Law arising out of or in connection with the importation or delivery. If requested by Company, Takeda shall reasonably assist Company in obtaining any required license from the applicable Japanese Regulatory Authority to export the Bulk Drug Product.</w:t>
      </w:r>
    </w:p>
    <w:p>
      <w:pPr>
        <w:spacing w:after="0" w:line="179" w:lineRule="exact"/>
        <w:rPr>
          <w:rFonts w:ascii="Arial" w:cs="Arial" w:eastAsia="Arial" w:hAnsi="Arial"/>
          <w:sz w:val="21"/>
          <w:szCs w:val="21"/>
          <w:color w:val="auto"/>
        </w:rPr>
      </w:pPr>
    </w:p>
    <w:p>
      <w:pPr>
        <w:ind w:left="852" w:hanging="852"/>
        <w:spacing w:after="0"/>
        <w:tabs>
          <w:tab w:leader="none" w:pos="85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NON-CONFORMING PRODUCT/RETURNS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79" w:lineRule="auto"/>
        <w:tabs>
          <w:tab w:leader="none" w:pos="1692"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Claims for Detectable Defects</w:t>
      </w:r>
      <w:r>
        <w:rPr>
          <w:rFonts w:ascii="Arial" w:cs="Arial" w:eastAsia="Arial" w:hAnsi="Arial"/>
          <w:sz w:val="19"/>
          <w:szCs w:val="19"/>
          <w:color w:val="auto"/>
        </w:rPr>
        <w:t>. Company shall promptly, but in no event later than [***] after delivery of the Bulk Drug Product notify Takeda of the existence and nature of any defect in or failure of the Bulk Drug Product to comply with Section 4(A) or Section 14(B) that could have been detected by a reasonable physical inspection of the Bulk Drug Product at the time of delivery (“</w:t>
      </w:r>
      <w:r>
        <w:rPr>
          <w:rFonts w:ascii="Arial" w:cs="Arial" w:eastAsia="Arial" w:hAnsi="Arial"/>
          <w:sz w:val="19"/>
          <w:szCs w:val="19"/>
          <w:u w:val="single" w:color="auto"/>
          <w:color w:val="auto"/>
        </w:rPr>
        <w:t>Detectable Defects</w:t>
      </w:r>
      <w:r>
        <w:rPr>
          <w:rFonts w:ascii="Arial" w:cs="Arial" w:eastAsia="Arial" w:hAnsi="Arial"/>
          <w:sz w:val="19"/>
          <w:szCs w:val="19"/>
          <w:color w:val="auto"/>
        </w:rPr>
        <w:t>”). If such notice is not provided to Takeda within such [***] period, then Company will be deemed to have accepted such Bulk Drug Product and Takeda will have no further responsibility for such Detectable Defects.</w:t>
      </w:r>
    </w:p>
    <w:p>
      <w:pPr>
        <w:spacing w:after="0" w:line="366" w:lineRule="exact"/>
        <w:rPr>
          <w:rFonts w:ascii="Arial" w:cs="Arial" w:eastAsia="Arial" w:hAnsi="Arial"/>
          <w:sz w:val="19"/>
          <w:szCs w:val="19"/>
          <w:color w:val="auto"/>
        </w:rPr>
      </w:pPr>
    </w:p>
    <w:p>
      <w:pPr>
        <w:ind w:left="5572" w:hanging="136"/>
        <w:spacing w:after="0"/>
        <w:tabs>
          <w:tab w:leader="none" w:pos="5572" w:val="left"/>
        </w:tabs>
        <w:numPr>
          <w:ilvl w:val="3"/>
          <w:numId w:val="27"/>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5" w:name="page46"/>
    <w:bookmarkEnd w:id="45"/>
    <w:p>
      <w:pPr>
        <w:jc w:val="both"/>
        <w:ind w:left="1692" w:hanging="842"/>
        <w:spacing w:after="0" w:line="246" w:lineRule="auto"/>
        <w:tabs>
          <w:tab w:leader="none" w:pos="1692"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Claims for Non-Detectable Defects</w:t>
      </w:r>
      <w:r>
        <w:rPr>
          <w:rFonts w:ascii="Arial" w:cs="Arial" w:eastAsia="Arial" w:hAnsi="Arial"/>
          <w:sz w:val="21"/>
          <w:szCs w:val="21"/>
          <w:color w:val="auto"/>
        </w:rPr>
        <w:t>. Company shall notify Takeda within [***] upon discovery of any defect in or failure of Bulk Drug Product to comply with Section 4(A) or Section 14(B) that at the time of delivery was not a Detectable Defect. Company shall provide such notice prior to expiry of shelf life for such Bulk Drug Product. Claims for which Company does not provide notice to Takeda prior to expiry of the shelf life for the Bulk Drug Product shall be forever waived and barred. Permitted claims that are submitted by Company shall state in reasonable detail (reasonably sufficient to enable Takeda to identify the nature of the problem or to dispute the same) the nature of such alleged defect.</w:t>
      </w:r>
    </w:p>
    <w:p>
      <w:pPr>
        <w:spacing w:after="0" w:line="184" w:lineRule="exact"/>
        <w:rPr>
          <w:rFonts w:ascii="Arial" w:cs="Arial" w:eastAsia="Arial" w:hAnsi="Arial"/>
          <w:sz w:val="21"/>
          <w:szCs w:val="21"/>
          <w:color w:val="auto"/>
        </w:rPr>
      </w:pPr>
    </w:p>
    <w:p>
      <w:pPr>
        <w:jc w:val="both"/>
        <w:ind w:left="1692" w:hanging="842"/>
        <w:spacing w:after="0"/>
        <w:tabs>
          <w:tab w:leader="none" w:pos="1692"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Provision of Samples</w:t>
      </w:r>
      <w:r>
        <w:rPr>
          <w:rFonts w:ascii="Arial" w:cs="Arial" w:eastAsia="Arial" w:hAnsi="Arial"/>
          <w:sz w:val="22"/>
          <w:szCs w:val="22"/>
          <w:color w:val="auto"/>
        </w:rPr>
        <w:t>. Company shall, within [***] of a request by Takeda, provide samples of any Bulk Drug Product alleged to be defective and copies of written reports or investigations performed to date by or on behalf of Company on such Bulk Drug Product.</w:t>
      </w:r>
    </w:p>
    <w:p>
      <w:pPr>
        <w:spacing w:after="0" w:line="186" w:lineRule="exact"/>
        <w:rPr>
          <w:rFonts w:ascii="Arial" w:cs="Arial" w:eastAsia="Arial" w:hAnsi="Arial"/>
          <w:sz w:val="22"/>
          <w:szCs w:val="22"/>
          <w:color w:val="auto"/>
        </w:rPr>
      </w:pPr>
    </w:p>
    <w:p>
      <w:pPr>
        <w:jc w:val="both"/>
        <w:ind w:left="1692" w:hanging="842"/>
        <w:spacing w:after="0" w:line="245" w:lineRule="auto"/>
        <w:tabs>
          <w:tab w:leader="none" w:pos="1692"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Referral to Independent Laboratory</w:t>
      </w:r>
      <w:r>
        <w:rPr>
          <w:rFonts w:ascii="Arial" w:cs="Arial" w:eastAsia="Arial" w:hAnsi="Arial"/>
          <w:sz w:val="21"/>
          <w:szCs w:val="21"/>
          <w:color w:val="auto"/>
        </w:rPr>
        <w:t>. In the event of a dispute between the Parties as to any defect in a Bulk Drug Product (including whether a defect was a Detectable Defect or a non-Detectable Defect, or whether such defect existed in such Bulk Drug Product on or before Company’s acceptance), that is not resolved within thirty (30) days of a claim being made to Takeda pursuant to Section 8(A) or 8(B), and subject to Section 8(E), the matter will be submitted to an independent laboratory reasonably acceptable to the Parties that shall examine the Bulk Drug Product at issue. The decision of the independent laboratory with respect to the existence or timing of any defect in the Bulk Drug Product and its cause shall be binding upon the Parties. Company shall bear the fees and expenses of the independent laboratory, unless the independent laboratory finds that the defect was due to Takeda’s negligence or willful misconduct, in which case Takeda shall bear such fees and expenses.</w:t>
      </w:r>
    </w:p>
    <w:p>
      <w:pPr>
        <w:spacing w:after="0" w:line="180" w:lineRule="exact"/>
        <w:rPr>
          <w:rFonts w:ascii="Arial" w:cs="Arial" w:eastAsia="Arial" w:hAnsi="Arial"/>
          <w:sz w:val="21"/>
          <w:szCs w:val="21"/>
          <w:color w:val="auto"/>
        </w:rPr>
      </w:pPr>
    </w:p>
    <w:p>
      <w:pPr>
        <w:jc w:val="both"/>
        <w:ind w:left="1692" w:hanging="842"/>
        <w:spacing w:after="0" w:line="275" w:lineRule="auto"/>
        <w:tabs>
          <w:tab w:leader="none" w:pos="1692"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Replacement Product; Defective Product</w:t>
      </w:r>
      <w:r>
        <w:rPr>
          <w:rFonts w:ascii="Arial" w:cs="Arial" w:eastAsia="Arial" w:hAnsi="Arial"/>
          <w:sz w:val="19"/>
          <w:szCs w:val="19"/>
          <w:color w:val="auto"/>
        </w:rPr>
        <w:t>. Following a claim from Company pursuant to Section 8(A) or 8(B), in the event that Takeda accepts Company’s claim as valid or in the event that the independent laboratory decides in favor of Company’s claim, subject to the last sentence of this paragraph, Takeda shall replace the defective Bulk Drug Product as soon as reasonably practicable and will have no other obligation towards Company in relation to that defective Bulk Drug Product. Any Bulk Drug Product that is agreed or determined to be defective shall be, as directed by Takeda, either destroyed by Company or returned to Takeda, in either case at Takeda’s expense. Except for Takeda’s obligations under Section 10 or 15, Takeda shall have no liability for defective Bulk Drug Product other than as provided in this Section 8.</w:t>
      </w:r>
    </w:p>
    <w:p>
      <w:pPr>
        <w:spacing w:after="0" w:line="157" w:lineRule="exact"/>
        <w:rPr>
          <w:rFonts w:ascii="Arial" w:cs="Arial" w:eastAsia="Arial" w:hAnsi="Arial"/>
          <w:sz w:val="19"/>
          <w:szCs w:val="19"/>
          <w:color w:val="auto"/>
        </w:rPr>
      </w:pPr>
    </w:p>
    <w:p>
      <w:pPr>
        <w:ind w:left="852" w:hanging="852"/>
        <w:spacing w:after="0"/>
        <w:tabs>
          <w:tab w:leader="none" w:pos="85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STORAGE AND DISTRIBUTION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49" w:lineRule="auto"/>
        <w:tabs>
          <w:tab w:leader="none" w:pos="1692"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Company’s Responsibilities</w:t>
      </w:r>
      <w:r>
        <w:rPr>
          <w:rFonts w:ascii="Arial" w:cs="Arial" w:eastAsia="Arial" w:hAnsi="Arial"/>
          <w:sz w:val="21"/>
          <w:szCs w:val="21"/>
          <w:color w:val="auto"/>
        </w:rPr>
        <w:t>. Company shall, at its sole expense, store, handle, transport, and package, distribute and use Bulk Drug Product delivered to Company in compliance with the requirements set out in the Quality Agreement, the Product Regulatory Approval and all Applicable Law. Company shall maintain appropriate quality assurance and quality control standards and record-keeping practices, including systems, resources and procedures in order to satisfy these obligations.</w:t>
      </w:r>
    </w:p>
    <w:p>
      <w:pPr>
        <w:spacing w:after="0" w:line="394" w:lineRule="exact"/>
        <w:rPr>
          <w:rFonts w:ascii="Arial" w:cs="Arial" w:eastAsia="Arial" w:hAnsi="Arial"/>
          <w:sz w:val="21"/>
          <w:szCs w:val="21"/>
          <w:color w:val="auto"/>
        </w:rPr>
      </w:pPr>
    </w:p>
    <w:p>
      <w:pPr>
        <w:ind w:left="5512" w:hanging="130"/>
        <w:spacing w:after="0"/>
        <w:tabs>
          <w:tab w:leader="none" w:pos="5512" w:val="left"/>
        </w:tabs>
        <w:numPr>
          <w:ilvl w:val="2"/>
          <w:numId w:val="29"/>
        </w:numPr>
        <w:rPr>
          <w:rFonts w:ascii="Arial" w:cs="Arial" w:eastAsia="Arial" w:hAnsi="Arial"/>
          <w:sz w:val="22"/>
          <w:szCs w:val="22"/>
          <w:color w:val="auto"/>
        </w:rPr>
      </w:pPr>
      <w:r>
        <w:rPr>
          <w:rFonts w:ascii="Arial" w:cs="Arial" w:eastAsia="Arial" w:hAnsi="Arial"/>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6" w:name="page47"/>
    <w:bookmarkEnd w:id="46"/>
    <w:p>
      <w:pPr>
        <w:jc w:val="both"/>
        <w:ind w:left="1692" w:hanging="842"/>
        <w:spacing w:after="0" w:line="246" w:lineRule="auto"/>
        <w:tabs>
          <w:tab w:leader="none" w:pos="1692" w:val="left"/>
        </w:tabs>
        <w:numPr>
          <w:ilvl w:val="1"/>
          <w:numId w:val="30"/>
        </w:numPr>
        <w:rPr>
          <w:rFonts w:ascii="Arial" w:cs="Arial" w:eastAsia="Arial" w:hAnsi="Arial"/>
          <w:sz w:val="21"/>
          <w:szCs w:val="21"/>
          <w:color w:val="auto"/>
        </w:rPr>
      </w:pPr>
      <w:r>
        <w:rPr>
          <w:rFonts w:ascii="Arial" w:cs="Arial" w:eastAsia="Arial" w:hAnsi="Arial"/>
          <w:sz w:val="21"/>
          <w:szCs w:val="21"/>
          <w:u w:val="single" w:color="auto"/>
          <w:color w:val="auto"/>
        </w:rPr>
        <w:t>Company Storage, Handling and Transport of Product</w:t>
      </w:r>
      <w:r>
        <w:rPr>
          <w:rFonts w:ascii="Arial" w:cs="Arial" w:eastAsia="Arial" w:hAnsi="Arial"/>
          <w:sz w:val="21"/>
          <w:szCs w:val="21"/>
          <w:color w:val="auto"/>
        </w:rPr>
        <w:t>. Company shall obtain at its sole expense all equipment, facilities and personnel necessary for Company to store, handle, transport, and package, distribute and use Bulk Drug Product in accordance with the terms hereof and shall pay all other expenses in connection therewith. If Company, for any reason (other than as a result of a claim for a defect pursuant to Section 8(A) or 8(B)), refuses to take delivery or possession of any Bulk Drug Product, Company shall, notwithstanding Section 15(B), reimburse Takeda for any resulting direct, out-of-pocket, storage, warehousing, handling or transportation fees that Takeda may incur.</w:t>
      </w:r>
    </w:p>
    <w:p>
      <w:pPr>
        <w:spacing w:after="0" w:line="184" w:lineRule="exact"/>
        <w:rPr>
          <w:rFonts w:ascii="Arial" w:cs="Arial" w:eastAsia="Arial" w:hAnsi="Arial"/>
          <w:sz w:val="21"/>
          <w:szCs w:val="21"/>
          <w:color w:val="auto"/>
        </w:rPr>
      </w:pPr>
    </w:p>
    <w:p>
      <w:pPr>
        <w:jc w:val="both"/>
        <w:ind w:left="1692" w:hanging="842"/>
        <w:spacing w:after="0" w:line="270" w:lineRule="auto"/>
        <w:tabs>
          <w:tab w:leader="none" w:pos="1692"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Takeda’s Responsibilities</w:t>
      </w:r>
      <w:r>
        <w:rPr>
          <w:rFonts w:ascii="Arial" w:cs="Arial" w:eastAsia="Arial" w:hAnsi="Arial"/>
          <w:sz w:val="19"/>
          <w:szCs w:val="19"/>
          <w:color w:val="auto"/>
        </w:rPr>
        <w:t>. Takeda shall ensure that is its facilities used to manufacture, handle, package, test, and store Bulk Drug Product(s) meet appropriate controlled cGMPs conditions and Bulk Drug Product(s) specifications. Takeda shall maintain appropriate quality assurance and quality control standards and record-keeping practices, including systems, resources and procedures in order to satisfy these obligations, including by implementing an appropriate housekeeping, sanitation and pest control program with appropriate monitoring and review. Takeda will not use any facilities to manufacture, handle, package, test, or store Bulk Drug Product(s) that have not been previously qualified and/or approved by Company. Takeda will ensure that the operations and the facilities, utilities and equipment used (including the disposal of any residue or waste), complies with all applicable local and national laws, rules, regulations, guidelines, Regulatory Approvals and/or Clinical Trial Application (“</w:t>
      </w:r>
      <w:r>
        <w:rPr>
          <w:rFonts w:ascii="Arial" w:cs="Arial" w:eastAsia="Arial" w:hAnsi="Arial"/>
          <w:sz w:val="19"/>
          <w:szCs w:val="19"/>
          <w:u w:val="single" w:color="auto"/>
          <w:color w:val="auto"/>
        </w:rPr>
        <w:t>CTA</w:t>
      </w:r>
      <w:r>
        <w:rPr>
          <w:rFonts w:ascii="Arial" w:cs="Arial" w:eastAsia="Arial" w:hAnsi="Arial"/>
          <w:sz w:val="19"/>
          <w:szCs w:val="19"/>
          <w:color w:val="auto"/>
        </w:rPr>
        <w:t>”) and registered requirements, including: cGMPs/ISO requirements, PIC/S Guidelines, EU regulations, as detailed in The Rules Governing Medicinal Product(s)s in the European Community – Eudralex Volume IV-Good Manufacturing Practice for Medicinal Product(s), cGMPs for IMPs 2017/1569, EU Clinical Trials Regulations (CTR) 536/2014, on the manufacture, handling, release and distribution of Bulk Drug Product(s). Takeda will control access to premises and facilities, particularly those areas where cGMPs activities are performed, and will ensure adequate space is available for the organization and separation of equipment and materials to prevent contamination and mixups. Takeda will maintain current design drawings for critical utilities, facility design and classification, and personnel, equipment, and material flow. Takeda will ensure that Company is aware of issues that may pose a hazard to Takeda’s premises, equipment, or personnel.</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852" w:hanging="852"/>
        <w:spacing w:after="0"/>
        <w:tabs>
          <w:tab w:leader="none" w:pos="852"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PRODUCT RECALL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46" w:lineRule="auto"/>
        <w:tabs>
          <w:tab w:leader="none" w:pos="1692" w:val="left"/>
        </w:tabs>
        <w:numPr>
          <w:ilvl w:val="1"/>
          <w:numId w:val="31"/>
        </w:numPr>
        <w:rPr>
          <w:rFonts w:ascii="Arial" w:cs="Arial" w:eastAsia="Arial" w:hAnsi="Arial"/>
          <w:sz w:val="21"/>
          <w:szCs w:val="21"/>
          <w:color w:val="auto"/>
        </w:rPr>
      </w:pPr>
      <w:r>
        <w:rPr>
          <w:rFonts w:ascii="Arial" w:cs="Arial" w:eastAsia="Arial" w:hAnsi="Arial"/>
          <w:sz w:val="21"/>
          <w:szCs w:val="21"/>
          <w:color w:val="auto"/>
        </w:rPr>
        <w:t>If either Party becomes aware of information relating to any Bulk Drug Product that indicates that a unit or batch of Bulk Drug Product may not conform to the Specifications therefor, or that potential adulteration, misbranding, or other issues have arisen that relate to the safety or efficacy of Bulk Drug Products, it shall promptly so notify the other Party. Company shall have the right and responsibility to control any recall, field correction, or withdrawal of, including any FDA field alert or EMA rapid report relating to, Bulk Drug Product (“</w:t>
      </w:r>
      <w:r>
        <w:rPr>
          <w:rFonts w:ascii="Arial" w:cs="Arial" w:eastAsia="Arial" w:hAnsi="Arial"/>
          <w:sz w:val="21"/>
          <w:szCs w:val="21"/>
          <w:u w:val="single" w:color="auto"/>
          <w:color w:val="auto"/>
        </w:rPr>
        <w:t>Recall</w:t>
      </w:r>
      <w:r>
        <w:rPr>
          <w:rFonts w:ascii="Arial" w:cs="Arial" w:eastAsia="Arial" w:hAnsi="Arial"/>
          <w:sz w:val="21"/>
          <w:szCs w:val="21"/>
          <w:color w:val="auto"/>
        </w:rPr>
        <w:t>”) that is required by Regulatory Authorities in the Territory. In addition, Company shall have the right, at its discretion, to conduct any Recall in the Territory that is not so required by such Regulatory Authorities but that Company deems to be appropriate.</w:t>
      </w:r>
    </w:p>
    <w:p>
      <w:pPr>
        <w:spacing w:after="0" w:line="395" w:lineRule="exact"/>
        <w:rPr>
          <w:rFonts w:ascii="Arial" w:cs="Arial" w:eastAsia="Arial" w:hAnsi="Arial"/>
          <w:sz w:val="21"/>
          <w:szCs w:val="21"/>
          <w:color w:val="auto"/>
        </w:rPr>
      </w:pPr>
    </w:p>
    <w:p>
      <w:pPr>
        <w:ind w:left="5512" w:hanging="126"/>
        <w:spacing w:after="0"/>
        <w:tabs>
          <w:tab w:leader="none" w:pos="5512" w:val="left"/>
        </w:tabs>
        <w:numPr>
          <w:ilvl w:val="2"/>
          <w:numId w:val="31"/>
        </w:numPr>
        <w:rPr>
          <w:rFonts w:ascii="Arial" w:cs="Arial" w:eastAsia="Arial" w:hAnsi="Arial"/>
          <w:sz w:val="22"/>
          <w:szCs w:val="22"/>
          <w:color w:val="auto"/>
        </w:rPr>
      </w:pPr>
      <w:r>
        <w:rPr>
          <w:rFonts w:ascii="Arial" w:cs="Arial" w:eastAsia="Arial" w:hAnsi="Arial"/>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7" w:name="page48"/>
    <w:bookmarkEnd w:id="47"/>
    <w:p>
      <w:pPr>
        <w:jc w:val="both"/>
        <w:ind w:left="842"/>
        <w:spacing w:after="0" w:line="235" w:lineRule="auto"/>
        <w:rPr>
          <w:sz w:val="20"/>
          <w:szCs w:val="20"/>
          <w:color w:val="auto"/>
        </w:rPr>
      </w:pPr>
      <w:r>
        <w:rPr>
          <w:rFonts w:ascii="Arial" w:cs="Arial" w:eastAsia="Arial" w:hAnsi="Arial"/>
          <w:sz w:val="22"/>
          <w:szCs w:val="22"/>
          <w:color w:val="auto"/>
        </w:rPr>
        <w:t>Company shall be solely responsible for (i) making the final decision regarding reporting to any Regulatory Authority in the Territory regarding any Recall of the Bulk Drug Product in the Territory and (ii) initial and ongoing communication with the Regulatory Authorities in the Territory regarding reporting and/or Recall of the Bulk Drug Product in the Territory. Each Party shall conduct any Bulk Drug Product Recall in its respective territory in accordance with written procedures and manage the recovery of Bulk Drug Product(s) from their respective markets.</w:t>
      </w:r>
    </w:p>
    <w:p>
      <w:pPr>
        <w:spacing w:after="0" w:line="188" w:lineRule="exact"/>
        <w:rPr>
          <w:sz w:val="20"/>
          <w:szCs w:val="20"/>
          <w:color w:val="auto"/>
        </w:rPr>
      </w:pPr>
    </w:p>
    <w:p>
      <w:pPr>
        <w:jc w:val="both"/>
        <w:ind w:left="842" w:hanging="842"/>
        <w:spacing w:after="0" w:line="234" w:lineRule="auto"/>
        <w:tabs>
          <w:tab w:leader="none" w:pos="842"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Parties shall exchange their internal standard operating procedures (“</w:t>
      </w:r>
      <w:r>
        <w:rPr>
          <w:rFonts w:ascii="Arial" w:cs="Arial" w:eastAsia="Arial" w:hAnsi="Arial"/>
          <w:sz w:val="22"/>
          <w:szCs w:val="22"/>
          <w:u w:val="single" w:color="auto"/>
          <w:color w:val="auto"/>
        </w:rPr>
        <w:t>SOPs</w:t>
      </w:r>
      <w:r>
        <w:rPr>
          <w:rFonts w:ascii="Arial" w:cs="Arial" w:eastAsia="Arial" w:hAnsi="Arial"/>
          <w:sz w:val="22"/>
          <w:szCs w:val="22"/>
          <w:color w:val="auto"/>
        </w:rPr>
        <w:t>”) for conducting Recalls reasonably in advance of the First Commercial Sale of any Product in the Territory, and shall discuss and resolve any conflicts between such SOPs and issues relating thereto promptly after such exchange. Each Party shall maintain a quality system and SOP to conduct a complete and rapid Recall of the Bulk Drug Product(s), which procedure shall ensure: (i) that the Recall can be put into operation during and outside normal business hours and (ii) periodic challenges of the Recall system to ensure expedited retrieval of traceability information.</w:t>
      </w:r>
    </w:p>
    <w:p>
      <w:pPr>
        <w:spacing w:after="0" w:line="190" w:lineRule="exact"/>
        <w:rPr>
          <w:rFonts w:ascii="Arial" w:cs="Arial" w:eastAsia="Arial" w:hAnsi="Arial"/>
          <w:sz w:val="22"/>
          <w:szCs w:val="22"/>
          <w:color w:val="auto"/>
        </w:rPr>
      </w:pPr>
    </w:p>
    <w:p>
      <w:pPr>
        <w:jc w:val="both"/>
        <w:ind w:left="842" w:hanging="842"/>
        <w:spacing w:after="0" w:line="244" w:lineRule="auto"/>
        <w:tabs>
          <w:tab w:leader="none" w:pos="842" w:val="left"/>
        </w:tabs>
        <w:numPr>
          <w:ilvl w:val="0"/>
          <w:numId w:val="32"/>
        </w:numPr>
        <w:rPr>
          <w:rFonts w:ascii="Arial" w:cs="Arial" w:eastAsia="Arial" w:hAnsi="Arial"/>
          <w:sz w:val="21"/>
          <w:szCs w:val="21"/>
          <w:color w:val="auto"/>
        </w:rPr>
      </w:pPr>
      <w:r>
        <w:rPr>
          <w:rFonts w:ascii="Arial" w:cs="Arial" w:eastAsia="Arial" w:hAnsi="Arial"/>
          <w:sz w:val="21"/>
          <w:szCs w:val="21"/>
          <w:color w:val="auto"/>
        </w:rPr>
        <w:t>Immediately, but no more than [***] after occurrence or discovery, Takeda shall report and provide any data or information that could result in reporting to a Regulatory Authority in the Territory (including FDA field alert, EMA rapid report, biological product deviation report, etc.) or the Recall of Bulk Drug Product(s), including: (i) stability out of specifications (whether confirmed or not confirmed), (ii) information concerning any incident that causes the Bulk Drug Product(s) or its labeling to be mistaken for, or applied to, another article, (iii) bacterial contamination, or any significant chemical, physical, or other change or deterioration in the distributed Bulk Drug Product(s), and (iv) failure of one or more distributed batches of the Bulk Drug Product(s) to meet the established Specifications. Takeda shall inform Company within [***] of discovery of a potential Recall of the Bulk Drug Product(s). Takeda will inform Company of any recall actions concerning potentially related product(s) outside the Territory prior to informing the applicable regulatory authorities. Notwithstanding anything to the contrary in the foregoing, Company will have the sole right to inform the applicable regulatory authorities in the Territory regarding any potential Recall actions relating to the Bulk Drug Product(s).</w:t>
      </w:r>
    </w:p>
    <w:p>
      <w:pPr>
        <w:spacing w:after="0" w:line="183" w:lineRule="exact"/>
        <w:rPr>
          <w:rFonts w:ascii="Arial" w:cs="Arial" w:eastAsia="Arial" w:hAnsi="Arial"/>
          <w:sz w:val="21"/>
          <w:szCs w:val="21"/>
          <w:color w:val="auto"/>
        </w:rPr>
      </w:pPr>
    </w:p>
    <w:p>
      <w:pPr>
        <w:jc w:val="both"/>
        <w:ind w:left="842" w:hanging="842"/>
        <w:spacing w:after="0" w:line="249" w:lineRule="auto"/>
        <w:tabs>
          <w:tab w:leader="none" w:pos="842" w:val="left"/>
        </w:tabs>
        <w:numPr>
          <w:ilvl w:val="0"/>
          <w:numId w:val="32"/>
        </w:numPr>
        <w:rPr>
          <w:rFonts w:ascii="Arial" w:cs="Arial" w:eastAsia="Arial" w:hAnsi="Arial"/>
          <w:sz w:val="21"/>
          <w:szCs w:val="21"/>
          <w:color w:val="auto"/>
        </w:rPr>
      </w:pPr>
      <w:r>
        <w:rPr>
          <w:rFonts w:ascii="Arial" w:cs="Arial" w:eastAsia="Arial" w:hAnsi="Arial"/>
          <w:sz w:val="21"/>
          <w:szCs w:val="21"/>
          <w:color w:val="auto"/>
        </w:rPr>
        <w:t>Takeda will provide to Company any information or documentation and assist with any investigation or activities to support the reporting to a Regulatory Authority (e.g., field alert, EMA rapid report, etc.) or Recall, as requested by Company. All such responses to Company’s requests shall be expedited. Takeda shall use reasonable efforts to complete investigation reports within an appropriate timeframe as required by the regulatory reporting requirements of Applicable Law in the Territory.</w:t>
      </w:r>
    </w:p>
    <w:p>
      <w:pPr>
        <w:spacing w:after="0" w:line="178" w:lineRule="exact"/>
        <w:rPr>
          <w:rFonts w:ascii="Arial" w:cs="Arial" w:eastAsia="Arial" w:hAnsi="Arial"/>
          <w:sz w:val="21"/>
          <w:szCs w:val="21"/>
          <w:color w:val="auto"/>
        </w:rPr>
      </w:pPr>
    </w:p>
    <w:p>
      <w:pPr>
        <w:jc w:val="both"/>
        <w:ind w:left="842" w:hanging="842"/>
        <w:spacing w:after="0" w:line="236" w:lineRule="auto"/>
        <w:tabs>
          <w:tab w:leader="none" w:pos="842"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reasonable direct, documented out-of-pocket costs associated with a Recall, including the expenses of notifications and investigations, and destruction or return of the Product subject to the Recall and any costs associated with the distribution of the replacement Product, will be the responsibility of a Party, to the extent its negligence, breach of the License Agreement or of this Agreement, or willful misconduct resulted in the Recall.</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4662" w:hanging="130"/>
        <w:spacing w:after="0"/>
        <w:tabs>
          <w:tab w:leader="none" w:pos="4662" w:val="left"/>
        </w:tabs>
        <w:numPr>
          <w:ilvl w:val="1"/>
          <w:numId w:val="32"/>
        </w:numPr>
        <w:rPr>
          <w:rFonts w:ascii="Arial" w:cs="Arial" w:eastAsia="Arial" w:hAnsi="Arial"/>
          <w:sz w:val="22"/>
          <w:szCs w:val="22"/>
          <w:color w:val="auto"/>
        </w:rPr>
      </w:pPr>
      <w:r>
        <w:rPr>
          <w:rFonts w:ascii="Arial" w:cs="Arial" w:eastAsia="Arial" w:hAnsi="Arial"/>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48" w:name="page49"/>
    <w:bookmarkEnd w:id="48"/>
    <w:p>
      <w:pPr>
        <w:ind w:left="852" w:hanging="852"/>
        <w:spacing w:after="0"/>
        <w:tabs>
          <w:tab w:leader="none" w:pos="852" w:val="left"/>
        </w:tabs>
        <w:numPr>
          <w:ilvl w:val="0"/>
          <w:numId w:val="33"/>
        </w:numPr>
        <w:rPr>
          <w:rFonts w:ascii="Arial" w:cs="Arial" w:eastAsia="Arial" w:hAnsi="Arial"/>
          <w:sz w:val="22"/>
          <w:szCs w:val="22"/>
          <w:color w:val="auto"/>
        </w:rPr>
      </w:pPr>
      <w:r>
        <w:rPr>
          <w:rFonts w:ascii="Arial" w:cs="Arial" w:eastAsia="Arial" w:hAnsi="Arial"/>
          <w:sz w:val="22"/>
          <w:szCs w:val="22"/>
          <w:color w:val="auto"/>
        </w:rPr>
        <w:t>[Left blank intentionally.]</w:t>
      </w:r>
    </w:p>
    <w:p>
      <w:pPr>
        <w:spacing w:after="0" w:line="206" w:lineRule="exact"/>
        <w:rPr>
          <w:rFonts w:ascii="Arial" w:cs="Arial" w:eastAsia="Arial" w:hAnsi="Arial"/>
          <w:sz w:val="22"/>
          <w:szCs w:val="22"/>
          <w:color w:val="auto"/>
        </w:rPr>
      </w:pPr>
    </w:p>
    <w:p>
      <w:pPr>
        <w:ind w:left="852" w:hanging="852"/>
        <w:spacing w:after="0"/>
        <w:tabs>
          <w:tab w:leader="none" w:pos="85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tabs>
          <w:tab w:leader="none" w:pos="1692"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Manufacturing Improvement and Inventions</w:t>
      </w:r>
      <w:r>
        <w:rPr>
          <w:rFonts w:ascii="Arial" w:cs="Arial" w:eastAsia="Arial" w:hAnsi="Arial"/>
          <w:sz w:val="22"/>
          <w:szCs w:val="22"/>
          <w:color w:val="auto"/>
        </w:rPr>
        <w:t>. Any Inventions or other Information arising in furtherance of this Agreement shall be subject to the applicable terms of the License Agreement, including those terms set forth in Article 9 thereof.</w:t>
      </w:r>
    </w:p>
    <w:p>
      <w:pPr>
        <w:spacing w:after="0" w:line="186" w:lineRule="exact"/>
        <w:rPr>
          <w:rFonts w:ascii="Arial" w:cs="Arial" w:eastAsia="Arial" w:hAnsi="Arial"/>
          <w:sz w:val="22"/>
          <w:szCs w:val="22"/>
          <w:color w:val="auto"/>
        </w:rPr>
      </w:pPr>
    </w:p>
    <w:p>
      <w:pPr>
        <w:ind w:left="852" w:hanging="852"/>
        <w:spacing w:after="0" w:line="328" w:lineRule="auto"/>
        <w:tabs>
          <w:tab w:leader="none" w:pos="852"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 Party’s obligations with respect to any Confidential Information of the other Party received in furtherance of this Agreement shall be governed by the License Agreement, including Article 11 thereof.</w:t>
      </w:r>
    </w:p>
    <w:p>
      <w:pPr>
        <w:spacing w:after="0" w:line="104" w:lineRule="exact"/>
        <w:rPr>
          <w:rFonts w:ascii="Arial" w:cs="Arial" w:eastAsia="Arial" w:hAnsi="Arial"/>
          <w:sz w:val="19"/>
          <w:szCs w:val="19"/>
          <w:color w:val="auto"/>
        </w:rPr>
      </w:pPr>
    </w:p>
    <w:p>
      <w:pPr>
        <w:ind w:left="852" w:hanging="852"/>
        <w:spacing w:after="0"/>
        <w:tabs>
          <w:tab w:leader="none" w:pos="85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92" w:hanging="842"/>
        <w:spacing w:after="0" w:line="250" w:lineRule="auto"/>
        <w:tabs>
          <w:tab w:leader="none" w:pos="1692"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Mutual Representations, Warranties and Covenants</w:t>
      </w:r>
      <w:r>
        <w:rPr>
          <w:rFonts w:ascii="Arial" w:cs="Arial" w:eastAsia="Arial" w:hAnsi="Arial"/>
          <w:sz w:val="22"/>
          <w:szCs w:val="22"/>
          <w:color w:val="auto"/>
        </w:rPr>
        <w:t>. Each Party hereby represents, warrants and covenants to the other Party that:</w:t>
      </w:r>
    </w:p>
    <w:p>
      <w:pPr>
        <w:spacing w:after="0" w:line="174" w:lineRule="exact"/>
        <w:rPr>
          <w:rFonts w:ascii="Arial" w:cs="Arial" w:eastAsia="Arial" w:hAnsi="Arial"/>
          <w:sz w:val="22"/>
          <w:szCs w:val="22"/>
          <w:color w:val="auto"/>
        </w:rPr>
      </w:pPr>
    </w:p>
    <w:p>
      <w:pPr>
        <w:ind w:left="2572" w:right="20" w:hanging="858"/>
        <w:spacing w:after="0" w:line="328" w:lineRule="auto"/>
        <w:tabs>
          <w:tab w:leader="none" w:pos="2572" w:val="left"/>
        </w:tabs>
        <w:numPr>
          <w:ilvl w:val="2"/>
          <w:numId w:val="33"/>
        </w:numPr>
        <w:rPr>
          <w:rFonts w:ascii="Arial" w:cs="Arial" w:eastAsia="Arial" w:hAnsi="Arial"/>
          <w:sz w:val="18"/>
          <w:szCs w:val="18"/>
          <w:color w:val="auto"/>
        </w:rPr>
      </w:pPr>
      <w:r>
        <w:rPr>
          <w:rFonts w:ascii="Arial" w:cs="Arial" w:eastAsia="Arial" w:hAnsi="Arial"/>
          <w:sz w:val="19"/>
          <w:szCs w:val="19"/>
          <w:u w:val="single" w:color="auto"/>
          <w:color w:val="auto"/>
        </w:rPr>
        <w:t>Corporate Existence</w:t>
      </w:r>
      <w:r>
        <w:rPr>
          <w:rFonts w:ascii="Arial" w:cs="Arial" w:eastAsia="Arial" w:hAnsi="Arial"/>
          <w:sz w:val="19"/>
          <w:szCs w:val="19"/>
          <w:color w:val="auto"/>
        </w:rPr>
        <w:t>. As of the Effective Date, it is a company or corporation duly organized, validly existing, and in good standing under the laws of the jurisdiction in which it is incorporated.</w:t>
      </w:r>
    </w:p>
    <w:p>
      <w:pPr>
        <w:spacing w:after="0" w:line="104" w:lineRule="exact"/>
        <w:rPr>
          <w:rFonts w:ascii="Arial" w:cs="Arial" w:eastAsia="Arial" w:hAnsi="Arial"/>
          <w:sz w:val="18"/>
          <w:szCs w:val="18"/>
          <w:color w:val="auto"/>
        </w:rPr>
      </w:pPr>
    </w:p>
    <w:p>
      <w:pPr>
        <w:jc w:val="both"/>
        <w:ind w:left="2572" w:hanging="858"/>
        <w:spacing w:after="0" w:line="271" w:lineRule="auto"/>
        <w:tabs>
          <w:tab w:leader="none" w:pos="2572" w:val="left"/>
        </w:tabs>
        <w:numPr>
          <w:ilvl w:val="2"/>
          <w:numId w:val="33"/>
        </w:numPr>
        <w:rPr>
          <w:rFonts w:ascii="Arial" w:cs="Arial" w:eastAsia="Arial" w:hAnsi="Arial"/>
          <w:sz w:val="18"/>
          <w:szCs w:val="18"/>
          <w:color w:val="auto"/>
        </w:rPr>
      </w:pPr>
      <w:r>
        <w:rPr>
          <w:rFonts w:ascii="Arial" w:cs="Arial" w:eastAsia="Arial" w:hAnsi="Arial"/>
          <w:sz w:val="19"/>
          <w:szCs w:val="19"/>
          <w:u w:val="single" w:color="auto"/>
          <w:color w:val="auto"/>
        </w:rPr>
        <w:t>Corporate Power, Authority and Binding Agreement</w:t>
      </w:r>
      <w:r>
        <w:rPr>
          <w:rFonts w:ascii="Arial" w:cs="Arial" w:eastAsia="Arial" w:hAnsi="Arial"/>
          <w:sz w:val="19"/>
          <w:szCs w:val="19"/>
          <w:color w:val="auto"/>
        </w:rPr>
        <w:t>. As of the Effective Date, (a) it has the corporate power and authority and the legal right to enter into this Agreement and perform its obligations hereunder; (b) it has taken all necessary corporate action on its part required to authorize the execution and delivery of this Agreement and the performance of its obligations hereunder; and</w:t>
      </w:r>
    </w:p>
    <w:p>
      <w:pPr>
        <w:spacing w:after="0" w:line="3" w:lineRule="exact"/>
        <w:rPr>
          <w:rFonts w:ascii="Arial" w:cs="Arial" w:eastAsia="Arial" w:hAnsi="Arial"/>
          <w:sz w:val="18"/>
          <w:szCs w:val="18"/>
          <w:color w:val="auto"/>
        </w:rPr>
      </w:pPr>
    </w:p>
    <w:p>
      <w:pPr>
        <w:jc w:val="both"/>
        <w:ind w:left="2572" w:hanging="7"/>
        <w:spacing w:after="0" w:line="234" w:lineRule="auto"/>
        <w:tabs>
          <w:tab w:leader="none" w:pos="2876" w:val="left"/>
        </w:tabs>
        <w:numPr>
          <w:ilvl w:val="3"/>
          <w:numId w:val="33"/>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on behalf of such Party, and constitutes a legal, valid, and binding obligation of such Party that is enforceable against it in accordance with its terms.</w:t>
      </w:r>
    </w:p>
    <w:p>
      <w:pPr>
        <w:spacing w:after="0" w:line="187" w:lineRule="exact"/>
        <w:rPr>
          <w:rFonts w:ascii="Arial" w:cs="Arial" w:eastAsia="Arial" w:hAnsi="Arial"/>
          <w:sz w:val="22"/>
          <w:szCs w:val="22"/>
          <w:color w:val="auto"/>
        </w:rPr>
      </w:pPr>
    </w:p>
    <w:p>
      <w:pPr>
        <w:jc w:val="both"/>
        <w:ind w:left="2572" w:hanging="858"/>
        <w:spacing w:after="0" w:line="275" w:lineRule="auto"/>
        <w:tabs>
          <w:tab w:leader="none" w:pos="2572" w:val="left"/>
        </w:tabs>
        <w:numPr>
          <w:ilvl w:val="2"/>
          <w:numId w:val="33"/>
        </w:numPr>
        <w:rPr>
          <w:rFonts w:ascii="Arial" w:cs="Arial" w:eastAsia="Arial" w:hAnsi="Arial"/>
          <w:sz w:val="18"/>
          <w:szCs w:val="18"/>
          <w:color w:val="auto"/>
        </w:rPr>
      </w:pPr>
      <w:r>
        <w:rPr>
          <w:rFonts w:ascii="Arial" w:cs="Arial" w:eastAsia="Arial" w:hAnsi="Arial"/>
          <w:sz w:val="19"/>
          <w:szCs w:val="19"/>
          <w:u w:val="single" w:color="auto"/>
          <w:color w:val="auto"/>
        </w:rPr>
        <w:t>Debarment</w:t>
      </w:r>
      <w:r>
        <w:rPr>
          <w:rFonts w:ascii="Arial" w:cs="Arial" w:eastAsia="Arial" w:hAnsi="Arial"/>
          <w:sz w:val="19"/>
          <w:szCs w:val="19"/>
          <w:color w:val="auto"/>
        </w:rPr>
        <w:t>. Neither it nor any of its Affiliates (a) has been debarred by a Regulatory Authority, (b) is subject to debarment proceedings by a Regulatory Authority or (c) will use, in any capacity, in connection with the activities to be performed under this Agreement, any Person that has been debarred, or who is the subject of debarment proceedings by any Regulatory Authority. If either Party learns that a Person performing on its behalf under this Agreement has been debarred by any Regulatory Authority, or has become the subject of debarment proceedings by any Regulatory Authority, such Party shall so promptly notify the other Party and shall prohibit such Person from performing on its behalf under this Agreement.</w:t>
      </w:r>
    </w:p>
    <w:p>
      <w:pPr>
        <w:spacing w:after="0" w:line="373" w:lineRule="exact"/>
        <w:rPr>
          <w:rFonts w:ascii="Arial" w:cs="Arial" w:eastAsia="Arial" w:hAnsi="Arial"/>
          <w:sz w:val="18"/>
          <w:szCs w:val="18"/>
          <w:color w:val="auto"/>
        </w:rPr>
      </w:pPr>
    </w:p>
    <w:p>
      <w:pPr>
        <w:ind w:left="5512" w:hanging="130"/>
        <w:spacing w:after="0"/>
        <w:tabs>
          <w:tab w:leader="none" w:pos="5512" w:val="left"/>
        </w:tabs>
        <w:numPr>
          <w:ilvl w:val="4"/>
          <w:numId w:val="33"/>
        </w:numPr>
        <w:rPr>
          <w:rFonts w:ascii="Arial" w:cs="Arial" w:eastAsia="Arial" w:hAnsi="Arial"/>
          <w:sz w:val="22"/>
          <w:szCs w:val="22"/>
          <w:color w:val="auto"/>
        </w:rPr>
      </w:pPr>
      <w:r>
        <w:rPr>
          <w:rFonts w:ascii="Arial" w:cs="Arial" w:eastAsia="Arial" w:hAnsi="Arial"/>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49" w:name="page50"/>
    <w:bookmarkEnd w:id="49"/>
    <w:p>
      <w:pPr>
        <w:jc w:val="both"/>
        <w:ind w:left="842" w:hanging="842"/>
        <w:spacing w:after="0"/>
        <w:tabs>
          <w:tab w:leader="none" w:pos="84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Takeda Representations, Warranties and Covenants</w:t>
      </w:r>
      <w:r>
        <w:rPr>
          <w:rFonts w:ascii="Arial" w:cs="Arial" w:eastAsia="Arial" w:hAnsi="Arial"/>
          <w:sz w:val="22"/>
          <w:szCs w:val="22"/>
          <w:color w:val="auto"/>
        </w:rPr>
        <w:t>. Takeda hereby represents, warrants and covenants to Company that Bulk Drug Product supplied to Company under this Agreement, upon delivery to Company in accordance with Section 7(A), and subject to Sections 6(A) and 6(B):</w:t>
      </w:r>
    </w:p>
    <w:p>
      <w:pPr>
        <w:spacing w:after="0" w:line="186" w:lineRule="exact"/>
        <w:rPr>
          <w:rFonts w:ascii="Arial" w:cs="Arial" w:eastAsia="Arial" w:hAnsi="Arial"/>
          <w:sz w:val="22"/>
          <w:szCs w:val="22"/>
          <w:color w:val="auto"/>
        </w:rPr>
      </w:pPr>
    </w:p>
    <w:p>
      <w:pPr>
        <w:ind w:left="1722" w:hanging="858"/>
        <w:spacing w:after="0" w:line="250" w:lineRule="auto"/>
        <w:tabs>
          <w:tab w:leader="none" w:pos="1722" w:val="left"/>
        </w:tabs>
        <w:numPr>
          <w:ilvl w:val="1"/>
          <w:numId w:val="34"/>
        </w:numPr>
        <w:rPr>
          <w:rFonts w:ascii="Arial" w:cs="Arial" w:eastAsia="Arial" w:hAnsi="Arial"/>
          <w:sz w:val="20"/>
          <w:szCs w:val="20"/>
          <w:color w:val="auto"/>
        </w:rPr>
      </w:pPr>
      <w:r>
        <w:rPr>
          <w:rFonts w:ascii="Arial" w:cs="Arial" w:eastAsia="Arial" w:hAnsi="Arial"/>
          <w:sz w:val="22"/>
          <w:szCs w:val="22"/>
          <w:color w:val="auto"/>
        </w:rPr>
        <w:t>will have been manufactured, tested, released, stored, supplied and otherwise handled in accordance with all Applicable Law (including all regulatory requirements and cGMPs);</w:t>
      </w:r>
    </w:p>
    <w:p>
      <w:pPr>
        <w:spacing w:after="0" w:line="174" w:lineRule="exact"/>
        <w:rPr>
          <w:rFonts w:ascii="Arial" w:cs="Arial" w:eastAsia="Arial" w:hAnsi="Arial"/>
          <w:sz w:val="20"/>
          <w:szCs w:val="20"/>
          <w:color w:val="auto"/>
        </w:rPr>
      </w:pPr>
    </w:p>
    <w:p>
      <w:pPr>
        <w:ind w:left="1722" w:hanging="858"/>
        <w:spacing w:after="0"/>
        <w:tabs>
          <w:tab w:leader="none" w:pos="1722" w:val="left"/>
        </w:tabs>
        <w:numPr>
          <w:ilvl w:val="1"/>
          <w:numId w:val="34"/>
        </w:numPr>
        <w:rPr>
          <w:rFonts w:ascii="Arial" w:cs="Arial" w:eastAsia="Arial" w:hAnsi="Arial"/>
          <w:sz w:val="20"/>
          <w:szCs w:val="20"/>
          <w:color w:val="auto"/>
        </w:rPr>
      </w:pPr>
      <w:r>
        <w:rPr>
          <w:rFonts w:ascii="Arial" w:cs="Arial" w:eastAsia="Arial" w:hAnsi="Arial"/>
          <w:sz w:val="22"/>
          <w:szCs w:val="22"/>
          <w:color w:val="auto"/>
        </w:rPr>
        <w:t>will conform to the then current applicable Specifications;</w:t>
      </w:r>
    </w:p>
    <w:p>
      <w:pPr>
        <w:spacing w:after="0" w:line="206" w:lineRule="exact"/>
        <w:rPr>
          <w:rFonts w:ascii="Arial" w:cs="Arial" w:eastAsia="Arial" w:hAnsi="Arial"/>
          <w:sz w:val="20"/>
          <w:szCs w:val="20"/>
          <w:color w:val="auto"/>
        </w:rPr>
      </w:pPr>
    </w:p>
    <w:p>
      <w:pPr>
        <w:jc w:val="both"/>
        <w:ind w:left="1722" w:hanging="858"/>
        <w:spacing w:after="0"/>
        <w:tabs>
          <w:tab w:leader="none" w:pos="1722" w:val="left"/>
        </w:tabs>
        <w:numPr>
          <w:ilvl w:val="1"/>
          <w:numId w:val="34"/>
        </w:numPr>
        <w:rPr>
          <w:rFonts w:ascii="Arial" w:cs="Arial" w:eastAsia="Arial" w:hAnsi="Arial"/>
          <w:sz w:val="20"/>
          <w:szCs w:val="20"/>
          <w:color w:val="auto"/>
        </w:rPr>
      </w:pPr>
      <w:r>
        <w:rPr>
          <w:rFonts w:ascii="Arial" w:cs="Arial" w:eastAsia="Arial" w:hAnsi="Arial"/>
          <w:sz w:val="22"/>
          <w:szCs w:val="22"/>
          <w:color w:val="auto"/>
        </w:rPr>
        <w:t>will conform with all certificates of analysis, conformance, and release and other cGMPs documents that are generated in connection with Manufacture thereof and provided pursuant to the Quality Agreement; and</w:t>
      </w:r>
    </w:p>
    <w:p>
      <w:pPr>
        <w:spacing w:after="0" w:line="186" w:lineRule="exact"/>
        <w:rPr>
          <w:rFonts w:ascii="Arial" w:cs="Arial" w:eastAsia="Arial" w:hAnsi="Arial"/>
          <w:sz w:val="20"/>
          <w:szCs w:val="20"/>
          <w:color w:val="auto"/>
        </w:rPr>
      </w:pPr>
    </w:p>
    <w:p>
      <w:pPr>
        <w:jc w:val="both"/>
        <w:ind w:left="1722" w:hanging="858"/>
        <w:spacing w:after="0" w:line="297" w:lineRule="auto"/>
        <w:tabs>
          <w:tab w:leader="none" w:pos="1722" w:val="left"/>
        </w:tabs>
        <w:numPr>
          <w:ilvl w:val="1"/>
          <w:numId w:val="34"/>
        </w:numPr>
        <w:rPr>
          <w:rFonts w:ascii="Arial" w:cs="Arial" w:eastAsia="Arial" w:hAnsi="Arial"/>
          <w:sz w:val="18"/>
          <w:szCs w:val="18"/>
          <w:color w:val="auto"/>
        </w:rPr>
      </w:pPr>
      <w:r>
        <w:rPr>
          <w:rFonts w:ascii="Arial" w:cs="Arial" w:eastAsia="Arial" w:hAnsi="Arial"/>
          <w:sz w:val="19"/>
          <w:szCs w:val="19"/>
          <w:color w:val="auto"/>
        </w:rPr>
        <w:t>will not be adulterated or misbranded within the meaning of the Federal Food, Drug, and Cosmetic Act (21 U.S.C. §301 et seq.), as amended or modified from time to time, and its implementing rules, regulations, guidances and requirements of the FDA as may be in effect from time to time.</w:t>
      </w:r>
    </w:p>
    <w:p>
      <w:pPr>
        <w:spacing w:after="0" w:line="133" w:lineRule="exact"/>
        <w:rPr>
          <w:rFonts w:ascii="Arial" w:cs="Arial" w:eastAsia="Arial" w:hAnsi="Arial"/>
          <w:sz w:val="18"/>
          <w:szCs w:val="18"/>
          <w:color w:val="auto"/>
        </w:rPr>
      </w:pPr>
    </w:p>
    <w:p>
      <w:pPr>
        <w:ind w:left="842" w:hanging="842"/>
        <w:spacing w:after="0" w:line="250" w:lineRule="auto"/>
        <w:tabs>
          <w:tab w:leader="none" w:pos="84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Company Representation, Warranties and Covenants</w:t>
      </w:r>
      <w:r>
        <w:rPr>
          <w:rFonts w:ascii="Arial" w:cs="Arial" w:eastAsia="Arial" w:hAnsi="Arial"/>
          <w:sz w:val="22"/>
          <w:szCs w:val="22"/>
          <w:color w:val="auto"/>
        </w:rPr>
        <w:t>. Company hereby represents, warrants and covenants to Takeda that:</w:t>
      </w:r>
    </w:p>
    <w:p>
      <w:pPr>
        <w:spacing w:after="0" w:line="174" w:lineRule="exact"/>
        <w:rPr>
          <w:rFonts w:ascii="Arial" w:cs="Arial" w:eastAsia="Arial" w:hAnsi="Arial"/>
          <w:sz w:val="22"/>
          <w:szCs w:val="22"/>
          <w:color w:val="auto"/>
        </w:rPr>
      </w:pPr>
    </w:p>
    <w:p>
      <w:pPr>
        <w:ind w:left="1722" w:hanging="858"/>
        <w:spacing w:after="0"/>
        <w:tabs>
          <w:tab w:leader="none" w:pos="1722" w:val="left"/>
        </w:tabs>
        <w:numPr>
          <w:ilvl w:val="1"/>
          <w:numId w:val="34"/>
        </w:numPr>
        <w:rPr>
          <w:rFonts w:ascii="Arial" w:cs="Arial" w:eastAsia="Arial" w:hAnsi="Arial"/>
          <w:sz w:val="18"/>
          <w:szCs w:val="18"/>
          <w:color w:val="auto"/>
        </w:rPr>
      </w:pPr>
      <w:r>
        <w:rPr>
          <w:rFonts w:ascii="Arial" w:cs="Arial" w:eastAsia="Arial" w:hAnsi="Arial"/>
          <w:sz w:val="19"/>
          <w:szCs w:val="19"/>
          <w:color w:val="auto"/>
        </w:rPr>
        <w:t>it shall discharge its obligations pursuant to this Agreement in accordance with all Applicable Law;</w:t>
      </w:r>
    </w:p>
    <w:p>
      <w:pPr>
        <w:spacing w:after="0" w:line="240" w:lineRule="exact"/>
        <w:rPr>
          <w:rFonts w:ascii="Arial" w:cs="Arial" w:eastAsia="Arial" w:hAnsi="Arial"/>
          <w:sz w:val="18"/>
          <w:szCs w:val="18"/>
          <w:color w:val="auto"/>
        </w:rPr>
      </w:pPr>
    </w:p>
    <w:p>
      <w:pPr>
        <w:ind w:left="1722" w:right="20" w:hanging="858"/>
        <w:spacing w:after="0" w:line="250" w:lineRule="auto"/>
        <w:tabs>
          <w:tab w:leader="none" w:pos="1722" w:val="left"/>
        </w:tabs>
        <w:numPr>
          <w:ilvl w:val="1"/>
          <w:numId w:val="34"/>
        </w:numPr>
        <w:rPr>
          <w:rFonts w:ascii="Arial" w:cs="Arial" w:eastAsia="Arial" w:hAnsi="Arial"/>
          <w:sz w:val="20"/>
          <w:szCs w:val="20"/>
          <w:color w:val="auto"/>
        </w:rPr>
      </w:pPr>
      <w:r>
        <w:rPr>
          <w:rFonts w:ascii="Arial" w:cs="Arial" w:eastAsia="Arial" w:hAnsi="Arial"/>
          <w:sz w:val="22"/>
          <w:szCs w:val="22"/>
          <w:color w:val="auto"/>
        </w:rPr>
        <w:t>it shall store and maintain Bulk Drug Product in a facility that is properly equipped to store Bulk Drug Product and in accordance with Applicable Law; and</w:t>
      </w:r>
    </w:p>
    <w:p>
      <w:pPr>
        <w:spacing w:after="0" w:line="174" w:lineRule="exact"/>
        <w:rPr>
          <w:rFonts w:ascii="Arial" w:cs="Arial" w:eastAsia="Arial" w:hAnsi="Arial"/>
          <w:sz w:val="20"/>
          <w:szCs w:val="20"/>
          <w:color w:val="auto"/>
        </w:rPr>
      </w:pPr>
    </w:p>
    <w:p>
      <w:pPr>
        <w:ind w:left="1722" w:hanging="858"/>
        <w:spacing w:after="0" w:line="274" w:lineRule="auto"/>
        <w:tabs>
          <w:tab w:leader="none" w:pos="1722" w:val="left"/>
        </w:tabs>
        <w:numPr>
          <w:ilvl w:val="1"/>
          <w:numId w:val="34"/>
        </w:numPr>
        <w:rPr>
          <w:rFonts w:ascii="Arial" w:cs="Arial" w:eastAsia="Arial" w:hAnsi="Arial"/>
          <w:sz w:val="19"/>
          <w:szCs w:val="19"/>
          <w:color w:val="auto"/>
        </w:rPr>
      </w:pPr>
      <w:r>
        <w:rPr>
          <w:rFonts w:ascii="Arial" w:cs="Arial" w:eastAsia="Arial" w:hAnsi="Arial"/>
          <w:sz w:val="21"/>
          <w:szCs w:val="21"/>
          <w:color w:val="auto"/>
        </w:rPr>
        <w:t>it shall have in place systems and resources for tracking and reporting all complaints and adverse events relating to the Bulk Drug Product in accordance with the Quality Agreement.</w:t>
      </w:r>
    </w:p>
    <w:p>
      <w:pPr>
        <w:spacing w:after="0" w:line="150" w:lineRule="exact"/>
        <w:rPr>
          <w:rFonts w:ascii="Arial" w:cs="Arial" w:eastAsia="Arial" w:hAnsi="Arial"/>
          <w:sz w:val="19"/>
          <w:szCs w:val="19"/>
          <w:color w:val="auto"/>
        </w:rPr>
      </w:pPr>
    </w:p>
    <w:p>
      <w:pPr>
        <w:jc w:val="both"/>
        <w:ind w:left="842" w:hanging="842"/>
        <w:spacing w:after="0" w:line="245" w:lineRule="auto"/>
        <w:tabs>
          <w:tab w:leader="none" w:pos="842"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Disclaimer</w:t>
      </w:r>
      <w:r>
        <w:rPr>
          <w:rFonts w:ascii="Arial" w:cs="Arial" w:eastAsia="Arial" w:hAnsi="Arial"/>
          <w:sz w:val="21"/>
          <w:szCs w:val="21"/>
          <w:color w:val="auto"/>
        </w:rPr>
        <w:t>. EXCEPT AS OTHERWISE EXPRESSLY SET FORTH IN THIS AGREEMENT, THERE ARE NO REPRESENTATIONS OR WARRANTIES OF ANY KIND, EXPRESS OR IMPLIED, WRITTEN OR ORAL, MADE BY TAKEDA (OR ANY OF ITS AFFILIATES), WITH RESPECT TO BULK DRUG PRODUCT OR OTHERWISE, INCLUDING: (I) ANY IMPLIED WARRANTIES OF MERCHANTABILITY OR FITNESS FOR A PARTICULAR PURPOSE; (II) ANY IMPLIED WARRANTIES ARISING FROM COURSE OF PERFORMANCE, COURSE OF DEALING OR USAGE IN THE TRADE; (III) ANY WARRANTY OF DESCRIPTION OR OTHERWISE CREATED BY ANY AFFIRMATION OF FACT OR PROMISE OR SAMPLE OR MODEL; OR (IV) NON-INFRINGEMENT OF THE INTELLECTUAL PROPERTY RIGHTS OF THIRD PARTIES.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4662" w:hanging="130"/>
        <w:spacing w:after="0"/>
        <w:tabs>
          <w:tab w:leader="none" w:pos="4662" w:val="left"/>
        </w:tabs>
        <w:numPr>
          <w:ilvl w:val="2"/>
          <w:numId w:val="34"/>
        </w:numPr>
        <w:rPr>
          <w:rFonts w:ascii="Arial" w:cs="Arial" w:eastAsia="Arial" w:hAnsi="Arial"/>
          <w:sz w:val="22"/>
          <w:szCs w:val="22"/>
          <w:color w:val="auto"/>
        </w:rPr>
      </w:pPr>
      <w:r>
        <w:rPr>
          <w:rFonts w:ascii="Arial" w:cs="Arial" w:eastAsia="Arial" w:hAnsi="Arial"/>
          <w:sz w:val="22"/>
          <w:szCs w:val="22"/>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50" w:name="page51"/>
    <w:bookmarkEnd w:id="50"/>
    <w:p>
      <w:pPr>
        <w:ind w:left="852" w:hanging="852"/>
        <w:spacing w:after="0"/>
        <w:tabs>
          <w:tab w:leader="none" w:pos="852"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INDEMNIFICATION; NO CONSEQUENTIAL DAMAGES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left="1692" w:hanging="842"/>
        <w:spacing w:after="0" w:line="271" w:lineRule="auto"/>
        <w:tabs>
          <w:tab w:leader="none" w:pos="1692" w:val="left"/>
        </w:tabs>
        <w:numPr>
          <w:ilvl w:val="1"/>
          <w:numId w:val="35"/>
        </w:numPr>
        <w:rPr>
          <w:rFonts w:ascii="Arial" w:cs="Arial" w:eastAsia="Arial" w:hAnsi="Arial"/>
          <w:sz w:val="19"/>
          <w:szCs w:val="19"/>
          <w:color w:val="auto"/>
        </w:rPr>
      </w:pPr>
      <w:r>
        <w:rPr>
          <w:rFonts w:ascii="Arial" w:cs="Arial" w:eastAsia="Arial" w:hAnsi="Arial"/>
          <w:sz w:val="19"/>
          <w:szCs w:val="19"/>
          <w:b w:val="1"/>
          <w:bCs w:val="1"/>
          <w:color w:val="auto"/>
        </w:rPr>
        <w:t>Indemnification by Company</w:t>
      </w:r>
      <w:r>
        <w:rPr>
          <w:rFonts w:ascii="Arial" w:cs="Arial" w:eastAsia="Arial" w:hAnsi="Arial"/>
          <w:sz w:val="19"/>
          <w:szCs w:val="19"/>
          <w:color w:val="auto"/>
        </w:rPr>
        <w:t>. Company hereby agrees to defend, indemnify and hold harmless Takeda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its Affiliates, and each of their respective directors, officers, employees, agents and representatives (each, a </w:t>
      </w:r>
      <w:r>
        <w:rPr>
          <w:rFonts w:ascii="Arial" w:cs="Arial" w:eastAsia="Arial" w:hAnsi="Arial"/>
          <w:sz w:val="19"/>
          <w:szCs w:val="19"/>
          <w:i w:val="1"/>
          <w:iCs w:val="1"/>
          <w:color w:val="auto"/>
        </w:rPr>
        <w:t>“</w:t>
      </w:r>
      <w:r>
        <w:rPr>
          <w:rFonts w:ascii="Arial" w:cs="Arial" w:eastAsia="Arial" w:hAnsi="Arial"/>
          <w:sz w:val="19"/>
          <w:szCs w:val="19"/>
          <w:u w:val="single" w:color="auto"/>
          <w:color w:val="auto"/>
        </w:rPr>
        <w:t>Takeda Indemnitee</w:t>
      </w:r>
      <w:r>
        <w:rPr>
          <w:rFonts w:ascii="Arial" w:cs="Arial" w:eastAsia="Arial" w:hAnsi="Arial"/>
          <w:sz w:val="19"/>
          <w:szCs w:val="19"/>
          <w:color w:val="auto"/>
        </w:rPr>
        <w:t>”) from and against any and all claims, suits, actions, demands, liabilities, expenses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and/or loss, including reasonable legal expense and attorneys’ fees (collectively, the </w:t>
      </w:r>
      <w:r>
        <w:rPr>
          <w:rFonts w:ascii="Arial" w:cs="Arial" w:eastAsia="Arial" w:hAnsi="Arial"/>
          <w:sz w:val="19"/>
          <w:szCs w:val="19"/>
          <w:i w:val="1"/>
          <w:iCs w:val="1"/>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to which any Takeda Indemnitee may become subject as a result of any claim, demand, action or other proceeding by any Third Party (each, a </w:t>
      </w:r>
      <w:r>
        <w:rPr>
          <w:rFonts w:ascii="Arial" w:cs="Arial" w:eastAsia="Arial" w:hAnsi="Arial"/>
          <w:sz w:val="19"/>
          <w:szCs w:val="19"/>
          <w:i w:val="1"/>
          <w:iCs w:val="1"/>
          <w:color w:val="auto"/>
        </w:rPr>
        <w:t>“</w:t>
      </w:r>
      <w:r>
        <w:rPr>
          <w:rFonts w:ascii="Arial" w:cs="Arial" w:eastAsia="Arial" w:hAnsi="Arial"/>
          <w:sz w:val="19"/>
          <w:szCs w:val="19"/>
          <w:u w:val="single" w:color="auto"/>
          <w:color w:val="auto"/>
        </w:rPr>
        <w:t>Claim</w:t>
      </w:r>
      <w:r>
        <w:rPr>
          <w:rFonts w:ascii="Arial" w:cs="Arial" w:eastAsia="Arial" w:hAnsi="Arial"/>
          <w:sz w:val="19"/>
          <w:szCs w:val="19"/>
          <w:color w:val="auto"/>
        </w:rPr>
        <w:t>”) to the extent such Losses arise directly or indirectly out of: (i) the use, handling, storage, sale or other disposition of any Bulk Drug Product by Company, its Affiliate, or its sublicensee, including any use of Bulk Drug Product for Commercialization; (ii) the breach by Company of any warranty, representation, covenant or agreement made by Company in this Agreement; or (iii) the negligence, gross negligence or willful misconduct of Company, its Affiliate or its sublicensee, or any officer, director, employee, agent or representative thereof; except, with respect to each of subsections (i) through (iii) above, to the extent such Losses arise directly or indirectly from the negligence, gross negligence or willful misconduct of any Takeda Indemnitee or the breach by Takeda of any warranty, representation, covenant or agreement made by Takeda in this Agreement, or are subject to Takeda’s indemnification obligations pursuant to Section 15(B).</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left="1692" w:hanging="842"/>
        <w:spacing w:after="0" w:line="273" w:lineRule="auto"/>
        <w:tabs>
          <w:tab w:leader="none" w:pos="1692" w:val="left"/>
        </w:tabs>
        <w:numPr>
          <w:ilvl w:val="1"/>
          <w:numId w:val="35"/>
        </w:numPr>
        <w:rPr>
          <w:rFonts w:ascii="Arial" w:cs="Arial" w:eastAsia="Arial" w:hAnsi="Arial"/>
          <w:sz w:val="19"/>
          <w:szCs w:val="19"/>
          <w:color w:val="auto"/>
        </w:rPr>
      </w:pPr>
      <w:r>
        <w:rPr>
          <w:rFonts w:ascii="Arial" w:cs="Arial" w:eastAsia="Arial" w:hAnsi="Arial"/>
          <w:sz w:val="19"/>
          <w:szCs w:val="19"/>
          <w:b w:val="1"/>
          <w:bCs w:val="1"/>
          <w:color w:val="auto"/>
        </w:rPr>
        <w:t>Indemnification by Takeda</w:t>
      </w:r>
      <w:r>
        <w:rPr>
          <w:rFonts w:ascii="Arial" w:cs="Arial" w:eastAsia="Arial" w:hAnsi="Arial"/>
          <w:sz w:val="19"/>
          <w:szCs w:val="19"/>
          <w:color w:val="auto"/>
        </w:rPr>
        <w:t>. Takeda hereby agrees to defend, indemnify and hold harmless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Affiliates and each of their respective directors, officers, employees, agents and representatives (each, an </w:t>
      </w:r>
      <w:r>
        <w:rPr>
          <w:rFonts w:ascii="Arial" w:cs="Arial" w:eastAsia="Arial" w:hAnsi="Arial"/>
          <w:sz w:val="19"/>
          <w:szCs w:val="19"/>
          <w:i w:val="1"/>
          <w:iCs w:val="1"/>
          <w:color w:val="auto"/>
        </w:rPr>
        <w:t>“</w:t>
      </w:r>
      <w:r>
        <w:rPr>
          <w:rFonts w:ascii="Arial" w:cs="Arial" w:eastAsia="Arial" w:hAnsi="Arial"/>
          <w:sz w:val="19"/>
          <w:szCs w:val="19"/>
          <w:u w:val="single" w:color="auto"/>
          <w:color w:val="auto"/>
        </w:rPr>
        <w:t>Company Indemnitee</w:t>
      </w:r>
      <w:r>
        <w:rPr>
          <w:rFonts w:ascii="Arial" w:cs="Arial" w:eastAsia="Arial" w:hAnsi="Arial"/>
          <w:sz w:val="19"/>
          <w:szCs w:val="19"/>
          <w:color w:val="auto"/>
        </w:rPr>
        <w:t>”) from and against any and all Losses to which any Company Indemnitee may</w:t>
      </w:r>
      <w:r>
        <w:rPr>
          <w:rFonts w:ascii="Arial" w:cs="Arial" w:eastAsia="Arial" w:hAnsi="Arial"/>
          <w:sz w:val="19"/>
          <w:szCs w:val="19"/>
          <w:i w:val="1"/>
          <w:iCs w:val="1"/>
          <w:color w:val="auto"/>
        </w:rPr>
        <w:t xml:space="preserve"> </w:t>
      </w:r>
      <w:r>
        <w:rPr>
          <w:rFonts w:ascii="Arial" w:cs="Arial" w:eastAsia="Arial" w:hAnsi="Arial"/>
          <w:sz w:val="19"/>
          <w:szCs w:val="19"/>
          <w:color w:val="auto"/>
        </w:rPr>
        <w:t>become subject as a result of any Claim to the extent such Losses arise directly or indirectly out of: (i) the breach by Takeda of any warranty, representation, covenant or agreement made by Takeda in this Agreement; or (ii) the negligence, gross negligence or willful misconduct of Takeda or its Affiliate or its licensee (other than Company or its Affiliate), or any officer, director, employee, agent or representative thereof with respect to the Bulk Drug Product supplied to Company pursuant to this Agreement; except, with respect to each of subsections (i) through (ii) above, to the extent such Losses arise directly or indirectly from the negligence, gross negligence or willful misconduct of any Company Indemnitee or the breach by Company of any warranty, representation, covenant or agreement made by Company in this Agreement, or are subject to Company’s indemnification obligations pursuant to Section 15(A).</w:t>
      </w:r>
    </w:p>
    <w:p>
      <w:pPr>
        <w:spacing w:after="0" w:line="149" w:lineRule="exact"/>
        <w:rPr>
          <w:rFonts w:ascii="Arial" w:cs="Arial" w:eastAsia="Arial" w:hAnsi="Arial"/>
          <w:sz w:val="19"/>
          <w:szCs w:val="19"/>
          <w:color w:val="auto"/>
        </w:rPr>
      </w:pPr>
    </w:p>
    <w:p>
      <w:pPr>
        <w:ind w:left="1692" w:hanging="842"/>
        <w:spacing w:after="0"/>
        <w:tabs>
          <w:tab w:leader="none" w:pos="1692" w:val="left"/>
        </w:tabs>
        <w:numPr>
          <w:ilvl w:val="1"/>
          <w:numId w:val="35"/>
        </w:numPr>
        <w:rPr>
          <w:rFonts w:ascii="Arial" w:cs="Arial" w:eastAsia="Arial" w:hAnsi="Arial"/>
          <w:sz w:val="22"/>
          <w:szCs w:val="22"/>
          <w:color w:val="auto"/>
        </w:rPr>
      </w:pPr>
      <w:r>
        <w:rPr>
          <w:rFonts w:ascii="Arial" w:cs="Arial" w:eastAsia="Arial" w:hAnsi="Arial"/>
          <w:sz w:val="22"/>
          <w:szCs w:val="22"/>
          <w:b w:val="1"/>
          <w:bCs w:val="1"/>
          <w:color w:val="auto"/>
        </w:rPr>
        <w:t>Indemnification Procedures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572" w:hanging="858"/>
        <w:spacing w:after="0" w:line="235" w:lineRule="auto"/>
        <w:tabs>
          <w:tab w:leader="none" w:pos="2572" w:val="left"/>
        </w:tabs>
        <w:numPr>
          <w:ilvl w:val="2"/>
          <w:numId w:val="35"/>
        </w:numPr>
        <w:rPr>
          <w:rFonts w:ascii="Arial" w:cs="Arial" w:eastAsia="Arial" w:hAnsi="Arial"/>
          <w:sz w:val="20"/>
          <w:szCs w:val="20"/>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Promptly after a Takeda Indemnitee or a Company Indemnitee (each, an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receives notice of a pending or threatened Claim, such Indemnitee shall give written notice of the Claim to the Party from whom the Indemnitee is entitled to receive indemnification pursuant to Sections 15(A) or 15(B), as applicable (the “</w:t>
      </w:r>
      <w:r>
        <w:rPr>
          <w:rFonts w:ascii="Arial" w:cs="Arial" w:eastAsia="Arial" w:hAnsi="Arial"/>
          <w:sz w:val="22"/>
          <w:szCs w:val="22"/>
          <w:u w:val="single" w:color="auto"/>
          <w:color w:val="auto"/>
        </w:rPr>
        <w:t>Indemnifying Party</w:t>
      </w:r>
      <w:r>
        <w:rPr>
          <w:rFonts w:ascii="Arial" w:cs="Arial" w:eastAsia="Arial" w:hAnsi="Arial"/>
          <w:sz w:val="22"/>
          <w:szCs w:val="22"/>
          <w:color w:val="auto"/>
        </w:rPr>
        <w:t>”). However, an Indemnitee’s delay in providing or failure to provide such notice shall not relieve the Indemnifying Party of its indemnification obligations, except to the extent it can demonstrate prejudice due to the delay or lack of notice.</w:t>
      </w:r>
    </w:p>
    <w:p>
      <w:pPr>
        <w:spacing w:after="0" w:line="200" w:lineRule="exact"/>
        <w:rPr>
          <w:rFonts w:ascii="Arial" w:cs="Arial" w:eastAsia="Arial" w:hAnsi="Arial"/>
          <w:sz w:val="20"/>
          <w:szCs w:val="20"/>
          <w:color w:val="auto"/>
        </w:rPr>
      </w:pPr>
    </w:p>
    <w:p>
      <w:pPr>
        <w:spacing w:after="0" w:line="205" w:lineRule="exact"/>
        <w:rPr>
          <w:rFonts w:ascii="Arial" w:cs="Arial" w:eastAsia="Arial" w:hAnsi="Arial"/>
          <w:sz w:val="20"/>
          <w:szCs w:val="20"/>
          <w:color w:val="auto"/>
        </w:rPr>
      </w:pPr>
    </w:p>
    <w:p>
      <w:pPr>
        <w:ind w:left="5512" w:hanging="130"/>
        <w:spacing w:after="0"/>
        <w:tabs>
          <w:tab w:leader="none" w:pos="5512" w:val="left"/>
        </w:tabs>
        <w:numPr>
          <w:ilvl w:val="3"/>
          <w:numId w:val="35"/>
        </w:numPr>
        <w:rPr>
          <w:rFonts w:ascii="Arial" w:cs="Arial" w:eastAsia="Arial" w:hAnsi="Arial"/>
          <w:sz w:val="22"/>
          <w:szCs w:val="22"/>
          <w:color w:val="auto"/>
        </w:rPr>
      </w:pPr>
      <w:r>
        <w:rPr>
          <w:rFonts w:ascii="Arial" w:cs="Arial" w:eastAsia="Arial" w:hAnsi="Arial"/>
          <w:sz w:val="22"/>
          <w:szCs w:val="22"/>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51" w:name="page52"/>
    <w:bookmarkEnd w:id="51"/>
    <w:p>
      <w:pPr>
        <w:jc w:val="both"/>
        <w:ind w:left="1722" w:hanging="858"/>
        <w:spacing w:after="0" w:line="245" w:lineRule="auto"/>
        <w:tabs>
          <w:tab w:leader="none" w:pos="1722" w:val="left"/>
        </w:tabs>
        <w:numPr>
          <w:ilvl w:val="1"/>
          <w:numId w:val="36"/>
        </w:numPr>
        <w:rPr>
          <w:rFonts w:ascii="Arial" w:cs="Arial" w:eastAsia="Arial" w:hAnsi="Arial"/>
          <w:sz w:val="19"/>
          <w:szCs w:val="19"/>
          <w:color w:val="auto"/>
        </w:rPr>
      </w:pPr>
      <w:r>
        <w:rPr>
          <w:rFonts w:ascii="Arial" w:cs="Arial" w:eastAsia="Arial" w:hAnsi="Arial"/>
          <w:sz w:val="21"/>
          <w:szCs w:val="21"/>
          <w:b w:val="1"/>
          <w:bCs w:val="1"/>
          <w:color w:val="auto"/>
        </w:rPr>
        <w:t>Defense</w:t>
      </w:r>
      <w:r>
        <w:rPr>
          <w:rFonts w:ascii="Arial" w:cs="Arial" w:eastAsia="Arial" w:hAnsi="Arial"/>
          <w:sz w:val="21"/>
          <w:szCs w:val="21"/>
          <w:color w:val="auto"/>
        </w:rPr>
        <w:t>. Upon receipt of notice under Section 15(C) (i) from the Indemnitee, the Indemnifying</w:t>
      </w:r>
      <w:r>
        <w:rPr>
          <w:rFonts w:ascii="Arial" w:cs="Arial" w:eastAsia="Arial" w:hAnsi="Arial"/>
          <w:sz w:val="21"/>
          <w:szCs w:val="21"/>
          <w:b w:val="1"/>
          <w:bCs w:val="1"/>
          <w:color w:val="auto"/>
        </w:rPr>
        <w:t xml:space="preserve"> </w:t>
      </w:r>
      <w:r>
        <w:rPr>
          <w:rFonts w:ascii="Arial" w:cs="Arial" w:eastAsia="Arial" w:hAnsi="Arial"/>
          <w:sz w:val="21"/>
          <w:szCs w:val="21"/>
          <w:color w:val="auto"/>
        </w:rPr>
        <w:t>Party shall have the duty to either compromise or defend, at its own expense and by legal counsel (reasonably satisfactory to Indemnitee), such Claim. The Indemnifying Party shall promptly (and in any event not more than twenty (20) days after receipt of the Indemnitee’s original notice) notify the Indemnitee in writing that it acknowledges its obligation to indemnify the Indemnitee with respect to the Claim pursuant to this Section 15 and of its intention either to compromise or defend such Claim. Once the Indemnifying Party gives such notice to the Indemnitee, the Indemnifying Party is not liable to the Indemnitee for the fees of other legal counsel or any other expenses subsequently incurred by the Indemnitee in connection with such defense, other than the Indemnitee’s reasonable expenses of investigation and cooperation. However, the Indemnitee shall have the right to employ separate legal counsel and to control the defense of a Claim at its own expense.</w:t>
      </w:r>
    </w:p>
    <w:p>
      <w:pPr>
        <w:spacing w:after="0" w:line="173" w:lineRule="exact"/>
        <w:rPr>
          <w:rFonts w:ascii="Arial" w:cs="Arial" w:eastAsia="Arial" w:hAnsi="Arial"/>
          <w:sz w:val="19"/>
          <w:szCs w:val="19"/>
          <w:color w:val="auto"/>
        </w:rPr>
      </w:pPr>
    </w:p>
    <w:p>
      <w:pPr>
        <w:jc w:val="both"/>
        <w:ind w:left="1722" w:hanging="858"/>
        <w:spacing w:after="0" w:line="237" w:lineRule="auto"/>
        <w:tabs>
          <w:tab w:leader="none" w:pos="1722" w:val="left"/>
        </w:tabs>
        <w:numPr>
          <w:ilvl w:val="1"/>
          <w:numId w:val="36"/>
        </w:numPr>
        <w:rPr>
          <w:rFonts w:ascii="Arial" w:cs="Arial" w:eastAsia="Arial" w:hAnsi="Arial"/>
          <w:sz w:val="20"/>
          <w:szCs w:val="20"/>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The Indemnitee shall cooperate fully with the Indemnifying Party and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in the investigation and defense of any Claim. The Indemnifying Party shall keep the Indemnitee informed on a reasonable and timely basis as to the status of such Claim (to the extent the Indemnitee is not participating in the defense of such Claim) and conduct the defense of such Claim in a prudent manner.</w:t>
      </w:r>
    </w:p>
    <w:p>
      <w:pPr>
        <w:spacing w:after="0" w:line="181" w:lineRule="exact"/>
        <w:rPr>
          <w:rFonts w:ascii="Arial" w:cs="Arial" w:eastAsia="Arial" w:hAnsi="Arial"/>
          <w:sz w:val="20"/>
          <w:szCs w:val="20"/>
          <w:color w:val="auto"/>
        </w:rPr>
      </w:pPr>
    </w:p>
    <w:p>
      <w:pPr>
        <w:jc w:val="both"/>
        <w:ind w:left="1722" w:hanging="858"/>
        <w:spacing w:after="0" w:line="275" w:lineRule="auto"/>
        <w:tabs>
          <w:tab w:leader="none" w:pos="1722" w:val="left"/>
        </w:tabs>
        <w:numPr>
          <w:ilvl w:val="1"/>
          <w:numId w:val="36"/>
        </w:numPr>
        <w:rPr>
          <w:rFonts w:ascii="Arial" w:cs="Arial" w:eastAsia="Arial" w:hAnsi="Arial"/>
          <w:sz w:val="18"/>
          <w:szCs w:val="18"/>
          <w:color w:val="auto"/>
        </w:rPr>
      </w:pPr>
      <w:r>
        <w:rPr>
          <w:rFonts w:ascii="Arial" w:cs="Arial" w:eastAsia="Arial" w:hAnsi="Arial"/>
          <w:sz w:val="19"/>
          <w:szCs w:val="19"/>
          <w:b w:val="1"/>
          <w:bCs w:val="1"/>
          <w:color w:val="auto"/>
        </w:rPr>
        <w:t>Settlement</w:t>
      </w:r>
      <w:r>
        <w:rPr>
          <w:rFonts w:ascii="Arial" w:cs="Arial" w:eastAsia="Arial" w:hAnsi="Arial"/>
          <w:sz w:val="19"/>
          <w:szCs w:val="19"/>
          <w:color w:val="auto"/>
        </w:rPr>
        <w:t>. If an Indemnifying Party assumes the defense of a Claim, no compromise or</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of such Claim may be effected by the Indemnifying Party without the Indemnitee’s written consent (which consent shall not be unreasonably withheld, conditioned or delayed), unless:</w:t>
      </w:r>
    </w:p>
    <w:p>
      <w:pPr>
        <w:spacing w:after="0" w:line="1" w:lineRule="exact"/>
        <w:rPr>
          <w:rFonts w:ascii="Arial" w:cs="Arial" w:eastAsia="Arial" w:hAnsi="Arial"/>
          <w:sz w:val="18"/>
          <w:szCs w:val="18"/>
          <w:color w:val="auto"/>
        </w:rPr>
      </w:pPr>
    </w:p>
    <w:p>
      <w:pPr>
        <w:jc w:val="both"/>
        <w:ind w:left="1722" w:hanging="7"/>
        <w:spacing w:after="0" w:line="272" w:lineRule="auto"/>
        <w:tabs>
          <w:tab w:leader="none" w:pos="2052" w:val="left"/>
        </w:tabs>
        <w:numPr>
          <w:ilvl w:val="2"/>
          <w:numId w:val="36"/>
        </w:numPr>
        <w:rPr>
          <w:rFonts w:ascii="Arial" w:cs="Arial" w:eastAsia="Arial" w:hAnsi="Arial"/>
          <w:sz w:val="19"/>
          <w:szCs w:val="19"/>
          <w:color w:val="auto"/>
        </w:rPr>
      </w:pPr>
      <w:r>
        <w:rPr>
          <w:rFonts w:ascii="Arial" w:cs="Arial" w:eastAsia="Arial" w:hAnsi="Arial"/>
          <w:sz w:val="19"/>
          <w:szCs w:val="19"/>
          <w:color w:val="auto"/>
        </w:rPr>
        <w:t>there is no finding or admission of any violation of law or any violation of the rights of any person and no effect on any other claims that may be made against the Indemnitee; (y) the sole relief provided is monetary damages that are paid in full by the Indemnifying Party; and (z) the Indemnitee’s rights under this Agreement are not adversely affected. If the Indemnifying Party fails to assume defense of a Claim within a reasonable time, the Indemnitee may settle such Claim on such terms as it deems appropriate with the consent of the Indemnifying Party (which consent shall not be unreasonably withheld, conditioned or delayed), and the Indemnifying Party shall be obligated to indemnify the Indemnitee for such settlement as provided in this Section 15.</w:t>
      </w:r>
    </w:p>
    <w:p>
      <w:pPr>
        <w:spacing w:after="0" w:line="155" w:lineRule="exact"/>
        <w:rPr>
          <w:rFonts w:ascii="Arial" w:cs="Arial" w:eastAsia="Arial" w:hAnsi="Arial"/>
          <w:sz w:val="19"/>
          <w:szCs w:val="19"/>
          <w:color w:val="auto"/>
        </w:rPr>
      </w:pPr>
    </w:p>
    <w:p>
      <w:pPr>
        <w:jc w:val="both"/>
        <w:ind w:left="842" w:hanging="842"/>
        <w:spacing w:after="0" w:line="247" w:lineRule="auto"/>
        <w:tabs>
          <w:tab w:leader="none" w:pos="842" w:val="left"/>
        </w:tabs>
        <w:numPr>
          <w:ilvl w:val="0"/>
          <w:numId w:val="37"/>
        </w:numPr>
        <w:rPr>
          <w:rFonts w:ascii="Arial" w:cs="Arial" w:eastAsia="Arial" w:hAnsi="Arial"/>
          <w:sz w:val="21"/>
          <w:szCs w:val="21"/>
          <w:color w:val="auto"/>
        </w:rPr>
      </w:pPr>
      <w:r>
        <w:rPr>
          <w:rFonts w:ascii="Arial" w:cs="Arial" w:eastAsia="Arial" w:hAnsi="Arial"/>
          <w:sz w:val="21"/>
          <w:szCs w:val="21"/>
          <w:b w:val="1"/>
          <w:bCs w:val="1"/>
          <w:color w:val="auto"/>
        </w:rPr>
        <w:t>Limitation of Liability</w:t>
      </w:r>
      <w:r>
        <w:rPr>
          <w:rFonts w:ascii="Arial" w:cs="Arial" w:eastAsia="Arial" w:hAnsi="Arial"/>
          <w:sz w:val="21"/>
          <w:szCs w:val="21"/>
          <w:color w:val="auto"/>
        </w:rPr>
        <w:t>. EXCEPT FOR A PARTY’S OBLIGATIONS SET FORTH IN THIS 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BREACH OF SECTION 13 (CONFIDENTIALITY), IN NO EVENT WILL EITHER PARTY BE LIABLE TO THE OTHER PARTY (OR THE OTHER PARTY’S AFFILIATES OR SUBLICENSEES) IN CONNECTION WITH THIS AGREEMENT FOR LOST REVENUE, LOST PROFITS, LOST SAVINGS, LOSS OF USE, DAMAGE TO GOODWILL, OR ANY CONSEQUENTIAL, INCIDENTAL, SPECIAL, EXEMPLARY, PUNITIVE OR INDIRECT DAMAGES UNDER ANY THEORY, INCLUDING CONTRACT, NEGLIGENCE, OR STRICT LIABILITY, EVEN IF THAT PARTY HAS BEEN PLACED ON NOTICE OF THE POSSIBILITY OF SUCH DAMAGES.</w:t>
      </w:r>
    </w:p>
    <w:p>
      <w:pPr>
        <w:spacing w:after="0" w:line="393" w:lineRule="exact"/>
        <w:rPr>
          <w:rFonts w:ascii="Arial" w:cs="Arial" w:eastAsia="Arial" w:hAnsi="Arial"/>
          <w:sz w:val="21"/>
          <w:szCs w:val="21"/>
          <w:color w:val="auto"/>
        </w:rPr>
      </w:pPr>
    </w:p>
    <w:p>
      <w:pPr>
        <w:ind w:left="4662" w:hanging="130"/>
        <w:spacing w:after="0"/>
        <w:tabs>
          <w:tab w:leader="none" w:pos="4662" w:val="left"/>
        </w:tabs>
        <w:numPr>
          <w:ilvl w:val="3"/>
          <w:numId w:val="37"/>
        </w:numPr>
        <w:rPr>
          <w:rFonts w:ascii="Arial" w:cs="Arial" w:eastAsia="Arial" w:hAnsi="Arial"/>
          <w:sz w:val="22"/>
          <w:szCs w:val="22"/>
          <w:color w:val="auto"/>
        </w:rPr>
      </w:pPr>
      <w:r>
        <w:rPr>
          <w:rFonts w:ascii="Arial" w:cs="Arial" w:eastAsia="Arial" w:hAnsi="Arial"/>
          <w:sz w:val="22"/>
          <w:szCs w:val="22"/>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44" w:right="339" w:bottom="1440" w:gutter="0" w:footer="0" w:header="0"/>
        </w:sectPr>
      </w:pPr>
    </w:p>
    <w:bookmarkStart w:id="52" w:name="page53"/>
    <w:bookmarkEnd w:id="52"/>
    <w:p>
      <w:pPr>
        <w:ind w:left="852" w:hanging="852"/>
        <w:spacing w:after="0"/>
        <w:tabs>
          <w:tab w:leader="none" w:pos="85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77" w:lineRule="auto"/>
        <w:tabs>
          <w:tab w:leader="none" w:pos="1692"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except if the agreement is terminated earlier (i) for breach in accordance with Section 16(B) or (ii) automatically upon termination of the License Agreement, it will remain into effect for a period of two (2) years from the order of Bulk Drug Product served by the Company for the first commercial launch in any jurisdiction of the Territory, provided that this two (2) years period shall expire in any case on December 31</w:t>
      </w:r>
      <w:r>
        <w:rPr>
          <w:rFonts w:ascii="Arial" w:cs="Arial" w:eastAsia="Arial" w:hAnsi="Arial"/>
          <w:sz w:val="16"/>
          <w:szCs w:val="16"/>
          <w:color w:val="auto"/>
        </w:rPr>
        <w:t>st</w:t>
      </w:r>
      <w:r>
        <w:rPr>
          <w:rFonts w:ascii="Arial" w:cs="Arial" w:eastAsia="Arial" w:hAnsi="Arial"/>
          <w:sz w:val="19"/>
          <w:szCs w:val="19"/>
          <w:color w:val="auto"/>
        </w:rPr>
        <w:t>, 2023, except if otherwise agreed by the Parties (the “</w:t>
      </w:r>
      <w:r>
        <w:rPr>
          <w:rFonts w:ascii="Arial" w:cs="Arial" w:eastAsia="Arial" w:hAnsi="Arial"/>
          <w:sz w:val="19"/>
          <w:szCs w:val="19"/>
          <w:b w:val="1"/>
          <w:bCs w:val="1"/>
          <w:color w:val="auto"/>
        </w:rPr>
        <w:t>Term</w:t>
      </w:r>
      <w:r>
        <w:rPr>
          <w:rFonts w:ascii="Arial" w:cs="Arial" w:eastAsia="Arial" w:hAnsi="Arial"/>
          <w:sz w:val="19"/>
          <w:szCs w:val="19"/>
          <w:color w:val="auto"/>
        </w:rPr>
        <w:t>”). For the avoidance of doubt such first order of Bulk Drug Product shall be placed by the Company with Takeda during the calendar year 2021 by the latest.</w:t>
      </w:r>
    </w:p>
    <w:p>
      <w:pPr>
        <w:spacing w:after="0" w:line="151" w:lineRule="exact"/>
        <w:rPr>
          <w:rFonts w:ascii="Arial" w:cs="Arial" w:eastAsia="Arial" w:hAnsi="Arial"/>
          <w:sz w:val="19"/>
          <w:szCs w:val="19"/>
          <w:color w:val="auto"/>
        </w:rPr>
      </w:pPr>
    </w:p>
    <w:p>
      <w:pPr>
        <w:jc w:val="both"/>
        <w:ind w:left="1692" w:hanging="842"/>
        <w:spacing w:after="0"/>
        <w:tabs>
          <w:tab w:leader="none" w:pos="1692"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Material Breach</w:t>
      </w:r>
      <w:r>
        <w:rPr>
          <w:rFonts w:ascii="Arial" w:cs="Arial" w:eastAsia="Arial" w:hAnsi="Arial"/>
          <w:sz w:val="22"/>
          <w:szCs w:val="22"/>
          <w:color w:val="auto"/>
        </w:rPr>
        <w:t>. Either Party may terminate this Agreement upon the other Party’s failure to cure a material breach within the Cure Period. Takeda’s failure to deliver any Bulk Drug Product beyond the minimum order quantity will not be deemed a material breach of the Agreement.</w:t>
      </w:r>
    </w:p>
    <w:p>
      <w:pPr>
        <w:spacing w:after="0" w:line="186" w:lineRule="exact"/>
        <w:rPr>
          <w:rFonts w:ascii="Arial" w:cs="Arial" w:eastAsia="Arial" w:hAnsi="Arial"/>
          <w:sz w:val="22"/>
          <w:szCs w:val="22"/>
          <w:color w:val="auto"/>
        </w:rPr>
      </w:pPr>
    </w:p>
    <w:p>
      <w:pPr>
        <w:ind w:left="1692" w:hanging="842"/>
        <w:spacing w:after="0"/>
        <w:tabs>
          <w:tab w:leader="none" w:pos="1692"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Consequences of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572" w:hanging="858"/>
        <w:spacing w:after="0" w:line="257" w:lineRule="auto"/>
        <w:tabs>
          <w:tab w:leader="none" w:pos="2572" w:val="left"/>
        </w:tabs>
        <w:numPr>
          <w:ilvl w:val="2"/>
          <w:numId w:val="38"/>
        </w:numPr>
        <w:rPr>
          <w:rFonts w:ascii="Arial" w:cs="Arial" w:eastAsia="Arial" w:hAnsi="Arial"/>
          <w:sz w:val="19"/>
          <w:szCs w:val="19"/>
          <w:color w:val="auto"/>
        </w:rPr>
      </w:pPr>
      <w:r>
        <w:rPr>
          <w:rFonts w:ascii="Arial" w:cs="Arial" w:eastAsia="Arial" w:hAnsi="Arial"/>
          <w:sz w:val="21"/>
          <w:szCs w:val="21"/>
          <w:u w:val="single" w:color="auto"/>
          <w:color w:val="auto"/>
        </w:rPr>
        <w:t>Termination of the License Agreement for Takeda Breach</w:t>
      </w:r>
      <w:r>
        <w:rPr>
          <w:rFonts w:ascii="Arial" w:cs="Arial" w:eastAsia="Arial" w:hAnsi="Arial"/>
          <w:sz w:val="21"/>
          <w:szCs w:val="21"/>
          <w:color w:val="auto"/>
        </w:rPr>
        <w:t>. The following provisions shall apply if this Agreement is terminated by Company pursuant to Section 16(B) hereof or if the License Agreement is terminated by Company pursuant to Sections 13.2 or 13.5 thereof:</w:t>
      </w:r>
    </w:p>
    <w:p>
      <w:pPr>
        <w:spacing w:after="0" w:line="169" w:lineRule="exact"/>
        <w:rPr>
          <w:rFonts w:ascii="Arial" w:cs="Arial" w:eastAsia="Arial" w:hAnsi="Arial"/>
          <w:sz w:val="19"/>
          <w:szCs w:val="19"/>
          <w:color w:val="auto"/>
        </w:rPr>
      </w:pPr>
    </w:p>
    <w:p>
      <w:pPr>
        <w:ind w:left="3452" w:hanging="860"/>
        <w:spacing w:after="0"/>
        <w:tabs>
          <w:tab w:leader="none" w:pos="3452" w:val="left"/>
        </w:tabs>
        <w:numPr>
          <w:ilvl w:val="3"/>
          <w:numId w:val="38"/>
        </w:numPr>
        <w:rPr>
          <w:rFonts w:ascii="Arial" w:cs="Arial" w:eastAsia="Arial" w:hAnsi="Arial"/>
          <w:sz w:val="20"/>
          <w:szCs w:val="20"/>
          <w:color w:val="auto"/>
        </w:rPr>
      </w:pPr>
      <w:r>
        <w:rPr>
          <w:rFonts w:ascii="Arial" w:cs="Arial" w:eastAsia="Arial" w:hAnsi="Arial"/>
          <w:sz w:val="22"/>
          <w:szCs w:val="22"/>
          <w:color w:val="auto"/>
        </w:rPr>
        <w:t>Company may cancel any Purchase Order for Bulk Drug Product; and</w:t>
      </w:r>
    </w:p>
    <w:p>
      <w:pPr>
        <w:spacing w:after="0" w:line="206" w:lineRule="exact"/>
        <w:rPr>
          <w:rFonts w:ascii="Arial" w:cs="Arial" w:eastAsia="Arial" w:hAnsi="Arial"/>
          <w:sz w:val="20"/>
          <w:szCs w:val="20"/>
          <w:color w:val="auto"/>
        </w:rPr>
      </w:pPr>
    </w:p>
    <w:p>
      <w:pPr>
        <w:ind w:left="3452" w:hanging="860"/>
        <w:spacing w:after="0" w:line="250" w:lineRule="auto"/>
        <w:tabs>
          <w:tab w:leader="none" w:pos="3452" w:val="left"/>
        </w:tabs>
        <w:numPr>
          <w:ilvl w:val="3"/>
          <w:numId w:val="38"/>
        </w:numPr>
        <w:rPr>
          <w:rFonts w:ascii="Arial" w:cs="Arial" w:eastAsia="Arial" w:hAnsi="Arial"/>
          <w:sz w:val="20"/>
          <w:szCs w:val="20"/>
          <w:color w:val="auto"/>
        </w:rPr>
      </w:pPr>
      <w:r>
        <w:rPr>
          <w:rFonts w:ascii="Arial" w:cs="Arial" w:eastAsia="Arial" w:hAnsi="Arial"/>
          <w:sz w:val="22"/>
          <w:szCs w:val="22"/>
          <w:color w:val="auto"/>
        </w:rPr>
        <w:t>Company shall have no liability with respect to raw materials on hand or work in progress at Takeda as of the effective date of such termination.</w:t>
      </w:r>
    </w:p>
    <w:p>
      <w:pPr>
        <w:spacing w:after="0" w:line="175" w:lineRule="exact"/>
        <w:rPr>
          <w:sz w:val="20"/>
          <w:szCs w:val="20"/>
          <w:color w:val="auto"/>
        </w:rPr>
      </w:pPr>
    </w:p>
    <w:p>
      <w:pPr>
        <w:jc w:val="both"/>
        <w:ind w:left="2572" w:hanging="858"/>
        <w:spacing w:after="0" w:line="238" w:lineRule="auto"/>
        <w:tabs>
          <w:tab w:leader="none" w:pos="2572" w:val="left"/>
        </w:tabs>
        <w:numPr>
          <w:ilvl w:val="0"/>
          <w:numId w:val="39"/>
        </w:numPr>
        <w:rPr>
          <w:rFonts w:ascii="Arial" w:cs="Arial" w:eastAsia="Arial" w:hAnsi="Arial"/>
          <w:sz w:val="20"/>
          <w:szCs w:val="20"/>
          <w:color w:val="auto"/>
        </w:rPr>
      </w:pPr>
      <w:r>
        <w:rPr>
          <w:rFonts w:ascii="Arial" w:cs="Arial" w:eastAsia="Arial" w:hAnsi="Arial"/>
          <w:sz w:val="22"/>
          <w:szCs w:val="22"/>
          <w:u w:val="single" w:color="auto"/>
          <w:color w:val="auto"/>
        </w:rPr>
        <w:t>Other Terminations of the License Agreement</w:t>
      </w:r>
      <w:r>
        <w:rPr>
          <w:rFonts w:ascii="Arial" w:cs="Arial" w:eastAsia="Arial" w:hAnsi="Arial"/>
          <w:sz w:val="22"/>
          <w:szCs w:val="22"/>
          <w:color w:val="auto"/>
        </w:rPr>
        <w:t>. The following provisions shall apply if this Agreement is terminated by Takeda pursuant to Section 16(B) hereof or if the License Agreement is terminated by Takeda pursuant to Sections 13.2, 13.4, or 13.5 thereof or by Company pursuant to Section 13.3 thereof:</w:t>
      </w:r>
    </w:p>
    <w:p>
      <w:pPr>
        <w:spacing w:after="0" w:line="184" w:lineRule="exact"/>
        <w:rPr>
          <w:rFonts w:ascii="Arial" w:cs="Arial" w:eastAsia="Arial" w:hAnsi="Arial"/>
          <w:sz w:val="20"/>
          <w:szCs w:val="20"/>
          <w:color w:val="auto"/>
        </w:rPr>
      </w:pPr>
    </w:p>
    <w:p>
      <w:pPr>
        <w:jc w:val="both"/>
        <w:ind w:left="3452" w:hanging="860"/>
        <w:spacing w:after="0"/>
        <w:tabs>
          <w:tab w:leader="none" w:pos="3452" w:val="left"/>
        </w:tabs>
        <w:numPr>
          <w:ilvl w:val="1"/>
          <w:numId w:val="39"/>
        </w:numPr>
        <w:rPr>
          <w:rFonts w:ascii="Arial" w:cs="Arial" w:eastAsia="Arial" w:hAnsi="Arial"/>
          <w:sz w:val="20"/>
          <w:szCs w:val="20"/>
          <w:color w:val="auto"/>
        </w:rPr>
      </w:pPr>
      <w:r>
        <w:rPr>
          <w:rFonts w:ascii="Arial" w:cs="Arial" w:eastAsia="Arial" w:hAnsi="Arial"/>
          <w:sz w:val="22"/>
          <w:szCs w:val="22"/>
          <w:color w:val="auto"/>
        </w:rPr>
        <w:t>Following Company’s exercise of its rights under Section 13.6(f) of the License Agreement, Company shall, at Company’s expense and at Takeda’s election, destroy its remaining inventory of Bulk Drug Product or return it to Takeda; and</w:t>
      </w:r>
    </w:p>
    <w:p>
      <w:pPr>
        <w:spacing w:after="0" w:line="186" w:lineRule="exact"/>
        <w:rPr>
          <w:rFonts w:ascii="Arial" w:cs="Arial" w:eastAsia="Arial" w:hAnsi="Arial"/>
          <w:sz w:val="20"/>
          <w:szCs w:val="20"/>
          <w:color w:val="auto"/>
        </w:rPr>
      </w:pPr>
    </w:p>
    <w:p>
      <w:pPr>
        <w:jc w:val="both"/>
        <w:ind w:left="3452" w:hanging="860"/>
        <w:spacing w:after="0" w:line="249" w:lineRule="auto"/>
        <w:tabs>
          <w:tab w:leader="none" w:pos="3452" w:val="left"/>
        </w:tabs>
        <w:numPr>
          <w:ilvl w:val="1"/>
          <w:numId w:val="39"/>
        </w:numPr>
        <w:rPr>
          <w:rFonts w:ascii="Arial" w:cs="Arial" w:eastAsia="Arial" w:hAnsi="Arial"/>
          <w:sz w:val="19"/>
          <w:szCs w:val="19"/>
          <w:color w:val="auto"/>
        </w:rPr>
      </w:pPr>
      <w:r>
        <w:rPr>
          <w:rFonts w:ascii="Arial" w:cs="Arial" w:eastAsia="Arial" w:hAnsi="Arial"/>
          <w:sz w:val="21"/>
          <w:szCs w:val="21"/>
          <w:color w:val="auto"/>
        </w:rPr>
        <w:t>Company shall reimburse Takeda within thirty (30) days of the effective date of termination for the total direct cost of all Bulk Drug Product components, raw materials, work in process, the Purchase Price for Bulk Drug Product on hand (including related destruction expenses associated therewith), that were obtained or manufactured by or on behalf of Takeda or any Third Party Manufacturing Bulk</w:t>
      </w:r>
    </w:p>
    <w:p>
      <w:pPr>
        <w:spacing w:after="0" w:line="394" w:lineRule="exact"/>
        <w:rPr>
          <w:rFonts w:ascii="Arial" w:cs="Arial" w:eastAsia="Arial" w:hAnsi="Arial"/>
          <w:sz w:val="19"/>
          <w:szCs w:val="19"/>
          <w:color w:val="auto"/>
        </w:rPr>
      </w:pPr>
    </w:p>
    <w:p>
      <w:pPr>
        <w:ind w:left="5512" w:hanging="130"/>
        <w:spacing w:after="0"/>
        <w:tabs>
          <w:tab w:leader="none" w:pos="5512" w:val="left"/>
        </w:tabs>
        <w:numPr>
          <w:ilvl w:val="2"/>
          <w:numId w:val="39"/>
        </w:numPr>
        <w:rPr>
          <w:rFonts w:ascii="Arial" w:cs="Arial" w:eastAsia="Arial" w:hAnsi="Arial"/>
          <w:sz w:val="22"/>
          <w:szCs w:val="22"/>
          <w:color w:val="auto"/>
        </w:rPr>
      </w:pPr>
      <w:r>
        <w:rPr>
          <w:rFonts w:ascii="Arial" w:cs="Arial" w:eastAsia="Arial" w:hAnsi="Arial"/>
          <w:sz w:val="22"/>
          <w:szCs w:val="22"/>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53" w:name="page54"/>
    <w:bookmarkEnd w:id="53"/>
    <w:p>
      <w:pPr>
        <w:jc w:val="both"/>
        <w:ind w:left="3452"/>
        <w:spacing w:after="0" w:line="282" w:lineRule="auto"/>
        <w:rPr>
          <w:sz w:val="20"/>
          <w:szCs w:val="20"/>
          <w:color w:val="auto"/>
        </w:rPr>
      </w:pPr>
      <w:r>
        <w:rPr>
          <w:rFonts w:ascii="Arial" w:cs="Arial" w:eastAsia="Arial" w:hAnsi="Arial"/>
          <w:sz w:val="19"/>
          <w:szCs w:val="19"/>
          <w:color w:val="auto"/>
        </w:rPr>
        <w:t>Drug Product on its behalf to meet Company’s Purchase Order submitted to Takeda on or before the effective date of termination of this Agreement, except to the extent that Takeda, using commercially reasonable efforts, is able to incorporate, integrate or otherwise use such components, raw materials, work-in-progress including any Bulk Drug Product, in the normal course of Takeda’s business operations.</w:t>
      </w:r>
    </w:p>
    <w:p>
      <w:pPr>
        <w:spacing w:after="0" w:line="147" w:lineRule="exact"/>
        <w:rPr>
          <w:sz w:val="20"/>
          <w:szCs w:val="20"/>
          <w:color w:val="auto"/>
        </w:rPr>
      </w:pPr>
    </w:p>
    <w:p>
      <w:pPr>
        <w:jc w:val="both"/>
        <w:ind w:left="1692" w:hanging="842"/>
        <w:spacing w:after="0" w:line="275" w:lineRule="auto"/>
        <w:tabs>
          <w:tab w:leader="none" w:pos="1692"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Survival of Obligations</w:t>
      </w:r>
      <w:r>
        <w:rPr>
          <w:rFonts w:ascii="Arial" w:cs="Arial" w:eastAsia="Arial" w:hAnsi="Arial"/>
          <w:sz w:val="19"/>
          <w:szCs w:val="19"/>
          <w:color w:val="auto"/>
        </w:rPr>
        <w:t>. Termination or expiration of this Agreement shall not relieve a Party of any obligation to make a payment that was owed prior to or on the effective date of such termination, including amounts invoiced prior to such termination or expiration, nor prejudice either Party’s right to obtain performance of any obligation provided for in this Agreement that expressly survives termination or expiration. All provisions of this Agreement that, in accordance with their terms, are intended to have effect after the expiration or termination of this Agreement shall survive such termination or expiration, including Sections 1, 3, 4 (solely to the extent necessary to fulfill any obligation to a Regulatory Authority after termination or expiration), 8, 9, 10, 12, 13, 14, 15, 16(C), 16(D), 16(E), and 17.</w:t>
      </w:r>
    </w:p>
    <w:p>
      <w:pPr>
        <w:spacing w:after="0" w:line="157" w:lineRule="exact"/>
        <w:rPr>
          <w:rFonts w:ascii="Arial" w:cs="Arial" w:eastAsia="Arial" w:hAnsi="Arial"/>
          <w:sz w:val="19"/>
          <w:szCs w:val="19"/>
          <w:color w:val="auto"/>
        </w:rPr>
      </w:pPr>
    </w:p>
    <w:p>
      <w:pPr>
        <w:ind w:left="1692" w:right="20" w:hanging="842"/>
        <w:spacing w:after="0" w:line="274" w:lineRule="auto"/>
        <w:tabs>
          <w:tab w:leader="none" w:pos="1692"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Except as otherwise expressly provided herein, exercise by a Party of its rights under this Section 16 shall not limit remedies which may otherwise be available to a Party in law or equity.</w:t>
      </w:r>
    </w:p>
    <w:p>
      <w:pPr>
        <w:spacing w:after="0" w:line="150" w:lineRule="exact"/>
        <w:rPr>
          <w:rFonts w:ascii="Arial" w:cs="Arial" w:eastAsia="Arial" w:hAnsi="Arial"/>
          <w:sz w:val="21"/>
          <w:szCs w:val="21"/>
          <w:color w:val="auto"/>
        </w:rPr>
      </w:pPr>
    </w:p>
    <w:p>
      <w:pPr>
        <w:ind w:left="852" w:hanging="852"/>
        <w:spacing w:after="0"/>
        <w:tabs>
          <w:tab w:leader="none" w:pos="852"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692" w:hanging="842"/>
        <w:spacing w:after="0" w:line="287" w:lineRule="auto"/>
        <w:tabs>
          <w:tab w:leader="none" w:pos="1692" w:val="left"/>
        </w:tabs>
        <w:numPr>
          <w:ilvl w:val="1"/>
          <w:numId w:val="41"/>
        </w:numPr>
        <w:rPr>
          <w:rFonts w:ascii="Arial" w:cs="Arial" w:eastAsia="Arial" w:hAnsi="Arial"/>
          <w:sz w:val="19"/>
          <w:szCs w:val="19"/>
          <w:color w:val="auto"/>
        </w:rPr>
      </w:pPr>
      <w:r>
        <w:rPr>
          <w:rFonts w:ascii="Arial" w:cs="Arial" w:eastAsia="Arial" w:hAnsi="Arial"/>
          <w:sz w:val="19"/>
          <w:szCs w:val="19"/>
          <w:color w:val="auto"/>
        </w:rPr>
        <w:t>Any notice, request, or other communication permitted or required under this Agreement shall be in writing, shall refer specifically to this Agreement and shall be hand delivered or sent by a recognized overnight delivery service, expenses prepaid, or by facsimile (with transmission confirmed), to the following addresses or to such other addresses as a Party may designate by written notice in accordance with this Section 17(A):</w:t>
      </w:r>
    </w:p>
    <w:p>
      <w:pPr>
        <w:spacing w:after="0" w:line="35" w:lineRule="exact"/>
        <w:rPr>
          <w:sz w:val="20"/>
          <w:szCs w:val="20"/>
          <w:color w:val="auto"/>
        </w:rPr>
      </w:pPr>
    </w:p>
    <w:p>
      <w:pPr>
        <w:ind w:left="1732"/>
        <w:spacing w:after="0"/>
        <w:rPr>
          <w:sz w:val="20"/>
          <w:szCs w:val="20"/>
          <w:color w:val="auto"/>
        </w:rPr>
      </w:pPr>
      <w:r>
        <w:rPr>
          <w:rFonts w:ascii="Arial" w:cs="Arial" w:eastAsia="Arial" w:hAnsi="Arial"/>
          <w:sz w:val="22"/>
          <w:szCs w:val="22"/>
          <w:color w:val="auto"/>
        </w:rPr>
        <w:t>If to Takeda:</w:t>
      </w:r>
    </w:p>
    <w:p>
      <w:pPr>
        <w:spacing w:after="0" w:line="206" w:lineRule="exact"/>
        <w:rPr>
          <w:sz w:val="20"/>
          <w:szCs w:val="20"/>
          <w:color w:val="auto"/>
        </w:rPr>
      </w:pPr>
    </w:p>
    <w:p>
      <w:pPr>
        <w:ind w:left="2152"/>
        <w:spacing w:after="0"/>
        <w:rPr>
          <w:sz w:val="20"/>
          <w:szCs w:val="20"/>
          <w:color w:val="auto"/>
        </w:rPr>
      </w:pPr>
      <w:r>
        <w:rPr>
          <w:rFonts w:ascii="Arial" w:cs="Arial" w:eastAsia="Arial" w:hAnsi="Arial"/>
          <w:sz w:val="22"/>
          <w:szCs w:val="22"/>
          <w:color w:val="auto"/>
        </w:rPr>
        <w:t>Takeda Pharmaceutical Company Limited</w:t>
      </w:r>
    </w:p>
    <w:p>
      <w:pPr>
        <w:ind w:left="2152"/>
        <w:spacing w:after="0" w:line="238" w:lineRule="auto"/>
        <w:rPr>
          <w:sz w:val="20"/>
          <w:szCs w:val="20"/>
          <w:color w:val="auto"/>
        </w:rPr>
      </w:pPr>
      <w:r>
        <w:rPr>
          <w:rFonts w:ascii="Arial" w:cs="Arial" w:eastAsia="Arial" w:hAnsi="Arial"/>
          <w:sz w:val="22"/>
          <w:szCs w:val="22"/>
          <w:color w:val="auto"/>
        </w:rPr>
        <w:t>2-17-85 Jusohonmachi</w:t>
      </w:r>
    </w:p>
    <w:p>
      <w:pPr>
        <w:ind w:left="2152"/>
        <w:spacing w:after="0" w:line="230" w:lineRule="auto"/>
        <w:rPr>
          <w:sz w:val="20"/>
          <w:szCs w:val="20"/>
          <w:color w:val="auto"/>
        </w:rPr>
      </w:pPr>
      <w:r>
        <w:rPr>
          <w:rFonts w:ascii="Arial" w:cs="Arial" w:eastAsia="Arial" w:hAnsi="Arial"/>
          <w:sz w:val="22"/>
          <w:szCs w:val="22"/>
          <w:color w:val="auto"/>
        </w:rPr>
        <w:t>Yodogawa-ku, Osaka 532-8686</w:t>
      </w:r>
    </w:p>
    <w:p>
      <w:pPr>
        <w:spacing w:after="0" w:line="1" w:lineRule="exact"/>
        <w:rPr>
          <w:sz w:val="20"/>
          <w:szCs w:val="20"/>
          <w:color w:val="auto"/>
        </w:rPr>
      </w:pPr>
    </w:p>
    <w:p>
      <w:pPr>
        <w:ind w:left="2152"/>
        <w:spacing w:after="0"/>
        <w:rPr>
          <w:sz w:val="20"/>
          <w:szCs w:val="20"/>
          <w:color w:val="auto"/>
        </w:rPr>
      </w:pPr>
      <w:r>
        <w:rPr>
          <w:rFonts w:ascii="Arial" w:cs="Arial" w:eastAsia="Arial" w:hAnsi="Arial"/>
          <w:sz w:val="22"/>
          <w:szCs w:val="22"/>
          <w:color w:val="auto"/>
        </w:rPr>
        <w:t>Attention: GMS TPC SC Manager</w:t>
      </w:r>
    </w:p>
    <w:p>
      <w:pPr>
        <w:spacing w:after="0" w:line="188" w:lineRule="exact"/>
        <w:rPr>
          <w:sz w:val="20"/>
          <w:szCs w:val="20"/>
          <w:color w:val="auto"/>
        </w:rPr>
      </w:pPr>
    </w:p>
    <w:p>
      <w:pPr>
        <w:ind w:left="1732"/>
        <w:spacing w:after="0"/>
        <w:rPr>
          <w:sz w:val="20"/>
          <w:szCs w:val="20"/>
          <w:color w:val="auto"/>
        </w:rPr>
      </w:pPr>
      <w:r>
        <w:rPr>
          <w:rFonts w:ascii="Arial" w:cs="Arial" w:eastAsia="Arial" w:hAnsi="Arial"/>
          <w:sz w:val="22"/>
          <w:szCs w:val="22"/>
          <w:color w:val="auto"/>
        </w:rPr>
        <w:t>Copy to (which alone shall not constitute sufficient notice):</w:t>
      </w:r>
    </w:p>
    <w:p>
      <w:pPr>
        <w:spacing w:after="0" w:line="206" w:lineRule="exact"/>
        <w:rPr>
          <w:sz w:val="20"/>
          <w:szCs w:val="20"/>
          <w:color w:val="auto"/>
        </w:rPr>
      </w:pPr>
    </w:p>
    <w:p>
      <w:pPr>
        <w:ind w:left="2152"/>
        <w:spacing w:after="0"/>
        <w:rPr>
          <w:sz w:val="20"/>
          <w:szCs w:val="20"/>
          <w:color w:val="auto"/>
        </w:rPr>
      </w:pPr>
      <w:r>
        <w:rPr>
          <w:rFonts w:ascii="Arial" w:cs="Arial" w:eastAsia="Arial" w:hAnsi="Arial"/>
          <w:sz w:val="22"/>
          <w:szCs w:val="22"/>
          <w:color w:val="auto"/>
        </w:rPr>
        <w:t>Takeda Pharmaceuticals International AG</w:t>
      </w:r>
    </w:p>
    <w:p>
      <w:pPr>
        <w:ind w:left="2152"/>
        <w:spacing w:after="0" w:line="238" w:lineRule="auto"/>
        <w:rPr>
          <w:sz w:val="20"/>
          <w:szCs w:val="20"/>
          <w:color w:val="auto"/>
        </w:rPr>
      </w:pPr>
      <w:r>
        <w:rPr>
          <w:rFonts w:ascii="Arial" w:cs="Arial" w:eastAsia="Arial" w:hAnsi="Arial"/>
          <w:sz w:val="22"/>
          <w:szCs w:val="22"/>
          <w:color w:val="auto"/>
        </w:rPr>
        <w:t>Thurgaurstrasse 130</w:t>
      </w:r>
    </w:p>
    <w:p>
      <w:pPr>
        <w:ind w:left="2152"/>
        <w:spacing w:after="0" w:line="230" w:lineRule="auto"/>
        <w:rPr>
          <w:sz w:val="20"/>
          <w:szCs w:val="20"/>
          <w:color w:val="auto"/>
        </w:rPr>
      </w:pPr>
      <w:r>
        <w:rPr>
          <w:rFonts w:ascii="Arial" w:cs="Arial" w:eastAsia="Arial" w:hAnsi="Arial"/>
          <w:sz w:val="22"/>
          <w:szCs w:val="22"/>
          <w:color w:val="auto"/>
        </w:rPr>
        <w:t>8152 Galttpark-Opfikon (Zurich).</w:t>
      </w:r>
    </w:p>
    <w:p>
      <w:pPr>
        <w:ind w:left="2152"/>
        <w:spacing w:after="0" w:line="231" w:lineRule="auto"/>
        <w:rPr>
          <w:sz w:val="20"/>
          <w:szCs w:val="20"/>
          <w:color w:val="auto"/>
        </w:rPr>
      </w:pPr>
      <w:r>
        <w:rPr>
          <w:rFonts w:ascii="Arial" w:cs="Arial" w:eastAsia="Arial" w:hAnsi="Arial"/>
          <w:sz w:val="22"/>
          <w:szCs w:val="22"/>
          <w:color w:val="auto"/>
        </w:rPr>
        <w:t>Attention: Regional General Counsel, Legal Department</w:t>
      </w:r>
    </w:p>
    <w:p>
      <w:pPr>
        <w:ind w:left="2152"/>
        <w:spacing w:after="0"/>
        <w:rPr>
          <w:sz w:val="20"/>
          <w:szCs w:val="20"/>
          <w:color w:val="auto"/>
        </w:rPr>
      </w:pPr>
      <w:r>
        <w:rPr>
          <w:rFonts w:ascii="Arial" w:cs="Arial" w:eastAsia="Arial" w:hAnsi="Arial"/>
          <w:sz w:val="22"/>
          <w:szCs w:val="22"/>
          <w:color w:val="auto"/>
        </w:rPr>
        <w:t>Email: [***]</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54" w:name="page55"/>
    <w:bookmarkEnd w:id="54"/>
    <w:p>
      <w:pPr>
        <w:ind w:left="882"/>
        <w:spacing w:after="0"/>
        <w:rPr>
          <w:sz w:val="20"/>
          <w:szCs w:val="20"/>
          <w:color w:val="auto"/>
        </w:rPr>
      </w:pPr>
      <w:r>
        <w:rPr>
          <w:rFonts w:ascii="Arial" w:cs="Arial" w:eastAsia="Arial" w:hAnsi="Arial"/>
          <w:sz w:val="22"/>
          <w:szCs w:val="22"/>
          <w:color w:val="auto"/>
        </w:rPr>
        <w:t>If to Company:</w:t>
      </w:r>
    </w:p>
    <w:p>
      <w:pPr>
        <w:spacing w:after="0" w:line="206"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Phathom Pharmaceuticals, Inc.</w:t>
      </w:r>
    </w:p>
    <w:p>
      <w:pPr>
        <w:ind w:left="1302"/>
        <w:spacing w:after="0" w:line="238" w:lineRule="auto"/>
        <w:rPr>
          <w:sz w:val="20"/>
          <w:szCs w:val="20"/>
          <w:color w:val="auto"/>
        </w:rPr>
      </w:pPr>
      <w:r>
        <w:rPr>
          <w:rFonts w:ascii="Arial" w:cs="Arial" w:eastAsia="Arial" w:hAnsi="Arial"/>
          <w:sz w:val="22"/>
          <w:szCs w:val="22"/>
          <w:color w:val="auto"/>
        </w:rPr>
        <w:t>2150 East Lake Cook Drive, Suite 800</w:t>
      </w:r>
    </w:p>
    <w:p>
      <w:pPr>
        <w:ind w:left="1302"/>
        <w:spacing w:after="0" w:line="230" w:lineRule="auto"/>
        <w:rPr>
          <w:sz w:val="20"/>
          <w:szCs w:val="20"/>
          <w:color w:val="auto"/>
        </w:rPr>
      </w:pPr>
      <w:r>
        <w:rPr>
          <w:rFonts w:ascii="Arial" w:cs="Arial" w:eastAsia="Arial" w:hAnsi="Arial"/>
          <w:sz w:val="22"/>
          <w:szCs w:val="22"/>
          <w:color w:val="auto"/>
        </w:rPr>
        <w:t>Buffalo Grove, IL 60089, U.S.A.</w:t>
      </w:r>
    </w:p>
    <w:p>
      <w:pPr>
        <w:spacing w:after="0" w:line="1"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Attention: Chief Operating Officer</w:t>
      </w:r>
    </w:p>
    <w:p>
      <w:pPr>
        <w:spacing w:after="0" w:line="188" w:lineRule="exact"/>
        <w:rPr>
          <w:sz w:val="20"/>
          <w:szCs w:val="20"/>
          <w:color w:val="auto"/>
        </w:rPr>
      </w:pPr>
    </w:p>
    <w:p>
      <w:pPr>
        <w:ind w:left="882"/>
        <w:spacing w:after="0"/>
        <w:rPr>
          <w:sz w:val="20"/>
          <w:szCs w:val="20"/>
          <w:color w:val="auto"/>
        </w:rPr>
      </w:pPr>
      <w:r>
        <w:rPr>
          <w:rFonts w:ascii="Arial" w:cs="Arial" w:eastAsia="Arial" w:hAnsi="Arial"/>
          <w:sz w:val="22"/>
          <w:szCs w:val="22"/>
          <w:color w:val="auto"/>
        </w:rPr>
        <w:t>Copy to (which alone shall not constitute sufficient notice):</w:t>
      </w:r>
    </w:p>
    <w:p>
      <w:pPr>
        <w:spacing w:after="0" w:line="206"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Phathom Pharmaceuticals, Inc.</w:t>
      </w:r>
    </w:p>
    <w:p>
      <w:pPr>
        <w:ind w:left="1302"/>
        <w:spacing w:after="0" w:line="238" w:lineRule="auto"/>
        <w:rPr>
          <w:sz w:val="20"/>
          <w:szCs w:val="20"/>
          <w:color w:val="auto"/>
        </w:rPr>
      </w:pPr>
      <w:r>
        <w:rPr>
          <w:rFonts w:ascii="Arial" w:cs="Arial" w:eastAsia="Arial" w:hAnsi="Arial"/>
          <w:sz w:val="22"/>
          <w:szCs w:val="22"/>
          <w:color w:val="auto"/>
        </w:rPr>
        <w:t>100 Campus Drive, Suite 102</w:t>
      </w:r>
    </w:p>
    <w:p>
      <w:pPr>
        <w:ind w:left="1302"/>
        <w:spacing w:after="0" w:line="230" w:lineRule="auto"/>
        <w:rPr>
          <w:sz w:val="20"/>
          <w:szCs w:val="20"/>
          <w:color w:val="auto"/>
        </w:rPr>
      </w:pPr>
      <w:r>
        <w:rPr>
          <w:rFonts w:ascii="Arial" w:cs="Arial" w:eastAsia="Arial" w:hAnsi="Arial"/>
          <w:sz w:val="22"/>
          <w:szCs w:val="22"/>
          <w:color w:val="auto"/>
        </w:rPr>
        <w:t>Florham Park, NJ 07932, U.S.A.</w:t>
      </w:r>
    </w:p>
    <w:p>
      <w:pPr>
        <w:ind w:left="1302"/>
        <w:spacing w:after="0" w:line="231" w:lineRule="auto"/>
        <w:rPr>
          <w:sz w:val="20"/>
          <w:szCs w:val="20"/>
          <w:color w:val="auto"/>
        </w:rPr>
      </w:pPr>
      <w:r>
        <w:rPr>
          <w:rFonts w:ascii="Arial" w:cs="Arial" w:eastAsia="Arial" w:hAnsi="Arial"/>
          <w:sz w:val="22"/>
          <w:szCs w:val="22"/>
          <w:color w:val="auto"/>
        </w:rPr>
        <w:t>Attention: General Counsel</w:t>
      </w:r>
    </w:p>
    <w:p>
      <w:pPr>
        <w:ind w:left="1302"/>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Latham &amp; Watkins LLP</w:t>
      </w:r>
    </w:p>
    <w:p>
      <w:pPr>
        <w:ind w:left="1302"/>
        <w:spacing w:after="0" w:line="238" w:lineRule="auto"/>
        <w:rPr>
          <w:sz w:val="20"/>
          <w:szCs w:val="20"/>
          <w:color w:val="auto"/>
        </w:rPr>
      </w:pPr>
      <w:r>
        <w:rPr>
          <w:rFonts w:ascii="Arial" w:cs="Arial" w:eastAsia="Arial" w:hAnsi="Arial"/>
          <w:sz w:val="22"/>
          <w:szCs w:val="22"/>
          <w:color w:val="auto"/>
        </w:rPr>
        <w:t>12670 High Bluff Drive</w:t>
      </w:r>
    </w:p>
    <w:p>
      <w:pPr>
        <w:ind w:left="1302"/>
        <w:spacing w:after="0" w:line="230" w:lineRule="auto"/>
        <w:rPr>
          <w:sz w:val="20"/>
          <w:szCs w:val="20"/>
          <w:color w:val="auto"/>
        </w:rPr>
      </w:pPr>
      <w:r>
        <w:rPr>
          <w:rFonts w:ascii="Arial" w:cs="Arial" w:eastAsia="Arial" w:hAnsi="Arial"/>
          <w:sz w:val="22"/>
          <w:szCs w:val="22"/>
          <w:color w:val="auto"/>
        </w:rPr>
        <w:t>San Diego, CA 92103, U.S.A.</w:t>
      </w:r>
    </w:p>
    <w:p>
      <w:pPr>
        <w:ind w:left="1302"/>
        <w:spacing w:after="0" w:line="231" w:lineRule="auto"/>
        <w:rPr>
          <w:sz w:val="20"/>
          <w:szCs w:val="20"/>
          <w:color w:val="auto"/>
        </w:rPr>
      </w:pPr>
      <w:r>
        <w:rPr>
          <w:rFonts w:ascii="Arial" w:cs="Arial" w:eastAsia="Arial" w:hAnsi="Arial"/>
          <w:sz w:val="22"/>
          <w:szCs w:val="22"/>
          <w:color w:val="auto"/>
        </w:rPr>
        <w:t>Attention: Cheston J. Larson</w:t>
      </w:r>
    </w:p>
    <w:p>
      <w:pPr>
        <w:ind w:left="1302"/>
        <w:spacing w:after="0" w:line="230" w:lineRule="auto"/>
        <w:rPr>
          <w:sz w:val="20"/>
          <w:szCs w:val="20"/>
          <w:color w:val="auto"/>
        </w:rPr>
      </w:pPr>
      <w:r>
        <w:rPr>
          <w:rFonts w:ascii="Arial" w:cs="Arial" w:eastAsia="Arial" w:hAnsi="Arial"/>
          <w:sz w:val="22"/>
          <w:szCs w:val="22"/>
          <w:color w:val="auto"/>
        </w:rPr>
        <w:t>Email: [***]</w:t>
      </w:r>
    </w:p>
    <w:p>
      <w:pPr>
        <w:spacing w:after="0" w:line="1" w:lineRule="exact"/>
        <w:rPr>
          <w:sz w:val="20"/>
          <w:szCs w:val="20"/>
          <w:color w:val="auto"/>
        </w:rPr>
      </w:pPr>
    </w:p>
    <w:p>
      <w:pPr>
        <w:ind w:left="1302"/>
        <w:spacing w:after="0"/>
        <w:rPr>
          <w:sz w:val="20"/>
          <w:szCs w:val="20"/>
          <w:color w:val="auto"/>
        </w:rPr>
      </w:pPr>
      <w:r>
        <w:rPr>
          <w:rFonts w:ascii="Arial" w:cs="Arial" w:eastAsia="Arial" w:hAnsi="Arial"/>
          <w:sz w:val="22"/>
          <w:szCs w:val="22"/>
          <w:color w:val="auto"/>
        </w:rPr>
        <w:t>Facsimile No.: (858) 523-5450</w:t>
      </w:r>
    </w:p>
    <w:p>
      <w:pPr>
        <w:spacing w:after="0" w:line="182" w:lineRule="exact"/>
        <w:rPr>
          <w:sz w:val="20"/>
          <w:szCs w:val="20"/>
          <w:color w:val="auto"/>
        </w:rPr>
      </w:pPr>
    </w:p>
    <w:p>
      <w:pPr>
        <w:jc w:val="both"/>
        <w:ind w:left="842" w:hanging="842"/>
        <w:spacing w:after="0" w:line="235" w:lineRule="auto"/>
        <w:tabs>
          <w:tab w:leader="none" w:pos="842"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Designation of Affiliates</w:t>
      </w:r>
      <w:r>
        <w:rPr>
          <w:rFonts w:ascii="Arial" w:cs="Arial" w:eastAsia="Arial" w:hAnsi="Arial"/>
          <w:sz w:val="22"/>
          <w:szCs w:val="22"/>
          <w:color w:val="auto"/>
        </w:rPr>
        <w:t>. Each Party may discharge any obligations and exercise any rights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delegation of its obligations or rights to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83" w:lineRule="exact"/>
        <w:rPr>
          <w:rFonts w:ascii="Arial" w:cs="Arial" w:eastAsia="Arial" w:hAnsi="Arial"/>
          <w:sz w:val="22"/>
          <w:szCs w:val="22"/>
          <w:color w:val="auto"/>
        </w:rPr>
      </w:pPr>
    </w:p>
    <w:p>
      <w:pPr>
        <w:jc w:val="both"/>
        <w:ind w:left="842" w:hanging="842"/>
        <w:spacing w:after="0" w:line="276" w:lineRule="auto"/>
        <w:tabs>
          <w:tab w:leader="none" w:pos="842"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Force Majeure</w:t>
      </w:r>
      <w:r>
        <w:rPr>
          <w:rFonts w:ascii="Arial" w:cs="Arial" w:eastAsia="Arial" w:hAnsi="Arial"/>
          <w:sz w:val="19"/>
          <w:szCs w:val="19"/>
          <w:color w:val="auto"/>
        </w:rPr>
        <w:t>. Both Parties shall be excused from the performance of their obligations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Notwithstanding the foregoing, a Party shall not be excused from making payments owed hereunder because of a Force Majeure affecting such Party. If a Force Majeure persists for more than ninety (90) days, then the Parties shall discuss in good faith the modification of the Parties’ obligations under this Agreement in order to mitigate the delays caused by such Force Majeure.</w:t>
      </w:r>
    </w:p>
    <w:p>
      <w:pPr>
        <w:spacing w:after="0" w:line="371" w:lineRule="exact"/>
        <w:rPr>
          <w:rFonts w:ascii="Arial" w:cs="Arial" w:eastAsia="Arial" w:hAnsi="Arial"/>
          <w:sz w:val="19"/>
          <w:szCs w:val="19"/>
          <w:color w:val="auto"/>
        </w:rPr>
      </w:pPr>
    </w:p>
    <w:p>
      <w:pPr>
        <w:ind w:left="4662" w:hanging="130"/>
        <w:spacing w:after="0"/>
        <w:tabs>
          <w:tab w:leader="none" w:pos="4662" w:val="left"/>
        </w:tabs>
        <w:numPr>
          <w:ilvl w:val="1"/>
          <w:numId w:val="42"/>
        </w:numPr>
        <w:rPr>
          <w:rFonts w:ascii="Arial" w:cs="Arial" w:eastAsia="Arial" w:hAnsi="Arial"/>
          <w:sz w:val="22"/>
          <w:szCs w:val="22"/>
          <w:color w:val="auto"/>
        </w:rPr>
      </w:pPr>
      <w:r>
        <w:rPr>
          <w:rFonts w:ascii="Arial" w:cs="Arial" w:eastAsia="Arial" w:hAnsi="Arial"/>
          <w:sz w:val="22"/>
          <w:szCs w:val="22"/>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55" w:name="page56"/>
    <w:bookmarkEnd w:id="55"/>
    <w:p>
      <w:pPr>
        <w:jc w:val="both"/>
        <w:ind w:left="842" w:hanging="842"/>
        <w:spacing w:after="0" w:line="273" w:lineRule="auto"/>
        <w:tabs>
          <w:tab w:leader="none" w:pos="842"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Assignment</w:t>
      </w:r>
      <w:r>
        <w:rPr>
          <w:rFonts w:ascii="Arial" w:cs="Arial" w:eastAsia="Arial" w:hAnsi="Arial"/>
          <w:sz w:val="19"/>
          <w:szCs w:val="19"/>
          <w:color w:val="auto"/>
        </w:rPr>
        <w:t>. Neither Party may assign or transfer this Agreement or any rights or obligations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prior written consent of the other Party (which consent shall not be unreasonably withheld, conditioned or delayed), except that either Party may assign this Agreement without the other Party’s consent to (i) any Affiliate, or (ii) to a Third Party successor to all or substantially all of the business of such Party to which this Agreement relates, whether in a merger, sale of stock or units, sale of assets or other transaction, but only if the assigning Party has also assigned, in accordance with the terms thereof, the License Agreement to such Third Party successor. Any other assignment or transfer shall require the prior written consent of the other Party (which consent shall not be unreasonably withheld, conditioned or delayed). Any successor or assignee of rights and/or obligations permitted hereunder shall, in writing to the other Party, expressly assume performance of such rights and/or obligations. Any permitted assignment shall be binding on the successors of the assigning Party. Any assignment or attempted assignment by either Party in violation of the terms of this Section shall be null, void and of no legal effect.</w:t>
      </w:r>
    </w:p>
    <w:p>
      <w:pPr>
        <w:spacing w:after="0" w:line="149" w:lineRule="exact"/>
        <w:rPr>
          <w:rFonts w:ascii="Arial" w:cs="Arial" w:eastAsia="Arial" w:hAnsi="Arial"/>
          <w:sz w:val="19"/>
          <w:szCs w:val="19"/>
          <w:color w:val="auto"/>
        </w:rPr>
      </w:pPr>
    </w:p>
    <w:p>
      <w:pPr>
        <w:jc w:val="both"/>
        <w:ind w:left="842" w:hanging="842"/>
        <w:spacing w:after="0" w:line="236" w:lineRule="auto"/>
        <w:tabs>
          <w:tab w:leader="none" w:pos="842"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one or more of the provisions of this Agreement is held to be invalid or unenforceable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81" w:lineRule="exact"/>
        <w:rPr>
          <w:rFonts w:ascii="Arial" w:cs="Arial" w:eastAsia="Arial" w:hAnsi="Arial"/>
          <w:sz w:val="22"/>
          <w:szCs w:val="22"/>
          <w:color w:val="auto"/>
        </w:rPr>
      </w:pPr>
    </w:p>
    <w:p>
      <w:pPr>
        <w:jc w:val="both"/>
        <w:ind w:left="842" w:hanging="842"/>
        <w:spacing w:after="0" w:line="247" w:lineRule="auto"/>
        <w:tabs>
          <w:tab w:leader="none" w:pos="842" w:val="left"/>
        </w:tabs>
        <w:numPr>
          <w:ilvl w:val="0"/>
          <w:numId w:val="43"/>
        </w:numPr>
        <w:rPr>
          <w:rFonts w:ascii="Arial" w:cs="Arial" w:eastAsia="Arial" w:hAnsi="Arial"/>
          <w:sz w:val="21"/>
          <w:szCs w:val="21"/>
          <w:color w:val="auto"/>
        </w:rPr>
      </w:pPr>
      <w:r>
        <w:rPr>
          <w:rFonts w:ascii="Arial" w:cs="Arial" w:eastAsia="Arial" w:hAnsi="Arial"/>
          <w:sz w:val="21"/>
          <w:szCs w:val="21"/>
          <w:b w:val="1"/>
          <w:bCs w:val="1"/>
          <w:color w:val="auto"/>
        </w:rPr>
        <w:t>Waiver and Non-Exclusion of Remedies</w:t>
      </w:r>
      <w:r>
        <w:rPr>
          <w:rFonts w:ascii="Arial" w:cs="Arial" w:eastAsia="Arial" w:hAnsi="Arial"/>
          <w:sz w:val="21"/>
          <w:szCs w:val="21"/>
          <w:color w:val="auto"/>
        </w:rPr>
        <w:t>. Any term or condition of this Agreement may be waived at any</w:t>
      </w:r>
      <w:r>
        <w:rPr>
          <w:rFonts w:ascii="Arial" w:cs="Arial" w:eastAsia="Arial" w:hAnsi="Arial"/>
          <w:sz w:val="21"/>
          <w:szCs w:val="21"/>
          <w:b w:val="1"/>
          <w:bCs w:val="1"/>
          <w:color w:val="auto"/>
        </w:rPr>
        <w:t xml:space="preserve"> </w:t>
      </w:r>
      <w:r>
        <w:rPr>
          <w:rFonts w:ascii="Arial" w:cs="Arial" w:eastAsia="Arial" w:hAnsi="Arial"/>
          <w:sz w:val="21"/>
          <w:szCs w:val="21"/>
          <w:color w:val="auto"/>
        </w:rPr>
        <w:t>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71" w:lineRule="exact"/>
        <w:rPr>
          <w:rFonts w:ascii="Arial" w:cs="Arial" w:eastAsia="Arial" w:hAnsi="Arial"/>
          <w:sz w:val="21"/>
          <w:szCs w:val="21"/>
          <w:color w:val="auto"/>
        </w:rPr>
      </w:pPr>
    </w:p>
    <w:p>
      <w:pPr>
        <w:jc w:val="both"/>
        <w:ind w:left="842" w:hanging="842"/>
        <w:spacing w:after="0" w:line="237" w:lineRule="auto"/>
        <w:tabs>
          <w:tab w:leader="none" w:pos="842"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Further Assurance</w:t>
      </w:r>
      <w:r>
        <w:rPr>
          <w:rFonts w:ascii="Arial" w:cs="Arial" w:eastAsia="Arial" w:hAnsi="Arial"/>
          <w:sz w:val="22"/>
          <w:szCs w:val="22"/>
          <w:color w:val="auto"/>
        </w:rPr>
        <w:t>. Each Party shall duly execute and deliver, or cause to be duly executed and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w:t>
      </w:r>
    </w:p>
    <w:p>
      <w:pPr>
        <w:spacing w:after="0" w:line="181" w:lineRule="exact"/>
        <w:rPr>
          <w:rFonts w:ascii="Arial" w:cs="Arial" w:eastAsia="Arial" w:hAnsi="Arial"/>
          <w:sz w:val="22"/>
          <w:szCs w:val="22"/>
          <w:color w:val="auto"/>
        </w:rPr>
      </w:pPr>
    </w:p>
    <w:p>
      <w:pPr>
        <w:jc w:val="both"/>
        <w:ind w:left="842" w:hanging="842"/>
        <w:spacing w:after="0" w:line="300" w:lineRule="auto"/>
        <w:tabs>
          <w:tab w:leader="none" w:pos="842"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Relationship of the Parties</w:t>
      </w:r>
      <w:r>
        <w:rPr>
          <w:rFonts w:ascii="Arial" w:cs="Arial" w:eastAsia="Arial" w:hAnsi="Arial"/>
          <w:sz w:val="19"/>
          <w:szCs w:val="19"/>
          <w:color w:val="auto"/>
        </w:rPr>
        <w:t>. It is expressly agreed that Takeda, on the one hand, and Company, on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hand, shall be independent contractors and that the relationship between the two Parties shall not constitute a partnership, joint venture or agency, including for Tax purposes. Neither Takeda nor Company shall have</w:t>
      </w:r>
    </w:p>
    <w:p>
      <w:pPr>
        <w:spacing w:after="0" w:line="347" w:lineRule="exact"/>
        <w:rPr>
          <w:rFonts w:ascii="Arial" w:cs="Arial" w:eastAsia="Arial" w:hAnsi="Arial"/>
          <w:sz w:val="19"/>
          <w:szCs w:val="19"/>
          <w:color w:val="auto"/>
        </w:rPr>
      </w:pPr>
    </w:p>
    <w:p>
      <w:pPr>
        <w:ind w:left="4662" w:hanging="130"/>
        <w:spacing w:after="0"/>
        <w:tabs>
          <w:tab w:leader="none" w:pos="4662" w:val="left"/>
        </w:tabs>
        <w:numPr>
          <w:ilvl w:val="1"/>
          <w:numId w:val="43"/>
        </w:numPr>
        <w:rPr>
          <w:rFonts w:ascii="Arial" w:cs="Arial" w:eastAsia="Arial" w:hAnsi="Arial"/>
          <w:sz w:val="22"/>
          <w:szCs w:val="22"/>
          <w:color w:val="auto"/>
        </w:rPr>
      </w:pPr>
      <w:r>
        <w:rPr>
          <w:rFonts w:ascii="Arial" w:cs="Arial" w:eastAsia="Arial" w:hAnsi="Arial"/>
          <w:sz w:val="22"/>
          <w:szCs w:val="22"/>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44" w:right="339" w:bottom="1440" w:gutter="0" w:footer="0" w:header="0"/>
        </w:sectPr>
      </w:pPr>
    </w:p>
    <w:bookmarkStart w:id="56" w:name="page57"/>
    <w:bookmarkEnd w:id="56"/>
    <w:p>
      <w:pPr>
        <w:jc w:val="both"/>
        <w:ind w:left="842"/>
        <w:spacing w:after="0" w:line="287" w:lineRule="auto"/>
        <w:rPr>
          <w:sz w:val="20"/>
          <w:szCs w:val="20"/>
          <w:color w:val="auto"/>
        </w:rPr>
      </w:pPr>
      <w:r>
        <w:rPr>
          <w:rFonts w:ascii="Arial" w:cs="Arial" w:eastAsia="Arial" w:hAnsi="Arial"/>
          <w:sz w:val="19"/>
          <w:szCs w:val="19"/>
          <w:color w:val="auto"/>
        </w:rPr>
        <w:t>the authority to make any statements, representations or commitments of any kind, or to take any action which shall be binding on the other, without the prior written consent of the other Party to do so. All persons employed by a Party shall be employees of that Party and not of the other Party and all expenses and obligations incurred by reason of such employment shall be for the account and expense of such Party.</w:t>
      </w:r>
    </w:p>
    <w:p>
      <w:pPr>
        <w:spacing w:after="0" w:line="137" w:lineRule="exact"/>
        <w:rPr>
          <w:sz w:val="20"/>
          <w:szCs w:val="20"/>
          <w:color w:val="auto"/>
        </w:rPr>
      </w:pPr>
    </w:p>
    <w:p>
      <w:pPr>
        <w:jc w:val="both"/>
        <w:ind w:left="842" w:hanging="842"/>
        <w:spacing w:after="0" w:line="254" w:lineRule="auto"/>
        <w:tabs>
          <w:tab w:leader="none" w:pos="842" w:val="left"/>
        </w:tabs>
        <w:numPr>
          <w:ilvl w:val="0"/>
          <w:numId w:val="44"/>
        </w:numPr>
        <w:rPr>
          <w:rFonts w:ascii="Arial" w:cs="Arial" w:eastAsia="Arial" w:hAnsi="Arial"/>
          <w:sz w:val="21"/>
          <w:szCs w:val="21"/>
          <w:color w:val="auto"/>
        </w:rPr>
      </w:pPr>
      <w:r>
        <w:rPr>
          <w:rFonts w:ascii="Arial" w:cs="Arial" w:eastAsia="Arial" w:hAnsi="Arial"/>
          <w:sz w:val="21"/>
          <w:szCs w:val="21"/>
          <w:b w:val="1"/>
          <w:bCs w:val="1"/>
          <w:color w:val="auto"/>
        </w:rPr>
        <w:t xml:space="preserve">Counterparts. </w:t>
      </w:r>
      <w:r>
        <w:rPr>
          <w:rFonts w:ascii="Arial" w:cs="Arial" w:eastAsia="Arial" w:hAnsi="Arial"/>
          <w:sz w:val="21"/>
          <w:szCs w:val="21"/>
          <w:color w:val="auto"/>
        </w:rPr>
        <w:t>This Agreement may be executed in two (2) or more counterparts, each of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an original, but all of which together shall constitute one and the same instrument. This Agreement may be executed by facsimile, .pdf or other electronically transmitted signatures and such signatures shall be deemed to bind each Party hereto as if they were the original signatures.</w:t>
      </w:r>
    </w:p>
    <w:p>
      <w:pPr>
        <w:spacing w:after="0" w:line="165" w:lineRule="exact"/>
        <w:rPr>
          <w:rFonts w:ascii="Arial" w:cs="Arial" w:eastAsia="Arial" w:hAnsi="Arial"/>
          <w:sz w:val="21"/>
          <w:szCs w:val="21"/>
          <w:color w:val="auto"/>
        </w:rPr>
      </w:pPr>
    </w:p>
    <w:p>
      <w:pPr>
        <w:jc w:val="both"/>
        <w:ind w:left="842" w:hanging="842"/>
        <w:spacing w:after="0" w:line="273" w:lineRule="auto"/>
        <w:tabs>
          <w:tab w:leader="none" w:pos="842"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Construction</w:t>
      </w:r>
      <w:r>
        <w:rPr>
          <w:rFonts w:ascii="Arial" w:cs="Arial" w:eastAsia="Arial" w:hAnsi="Arial"/>
          <w:sz w:val="19"/>
          <w:szCs w:val="19"/>
          <w:color w:val="auto"/>
        </w:rPr>
        <w:t>. Except where the context otherwise requires, wherever used, the singular shall include the</w:t>
      </w:r>
      <w:r>
        <w:rPr>
          <w:rFonts w:ascii="Arial" w:cs="Arial" w:eastAsia="Arial" w:hAnsi="Arial"/>
          <w:sz w:val="19"/>
          <w:szCs w:val="19"/>
          <w:b w:val="1"/>
          <w:bCs w:val="1"/>
          <w:color w:val="auto"/>
        </w:rPr>
        <w:t xml:space="preserve"> </w:t>
      </w:r>
      <w:r>
        <w:rPr>
          <w:rFonts w:ascii="Arial" w:cs="Arial" w:eastAsia="Arial" w:hAnsi="Arial"/>
          <w:sz w:val="19"/>
          <w:szCs w:val="19"/>
          <w:color w:val="auto"/>
        </w:rPr>
        <w:t>plural, the plural the singular, and the use of any gender shall be applicable to all genders. Whenever this Agreement refers to a number of days, such number refers to calendar days. The captions of this Agreement are for the convenience of reference only and in no way define, describe, extend, or limit the scope or intent of this Agreement or the intent of any provision contained in this Agreement. The terms “including,” “include,” or “includes” as used herein shall mean “including, but not limited to,” and shall not limit the generality of any description preceding such term.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w:t>
      </w:r>
    </w:p>
    <w:p>
      <w:pPr>
        <w:spacing w:after="0" w:line="149" w:lineRule="exact"/>
        <w:rPr>
          <w:rFonts w:ascii="Arial" w:cs="Arial" w:eastAsia="Arial" w:hAnsi="Arial"/>
          <w:sz w:val="19"/>
          <w:szCs w:val="19"/>
          <w:color w:val="auto"/>
        </w:rPr>
      </w:pPr>
    </w:p>
    <w:p>
      <w:pPr>
        <w:jc w:val="both"/>
        <w:ind w:left="842" w:hanging="842"/>
        <w:spacing w:after="0" w:line="237" w:lineRule="auto"/>
        <w:tabs>
          <w:tab w:leader="none" w:pos="842"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Governing Laws</w:t>
      </w:r>
      <w:r>
        <w:rPr>
          <w:rFonts w:ascii="Arial" w:cs="Arial" w:eastAsia="Arial" w:hAnsi="Arial"/>
          <w:sz w:val="22"/>
          <w:szCs w:val="22"/>
          <w:color w:val="auto"/>
        </w:rPr>
        <w:t>. This Agreement was prepared in the English language, which language shall govern the</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interpretation of, and any dispute regarding, the terms of this Agreement. This Agreement and all disputes arising out of or related to this Agreement or any breach hereof shall be governed by and construed under the laws of the State of New York, without giving effect to any choice of law principles that would require the application of the laws of a different state.</w:t>
      </w:r>
    </w:p>
    <w:p>
      <w:pPr>
        <w:spacing w:after="0" w:line="181" w:lineRule="exact"/>
        <w:rPr>
          <w:rFonts w:ascii="Arial" w:cs="Arial" w:eastAsia="Arial" w:hAnsi="Arial"/>
          <w:sz w:val="22"/>
          <w:szCs w:val="22"/>
          <w:color w:val="auto"/>
        </w:rPr>
      </w:pPr>
    </w:p>
    <w:p>
      <w:pPr>
        <w:jc w:val="both"/>
        <w:ind w:left="842" w:hanging="842"/>
        <w:spacing w:after="0" w:line="275" w:lineRule="auto"/>
        <w:tabs>
          <w:tab w:leader="none" w:pos="842"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including the Exhibits hereto, and together with the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sets forth the complete, final and exclusive agreement and all the covenants, promises, agreements, warranties, representations, conditions and understandings between the Parties with respect to the subject matter hereof and supersedes, as of the Effective Date, all prior agreements and understandings between the Parties with respect to the subject matter hereof, excluding for clarity the License Agreement.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 In the</w:t>
      </w:r>
    </w:p>
    <w:p>
      <w:pPr>
        <w:spacing w:after="0" w:line="371" w:lineRule="exact"/>
        <w:rPr>
          <w:rFonts w:ascii="Arial" w:cs="Arial" w:eastAsia="Arial" w:hAnsi="Arial"/>
          <w:sz w:val="19"/>
          <w:szCs w:val="19"/>
          <w:color w:val="auto"/>
        </w:rPr>
      </w:pPr>
    </w:p>
    <w:p>
      <w:pPr>
        <w:ind w:left="4662" w:hanging="130"/>
        <w:spacing w:after="0"/>
        <w:tabs>
          <w:tab w:leader="none" w:pos="4662" w:val="left"/>
        </w:tabs>
        <w:numPr>
          <w:ilvl w:val="1"/>
          <w:numId w:val="44"/>
        </w:numPr>
        <w:rPr>
          <w:rFonts w:ascii="Arial" w:cs="Arial" w:eastAsia="Arial" w:hAnsi="Arial"/>
          <w:sz w:val="22"/>
          <w:szCs w:val="22"/>
          <w:color w:val="auto"/>
        </w:rPr>
      </w:pPr>
      <w:r>
        <w:rPr>
          <w:rFonts w:ascii="Arial" w:cs="Arial" w:eastAsia="Arial" w:hAnsi="Arial"/>
          <w:sz w:val="22"/>
          <w:szCs w:val="22"/>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57" w:name="page58"/>
    <w:bookmarkEnd w:id="57"/>
    <w:p>
      <w:pPr>
        <w:jc w:val="both"/>
        <w:ind w:left="842"/>
        <w:spacing w:after="0" w:line="297" w:lineRule="auto"/>
        <w:rPr>
          <w:sz w:val="20"/>
          <w:szCs w:val="20"/>
          <w:color w:val="auto"/>
        </w:rPr>
      </w:pPr>
      <w:r>
        <w:rPr>
          <w:rFonts w:ascii="Arial" w:cs="Arial" w:eastAsia="Arial" w:hAnsi="Arial"/>
          <w:sz w:val="19"/>
          <w:szCs w:val="19"/>
          <w:color w:val="auto"/>
        </w:rPr>
        <w:t>event of any inconsistency between the body of this Agreement and the Exhibits to this Agreement or any subsequent agreements ancillary to this Agreement, unless otherwise expressly stated to the contrary in such Exhibit or subsequent ancillary agreement, the terms contained in this Agreement shall control.</w:t>
      </w:r>
    </w:p>
    <w:p>
      <w:pPr>
        <w:spacing w:after="0" w:line="128" w:lineRule="exact"/>
        <w:rPr>
          <w:sz w:val="20"/>
          <w:szCs w:val="20"/>
          <w:color w:val="auto"/>
        </w:rPr>
      </w:pPr>
    </w:p>
    <w:p>
      <w:pPr>
        <w:jc w:val="both"/>
        <w:ind w:left="842" w:hanging="842"/>
        <w:spacing w:after="0" w:line="243" w:lineRule="auto"/>
        <w:tabs>
          <w:tab w:leader="none" w:pos="842"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Headings</w:t>
      </w:r>
      <w:r>
        <w:rPr>
          <w:rFonts w:ascii="Arial" w:cs="Arial" w:eastAsia="Arial" w:hAnsi="Arial"/>
          <w:sz w:val="22"/>
          <w:szCs w:val="22"/>
          <w:color w:val="auto"/>
        </w:rPr>
        <w:t>. The headings of each Section in this Agreement have been inserted for convenience of reference</w:t>
      </w:r>
      <w:r>
        <w:rPr>
          <w:rFonts w:ascii="Arial" w:cs="Arial" w:eastAsia="Arial" w:hAnsi="Arial"/>
          <w:sz w:val="22"/>
          <w:szCs w:val="22"/>
          <w:b w:val="1"/>
          <w:bCs w:val="1"/>
          <w:color w:val="auto"/>
        </w:rPr>
        <w:t xml:space="preserve"> </w:t>
      </w:r>
      <w:r>
        <w:rPr>
          <w:rFonts w:ascii="Arial" w:cs="Arial" w:eastAsia="Arial" w:hAnsi="Arial"/>
          <w:sz w:val="22"/>
          <w:szCs w:val="22"/>
          <w:color w:val="auto"/>
        </w:rPr>
        <w:t>only and are not intended to limit or expand on the meaning of the language contained in the particular Section.</w:t>
      </w:r>
    </w:p>
    <w:p>
      <w:pPr>
        <w:spacing w:after="0" w:line="176" w:lineRule="exact"/>
        <w:rPr>
          <w:rFonts w:ascii="Arial" w:cs="Arial" w:eastAsia="Arial" w:hAnsi="Arial"/>
          <w:sz w:val="22"/>
          <w:szCs w:val="22"/>
          <w:color w:val="auto"/>
        </w:rPr>
      </w:pPr>
    </w:p>
    <w:p>
      <w:pPr>
        <w:jc w:val="both"/>
        <w:ind w:left="842" w:hanging="842"/>
        <w:spacing w:after="0" w:line="254" w:lineRule="auto"/>
        <w:tabs>
          <w:tab w:leader="none" w:pos="842" w:val="left"/>
        </w:tabs>
        <w:numPr>
          <w:ilvl w:val="0"/>
          <w:numId w:val="45"/>
        </w:numPr>
        <w:rPr>
          <w:rFonts w:ascii="Arial" w:cs="Arial" w:eastAsia="Arial" w:hAnsi="Arial"/>
          <w:sz w:val="21"/>
          <w:szCs w:val="21"/>
          <w:color w:val="auto"/>
        </w:rPr>
      </w:pPr>
      <w:r>
        <w:rPr>
          <w:rFonts w:ascii="Arial" w:cs="Arial" w:eastAsia="Arial" w:hAnsi="Arial"/>
          <w:sz w:val="21"/>
          <w:szCs w:val="21"/>
          <w:b w:val="1"/>
          <w:bCs w:val="1"/>
          <w:color w:val="auto"/>
        </w:rPr>
        <w:t>Dispute Resolution</w:t>
      </w:r>
      <w:r>
        <w:rPr>
          <w:rFonts w:ascii="Arial" w:cs="Arial" w:eastAsia="Arial" w:hAnsi="Arial"/>
          <w:sz w:val="21"/>
          <w:szCs w:val="21"/>
          <w:color w:val="auto"/>
        </w:rPr>
        <w:t>. Any dispute, controversy, or claim between the Parties that may arise from time to time</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this Agreement relating to either Party’s rights or obligations hereunder that is not resolved through good faith negotiation between the Parties or as otherwise expressly provided in this Agreement shall be resolved in accordance with Article 14 of the License Agreement.</w:t>
      </w:r>
    </w:p>
    <w:p>
      <w:pPr>
        <w:spacing w:after="0" w:line="172" w:lineRule="exact"/>
        <w:rPr>
          <w:sz w:val="20"/>
          <w:szCs w:val="20"/>
          <w:color w:val="auto"/>
        </w:rPr>
      </w:pPr>
    </w:p>
    <w:p>
      <w:pPr>
        <w:ind w:left="3322"/>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ind w:left="4542"/>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22"/>
          <w:szCs w:val="22"/>
          <w:color w:val="auto"/>
        </w:rPr>
        <w:t>THIS AGREEMENT IS EXECUTED by the authorized representatives of the Parties as of the Effective Date.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20" w:type="dxa"/>
            <w:vAlign w:val="bottom"/>
            <w:gridSpan w:val="3"/>
          </w:tcPr>
          <w:p>
            <w:pPr>
              <w:spacing w:after="0"/>
              <w:rPr>
                <w:sz w:val="20"/>
                <w:szCs w:val="20"/>
                <w:color w:val="auto"/>
              </w:rPr>
            </w:pPr>
            <w:r>
              <w:rPr>
                <w:rFonts w:ascii="Arial" w:cs="Arial" w:eastAsia="Arial" w:hAnsi="Arial"/>
                <w:sz w:val="22"/>
                <w:szCs w:val="22"/>
                <w:b w:val="1"/>
                <w:bCs w:val="1"/>
                <w:color w:val="auto"/>
              </w:rPr>
              <w:t>TAKEDA PHARMACEUTICAL COMPANY LIMITED</w:t>
            </w:r>
          </w:p>
        </w:tc>
        <w:tc>
          <w:tcPr>
            <w:tcW w:w="5620" w:type="dxa"/>
            <w:vAlign w:val="bottom"/>
            <w:gridSpan w:val="2"/>
          </w:tcPr>
          <w:p>
            <w:pPr>
              <w:ind w:left="200"/>
              <w:spacing w:after="0"/>
              <w:rPr>
                <w:sz w:val="20"/>
                <w:szCs w:val="20"/>
                <w:color w:val="auto"/>
              </w:rPr>
            </w:pPr>
            <w:r>
              <w:rPr>
                <w:rFonts w:ascii="Arial" w:cs="Arial" w:eastAsia="Arial" w:hAnsi="Arial"/>
                <w:sz w:val="22"/>
                <w:szCs w:val="22"/>
                <w:b w:val="1"/>
                <w:bCs w:val="1"/>
                <w:color w:val="auto"/>
              </w:rPr>
              <w:t>PHATHOM PHARMACEUTICALS, INC.</w:t>
            </w:r>
          </w:p>
        </w:tc>
      </w:tr>
      <w:tr>
        <w:trPr>
          <w:trHeight w:val="476"/>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10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 Timmons</w:t>
            </w:r>
          </w:p>
        </w:tc>
        <w:tc>
          <w:tcPr>
            <w:tcW w:w="1020" w:type="dxa"/>
            <w:vAlign w:val="bottom"/>
          </w:tcPr>
          <w:p>
            <w:pPr>
              <w:ind w:left="200"/>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Terrie Curran</w:t>
            </w:r>
          </w:p>
        </w:tc>
      </w:tr>
      <w:tr>
        <w:trPr>
          <w:trHeight w:val="479"/>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10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Greg Timmons</w:t>
            </w:r>
          </w:p>
        </w:tc>
        <w:tc>
          <w:tcPr>
            <w:tcW w:w="1020" w:type="dxa"/>
            <w:vAlign w:val="bottom"/>
          </w:tcPr>
          <w:p>
            <w:pPr>
              <w:ind w:left="200"/>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Terrie Curran</w:t>
            </w:r>
          </w:p>
        </w:tc>
      </w:tr>
      <w:tr>
        <w:trPr>
          <w:trHeight w:val="480"/>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10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Head of GMS Japan</w:t>
            </w:r>
          </w:p>
        </w:tc>
        <w:tc>
          <w:tcPr>
            <w:tcW w:w="1020" w:type="dxa"/>
            <w:vAlign w:val="bottom"/>
          </w:tcPr>
          <w:p>
            <w:pPr>
              <w:ind w:left="200"/>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Chief Executive Officer</w:t>
            </w:r>
          </w:p>
        </w:tc>
      </w:tr>
      <w:tr>
        <w:trPr>
          <w:trHeight w:val="479"/>
        </w:trPr>
        <w:tc>
          <w:tcPr>
            <w:tcW w:w="700" w:type="dxa"/>
            <w:vAlign w:val="bottom"/>
          </w:tcPr>
          <w:p>
            <w:pPr>
              <w:spacing w:after="0"/>
              <w:rPr>
                <w:sz w:val="20"/>
                <w:szCs w:val="20"/>
                <w:color w:val="auto"/>
              </w:rPr>
            </w:pPr>
            <w:r>
              <w:rPr>
                <w:rFonts w:ascii="Arial" w:cs="Arial" w:eastAsia="Arial" w:hAnsi="Arial"/>
                <w:sz w:val="22"/>
                <w:szCs w:val="22"/>
                <w:color w:val="auto"/>
              </w:rPr>
              <w:t>Date:</w:t>
            </w:r>
          </w:p>
        </w:tc>
        <w:tc>
          <w:tcPr>
            <w:tcW w:w="4920" w:type="dxa"/>
            <w:vAlign w:val="bottom"/>
            <w:gridSpan w:val="2"/>
          </w:tcPr>
          <w:p>
            <w:pPr>
              <w:ind w:left="100"/>
              <w:spacing w:after="0"/>
              <w:rPr>
                <w:sz w:val="20"/>
                <w:szCs w:val="20"/>
                <w:color w:val="auto"/>
              </w:rPr>
            </w:pPr>
            <w:r>
              <w:rPr>
                <w:rFonts w:ascii="Arial" w:cs="Arial" w:eastAsia="Arial" w:hAnsi="Arial"/>
                <w:sz w:val="22"/>
                <w:szCs w:val="22"/>
                <w:color w:val="auto"/>
              </w:rPr>
              <w:t>May 5, 2020</w:t>
            </w:r>
          </w:p>
        </w:tc>
        <w:tc>
          <w:tcPr>
            <w:tcW w:w="1020" w:type="dxa"/>
            <w:vAlign w:val="bottom"/>
          </w:tcPr>
          <w:p>
            <w:pPr>
              <w:ind w:left="200"/>
              <w:spacing w:after="0"/>
              <w:rPr>
                <w:sz w:val="20"/>
                <w:szCs w:val="20"/>
                <w:color w:val="auto"/>
              </w:rPr>
            </w:pPr>
            <w:r>
              <w:rPr>
                <w:rFonts w:ascii="Arial" w:cs="Arial" w:eastAsia="Arial" w:hAnsi="Arial"/>
                <w:sz w:val="22"/>
                <w:szCs w:val="22"/>
                <w:color w:val="auto"/>
              </w:rPr>
              <w:t>Date:</w:t>
            </w:r>
          </w:p>
        </w:tc>
        <w:tc>
          <w:tcPr>
            <w:tcW w:w="4600" w:type="dxa"/>
            <w:vAlign w:val="bottom"/>
          </w:tcPr>
          <w:p>
            <w:pPr>
              <w:spacing w:after="0"/>
              <w:rPr>
                <w:sz w:val="20"/>
                <w:szCs w:val="20"/>
                <w:color w:val="auto"/>
              </w:rPr>
            </w:pPr>
            <w:r>
              <w:rPr>
                <w:rFonts w:ascii="Arial" w:cs="Arial" w:eastAsia="Arial" w:hAnsi="Arial"/>
                <w:sz w:val="22"/>
                <w:szCs w:val="22"/>
                <w:color w:val="auto"/>
              </w:rPr>
              <w:t>May 1, 2020</w:t>
            </w:r>
          </w:p>
        </w:tc>
      </w:tr>
      <w:tr>
        <w:trPr>
          <w:trHeight w:val="723"/>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Borders>
              <w:top w:val="single" w:sz="8" w:color="auto"/>
            </w:tcBorders>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By:</w:t>
            </w:r>
          </w:p>
        </w:tc>
        <w:tc>
          <w:tcPr>
            <w:tcW w:w="460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rPr>
              <w:t>/s/ Azmi Nabulsi</w:t>
            </w:r>
          </w:p>
        </w:tc>
      </w:tr>
      <w:tr>
        <w:trPr>
          <w:trHeight w:val="479"/>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Azmi Nabulsi</w:t>
            </w:r>
          </w:p>
        </w:tc>
      </w:tr>
      <w:tr>
        <w:trPr>
          <w:trHeight w:val="480"/>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Chief Operating Officer</w:t>
            </w:r>
          </w:p>
        </w:tc>
      </w:tr>
      <w:tr>
        <w:trPr>
          <w:trHeight w:val="479"/>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Date: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May 1,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LINICAL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9" w:name="page60"/>
    <w:bookmarkEnd w:id="59"/>
    <w:p>
      <w:pPr>
        <w:jc w:val="center"/>
        <w:ind w:right="-1120"/>
        <w:spacing w:after="0"/>
        <w:rPr>
          <w:sz w:val="20"/>
          <w:szCs w:val="20"/>
          <w:color w:val="auto"/>
        </w:rPr>
      </w:pPr>
      <w:r>
        <w:rPr>
          <w:rFonts w:ascii="Arial" w:cs="Arial" w:eastAsia="Arial" w:hAnsi="Arial"/>
          <w:sz w:val="22"/>
          <w:szCs w:val="22"/>
          <w:b w:val="1"/>
          <w:bCs w:val="1"/>
          <w:u w:val="single" w:color="auto"/>
          <w:color w:val="auto"/>
        </w:rPr>
        <w:t>EXHIBIT 1</w:t>
      </w:r>
    </w:p>
    <w:p>
      <w:pPr>
        <w:spacing w:after="0" w:line="9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u w:val="single" w:color="auto"/>
          <w:color w:val="auto"/>
        </w:rPr>
        <w:t>Specifications for Bulk Drug Product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60" w:name="page61"/>
    <w:bookmarkEnd w:id="60"/>
    <w:p>
      <w:pPr>
        <w:jc w:val="center"/>
        <w:ind w:right="-1120"/>
        <w:spacing w:after="0"/>
        <w:rPr>
          <w:sz w:val="20"/>
          <w:szCs w:val="20"/>
          <w:color w:val="auto"/>
        </w:rPr>
      </w:pPr>
      <w:r>
        <w:rPr>
          <w:rFonts w:ascii="Arial" w:cs="Arial" w:eastAsia="Arial" w:hAnsi="Arial"/>
          <w:sz w:val="22"/>
          <w:szCs w:val="22"/>
          <w:b w:val="1"/>
          <w:bCs w:val="1"/>
          <w:u w:val="single" w:color="auto"/>
          <w:color w:val="auto"/>
        </w:rPr>
        <w:t>EXHIBIT 2</w:t>
      </w:r>
    </w:p>
    <w:p>
      <w:pPr>
        <w:spacing w:after="0" w:line="9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Bulk Drug Product Minimum/Maximum Order Quantities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61" w:name="page62"/>
    <w:bookmarkEnd w:id="61"/>
    <w:p>
      <w:pPr>
        <w:jc w:val="center"/>
        <w:ind w:right="-1100"/>
        <w:spacing w:after="0"/>
        <w:rPr>
          <w:sz w:val="20"/>
          <w:szCs w:val="20"/>
          <w:color w:val="auto"/>
        </w:rPr>
      </w:pPr>
      <w:r>
        <w:rPr>
          <w:rFonts w:ascii="Arial" w:cs="Arial" w:eastAsia="Arial" w:hAnsi="Arial"/>
          <w:sz w:val="22"/>
          <w:szCs w:val="22"/>
          <w:b w:val="1"/>
          <w:bCs w:val="1"/>
          <w:u w:val="single" w:color="auto"/>
          <w:color w:val="auto"/>
        </w:rPr>
        <w:t>EXHIBIT 3</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Agreed Delivery Forecastbased on Maximum Number of Batches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544" w:right="1440" w:bottom="1440" w:gutter="0" w:footer="0" w:header="0"/>
        </w:sectPr>
      </w:pPr>
    </w:p>
    <w:bookmarkStart w:id="62" w:name="page63"/>
    <w:bookmarkEnd w:id="62"/>
    <w:p>
      <w:pPr>
        <w:jc w:val="right"/>
        <w:ind w:right="20"/>
        <w:spacing w:after="0"/>
        <w:rPr>
          <w:sz w:val="20"/>
          <w:szCs w:val="20"/>
          <w:color w:val="auto"/>
        </w:rPr>
      </w:pPr>
      <w:r>
        <w:rPr>
          <w:rFonts w:ascii="Arial" w:cs="Arial" w:eastAsia="Arial" w:hAnsi="Arial"/>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651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PHATHOM PHARMACEUTICALS, INC.</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2019 INCENTIVE AWARD PLAN</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STOCK OPTION GRANT NOTICE</w:t>
      </w:r>
    </w:p>
    <w:p>
      <w:pPr>
        <w:spacing w:after="0" w:line="222" w:lineRule="exact"/>
        <w:rPr>
          <w:sz w:val="20"/>
          <w:szCs w:val="20"/>
          <w:color w:val="auto"/>
        </w:rPr>
      </w:pPr>
    </w:p>
    <w:p>
      <w:pPr>
        <w:jc w:val="both"/>
        <w:ind w:right="20" w:firstLine="864"/>
        <w:spacing w:after="0" w:line="316" w:lineRule="auto"/>
        <w:rPr>
          <w:sz w:val="20"/>
          <w:szCs w:val="20"/>
          <w:color w:val="auto"/>
        </w:rPr>
      </w:pPr>
      <w:r>
        <w:rPr>
          <w:rFonts w:ascii="Arial" w:cs="Arial" w:eastAsia="Arial" w:hAnsi="Arial"/>
          <w:sz w:val="18"/>
          <w:szCs w:val="18"/>
          <w:color w:val="auto"/>
        </w:rPr>
        <w:t>Capitalized terms not specifically defined in this Stock Option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have the meanings given to them in the 2019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of Phathom 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30"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The Company hereby grants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stock option described in this Grant Notice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xml:space="preserve">”), subject to the terms and conditions of the Plan and the Stock Option Agreement attached hereto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Participant:</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Grant Date:</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Exercise Price per Share:</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Shares Subject to the Option:</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Final Expiration Date:</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Vesting Commencement Date:</w:t>
      </w:r>
    </w:p>
    <w:p>
      <w:pPr>
        <w:sectPr>
          <w:pgSz w:w="11900" w:h="16838" w:orient="portrait"/>
          <w:cols w:equalWidth="0" w:num="1">
            <w:col w:w="11260"/>
          </w:cols>
          <w:pgMar w:left="320" w:top="118" w:right="319" w:bottom="1440" w:gutter="0" w:footer="0" w:header="0"/>
        </w:sectPr>
      </w:pPr>
    </w:p>
    <w:p>
      <w:pPr>
        <w:spacing w:after="0" w:line="10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2900"/>
        <w:spacing w:after="0"/>
        <w:rPr>
          <w:sz w:val="20"/>
          <w:szCs w:val="20"/>
          <w:color w:val="auto"/>
        </w:rPr>
      </w:pPr>
      <w:r>
        <w:rPr>
          <w:rFonts w:ascii="Arial" w:cs="Arial" w:eastAsia="Arial" w:hAnsi="Arial"/>
          <w:sz w:val="18"/>
          <w:szCs w:val="18"/>
          <w:color w:val="auto"/>
        </w:rPr>
        <w:t>[To be specified in individual award agreements]</w:t>
      </w:r>
    </w:p>
    <w:p>
      <w:pPr>
        <w:spacing w:after="0" w:line="107" w:lineRule="exact"/>
        <w:rPr>
          <w:sz w:val="20"/>
          <w:szCs w:val="20"/>
          <w:color w:val="auto"/>
        </w:rPr>
      </w:pPr>
    </w:p>
    <w:p>
      <w:pPr>
        <w:sectPr>
          <w:pgSz w:w="11900" w:h="16838" w:orient="portrait"/>
          <w:cols w:equalWidth="0" w:num="2">
            <w:col w:w="3780" w:space="720"/>
            <w:col w:w="6760"/>
          </w:cols>
          <w:pgMar w:left="320" w:top="118" w:right="319" w:bottom="1440" w:gutter="0" w:footer="0" w:header="0"/>
          <w:type w:val="continuous"/>
        </w:sectPr>
      </w:pP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Type of Option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w:t>
      </w:r>
    </w:p>
    <w:p>
      <w:pPr>
        <w:spacing w:after="0" w:line="200" w:lineRule="exact"/>
        <w:rPr>
          <w:sz w:val="20"/>
          <w:szCs w:val="20"/>
          <w:color w:val="auto"/>
        </w:rPr>
      </w:pPr>
    </w:p>
    <w:p>
      <w:pPr>
        <w:sectPr>
          <w:pgSz w:w="11900" w:h="16838" w:orient="portrait"/>
          <w:cols w:equalWidth="0" w:num="3">
            <w:col w:w="3780" w:space="720"/>
            <w:col w:w="2280" w:space="100"/>
            <w:col w:w="4380"/>
          </w:cols>
          <w:pgMar w:left="320" w:top="118" w:right="319" w:bottom="1440" w:gutter="0" w:footer="0" w:header="0"/>
          <w:type w:val="continuous"/>
        </w:sectPr>
      </w:pPr>
    </w:p>
    <w:p>
      <w:pPr>
        <w:spacing w:after="0" w:line="174" w:lineRule="exact"/>
        <w:rPr>
          <w:sz w:val="20"/>
          <w:szCs w:val="20"/>
          <w:color w:val="auto"/>
        </w:rPr>
      </w:pPr>
    </w:p>
    <w:p>
      <w:pPr>
        <w:jc w:val="both"/>
        <w:ind w:right="20" w:firstLine="864"/>
        <w:spacing w:after="0" w:line="244"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40" w:type="dxa"/>
            <w:vAlign w:val="bottom"/>
            <w:gridSpan w:val="2"/>
          </w:tcPr>
          <w:p>
            <w:pPr>
              <w:spacing w:after="0"/>
              <w:rPr>
                <w:sz w:val="20"/>
                <w:szCs w:val="20"/>
                <w:color w:val="auto"/>
              </w:rPr>
            </w:pPr>
            <w:r>
              <w:rPr>
                <w:rFonts w:ascii="Arial" w:cs="Arial" w:eastAsia="Arial" w:hAnsi="Arial"/>
                <w:sz w:val="20"/>
                <w:szCs w:val="20"/>
                <w:b w:val="1"/>
                <w:bCs w:val="1"/>
                <w:color w:val="auto"/>
              </w:rPr>
              <w:t>PHATHOM PHARMACEUTICALS, INC.</w:t>
            </w:r>
          </w:p>
        </w:tc>
        <w:tc>
          <w:tcPr>
            <w:tcW w:w="5820" w:type="dxa"/>
            <w:vAlign w:val="bottom"/>
            <w:gridSpan w:val="3"/>
          </w:tcPr>
          <w:p>
            <w:pPr>
              <w:ind w:left="340"/>
              <w:spacing w:after="0"/>
              <w:rPr>
                <w:sz w:val="20"/>
                <w:szCs w:val="20"/>
                <w:color w:val="auto"/>
              </w:rPr>
            </w:pPr>
            <w:r>
              <w:rPr>
                <w:rFonts w:ascii="Arial" w:cs="Arial" w:eastAsia="Arial" w:hAnsi="Arial"/>
                <w:sz w:val="20"/>
                <w:szCs w:val="20"/>
                <w:b w:val="1"/>
                <w:bCs w:val="1"/>
                <w:color w:val="auto"/>
              </w:rPr>
              <w:t>PARTICIPANT</w:t>
            </w:r>
          </w:p>
        </w:tc>
      </w:tr>
      <w:tr>
        <w:trPr>
          <w:trHeight w:val="489"/>
        </w:trPr>
        <w:tc>
          <w:tcPr>
            <w:tcW w:w="5440" w:type="dxa"/>
            <w:vAlign w:val="bottom"/>
            <w:gridSpan w:val="2"/>
          </w:tcPr>
          <w:p>
            <w:pPr>
              <w:spacing w:after="0"/>
              <w:rPr>
                <w:sz w:val="20"/>
                <w:szCs w:val="20"/>
                <w:color w:val="auto"/>
              </w:rPr>
            </w:pPr>
            <w:r>
              <w:rPr>
                <w:rFonts w:ascii="Arial" w:cs="Arial" w:eastAsia="Arial" w:hAnsi="Arial"/>
                <w:sz w:val="20"/>
                <w:szCs w:val="20"/>
                <w:color w:val="auto"/>
              </w:rPr>
              <w:t>By:</w:t>
            </w:r>
          </w:p>
        </w:tc>
        <w:tc>
          <w:tcPr>
            <w:tcW w:w="5820" w:type="dxa"/>
            <w:vAlign w:val="bottom"/>
            <w:gridSpan w:val="3"/>
          </w:tcPr>
          <w:p>
            <w:pPr>
              <w:ind w:left="340"/>
              <w:spacing w:after="0"/>
              <w:rPr>
                <w:sz w:val="20"/>
                <w:szCs w:val="20"/>
                <w:color w:val="auto"/>
              </w:rPr>
            </w:pPr>
            <w:r>
              <w:rPr>
                <w:rFonts w:ascii="Arial" w:cs="Arial" w:eastAsia="Arial" w:hAnsi="Arial"/>
                <w:sz w:val="20"/>
                <w:szCs w:val="20"/>
                <w:color w:val="auto"/>
              </w:rPr>
              <w:t>By:</w:t>
            </w:r>
          </w:p>
        </w:tc>
      </w:tr>
      <w:tr>
        <w:trPr>
          <w:trHeight w:val="237"/>
        </w:trPr>
        <w:tc>
          <w:tcPr>
            <w:tcW w:w="1920" w:type="dxa"/>
            <w:vAlign w:val="bottom"/>
          </w:tcPr>
          <w:p>
            <w:pPr>
              <w:spacing w:after="0"/>
              <w:rPr>
                <w:sz w:val="20"/>
                <w:szCs w:val="20"/>
                <w:color w:val="auto"/>
              </w:rPr>
            </w:pPr>
            <w:r>
              <w:rPr>
                <w:rFonts w:ascii="Arial" w:cs="Arial" w:eastAsia="Arial" w:hAnsi="Arial"/>
                <w:sz w:val="20"/>
                <w:szCs w:val="20"/>
                <w:color w:val="auto"/>
              </w:rPr>
              <w:t>Print Name:</w:t>
            </w:r>
          </w:p>
        </w:tc>
        <w:tc>
          <w:tcPr>
            <w:tcW w:w="3520" w:type="dxa"/>
            <w:vAlign w:val="bottom"/>
            <w:tcBorders>
              <w:top w:val="single" w:sz="8" w:color="auto"/>
              <w:bottom w:val="single" w:sz="8" w:color="auto"/>
            </w:tcBorders>
          </w:tcPr>
          <w:p>
            <w:pPr>
              <w:spacing w:after="0"/>
              <w:rPr>
                <w:sz w:val="20"/>
                <w:szCs w:val="20"/>
                <w:color w:val="auto"/>
              </w:rPr>
            </w:pPr>
          </w:p>
        </w:tc>
        <w:tc>
          <w:tcPr>
            <w:tcW w:w="2240" w:type="dxa"/>
            <w:vAlign w:val="bottom"/>
          </w:tcPr>
          <w:p>
            <w:pPr>
              <w:ind w:left="340"/>
              <w:spacing w:after="0"/>
              <w:rPr>
                <w:sz w:val="20"/>
                <w:szCs w:val="20"/>
                <w:color w:val="auto"/>
              </w:rPr>
            </w:pPr>
            <w:r>
              <w:rPr>
                <w:rFonts w:ascii="Arial" w:cs="Arial" w:eastAsia="Arial" w:hAnsi="Arial"/>
                <w:sz w:val="20"/>
                <w:szCs w:val="20"/>
                <w:color w:val="auto"/>
              </w:rPr>
              <w:t>Print Name:</w:t>
            </w:r>
          </w:p>
        </w:tc>
        <w:tc>
          <w:tcPr>
            <w:tcW w:w="356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1920" w:type="dxa"/>
            <w:vAlign w:val="bottom"/>
          </w:tcPr>
          <w:p>
            <w:pPr>
              <w:spacing w:after="0"/>
              <w:rPr>
                <w:sz w:val="20"/>
                <w:szCs w:val="20"/>
                <w:color w:val="auto"/>
              </w:rPr>
            </w:pPr>
            <w:r>
              <w:rPr>
                <w:rFonts w:ascii="Arial" w:cs="Arial" w:eastAsia="Arial" w:hAnsi="Arial"/>
                <w:sz w:val="20"/>
                <w:szCs w:val="20"/>
                <w:color w:val="auto"/>
              </w:rPr>
              <w:t>Title:</w:t>
            </w:r>
          </w:p>
        </w:tc>
        <w:tc>
          <w:tcPr>
            <w:tcW w:w="3520" w:type="dxa"/>
            <w:vAlign w:val="bottom"/>
            <w:tcBorders>
              <w:bottom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80"/>
        </w:trPr>
        <w:tc>
          <w:tcPr>
            <w:tcW w:w="19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22"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has granted to Participant the Option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PERIOD OF EXERCISABILITY</w:t>
      </w:r>
    </w:p>
    <w:p>
      <w:pPr>
        <w:spacing w:after="0" w:line="20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Commencement of Exercisability</w:t>
      </w:r>
      <w:r>
        <w:rPr>
          <w:rFonts w:ascii="Arial" w:cs="Arial" w:eastAsia="Arial" w:hAnsi="Arial"/>
          <w:sz w:val="20"/>
          <w:szCs w:val="20"/>
          <w:color w:val="auto"/>
        </w:rPr>
        <w:t>. The Option will vest and become exercisable according to the vesting schedule in the Grant Notice (the “</w:t>
      </w:r>
      <w:r>
        <w:rPr>
          <w:rFonts w:ascii="Arial" w:cs="Arial" w:eastAsia="Arial" w:hAnsi="Arial"/>
          <w:sz w:val="20"/>
          <w:szCs w:val="20"/>
          <w:b w:val="1"/>
          <w:bCs w:val="1"/>
          <w:i w:val="1"/>
          <w:iCs w:val="1"/>
          <w:color w:val="auto"/>
        </w:rPr>
        <w:t>Vesting Schedule</w:t>
      </w:r>
      <w:r>
        <w:rPr>
          <w:rFonts w:ascii="Arial" w:cs="Arial" w:eastAsia="Arial" w:hAnsi="Arial"/>
          <w:sz w:val="20"/>
          <w:szCs w:val="20"/>
          <w:color w:val="auto"/>
        </w:rPr>
        <w:t>”), except that any fraction of a Share as to which the Option would be vested or exercisable will be accumulated and will vest and become exercisable only when a whole Share has accumulated. The Option shall not be exercisable with respect to fractional Shares.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9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Duration of Exercisability</w:t>
      </w:r>
      <w:r>
        <w:rPr>
          <w:rFonts w:ascii="Arial" w:cs="Arial" w:eastAsia="Arial" w:hAnsi="Arial"/>
          <w:sz w:val="19"/>
          <w:szCs w:val="19"/>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5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Expiration of Option</w:t>
      </w:r>
      <w:r>
        <w:rPr>
          <w:rFonts w:ascii="Arial" w:cs="Arial" w:eastAsia="Arial" w:hAnsi="Arial"/>
          <w:sz w:val="20"/>
          <w:szCs w:val="20"/>
          <w:color w:val="auto"/>
        </w:rPr>
        <w:t>. Subject to Section 5.3 of the Plan, the Option may not be exercised to any extent by anyone after, and will expire on, the first of the following to occur:</w:t>
      </w:r>
    </w:p>
    <w:p>
      <w:pPr>
        <w:spacing w:after="0" w:line="177" w:lineRule="exact"/>
        <w:rPr>
          <w:sz w:val="20"/>
          <w:szCs w:val="20"/>
          <w:color w:val="auto"/>
        </w:rPr>
      </w:pPr>
    </w:p>
    <w:p>
      <w:pPr>
        <w:ind w:left="2600" w:hanging="865"/>
        <w:spacing w:after="0"/>
        <w:tabs>
          <w:tab w:leader="none" w:pos="2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final expiration date in the Grant Notice, which shall in no event be more than ten (10) years from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Grant Date;</w:t>
      </w:r>
    </w:p>
    <w:p>
      <w:pPr>
        <w:spacing w:after="0" w:line="200" w:lineRule="exact"/>
        <w:rPr>
          <w:sz w:val="20"/>
          <w:szCs w:val="20"/>
          <w:color w:val="auto"/>
        </w:rPr>
      </w:pPr>
    </w:p>
    <w:p>
      <w:pPr>
        <w:ind w:firstLine="1735"/>
        <w:spacing w:after="0" w:line="260" w:lineRule="auto"/>
        <w:tabs>
          <w:tab w:leader="none" w:pos="2606"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this Option is designated as an Incentive Stock Option and the Participant, at the time the Option was granted, was a Greater Than 10% Stockholder, the expiration of five (5) years from the Grant Date;</w:t>
      </w:r>
    </w:p>
    <w:p>
      <w:pPr>
        <w:spacing w:after="0" w:line="176" w:lineRule="exact"/>
        <w:rPr>
          <w:rFonts w:ascii="Arial" w:cs="Arial" w:eastAsia="Arial" w:hAnsi="Arial"/>
          <w:sz w:val="20"/>
          <w:szCs w:val="20"/>
          <w:color w:val="auto"/>
        </w:rPr>
      </w:pPr>
    </w:p>
    <w:p>
      <w:pPr>
        <w:jc w:val="both"/>
        <w:ind w:firstLine="1735"/>
        <w:spacing w:after="0" w:line="316" w:lineRule="auto"/>
        <w:tabs>
          <w:tab w:leader="none" w:pos="25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29" w:lineRule="exact"/>
        <w:rPr>
          <w:rFonts w:ascii="Arial" w:cs="Arial" w:eastAsia="Arial" w:hAnsi="Arial"/>
          <w:sz w:val="18"/>
          <w:szCs w:val="18"/>
          <w:color w:val="auto"/>
        </w:rPr>
      </w:pPr>
    </w:p>
    <w:p>
      <w:pPr>
        <w:ind w:firstLine="1735"/>
        <w:spacing w:after="0" w:line="260" w:lineRule="auto"/>
        <w:tabs>
          <w:tab w:leader="none" w:pos="2606" w:val="left"/>
        </w:tabs>
        <w:numPr>
          <w:ilvl w:val="0"/>
          <w:numId w:val="47"/>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expiration of one (1) year from the date of Participant’s Termination of Service by reason of Participant’s death or Disability;</w:t>
      </w:r>
    </w:p>
    <w:p>
      <w:pPr>
        <w:spacing w:after="0" w:line="176" w:lineRule="exact"/>
        <w:rPr>
          <w:rFonts w:ascii="Arial" w:cs="Arial" w:eastAsia="Arial" w:hAnsi="Arial"/>
          <w:sz w:val="20"/>
          <w:szCs w:val="20"/>
          <w:color w:val="auto"/>
        </w:rPr>
      </w:pPr>
    </w:p>
    <w:p>
      <w:pPr>
        <w:ind w:left="2600" w:hanging="865"/>
        <w:spacing w:after="0"/>
        <w:tabs>
          <w:tab w:leader="none" w:pos="2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date of Participant’s Termination of Service for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Cause.;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ind w:firstLine="1735"/>
        <w:spacing w:after="0" w:line="316" w:lineRule="auto"/>
        <w:tabs>
          <w:tab w:leader="none" w:pos="25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any unvested portion of the Option, the date that is thirty (30) days following Participant’s Termination of Service by reason of Participant’s death or Disability, or such shorter period as may be determined by the Administrator.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OPTION</w:t>
      </w:r>
    </w:p>
    <w:p>
      <w:pPr>
        <w:spacing w:after="0" w:line="20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Person Eligible to Exercise</w:t>
      </w:r>
      <w:r>
        <w:rPr>
          <w:rFonts w:ascii="Arial" w:cs="Arial" w:eastAsia="Arial" w:hAnsi="Arial"/>
          <w:sz w:val="20"/>
          <w:szCs w:val="20"/>
          <w:color w:val="auto"/>
        </w:rPr>
        <w:t>. During Participant’s lifetime, only Participant may exercise the Option, unless it has been disposed of, with the consent of the Administrator, pursuant to a domestic relations order. After Participant’s death, any exercisable portion of the Option may, prior to the time when the Option becomes unexercisable under Section 2.3 hereof, be exercised by the Participant’s Designated Beneficiary or by any person empowered to do so under the deceased Participant’s will or under the then applicable laws of descent and distribution.</w:t>
      </w:r>
    </w:p>
    <w:p>
      <w:pPr>
        <w:spacing w:after="0" w:line="19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Partial Exercise</w:t>
      </w:r>
      <w:r>
        <w:rPr>
          <w:rFonts w:ascii="Arial" w:cs="Arial" w:eastAsia="Arial" w:hAnsi="Arial"/>
          <w:sz w:val="20"/>
          <w:szCs w:val="20"/>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8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735"/>
        <w:spacing w:after="0" w:line="269" w:lineRule="auto"/>
        <w:tabs>
          <w:tab w:leader="none" w:pos="259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69" w:lineRule="exact"/>
        <w:rPr>
          <w:rFonts w:ascii="Arial" w:cs="Arial" w:eastAsia="Arial" w:hAnsi="Arial"/>
          <w:sz w:val="19"/>
          <w:szCs w:val="19"/>
          <w:color w:val="auto"/>
        </w:rPr>
      </w:pPr>
    </w:p>
    <w:p>
      <w:pPr>
        <w:jc w:val="both"/>
        <w:ind w:firstLine="1735"/>
        <w:spacing w:after="0" w:line="243" w:lineRule="auto"/>
        <w:tabs>
          <w:tab w:leader="none" w:pos="2606" w:val="left"/>
        </w:tabs>
        <w:numPr>
          <w:ilvl w:val="0"/>
          <w:numId w:val="49"/>
        </w:numPr>
        <w:rPr>
          <w:rFonts w:ascii="Arial" w:cs="Arial" w:eastAsia="Arial" w:hAnsi="Arial"/>
          <w:sz w:val="20"/>
          <w:szCs w:val="20"/>
          <w:color w:val="auto"/>
        </w:rPr>
      </w:pPr>
      <w:r>
        <w:rPr>
          <w:rFonts w:ascii="Arial" w:cs="Arial" w:eastAsia="Arial" w:hAnsi="Arial"/>
          <w:sz w:val="20"/>
          <w:szCs w:val="20"/>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0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Option is subject to adjustment, modification and termination in certain events as provided in this Agreement and the Plan.</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5" w:name="page66"/>
    <w:bookmarkEnd w:id="65"/>
    <w:p>
      <w:pPr>
        <w:jc w:val="both"/>
        <w:ind w:right="20" w:firstLine="864"/>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The Participant acknowledges that the Plan, the Grant Notice and this Agreement are intended to conform to the extent necessary with all Applicable Laws and, to the extent Applicable Laws permit, will be deemed amended to the extent necessary to conform to such Applicable Laws.</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herein set forth in the Plan, this Agreement shall be binding upon and inure to the benefit of the heirs, legatees, legal representatives, successors and assigns of the parties hereto.</w:t>
      </w:r>
    </w:p>
    <w:p>
      <w:pPr>
        <w:spacing w:after="0" w:line="191" w:lineRule="exact"/>
        <w:rPr>
          <w:sz w:val="20"/>
          <w:szCs w:val="20"/>
          <w:color w:val="auto"/>
        </w:rPr>
      </w:pPr>
    </w:p>
    <w:p>
      <w:pPr>
        <w:jc w:val="both"/>
        <w:ind w:firstLine="864"/>
        <w:spacing w:after="0" w:line="233" w:lineRule="exact"/>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w:t>
      </w:r>
      <w:r>
        <w:rPr>
          <w:rFonts w:ascii="MS PGothic" w:cs="MS PGothic" w:eastAsia="MS PGothic" w:hAnsi="MS PGothic"/>
          <w:sz w:val="20"/>
          <w:szCs w:val="20"/>
          <w:color w:val="auto"/>
        </w:rPr>
        <w:t>‑</w:t>
      </w:r>
      <w:r>
        <w:rPr>
          <w:rFonts w:ascii="Arial" w:cs="Arial" w:eastAsia="Arial" w:hAnsi="Arial"/>
          <w:sz w:val="20"/>
          <w:szCs w:val="20"/>
          <w:color w:val="auto"/>
        </w:rPr>
        <w:t>3) that are requirements for the application of such exemptive rule. To the extent Applicable Laws permit, this Agreement will be deemed amended as necessary to conform to such applicable exemptive rule.</w:t>
      </w:r>
    </w:p>
    <w:p>
      <w:pPr>
        <w:spacing w:after="0" w:line="199" w:lineRule="exact"/>
        <w:rPr>
          <w:sz w:val="20"/>
          <w:szCs w:val="20"/>
          <w:color w:val="auto"/>
        </w:rPr>
      </w:pPr>
    </w:p>
    <w:p>
      <w:pPr>
        <w:jc w:val="both"/>
        <w:ind w:right="20" w:firstLine="864"/>
        <w:spacing w:after="0" w:line="316"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the Grant Notice and this Agreement constitute the entire agreement of the parties and supersede in their entirety all prior undertakings and agreements of the Company and Participant with respect to the subject matter hereof.</w:t>
      </w:r>
    </w:p>
    <w:p>
      <w:pPr>
        <w:spacing w:after="0" w:line="13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Limitation on Participant’s Rights</w:t>
      </w:r>
      <w:r>
        <w:rPr>
          <w:rFonts w:ascii="Arial" w:cs="Arial" w:eastAsia="Arial" w:hAnsi="Arial"/>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9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6" w:name="page67"/>
    <w:bookmarkEnd w:id="66"/>
    <w:p>
      <w:pPr>
        <w:spacing w:after="0"/>
        <w:tabs>
          <w:tab w:leader="none" w:pos="96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If the Option is designated as an Incentive Stock Option:</w:t>
      </w:r>
    </w:p>
    <w:p>
      <w:pPr>
        <w:spacing w:after="0" w:line="216" w:lineRule="exact"/>
        <w:rPr>
          <w:sz w:val="20"/>
          <w:szCs w:val="20"/>
          <w:color w:val="auto"/>
        </w:rPr>
      </w:pPr>
    </w:p>
    <w:p>
      <w:pPr>
        <w:jc w:val="both"/>
        <w:ind w:left="-880" w:firstLine="1735"/>
        <w:spacing w:after="0" w:line="271" w:lineRule="auto"/>
        <w:tabs>
          <w:tab w:leader="none" w:pos="17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shall not require Participant’s consent. Participant also acknowledges that if the Option is exercised more than three (3) months after Participant’s Termination of Service as an Employee, other than by reason of death or disability, the Option will be taxed as a Non-Qualified Stock Option.</w:t>
      </w:r>
    </w:p>
    <w:p>
      <w:pPr>
        <w:spacing w:after="0" w:line="169" w:lineRule="exact"/>
        <w:rPr>
          <w:rFonts w:ascii="Arial" w:cs="Arial" w:eastAsia="Arial" w:hAnsi="Arial"/>
          <w:sz w:val="18"/>
          <w:szCs w:val="18"/>
          <w:color w:val="auto"/>
        </w:rPr>
      </w:pPr>
    </w:p>
    <w:p>
      <w:pPr>
        <w:jc w:val="both"/>
        <w:ind w:left="-880" w:firstLine="1735"/>
        <w:spacing w:after="0" w:line="282" w:lineRule="auto"/>
        <w:tabs>
          <w:tab w:leader="none" w:pos="17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55"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20"/>
          <w:szCs w:val="20"/>
          <w:b w:val="1"/>
          <w:bCs w:val="1"/>
          <w:color w:val="auto"/>
        </w:rPr>
        <w:t>*****</w:t>
      </w:r>
    </w:p>
    <w:p>
      <w:pPr>
        <w:sectPr>
          <w:pgSz w:w="11900" w:h="16838" w:orient="portrait"/>
          <w:cols w:equalWidth="0" w:num="1">
            <w:col w:w="10360"/>
          </w:cols>
          <w:pgMar w:left="1200" w:top="58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168275</wp:posOffset>
            </wp:positionV>
            <wp:extent cx="7132320" cy="651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PHATHOM PHARMACEUTIALS,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2019 INCENTIVE AWARD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GRANT NOTICE</w:t>
      </w:r>
    </w:p>
    <w:p>
      <w:pPr>
        <w:spacing w:after="0" w:line="222" w:lineRule="exact"/>
        <w:rPr>
          <w:sz w:val="20"/>
          <w:szCs w:val="20"/>
          <w:color w:val="auto"/>
        </w:rPr>
      </w:pPr>
    </w:p>
    <w:p>
      <w:pPr>
        <w:jc w:val="both"/>
        <w:ind w:firstLine="818"/>
        <w:spacing w:after="0" w:line="250" w:lineRule="auto"/>
        <w:rPr>
          <w:sz w:val="20"/>
          <w:szCs w:val="20"/>
          <w:color w:val="auto"/>
        </w:rPr>
      </w:pPr>
      <w:r>
        <w:rPr>
          <w:rFonts w:ascii="Arial" w:cs="Arial" w:eastAsia="Arial" w:hAnsi="Arial"/>
          <w:sz w:val="20"/>
          <w:szCs w:val="20"/>
          <w:color w:val="auto"/>
        </w:rPr>
        <w:t>Capitalized terms not specifically defined in this Performance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2019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Phathom Pharmaceuticals,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right="20" w:firstLine="818"/>
        <w:spacing w:after="0" w:line="250" w:lineRule="auto"/>
        <w:rPr>
          <w:sz w:val="20"/>
          <w:szCs w:val="20"/>
          <w:color w:val="auto"/>
        </w:rPr>
      </w:pPr>
      <w:r>
        <w:rPr>
          <w:rFonts w:ascii="Arial" w:cs="Arial" w:eastAsia="Arial" w:hAnsi="Arial"/>
          <w:sz w:val="20"/>
          <w:szCs w:val="20"/>
          <w:color w:val="auto"/>
        </w:rPr>
        <w:t>The Company hereby grants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Performance Stock Units described in this Grant Notice (the “</w:t>
      </w:r>
      <w:r>
        <w:rPr>
          <w:rFonts w:ascii="Arial" w:cs="Arial" w:eastAsia="Arial" w:hAnsi="Arial"/>
          <w:sz w:val="20"/>
          <w:szCs w:val="20"/>
          <w:b w:val="1"/>
          <w:bCs w:val="1"/>
          <w:i w:val="1"/>
          <w:iCs w:val="1"/>
          <w:color w:val="auto"/>
        </w:rPr>
        <w:t>PSUs</w:t>
      </w:r>
      <w:r>
        <w:rPr>
          <w:rFonts w:ascii="Arial" w:cs="Arial" w:eastAsia="Arial" w:hAnsi="Arial"/>
          <w:sz w:val="20"/>
          <w:szCs w:val="20"/>
          <w:color w:val="auto"/>
        </w:rPr>
        <w:t xml:space="preserve">”), subject to the terms and conditions of the Plan and the Performance Stock Unit Agreement attached hereto as </w:t>
      </w:r>
      <w:r>
        <w:rPr>
          <w:rFonts w:ascii="Arial" w:cs="Arial" w:eastAsia="Arial" w:hAnsi="Arial"/>
          <w:sz w:val="20"/>
          <w:szCs w:val="20"/>
          <w:b w:val="1"/>
          <w:bCs w:val="1"/>
          <w:color w:val="auto"/>
        </w:rPr>
        <w:t>Exhibit</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 </w:t>
      </w:r>
      <w:r>
        <w:rPr>
          <w:rFonts w:ascii="Arial" w:cs="Arial" w:eastAsia="Arial" w:hAnsi="Arial"/>
          <w:sz w:val="20"/>
          <w:szCs w:val="20"/>
          <w:color w:val="auto"/>
        </w:rPr>
        <w:t>(the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ectPr>
          <w:pgSz w:w="11900" w:h="16838" w:orient="portrait"/>
          <w:cols w:equalWidth="0" w:num="1">
            <w:col w:w="11240"/>
          </w:cols>
          <w:pgMar w:left="320" w:top="118"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4280"/>
        <w:spacing w:after="0"/>
        <w:rPr>
          <w:sz w:val="20"/>
          <w:szCs w:val="20"/>
          <w:color w:val="auto"/>
        </w:rPr>
      </w:pPr>
      <w:r>
        <w:rPr>
          <w:rFonts w:ascii="Arial" w:cs="Arial" w:eastAsia="Arial" w:hAnsi="Arial"/>
          <w:sz w:val="17"/>
          <w:szCs w:val="17"/>
          <w:i w:val="1"/>
          <w:iCs w:val="1"/>
          <w:color w:val="auto"/>
        </w:rPr>
        <w:t>[Insert Participant Name]</w:t>
      </w:r>
    </w:p>
    <w:p>
      <w:pPr>
        <w:spacing w:after="0" w:line="203" w:lineRule="exact"/>
        <w:rPr>
          <w:sz w:val="20"/>
          <w:szCs w:val="20"/>
          <w:color w:val="auto"/>
        </w:rPr>
      </w:pPr>
    </w:p>
    <w:p>
      <w:pPr>
        <w:sectPr>
          <w:pgSz w:w="11900" w:h="16838" w:orient="portrait"/>
          <w:cols w:equalWidth="0" w:num="2">
            <w:col w:w="4360" w:space="720"/>
            <w:col w:w="6160"/>
          </w:cols>
          <w:pgMar w:left="320" w:top="118"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[Insert Grant Date]</w:t>
      </w:r>
    </w:p>
    <w:p>
      <w:pPr>
        <w:spacing w:after="0" w:line="214" w:lineRule="exact"/>
        <w:rPr>
          <w:sz w:val="20"/>
          <w:szCs w:val="20"/>
          <w:color w:val="auto"/>
        </w:rPr>
      </w:pPr>
    </w:p>
    <w:p>
      <w:pPr>
        <w:sectPr>
          <w:pgSz w:w="11900" w:h="16838" w:orient="portrait"/>
          <w:cols w:equalWidth="0" w:num="2">
            <w:col w:w="4360" w:space="720"/>
            <w:col w:w="6160"/>
          </w:cols>
          <w:pgMar w:left="320" w:top="118"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PSUs: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[Insert Number of PSUs]</w:t>
      </w:r>
    </w:p>
    <w:p>
      <w:pPr>
        <w:spacing w:after="0" w:line="214" w:lineRule="exact"/>
        <w:rPr>
          <w:sz w:val="20"/>
          <w:szCs w:val="20"/>
          <w:color w:val="auto"/>
        </w:rPr>
      </w:pPr>
    </w:p>
    <w:p>
      <w:pPr>
        <w:sectPr>
          <w:pgSz w:w="11900" w:h="16838" w:orient="portrait"/>
          <w:cols w:equalWidth="0" w:num="2">
            <w:col w:w="4360" w:space="720"/>
            <w:col w:w="6160"/>
          </w:cols>
          <w:pgMar w:left="320" w:top="118"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Subject to the Participant’s continued service, 100% of the PSUs shall vest upon the FDA’s approval of vonoprazan for Erosive Esophagitis (the “</w:t>
      </w:r>
      <w:r>
        <w:rPr>
          <w:rFonts w:ascii="Arial" w:cs="Arial" w:eastAsia="Arial" w:hAnsi="Arial"/>
          <w:sz w:val="20"/>
          <w:szCs w:val="20"/>
          <w:b w:val="1"/>
          <w:bCs w:val="1"/>
          <w:i w:val="1"/>
          <w:iCs w:val="1"/>
          <w:color w:val="auto"/>
        </w:rPr>
        <w:t>Performance Goal</w:t>
      </w:r>
      <w:r>
        <w:rPr>
          <w:rFonts w:ascii="Arial" w:cs="Arial" w:eastAsia="Arial" w:hAnsi="Arial"/>
          <w:sz w:val="20"/>
          <w:szCs w:val="20"/>
          <w:color w:val="auto"/>
        </w:rPr>
        <w:t>”); provided, that, the FDA has previously approved vonoprazan for H. Pylori, or concurrently approves vonoprazan for H. Pylori with the approval of vonoprazan for Erosive Esophagitis; and provided, further, that Participant has not experienced a Termination of Service prior to such vesting date.</w:t>
      </w:r>
    </w:p>
    <w:p>
      <w:pPr>
        <w:spacing w:after="0" w:line="193" w:lineRule="exact"/>
        <w:rPr>
          <w:sz w:val="20"/>
          <w:szCs w:val="20"/>
          <w:color w:val="auto"/>
        </w:rPr>
      </w:pPr>
    </w:p>
    <w:p>
      <w:pPr>
        <w:sectPr>
          <w:pgSz w:w="11900" w:h="16838" w:orient="portrait"/>
          <w:cols w:equalWidth="0" w:num="2">
            <w:col w:w="4360" w:space="720"/>
            <w:col w:w="6160"/>
          </w:cols>
          <w:pgMar w:left="320" w:top="118" w:right="339" w:bottom="1440" w:gutter="0" w:footer="0" w:header="0"/>
          <w:type w:val="continuous"/>
        </w:sectPr>
      </w:pPr>
    </w:p>
    <w:p>
      <w:pPr>
        <w:jc w:val="both"/>
        <w:ind w:left="5080"/>
        <w:spacing w:after="0" w:line="257" w:lineRule="auto"/>
        <w:rPr>
          <w:sz w:val="20"/>
          <w:szCs w:val="20"/>
          <w:color w:val="auto"/>
        </w:rPr>
      </w:pPr>
      <w:r>
        <w:rPr>
          <w:rFonts w:ascii="Arial" w:cs="Arial" w:eastAsia="Arial" w:hAnsi="Arial"/>
          <w:sz w:val="19"/>
          <w:szCs w:val="19"/>
          <w:color w:val="auto"/>
        </w:rPr>
        <w:t>In addition, the PSUs will vest in full upon the occurrence of a Change in Control, provided that Participant has not experienced a Termination of Service prior to the date of such Change in Control. Notwithstanding anything to the contrary contained in any employment agreement or offer letter between Participant and the Company or any Subsidiary, the PSUs shall not be eligible for vesting on an accelerated basis pursuant to the terms of any such employment agreement or offer letter.</w:t>
      </w:r>
    </w:p>
    <w:p>
      <w:pPr>
        <w:sectPr>
          <w:pgSz w:w="11900" w:h="16838" w:orient="portrait"/>
          <w:cols w:equalWidth="0" w:num="1">
            <w:col w:w="11240"/>
          </w:cols>
          <w:pgMar w:left="320" w:top="118" w:right="339" w:bottom="1440" w:gutter="0" w:footer="0" w:header="0"/>
          <w:type w:val="continuous"/>
        </w:sectPr>
      </w:pPr>
    </w:p>
    <w:p>
      <w:pPr>
        <w:spacing w:after="0" w:line="185" w:lineRule="exact"/>
        <w:rPr>
          <w:sz w:val="20"/>
          <w:szCs w:val="20"/>
          <w:color w:val="auto"/>
        </w:rPr>
      </w:pPr>
    </w:p>
    <w:p>
      <w:pPr>
        <w:jc w:val="both"/>
        <w:ind w:firstLine="818"/>
        <w:spacing w:after="0" w:line="243" w:lineRule="auto"/>
        <w:rPr>
          <w:sz w:val="20"/>
          <w:szCs w:val="20"/>
          <w:color w:val="auto"/>
        </w:rPr>
      </w:pPr>
      <w:r>
        <w:rPr>
          <w:rFonts w:ascii="Arial" w:cs="Arial" w:eastAsia="Arial" w:hAnsi="Arial"/>
          <w:sz w:val="20"/>
          <w:szCs w:val="20"/>
          <w:color w:val="auto"/>
        </w:rPr>
        <w:t>By electronically accepting this document,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Participant hereby agrees to accept as binding, conclusive and final all decisions or interpretations of the Administrator upon any questions arising under the Plan, this Grant Notice or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56"/>
        </w:trPr>
        <w:tc>
          <w:tcPr>
            <w:tcW w:w="5520" w:type="dxa"/>
            <w:vAlign w:val="bottom"/>
            <w:gridSpan w:val="2"/>
          </w:tcPr>
          <w:p>
            <w:pPr>
              <w:spacing w:after="0"/>
              <w:rPr>
                <w:sz w:val="20"/>
                <w:szCs w:val="20"/>
                <w:color w:val="auto"/>
              </w:rPr>
            </w:pPr>
            <w:r>
              <w:rPr>
                <w:rFonts w:ascii="Arial" w:cs="Arial" w:eastAsia="Arial" w:hAnsi="Arial"/>
                <w:sz w:val="20"/>
                <w:szCs w:val="20"/>
                <w:b w:val="1"/>
                <w:bCs w:val="1"/>
                <w:color w:val="auto"/>
              </w:rPr>
              <w:t>PHATHOM PHARMACEUTICALS, INC.</w:t>
            </w:r>
          </w:p>
        </w:tc>
        <w:tc>
          <w:tcPr>
            <w:tcW w:w="1460" w:type="dxa"/>
            <w:vAlign w:val="bottom"/>
          </w:tcPr>
          <w:p>
            <w:pPr>
              <w:ind w:left="120"/>
              <w:spacing w:after="0"/>
              <w:rPr>
                <w:sz w:val="20"/>
                <w:szCs w:val="20"/>
                <w:color w:val="auto"/>
              </w:rPr>
            </w:pPr>
            <w:r>
              <w:rPr>
                <w:rFonts w:ascii="Arial" w:cs="Arial" w:eastAsia="Arial" w:hAnsi="Arial"/>
                <w:sz w:val="20"/>
                <w:szCs w:val="20"/>
                <w:b w:val="1"/>
                <w:bCs w:val="1"/>
                <w:color w:val="auto"/>
                <w:w w:val="98"/>
              </w:rPr>
              <w:t>PARTICIPANT</w:t>
            </w:r>
          </w:p>
        </w:tc>
      </w:tr>
      <w:tr>
        <w:trPr>
          <w:trHeight w:val="455"/>
        </w:trPr>
        <w:tc>
          <w:tcPr>
            <w:tcW w:w="15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spacing w:after="0"/>
              <w:rPr>
                <w:sz w:val="24"/>
                <w:szCs w:val="24"/>
                <w:color w:val="auto"/>
              </w:rPr>
            </w:pPr>
          </w:p>
        </w:tc>
        <w:tc>
          <w:tcPr>
            <w:tcW w:w="1460" w:type="dxa"/>
            <w:vAlign w:val="bottom"/>
          </w:tcPr>
          <w:p>
            <w:pPr>
              <w:ind w:left="120"/>
              <w:spacing w:after="0"/>
              <w:rPr>
                <w:sz w:val="20"/>
                <w:szCs w:val="20"/>
                <w:color w:val="auto"/>
              </w:rPr>
            </w:pPr>
            <w:r>
              <w:rPr>
                <w:rFonts w:ascii="Arial" w:cs="Arial" w:eastAsia="Arial" w:hAnsi="Arial"/>
                <w:sz w:val="20"/>
                <w:szCs w:val="20"/>
                <w:color w:val="auto"/>
              </w:rPr>
              <w:t>By:</w:t>
            </w:r>
          </w:p>
        </w:tc>
      </w:tr>
      <w:tr>
        <w:trPr>
          <w:trHeight w:val="263"/>
        </w:trPr>
        <w:tc>
          <w:tcPr>
            <w:tcW w:w="1540" w:type="dxa"/>
            <w:vAlign w:val="bottom"/>
          </w:tcPr>
          <w:p>
            <w:pPr>
              <w:spacing w:after="0"/>
              <w:rPr>
                <w:sz w:val="20"/>
                <w:szCs w:val="20"/>
                <w:color w:val="auto"/>
              </w:rPr>
            </w:pPr>
            <w:r>
              <w:rPr>
                <w:rFonts w:ascii="Arial" w:cs="Arial" w:eastAsia="Arial" w:hAnsi="Arial"/>
                <w:sz w:val="20"/>
                <w:szCs w:val="20"/>
                <w:color w:val="auto"/>
              </w:rPr>
              <w:t>Print Name:</w:t>
            </w:r>
          </w:p>
        </w:tc>
        <w:tc>
          <w:tcPr>
            <w:tcW w:w="3980" w:type="dxa"/>
            <w:vAlign w:val="bottom"/>
            <w:tcBorders>
              <w:bottom w:val="single" w:sz="8" w:color="auto"/>
            </w:tcBorders>
          </w:tcPr>
          <w:p>
            <w:pPr>
              <w:spacing w:after="0"/>
              <w:rPr>
                <w:sz w:val="22"/>
                <w:szCs w:val="22"/>
                <w:color w:val="auto"/>
              </w:rPr>
            </w:pPr>
          </w:p>
        </w:tc>
        <w:tc>
          <w:tcPr>
            <w:tcW w:w="1460" w:type="dxa"/>
            <w:vAlign w:val="bottom"/>
          </w:tcPr>
          <w:p>
            <w:pPr>
              <w:ind w:left="120"/>
              <w:spacing w:after="0"/>
              <w:rPr>
                <w:sz w:val="20"/>
                <w:szCs w:val="20"/>
                <w:color w:val="auto"/>
              </w:rPr>
            </w:pPr>
            <w:r>
              <w:rPr>
                <w:rFonts w:ascii="Arial" w:cs="Arial" w:eastAsia="Arial" w:hAnsi="Arial"/>
                <w:sz w:val="20"/>
                <w:szCs w:val="20"/>
                <w:color w:val="auto"/>
              </w:rPr>
              <w:t>Print Name:</w:t>
            </w:r>
          </w:p>
        </w:tc>
      </w:tr>
      <w:tr>
        <w:trPr>
          <w:trHeight w:val="263"/>
        </w:trPr>
        <w:tc>
          <w:tcPr>
            <w:tcW w:w="1540" w:type="dxa"/>
            <w:vAlign w:val="bottom"/>
          </w:tcPr>
          <w:p>
            <w:pPr>
              <w:spacing w:after="0"/>
              <w:rPr>
                <w:sz w:val="20"/>
                <w:szCs w:val="20"/>
                <w:color w:val="auto"/>
              </w:rPr>
            </w:pPr>
            <w:r>
              <w:rPr>
                <w:rFonts w:ascii="Arial" w:cs="Arial" w:eastAsia="Arial" w:hAnsi="Arial"/>
                <w:sz w:val="20"/>
                <w:szCs w:val="20"/>
                <w:color w:val="auto"/>
              </w:rPr>
              <w:t>Title:</w:t>
            </w:r>
          </w:p>
        </w:tc>
        <w:tc>
          <w:tcPr>
            <w:tcW w:w="3980" w:type="dxa"/>
            <w:vAlign w:val="bottom"/>
            <w:tcBorders>
              <w:bottom w:val="single" w:sz="8" w:color="auto"/>
            </w:tcBorders>
          </w:tcPr>
          <w:p>
            <w:pPr>
              <w:spacing w:after="0"/>
              <w:rPr>
                <w:sz w:val="22"/>
                <w:szCs w:val="22"/>
                <w:color w:val="auto"/>
              </w:rPr>
            </w:pPr>
          </w:p>
        </w:tc>
        <w:tc>
          <w:tcPr>
            <w:tcW w:w="14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-187960</wp:posOffset>
            </wp:positionV>
            <wp:extent cx="26231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262318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-367665</wp:posOffset>
            </wp:positionV>
            <wp:extent cx="26231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62"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EXHIBIT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AGREEMENT</w:t>
      </w:r>
    </w:p>
    <w:p>
      <w:pPr>
        <w:jc w:val="both"/>
        <w:ind w:firstLine="819"/>
        <w:spacing w:after="0" w:line="244"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85"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jc w:val="both"/>
        <w:ind w:firstLine="819"/>
        <w:spacing w:after="0" w:line="25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Award of PSUs</w:t>
      </w:r>
      <w:r>
        <w:rPr>
          <w:rFonts w:ascii="Arial" w:cs="Arial" w:eastAsia="Arial" w:hAnsi="Arial"/>
          <w:sz w:val="20"/>
          <w:szCs w:val="20"/>
          <w:color w:val="auto"/>
        </w:rPr>
        <w:t>. The Company has granted the PSUs to Participant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xml:space="preserve"> ”). Each PSU represents the right to receive one Share, as set forth in this Agreement. Participant will have no right to the distribution of any Shares until the time (if ever) the PSUs have vested.</w:t>
      </w:r>
    </w:p>
    <w:p>
      <w:pPr>
        <w:spacing w:after="0" w:line="186" w:lineRule="exact"/>
        <w:rPr>
          <w:sz w:val="20"/>
          <w:szCs w:val="20"/>
          <w:color w:val="auto"/>
        </w:rPr>
      </w:pPr>
    </w:p>
    <w:p>
      <w:pPr>
        <w:jc w:val="both"/>
        <w:ind w:firstLine="819"/>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PSUs are subject to the terms and conditions set forth in this Agreement and the Plan, which is incorporated herein by reference. In the event of any inconsistency between the Plan and this Agreement, the terms of the Plan will control.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jc w:val="right"/>
              <w:ind w:right="541"/>
              <w:spacing w:after="0"/>
              <w:rPr>
                <w:sz w:val="20"/>
                <w:szCs w:val="20"/>
                <w:color w:val="auto"/>
              </w:rPr>
            </w:pPr>
            <w:r>
              <w:rPr>
                <w:rFonts w:ascii="Arial" w:cs="Arial" w:eastAsia="Arial" w:hAnsi="Arial"/>
                <w:sz w:val="20"/>
                <w:szCs w:val="20"/>
                <w:color w:val="auto"/>
              </w:rPr>
              <w:t>1.3</w:t>
            </w:r>
          </w:p>
        </w:tc>
        <w:tc>
          <w:tcPr>
            <w:tcW w:w="9520" w:type="dxa"/>
            <w:vAlign w:val="bottom"/>
            <w:gridSpan w:val="2"/>
          </w:tcPr>
          <w:p>
            <w:pPr>
              <w:spacing w:after="0"/>
              <w:rPr>
                <w:sz w:val="20"/>
                <w:szCs w:val="20"/>
                <w:color w:val="auto"/>
              </w:rPr>
            </w:pPr>
            <w:r>
              <w:rPr>
                <w:rFonts w:ascii="Arial" w:cs="Arial" w:eastAsia="Arial" w:hAnsi="Arial"/>
                <w:sz w:val="20"/>
                <w:szCs w:val="20"/>
                <w:color w:val="auto"/>
                <w:w w:val="90"/>
              </w:rPr>
              <w:t>Unsecured Promise. The PSUs will at all times prior to settlement represent an unsecured Company obligation payable</w:t>
            </w:r>
          </w:p>
        </w:tc>
      </w:tr>
      <w:tr>
        <w:trPr>
          <w:trHeight w:val="20"/>
        </w:trPr>
        <w:tc>
          <w:tcPr>
            <w:tcW w:w="17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20" w:type="dxa"/>
            <w:vAlign w:val="bottom"/>
            <w:tcBorders>
              <w:left w:val="single" w:sz="8" w:color="auto"/>
            </w:tcBorders>
          </w:tcPr>
          <w:p>
            <w:pPr>
              <w:spacing w:after="0" w:line="20" w:lineRule="exact"/>
              <w:rPr>
                <w:sz w:val="1"/>
                <w:szCs w:val="1"/>
                <w:color w:val="auto"/>
              </w:rPr>
            </w:pPr>
          </w:p>
        </w:tc>
      </w:tr>
      <w:tr>
        <w:trPr>
          <w:trHeight w:val="254"/>
        </w:trPr>
        <w:tc>
          <w:tcPr>
            <w:tcW w:w="11240" w:type="dxa"/>
            <w:vAlign w:val="bottom"/>
            <w:gridSpan w:val="3"/>
          </w:tcPr>
          <w:p>
            <w:pPr>
              <w:spacing w:after="0"/>
              <w:rPr>
                <w:sz w:val="20"/>
                <w:szCs w:val="20"/>
                <w:color w:val="auto"/>
              </w:rPr>
            </w:pPr>
            <w:r>
              <w:rPr>
                <w:rFonts w:ascii="Arial" w:cs="Arial" w:eastAsia="Arial" w:hAnsi="Arial"/>
                <w:sz w:val="20"/>
                <w:szCs w:val="20"/>
                <w:color w:val="auto"/>
              </w:rPr>
              <w:t>only from the Company’s general assets.</w:t>
            </w:r>
          </w:p>
        </w:tc>
      </w:tr>
      <w:tr>
        <w:trPr>
          <w:trHeight w:val="419"/>
        </w:trPr>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20" w:type="dxa"/>
            <w:vAlign w:val="bottom"/>
          </w:tcPr>
          <w:p>
            <w:pPr>
              <w:jc w:val="center"/>
              <w:ind w:right="3101"/>
              <w:spacing w:after="0"/>
              <w:rPr>
                <w:sz w:val="20"/>
                <w:szCs w:val="20"/>
                <w:color w:val="auto"/>
              </w:rPr>
            </w:pPr>
            <w:r>
              <w:rPr>
                <w:rFonts w:ascii="Arial" w:cs="Arial" w:eastAsia="Arial" w:hAnsi="Arial"/>
                <w:sz w:val="20"/>
                <w:szCs w:val="20"/>
                <w:b w:val="1"/>
                <w:bCs w:val="1"/>
                <w:color w:val="auto"/>
              </w:rPr>
              <w:t>ARTICLE II.</w:t>
            </w:r>
          </w:p>
        </w:tc>
      </w:tr>
      <w:tr>
        <w:trPr>
          <w:trHeight w:val="256"/>
        </w:trPr>
        <w:tc>
          <w:tcPr>
            <w:tcW w:w="1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20" w:type="dxa"/>
            <w:vAlign w:val="bottom"/>
          </w:tcPr>
          <w:p>
            <w:pPr>
              <w:jc w:val="center"/>
              <w:ind w:right="3121"/>
              <w:spacing w:after="0"/>
              <w:rPr>
                <w:sz w:val="20"/>
                <w:szCs w:val="20"/>
                <w:color w:val="auto"/>
              </w:rPr>
            </w:pPr>
            <w:r>
              <w:rPr>
                <w:rFonts w:ascii="Arial" w:cs="Arial" w:eastAsia="Arial" w:hAnsi="Arial"/>
                <w:sz w:val="20"/>
                <w:szCs w:val="20"/>
                <w:b w:val="1"/>
                <w:bCs w:val="1"/>
                <w:color w:val="auto"/>
              </w:rPr>
              <w:t>VESTING; FORFEITURE AND SETTLEMENT</w:t>
            </w:r>
          </w:p>
        </w:tc>
      </w:tr>
      <w:tr>
        <w:trPr>
          <w:trHeight w:val="401"/>
        </w:trPr>
        <w:tc>
          <w:tcPr>
            <w:tcW w:w="1720" w:type="dxa"/>
            <w:vAlign w:val="bottom"/>
          </w:tcPr>
          <w:p>
            <w:pPr>
              <w:jc w:val="right"/>
              <w:ind w:right="541"/>
              <w:spacing w:after="0"/>
              <w:rPr>
                <w:sz w:val="20"/>
                <w:szCs w:val="20"/>
                <w:color w:val="auto"/>
              </w:rPr>
            </w:pPr>
            <w:r>
              <w:rPr>
                <w:rFonts w:ascii="Arial" w:cs="Arial" w:eastAsia="Arial" w:hAnsi="Arial"/>
                <w:sz w:val="20"/>
                <w:szCs w:val="20"/>
                <w:color w:val="auto"/>
              </w:rPr>
              <w:t>2.1</w:t>
            </w:r>
          </w:p>
        </w:tc>
        <w:tc>
          <w:tcPr>
            <w:tcW w:w="9520" w:type="dxa"/>
            <w:vAlign w:val="bottom"/>
            <w:gridSpan w:val="2"/>
          </w:tcPr>
          <w:p>
            <w:pPr>
              <w:spacing w:after="0"/>
              <w:rPr>
                <w:sz w:val="20"/>
                <w:szCs w:val="20"/>
                <w:color w:val="auto"/>
              </w:rPr>
            </w:pPr>
            <w:r>
              <w:rPr>
                <w:rFonts w:ascii="Arial" w:cs="Arial" w:eastAsia="Arial" w:hAnsi="Arial"/>
                <w:sz w:val="20"/>
                <w:szCs w:val="20"/>
                <w:color w:val="auto"/>
                <w:w w:val="90"/>
              </w:rPr>
              <w:t>Vesting; Forfeiture. The PSUs will vest according to the vesting schedule in the Grant Notice (the “</w:t>
            </w:r>
            <w:r>
              <w:rPr>
                <w:rFonts w:ascii="Arial" w:cs="Arial" w:eastAsia="Arial" w:hAnsi="Arial"/>
                <w:sz w:val="20"/>
                <w:szCs w:val="20"/>
                <w:b w:val="1"/>
                <w:bCs w:val="1"/>
                <w:i w:val="1"/>
                <w:iCs w:val="1"/>
                <w:color w:val="auto"/>
                <w:w w:val="90"/>
              </w:rPr>
              <w:t>Vesting Schedule</w:t>
            </w:r>
            <w:r>
              <w:rPr>
                <w:rFonts w:ascii="Arial" w:cs="Arial" w:eastAsia="Arial" w:hAnsi="Arial"/>
                <w:sz w:val="20"/>
                <w:szCs w:val="20"/>
                <w:color w:val="auto"/>
                <w:w w:val="90"/>
              </w:rPr>
              <w:t>”).</w:t>
            </w:r>
          </w:p>
        </w:tc>
      </w:tr>
      <w:tr>
        <w:trPr>
          <w:trHeight w:val="20"/>
        </w:trPr>
        <w:tc>
          <w:tcPr>
            <w:tcW w:w="17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the event of Participant’s Termination of Service for any reason, all unvested PSUs will immediately and automatically be cancelled and forfeited, except as otherwise determined by the Administrator or provided in a binding written agreement between Participant and the Company. Unless and until the PSUs have vested in accordance with the Vesting Schedule set forth in the Grant Notice, Participant will have no right to any distribution with respect to such PSUs.</w:t>
      </w:r>
    </w:p>
    <w:p>
      <w:pPr>
        <w:spacing w:after="0" w:line="191" w:lineRule="exact"/>
        <w:rPr>
          <w:sz w:val="20"/>
          <w:szCs w:val="20"/>
          <w:color w:val="auto"/>
        </w:rPr>
      </w:pPr>
    </w:p>
    <w:p>
      <w:pPr>
        <w:ind w:left="820"/>
        <w:spacing w:after="0"/>
        <w:tabs>
          <w:tab w:leader="none" w:pos="17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216" w:lineRule="exact"/>
        <w:rPr>
          <w:sz w:val="20"/>
          <w:szCs w:val="20"/>
          <w:color w:val="auto"/>
        </w:rPr>
      </w:pPr>
    </w:p>
    <w:p>
      <w:pPr>
        <w:jc w:val="both"/>
        <w:ind w:firstLine="1644"/>
        <w:spacing w:after="0" w:line="278" w:lineRule="auto"/>
        <w:tabs>
          <w:tab w:leader="none" w:pos="25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PSUs will be paid in Shares as soon as administratively practicable after the vesting of the applicable PSU, but in no event more than sixty (60) days after the applicable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64" w:lineRule="exact"/>
        <w:rPr>
          <w:rFonts w:ascii="Arial" w:cs="Arial" w:eastAsia="Arial" w:hAnsi="Arial"/>
          <w:sz w:val="18"/>
          <w:szCs w:val="18"/>
          <w:color w:val="auto"/>
        </w:rPr>
      </w:pPr>
    </w:p>
    <w:p>
      <w:pPr>
        <w:ind w:left="2520" w:hanging="876"/>
        <w:spacing w:after="0"/>
        <w:tabs>
          <w:tab w:leader="none" w:pos="25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All distributions shall be made by the Company in the form of whole shares of Common Stock.</w:t>
      </w:r>
    </w:p>
    <w:p>
      <w:pPr>
        <w:spacing w:after="0" w:line="215" w:lineRule="exact"/>
        <w:rPr>
          <w:rFonts w:ascii="Arial" w:cs="Arial" w:eastAsia="Arial" w:hAnsi="Arial"/>
          <w:sz w:val="20"/>
          <w:szCs w:val="20"/>
          <w:color w:val="auto"/>
        </w:rPr>
      </w:pPr>
    </w:p>
    <w:p>
      <w:pPr>
        <w:ind w:firstLine="1644"/>
        <w:spacing w:after="0" w:line="316" w:lineRule="auto"/>
        <w:tabs>
          <w:tab w:leader="none" w:pos="25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the time nor form of distribution of Shares with respect to the PSUs may be changed, except as may be permitted by the Administrator in accordance with the Plan and Section 409A of the Code and the Treasury Regulations thereunder.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200" w:lineRule="exact"/>
        <w:rPr>
          <w:sz w:val="20"/>
          <w:szCs w:val="20"/>
          <w:color w:val="auto"/>
        </w:rPr>
      </w:pPr>
    </w:p>
    <w:p>
      <w:pPr>
        <w:jc w:val="both"/>
        <w:ind w:firstLine="819"/>
        <w:spacing w:after="0" w:line="26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Representation</w:t>
      </w:r>
      <w:r>
        <w:rPr>
          <w:rFonts w:ascii="Arial" w:cs="Arial" w:eastAsia="Arial" w:hAnsi="Arial"/>
          <w:sz w:val="19"/>
          <w:szCs w:val="19"/>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70"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644"/>
        <w:spacing w:after="0" w:line="244" w:lineRule="auto"/>
        <w:tabs>
          <w:tab w:leader="none" w:pos="2504"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Company shall not be obligated to deliver any certificate representing Shares issuable with respect to the PSUs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the distribution of the Shares issuable with respect thereto, or any other taxable event related to the PSUs (the “</w:t>
      </w:r>
      <w:r>
        <w:rPr>
          <w:rFonts w:ascii="Arial" w:cs="Arial" w:eastAsia="Arial" w:hAnsi="Arial"/>
          <w:sz w:val="20"/>
          <w:szCs w:val="20"/>
          <w:b w:val="1"/>
          <w:bCs w:val="1"/>
          <w:i w:val="1"/>
          <w:iCs w:val="1"/>
          <w:color w:val="auto"/>
        </w:rPr>
        <w:t>Tax Withholding Obligation</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644"/>
        <w:spacing w:after="0" w:line="244" w:lineRule="auto"/>
        <w:tabs>
          <w:tab w:leader="none" w:pos="2515" w:val="left"/>
        </w:tabs>
        <w:numPr>
          <w:ilvl w:val="0"/>
          <w:numId w:val="52"/>
        </w:numPr>
        <w:rPr>
          <w:rFonts w:ascii="Arial" w:cs="Arial" w:eastAsia="Arial" w:hAnsi="Arial"/>
          <w:sz w:val="20"/>
          <w:szCs w:val="20"/>
          <w:color w:val="auto"/>
        </w:rPr>
      </w:pPr>
      <w:r>
        <w:rPr>
          <w:rFonts w:ascii="Arial" w:cs="Arial" w:eastAsia="Arial" w:hAnsi="Arial"/>
          <w:sz w:val="20"/>
          <w:szCs w:val="20"/>
          <w:color w:val="auto"/>
        </w:rPr>
        <w:t>Participant may elect to satisfy the Tax Withholding Obligation as provided in Section 9.5 of the Plan. Unless Participant elects to satisfy the Tax Withholding Obligation by one of the means described in Section 9.5 of the Plan, the Company has the right and option, but not the obligation, to treat Participant’s failure to provide timely payment in accordance with the Plan of any withholding tax arising in connection with the PSUs as Participant’s election to satisfy all or any portion of the withholding tax by requesting the Company retain Shares otherwise issuable under the Award.</w:t>
      </w:r>
    </w:p>
    <w:p>
      <w:pPr>
        <w:spacing w:after="0" w:line="194" w:lineRule="exact"/>
        <w:rPr>
          <w:rFonts w:ascii="Arial" w:cs="Arial" w:eastAsia="Arial" w:hAnsi="Arial"/>
          <w:sz w:val="20"/>
          <w:szCs w:val="20"/>
          <w:color w:val="auto"/>
        </w:rPr>
      </w:pPr>
    </w:p>
    <w:p>
      <w:pPr>
        <w:jc w:val="both"/>
        <w:ind w:firstLine="1644"/>
        <w:spacing w:after="0" w:line="278" w:lineRule="auto"/>
        <w:tabs>
          <w:tab w:leader="none" w:pos="25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Participant’s tax liability.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00" w:lineRule="exact"/>
        <w:rPr>
          <w:sz w:val="20"/>
          <w:szCs w:val="20"/>
          <w:color w:val="auto"/>
        </w:rPr>
      </w:pPr>
    </w:p>
    <w:p>
      <w:pPr>
        <w:jc w:val="both"/>
        <w:ind w:firstLine="819"/>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Award Not Transferable</w:t>
      </w:r>
      <w:r>
        <w:rPr>
          <w:rFonts w:ascii="Arial" w:cs="Arial" w:eastAsia="Arial" w:hAnsi="Arial"/>
          <w:sz w:val="20"/>
          <w:szCs w:val="20"/>
          <w:color w:val="auto"/>
        </w:rPr>
        <w:t>. Without limiting the generality of any other provision hereof, the Award shall be subject to the restrictions on transferability set forth in Section 9.1 of the Plan.</w:t>
      </w:r>
    </w:p>
    <w:p>
      <w:pPr>
        <w:spacing w:after="0" w:line="177" w:lineRule="exact"/>
        <w:rPr>
          <w:sz w:val="20"/>
          <w:szCs w:val="20"/>
          <w:color w:val="auto"/>
        </w:rPr>
      </w:pPr>
    </w:p>
    <w:p>
      <w:pPr>
        <w:jc w:val="both"/>
        <w:ind w:firstLine="819"/>
        <w:spacing w:after="0" w:line="26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PSUs and the Shares subject to the PSUs are subject to adjustment, modification and termination in certain events as provided in this Agreement and the Plan.</w:t>
      </w:r>
    </w:p>
    <w:p>
      <w:pPr>
        <w:spacing w:after="0" w:line="177" w:lineRule="exact"/>
        <w:rPr>
          <w:sz w:val="20"/>
          <w:szCs w:val="20"/>
          <w:color w:val="auto"/>
        </w:rPr>
      </w:pPr>
    </w:p>
    <w:p>
      <w:pPr>
        <w:jc w:val="both"/>
        <w:ind w:firstLine="819"/>
        <w:spacing w:after="0" w:line="242"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4" w:lineRule="exact"/>
        <w:rPr>
          <w:sz w:val="20"/>
          <w:szCs w:val="20"/>
          <w:color w:val="auto"/>
        </w:rPr>
      </w:pPr>
    </w:p>
    <w:p>
      <w:pPr>
        <w:jc w:val="both"/>
        <w:ind w:firstLine="819"/>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1" w:name="page72"/>
    <w:bookmarkEnd w:id="71"/>
    <w:p>
      <w:pPr>
        <w:jc w:val="both"/>
        <w:ind w:firstLine="819"/>
        <w:spacing w:after="0" w:line="25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819"/>
        <w:spacing w:after="0" w:line="246"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91" w:lineRule="exact"/>
        <w:rPr>
          <w:sz w:val="20"/>
          <w:szCs w:val="20"/>
          <w:color w:val="auto"/>
        </w:rPr>
      </w:pPr>
    </w:p>
    <w:p>
      <w:pPr>
        <w:jc w:val="both"/>
        <w:ind w:firstLine="819"/>
        <w:spacing w:after="0" w:line="244"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94" w:lineRule="exact"/>
        <w:rPr>
          <w:sz w:val="20"/>
          <w:szCs w:val="20"/>
          <w:color w:val="auto"/>
        </w:rPr>
      </w:pPr>
    </w:p>
    <w:p>
      <w:pPr>
        <w:jc w:val="both"/>
        <w:ind w:firstLine="819"/>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819"/>
        <w:spacing w:after="0" w:line="250"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ind w:left="820"/>
        <w:spacing w:after="0"/>
        <w:tabs>
          <w:tab w:leader="none" w:pos="180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8"/>
          <w:szCs w:val="18"/>
          <w:color w:val="auto"/>
        </w:rPr>
        <w:t>Limitation on Participant’s Rights. Participation in the Plan confers no rights or interests other than as herein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-14605</wp:posOffset>
            </wp:positionV>
            <wp:extent cx="17062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jc w:val="both"/>
        <w:spacing w:after="0"/>
        <w:rPr>
          <w:sz w:val="20"/>
          <w:szCs w:val="20"/>
          <w:color w:val="auto"/>
        </w:rPr>
      </w:pPr>
      <w:r>
        <w:rPr>
          <w:rFonts w:ascii="Arial" w:cs="Arial" w:eastAsia="Arial" w:hAnsi="Arial"/>
          <w:sz w:val="20"/>
          <w:szCs w:val="20"/>
          <w:color w:val="auto"/>
        </w:rPr>
        <w:t>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the Shares as a general unsecured creditor with respect to the PSUs, as and when settled pursuant to the terms of this Agreement.</w:t>
      </w:r>
    </w:p>
    <w:p>
      <w:pPr>
        <w:spacing w:after="0" w:line="198" w:lineRule="exact"/>
        <w:rPr>
          <w:sz w:val="20"/>
          <w:szCs w:val="20"/>
          <w:color w:val="auto"/>
        </w:rPr>
      </w:pPr>
    </w:p>
    <w:p>
      <w:pPr>
        <w:jc w:val="both"/>
        <w:ind w:firstLine="819"/>
        <w:spacing w:after="0" w:line="244"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4" w:lineRule="exact"/>
        <w:rPr>
          <w:sz w:val="20"/>
          <w:szCs w:val="20"/>
          <w:color w:val="auto"/>
        </w:rPr>
      </w:pPr>
    </w:p>
    <w:p>
      <w:pPr>
        <w:jc w:val="both"/>
        <w:ind w:firstLine="819"/>
        <w:spacing w:after="0" w:line="287"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2" w:name="page73"/>
    <w:bookmarkEnd w:id="72"/>
    <w:p>
      <w:pPr>
        <w:ind w:left="820"/>
        <w:spacing w:after="0"/>
        <w:tabs>
          <w:tab w:leader="none" w:pos="180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16" w:lineRule="exact"/>
        <w:rPr>
          <w:sz w:val="20"/>
          <w:szCs w:val="20"/>
          <w:color w:val="auto"/>
        </w:rPr>
      </w:pPr>
    </w:p>
    <w:p>
      <w:pPr>
        <w:jc w:val="both"/>
        <w:ind w:firstLine="1644"/>
        <w:spacing w:after="0" w:line="257" w:lineRule="auto"/>
        <w:tabs>
          <w:tab w:leader="none" w:pos="2504"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“Section 409A”).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84" w:lineRule="exact"/>
        <w:rPr>
          <w:rFonts w:ascii="Arial" w:cs="Arial" w:eastAsia="Arial" w:hAnsi="Arial"/>
          <w:sz w:val="19"/>
          <w:szCs w:val="19"/>
          <w:color w:val="auto"/>
        </w:rPr>
      </w:pPr>
    </w:p>
    <w:p>
      <w:pPr>
        <w:jc w:val="both"/>
        <w:ind w:firstLine="1644"/>
        <w:spacing w:after="0" w:line="243" w:lineRule="auto"/>
        <w:tabs>
          <w:tab w:leader="none" w:pos="2515"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This Agreement is not intended to provide for any deferral of compensation subject to Section 409A of the Code, and, accordingly, the Shares issuable pursuant to the PSUs hereunder shall be distributed to Participant no later than the later of: (A) the fifteenth (15th) day of the third month following Participant’s first taxable year in which such PSUs are no longer subject to a substantial risk of forfeiture, and (B) the fifteenth (15th) day of the third month following first taxable year of the Company in which such PSUs are no longer subject to substantial risk of forfeiture, as determined in accordance with Section 409A and any Treasury Regulations and other guidance issued thereunder.</w:t>
      </w:r>
    </w:p>
    <w:p>
      <w:pPr>
        <w:spacing w:after="0" w:line="196" w:lineRule="exact"/>
        <w:rPr>
          <w:sz w:val="20"/>
          <w:szCs w:val="20"/>
          <w:color w:val="auto"/>
        </w:rPr>
      </w:pPr>
    </w:p>
    <w:p>
      <w:pPr>
        <w:jc w:val="both"/>
        <w:ind w:firstLine="819"/>
        <w:spacing w:after="0" w:line="250" w:lineRule="auto"/>
        <w:rPr>
          <w:sz w:val="20"/>
          <w:szCs w:val="20"/>
          <w:color w:val="auto"/>
        </w:rPr>
      </w:pPr>
      <w:r>
        <w:rPr>
          <w:rFonts w:ascii="Arial" w:cs="Arial" w:eastAsia="Arial" w:hAnsi="Arial"/>
          <w:sz w:val="20"/>
          <w:szCs w:val="20"/>
          <w:color w:val="auto"/>
        </w:rPr>
        <w:t xml:space="preserve">4.13 </w:t>
      </w:r>
      <w:r>
        <w:rPr>
          <w:rFonts w:ascii="Arial" w:cs="Arial" w:eastAsia="Arial" w:hAnsi="Arial"/>
          <w:sz w:val="20"/>
          <w:szCs w:val="20"/>
          <w:u w:val="single" w:color="auto"/>
          <w:color w:val="auto"/>
        </w:rPr>
        <w:t>Governing Law</w:t>
      </w:r>
      <w:r>
        <w:rPr>
          <w:rFonts w:ascii="Arial" w:cs="Arial" w:eastAsia="Arial" w:hAnsi="Arial"/>
          <w:sz w:val="20"/>
          <w:szCs w:val="20"/>
          <w:color w:val="auto"/>
        </w:rPr>
        <w:t>. The provisions of the Plan and all Awards made thereunder, including the PSUs, shall be governed by and interpreted in accordance with the laws of the State of Delaware, disregarding choice-of-law principles of the law of any state that would require the application of the laws of a jurisdiction other than such state.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352" w:right="339" w:bottom="1440" w:gutter="0" w:footer="0" w:header="0"/>
        </w:sectPr>
      </w:pPr>
    </w:p>
    <w:bookmarkStart w:id="73" w:name="page74"/>
    <w:bookmarkEnd w:id="73"/>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Terrie Curran, certify that:</w:t>
      </w:r>
    </w:p>
    <w:p>
      <w:pPr>
        <w:spacing w:after="0" w:line="225" w:lineRule="exact"/>
        <w:rPr>
          <w:sz w:val="20"/>
          <w:szCs w:val="20"/>
          <w:color w:val="auto"/>
        </w:rPr>
      </w:pPr>
    </w:p>
    <w:p>
      <w:pPr>
        <w:ind w:left="960" w:hanging="952"/>
        <w:spacing w:after="0"/>
        <w:tabs>
          <w:tab w:leader="none" w:pos="96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010000"/>
        </w:rPr>
      </w:pPr>
    </w:p>
    <w:p>
      <w:pPr>
        <w:jc w:val="both"/>
        <w:ind w:left="960" w:right="80" w:hanging="952"/>
        <w:spacing w:after="0" w:line="263" w:lineRule="auto"/>
        <w:tabs>
          <w:tab w:leader="none" w:pos="96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010000"/>
        </w:rPr>
      </w:pPr>
    </w:p>
    <w:p>
      <w:pPr>
        <w:ind w:left="960" w:right="40" w:hanging="952"/>
        <w:spacing w:after="0" w:line="308" w:lineRule="auto"/>
        <w:tabs>
          <w:tab w:leader="none" w:pos="960" w:val="left"/>
        </w:tabs>
        <w:numPr>
          <w:ilvl w:val="0"/>
          <w:numId w:val="54"/>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010000"/>
        </w:rPr>
      </w:pPr>
    </w:p>
    <w:p>
      <w:pPr>
        <w:ind w:left="960" w:right="20" w:hanging="952"/>
        <w:spacing w:after="0" w:line="277" w:lineRule="auto"/>
        <w:tabs>
          <w:tab w:leader="none" w:pos="96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010000"/>
        </w:rPr>
      </w:pPr>
    </w:p>
    <w:p>
      <w:pPr>
        <w:ind w:left="1900" w:right="140" w:hanging="947"/>
        <w:spacing w:after="0" w:line="286" w:lineRule="auto"/>
        <w:tabs>
          <w:tab w:leader="none" w:pos="1900" w:val="left"/>
        </w:tabs>
        <w:numPr>
          <w:ilvl w:val="1"/>
          <w:numId w:val="54"/>
        </w:numPr>
        <w:rPr>
          <w:rFonts w:ascii="Arial" w:cs="Arial" w:eastAsia="Arial" w:hAnsi="Arial"/>
          <w:sz w:val="17"/>
          <w:szCs w:val="17"/>
          <w:color w:val="010000"/>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010000"/>
        </w:rPr>
      </w:pPr>
    </w:p>
    <w:p>
      <w:pPr>
        <w:ind w:left="1900" w:hanging="947"/>
        <w:spacing w:after="0"/>
        <w:tabs>
          <w:tab w:leader="none" w:pos="1900" w:val="left"/>
        </w:tabs>
        <w:numPr>
          <w:ilvl w:val="1"/>
          <w:numId w:val="54"/>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ind w:left="1900" w:right="60" w:hanging="947"/>
        <w:spacing w:after="0" w:line="263" w:lineRule="auto"/>
        <w:tabs>
          <w:tab w:leader="none" w:pos="190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010000"/>
        </w:rPr>
      </w:pPr>
    </w:p>
    <w:p>
      <w:pPr>
        <w:ind w:left="1900" w:hanging="947"/>
        <w:spacing w:after="0" w:line="286" w:lineRule="auto"/>
        <w:tabs>
          <w:tab w:leader="none" w:pos="1900" w:val="left"/>
        </w:tabs>
        <w:numPr>
          <w:ilvl w:val="1"/>
          <w:numId w:val="54"/>
        </w:numPr>
        <w:rPr>
          <w:rFonts w:ascii="Arial" w:cs="Arial" w:eastAsia="Arial" w:hAnsi="Arial"/>
          <w:sz w:val="17"/>
          <w:szCs w:val="17"/>
          <w:color w:val="010000"/>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010000"/>
        </w:rPr>
      </w:pPr>
    </w:p>
    <w:p>
      <w:pPr>
        <w:ind w:left="960" w:right="160" w:hanging="952"/>
        <w:spacing w:after="0" w:line="342" w:lineRule="auto"/>
        <w:tabs>
          <w:tab w:leader="none" w:pos="960" w:val="left"/>
        </w:tabs>
        <w:numPr>
          <w:ilvl w:val="0"/>
          <w:numId w:val="54"/>
        </w:numPr>
        <w:rPr>
          <w:rFonts w:ascii="Arial" w:cs="Arial" w:eastAsia="Arial" w:hAnsi="Arial"/>
          <w:sz w:val="16"/>
          <w:szCs w:val="16"/>
          <w:color w:val="010000"/>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010000"/>
        </w:rPr>
      </w:pPr>
    </w:p>
    <w:p>
      <w:pPr>
        <w:ind w:left="1900" w:right="120" w:hanging="947"/>
        <w:spacing w:after="0" w:line="263" w:lineRule="auto"/>
        <w:tabs>
          <w:tab w:leader="none" w:pos="190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010000"/>
        </w:rPr>
      </w:pPr>
    </w:p>
    <w:p>
      <w:pPr>
        <w:ind w:left="1900" w:right="140" w:hanging="947"/>
        <w:spacing w:after="0" w:line="277" w:lineRule="auto"/>
        <w:tabs>
          <w:tab w:leader="none" w:pos="1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 August 6, 2020</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195"/>
        </w:trPr>
        <w:tc>
          <w:tcPr>
            <w:tcW w:w="392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Terrie Curran</w:t>
            </w:r>
          </w:p>
        </w:tc>
      </w:tr>
      <w:tr>
        <w:trPr>
          <w:trHeight w:val="216"/>
        </w:trPr>
        <w:tc>
          <w:tcPr>
            <w:tcW w:w="3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74" w:name="page75"/>
    <w:bookmarkEnd w:id="74"/>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P. Branning, certify that:</w:t>
      </w:r>
    </w:p>
    <w:p>
      <w:pPr>
        <w:spacing w:after="0" w:line="225" w:lineRule="exact"/>
        <w:rPr>
          <w:sz w:val="20"/>
          <w:szCs w:val="20"/>
          <w:color w:val="auto"/>
        </w:rPr>
      </w:pPr>
    </w:p>
    <w:p>
      <w:pPr>
        <w:ind w:left="960" w:hanging="952"/>
        <w:spacing w:after="0"/>
        <w:tabs>
          <w:tab w:leader="none" w:pos="96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I have reviewed this Quarterly Report on Form 10-Q of Phathom Pharmaceuticals, Inc.</w:t>
      </w:r>
    </w:p>
    <w:p>
      <w:pPr>
        <w:spacing w:after="0" w:line="225" w:lineRule="exact"/>
        <w:rPr>
          <w:rFonts w:ascii="Arial" w:cs="Arial" w:eastAsia="Arial" w:hAnsi="Arial"/>
          <w:sz w:val="18"/>
          <w:szCs w:val="18"/>
          <w:color w:val="010000"/>
        </w:rPr>
      </w:pPr>
    </w:p>
    <w:p>
      <w:pPr>
        <w:jc w:val="both"/>
        <w:ind w:left="960" w:right="80" w:hanging="952"/>
        <w:spacing w:after="0" w:line="263" w:lineRule="auto"/>
        <w:tabs>
          <w:tab w:leader="none" w:pos="96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010000"/>
        </w:rPr>
      </w:pPr>
    </w:p>
    <w:p>
      <w:pPr>
        <w:ind w:left="960" w:right="40" w:hanging="952"/>
        <w:spacing w:after="0" w:line="308" w:lineRule="auto"/>
        <w:tabs>
          <w:tab w:leader="none" w:pos="960" w:val="left"/>
        </w:tabs>
        <w:numPr>
          <w:ilvl w:val="0"/>
          <w:numId w:val="55"/>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010000"/>
        </w:rPr>
      </w:pPr>
    </w:p>
    <w:p>
      <w:pPr>
        <w:ind w:left="960" w:right="20" w:hanging="952"/>
        <w:spacing w:after="0" w:line="277" w:lineRule="auto"/>
        <w:tabs>
          <w:tab w:leader="none" w:pos="96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010000"/>
        </w:rPr>
      </w:pPr>
    </w:p>
    <w:p>
      <w:pPr>
        <w:ind w:left="1900" w:right="140" w:hanging="947"/>
        <w:spacing w:after="0" w:line="286" w:lineRule="auto"/>
        <w:tabs>
          <w:tab w:leader="none" w:pos="1900" w:val="left"/>
        </w:tabs>
        <w:numPr>
          <w:ilvl w:val="1"/>
          <w:numId w:val="55"/>
        </w:numPr>
        <w:rPr>
          <w:rFonts w:ascii="Arial" w:cs="Arial" w:eastAsia="Arial" w:hAnsi="Arial"/>
          <w:sz w:val="17"/>
          <w:szCs w:val="17"/>
          <w:color w:val="010000"/>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010000"/>
        </w:rPr>
      </w:pPr>
    </w:p>
    <w:p>
      <w:pPr>
        <w:ind w:left="1900" w:hanging="947"/>
        <w:spacing w:after="0"/>
        <w:tabs>
          <w:tab w:leader="none" w:pos="1900" w:val="left"/>
        </w:tabs>
        <w:numPr>
          <w:ilvl w:val="1"/>
          <w:numId w:val="55"/>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ind w:left="1900" w:right="60" w:hanging="947"/>
        <w:spacing w:after="0" w:line="263" w:lineRule="auto"/>
        <w:tabs>
          <w:tab w:leader="none" w:pos="1900"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010000"/>
        </w:rPr>
      </w:pPr>
    </w:p>
    <w:p>
      <w:pPr>
        <w:ind w:left="1900" w:hanging="947"/>
        <w:spacing w:after="0" w:line="286" w:lineRule="auto"/>
        <w:tabs>
          <w:tab w:leader="none" w:pos="1900" w:val="left"/>
        </w:tabs>
        <w:numPr>
          <w:ilvl w:val="1"/>
          <w:numId w:val="55"/>
        </w:numPr>
        <w:rPr>
          <w:rFonts w:ascii="Arial" w:cs="Arial" w:eastAsia="Arial" w:hAnsi="Arial"/>
          <w:sz w:val="17"/>
          <w:szCs w:val="17"/>
          <w:color w:val="010000"/>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010000"/>
        </w:rPr>
      </w:pPr>
    </w:p>
    <w:p>
      <w:pPr>
        <w:ind w:left="960" w:right="160" w:hanging="952"/>
        <w:spacing w:after="0" w:line="342" w:lineRule="auto"/>
        <w:tabs>
          <w:tab w:leader="none" w:pos="960" w:val="left"/>
        </w:tabs>
        <w:numPr>
          <w:ilvl w:val="0"/>
          <w:numId w:val="55"/>
        </w:numPr>
        <w:rPr>
          <w:rFonts w:ascii="Arial" w:cs="Arial" w:eastAsia="Arial" w:hAnsi="Arial"/>
          <w:sz w:val="16"/>
          <w:szCs w:val="16"/>
          <w:color w:val="010000"/>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010000"/>
        </w:rPr>
      </w:pPr>
    </w:p>
    <w:p>
      <w:pPr>
        <w:ind w:left="1900" w:right="120" w:hanging="947"/>
        <w:spacing w:after="0" w:line="263" w:lineRule="auto"/>
        <w:tabs>
          <w:tab w:leader="none" w:pos="1900"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010000"/>
        </w:rPr>
      </w:pPr>
    </w:p>
    <w:p>
      <w:pPr>
        <w:ind w:left="1900" w:right="140" w:hanging="947"/>
        <w:spacing w:after="0" w:line="277" w:lineRule="auto"/>
        <w:tabs>
          <w:tab w:leader="none" w:pos="1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 August 6, 2020</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P. Branning</w:t>
            </w:r>
          </w:p>
        </w:tc>
      </w:tr>
      <w:tr>
        <w:trPr>
          <w:trHeight w:val="195"/>
        </w:trPr>
        <w:tc>
          <w:tcPr>
            <w:tcW w:w="392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Todd P. Branning</w:t>
            </w:r>
          </w:p>
        </w:tc>
      </w:tr>
      <w:tr>
        <w:trPr>
          <w:trHeight w:val="216"/>
        </w:trPr>
        <w:tc>
          <w:tcPr>
            <w:tcW w:w="3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51" w:right="339" w:bottom="1440" w:gutter="0" w:footer="0" w:header="0"/>
        </w:sectPr>
      </w:pPr>
    </w:p>
    <w:bookmarkStart w:id="75" w:name="page76"/>
    <w:bookmarkEnd w:id="75"/>
    <w:p>
      <w:pPr>
        <w:ind w:left="10260"/>
        <w:spacing w:after="0"/>
        <w:rPr>
          <w:sz w:val="20"/>
          <w:szCs w:val="20"/>
          <w:color w:val="auto"/>
        </w:rPr>
      </w:pPr>
      <w:r>
        <w:rPr>
          <w:rFonts w:ascii="Arial" w:cs="Arial" w:eastAsia="Arial" w:hAnsi="Arial"/>
          <w:sz w:val="17"/>
          <w:szCs w:val="17"/>
          <w:b w:val="1"/>
          <w:bCs w:val="1"/>
          <w:color w:val="auto"/>
        </w:rPr>
        <w:t>Exhibit 32.1</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firstLine="950"/>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June 30, 2020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62" w:lineRule="exact"/>
        <w:rPr>
          <w:sz w:val="20"/>
          <w:szCs w:val="20"/>
          <w:color w:val="auto"/>
        </w:rPr>
      </w:pPr>
    </w:p>
    <w:p>
      <w:pPr>
        <w:ind w:left="960" w:right="60" w:hanging="95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960" w:right="660" w:hanging="95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August 6, 2020</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Terrie Curran</w:t>
            </w:r>
          </w:p>
        </w:tc>
      </w:tr>
      <w:tr>
        <w:trPr>
          <w:trHeight w:val="222"/>
        </w:trPr>
        <w:tc>
          <w:tcPr>
            <w:tcW w:w="40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Terrie Curran</w:t>
            </w:r>
          </w:p>
        </w:tc>
      </w:tr>
      <w:tr>
        <w:trPr>
          <w:trHeight w:val="230"/>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15" w:lineRule="exact"/>
        <w:rPr>
          <w:sz w:val="20"/>
          <w:szCs w:val="20"/>
          <w:color w:val="auto"/>
        </w:rPr>
      </w:pPr>
    </w:p>
    <w:p>
      <w:pPr>
        <w:ind w:right="320" w:firstLine="95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20"/>
          </w:cols>
          <w:pgMar w:left="320" w:top="121" w:right="3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340" w:firstLine="950"/>
        <w:spacing w:after="0" w:line="311" w:lineRule="auto"/>
        <w:rPr>
          <w:sz w:val="20"/>
          <w:szCs w:val="20"/>
          <w:color w:val="auto"/>
        </w:rPr>
      </w:pPr>
      <w:r>
        <w:rPr>
          <w:rFonts w:ascii="Arial" w:cs="Arial" w:eastAsia="Arial" w:hAnsi="Arial"/>
          <w:sz w:val="16"/>
          <w:szCs w:val="16"/>
          <w:color w:val="auto"/>
        </w:rPr>
        <w:t>In connection with the Quarterly Report on Form 10-Q of Phathom Pharmaceuticals, Inc. (the “Company”) for the quarter ended June 30, 2020 as filed with the Securities and Exchange Commission on the date hereof (the “Report”), I, Todd P. Branning, as Chief Financial Officer of the Company, certify, pursuant to 18 U.S.C. Section 1350, as adopted pursuant to Section 906 of the Sarbanes-Oxley Act of 2002, to my knowledge, that:</w:t>
      </w:r>
    </w:p>
    <w:p>
      <w:pPr>
        <w:spacing w:after="0" w:line="162" w:lineRule="exact"/>
        <w:rPr>
          <w:sz w:val="20"/>
          <w:szCs w:val="20"/>
          <w:color w:val="auto"/>
        </w:rPr>
      </w:pPr>
    </w:p>
    <w:p>
      <w:pPr>
        <w:ind w:left="960" w:right="40" w:hanging="95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3" w:lineRule="exact"/>
        <w:rPr>
          <w:rFonts w:ascii="Arial" w:cs="Arial" w:eastAsia="Arial" w:hAnsi="Arial"/>
          <w:sz w:val="18"/>
          <w:szCs w:val="18"/>
          <w:color w:val="auto"/>
        </w:rPr>
      </w:pPr>
    </w:p>
    <w:p>
      <w:pPr>
        <w:ind w:left="960" w:right="640" w:hanging="95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August 6, 2020</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P. Branning</w:t>
            </w:r>
          </w:p>
        </w:tc>
      </w:tr>
      <w:tr>
        <w:trPr>
          <w:trHeight w:val="222"/>
        </w:trPr>
        <w:tc>
          <w:tcPr>
            <w:tcW w:w="40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Todd P. Branning</w:t>
            </w:r>
          </w:p>
        </w:tc>
      </w:tr>
      <w:tr>
        <w:trPr>
          <w:trHeight w:val="230"/>
        </w:trPr>
        <w:tc>
          <w:tcPr>
            <w:tcW w:w="40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right="300" w:firstLine="95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lowerRoman"/>
      <w:start w:val="3"/>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
    </w:lvl>
    <w:lvl w:ilvl="1">
      <w:lvlJc w:val="left"/>
      <w:lvlText w:val="(%2)"/>
      <w:numFmt w:val="upperLetter"/>
      <w:start w:val="1"/>
    </w:lvl>
  </w:abstractNum>
  <w:abstractNum w:abstractNumId="10">
    <w:nsid w:val="614FD4A1"/>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lvl w:ilvl="3">
      <w:lvlJc w:val="left"/>
      <w:lvlText w:val="-"/>
      <w:numFmt w:val="bullet"/>
      <w:start w:val="1"/>
    </w:lvl>
  </w:abstractNum>
  <w:abstractNum w:abstractNumId="11">
    <w:nsid w:val="419AC241"/>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12">
    <w:nsid w:val="5577F8E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lvl w:ilvl="3">
      <w:lvlJc w:val="left"/>
      <w:lvlText w:val="-"/>
      <w:numFmt w:val="bullet"/>
      <w:start w:val="1"/>
    </w:lvl>
  </w:abstractNum>
  <w:abstractNum w:abstractNumId="13">
    <w:nsid w:val="440BADFC"/>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lvl w:ilvl="3">
      <w:lvlJc w:val="left"/>
      <w:lvlText w:val="-"/>
      <w:numFmt w:val="bullet"/>
      <w:start w:val="1"/>
    </w:lvl>
  </w:abstractNum>
  <w:abstractNum w:abstractNumId="14">
    <w:nsid w:val="5072367"/>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15">
    <w:nsid w:val="3804823E"/>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lvl w:ilvl="3">
      <w:lvlJc w:val="left"/>
      <w:lvlText w:val="-"/>
      <w:numFmt w:val="bullet"/>
      <w:start w:val="1"/>
    </w:lvl>
  </w:abstractNum>
  <w:abstractNum w:abstractNumId="16">
    <w:nsid w:val="77465F01"/>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17">
    <w:nsid w:val="7724C67E"/>
    <w:multiLevelType w:val="hybridMultilevel"/>
    <w:lvl w:ilvl="0">
      <w:lvlJc w:val="left"/>
      <w:lvlText w:val="(%1)"/>
      <w:numFmt w:val="lowerRoman"/>
      <w:start w:val="3"/>
    </w:lvl>
    <w:lvl w:ilvl="1">
      <w:lvlJc w:val="left"/>
      <w:lvlText w:val="-"/>
      <w:numFmt w:val="bullet"/>
      <w:start w:val="1"/>
    </w:lvl>
  </w:abstractNum>
  <w:abstractNum w:abstractNumId="18">
    <w:nsid w:val="5C482A97"/>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lvl w:ilvl="3">
      <w:lvlJc w:val="left"/>
      <w:lvlText w:val="-"/>
      <w:numFmt w:val="bullet"/>
      <w:start w:val="1"/>
    </w:lvl>
  </w:abstractNum>
  <w:abstractNum w:abstractNumId="19">
    <w:nsid w:val="2463B9EA"/>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20">
    <w:nsid w:val="5E884ADC"/>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lvl w:ilvl="3">
      <w:lvlJc w:val="left"/>
      <w:lvlText w:val="-"/>
      <w:numFmt w:val="bullet"/>
      <w:start w:val="1"/>
    </w:lvl>
  </w:abstractNum>
  <w:abstractNum w:abstractNumId="21">
    <w:nsid w:val="51EAD36B"/>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22">
    <w:nsid w:val="2D51779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23">
    <w:nsid w:val="580BD78F"/>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24">
    <w:nsid w:val="153EA438"/>
    <w:multiLevelType w:val="hybridMultilevel"/>
    <w:lvl w:ilvl="0">
      <w:lvlJc w:val="left"/>
      <w:lvlText w:val="(%1)"/>
      <w:numFmt w:val="lowerRoman"/>
      <w:start w:val="3"/>
    </w:lvl>
    <w:lvl w:ilvl="1">
      <w:lvlJc w:val="left"/>
      <w:lvlText w:val="-"/>
      <w:numFmt w:val="bullet"/>
      <w:start w:val="1"/>
    </w:lvl>
  </w:abstractNum>
  <w:abstractNum w:abstractNumId="25">
    <w:nsid w:val="3855585C"/>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lvl w:ilvl="3">
      <w:lvlJc w:val="left"/>
      <w:lvlText w:val="-"/>
      <w:numFmt w:val="bullet"/>
      <w:start w:val="1"/>
    </w:lvl>
  </w:abstractNum>
  <w:abstractNum w:abstractNumId="26">
    <w:nsid w:val="70A64E2A"/>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27">
    <w:nsid w:val="6A2342EC"/>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28">
    <w:nsid w:val="2A487CB0"/>
    <w:multiLevelType w:val="hybridMultilevel"/>
    <w:lvl w:ilvl="0">
      <w:lvlJc w:val="left"/>
      <w:lvlText w:val="%1."/>
      <w:numFmt w:val="decimal"/>
      <w:start w:val="9"/>
    </w:lvl>
    <w:lvl w:ilvl="1">
      <w:lvlJc w:val="left"/>
      <w:lvlText w:val="(%2)"/>
      <w:numFmt w:val="upperLetter"/>
      <w:start w:val="1"/>
    </w:lvl>
    <w:lvl w:ilvl="2">
      <w:lvlJc w:val="left"/>
      <w:lvlText w:val="-"/>
      <w:numFmt w:val="bullet"/>
      <w:start w:val="1"/>
    </w:lvl>
  </w:abstractNum>
  <w:abstractNum w:abstractNumId="29">
    <w:nsid w:val="1D4ED43B"/>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30">
    <w:nsid w:val="725A06FB"/>
    <w:multiLevelType w:val="hybridMultilevel"/>
    <w:lvl w:ilvl="0">
      <w:lvlJc w:val="left"/>
      <w:lvlText w:val="%1."/>
      <w:numFmt w:val="decimal"/>
      <w:start w:val="10"/>
    </w:lvl>
    <w:lvl w:ilvl="1">
      <w:lvlJc w:val="left"/>
      <w:lvlText w:val="(%2)"/>
      <w:numFmt w:val="upperLetter"/>
      <w:start w:val="1"/>
    </w:lvl>
    <w:lvl w:ilvl="2">
      <w:lvlJc w:val="left"/>
      <w:lvlText w:val="-"/>
      <w:numFmt w:val="bullet"/>
      <w:start w:val="1"/>
    </w:lvl>
  </w:abstractNum>
  <w:abstractNum w:abstractNumId="31">
    <w:nsid w:val="2CD89A32"/>
    <w:multiLevelType w:val="hybridMultilevel"/>
    <w:lvl w:ilvl="0">
      <w:lvlJc w:val="left"/>
      <w:lvlText w:val="(%1)"/>
      <w:numFmt w:val="upperLetter"/>
      <w:start w:val="2"/>
    </w:lvl>
    <w:lvl w:ilvl="1">
      <w:lvlJc w:val="left"/>
      <w:lvlText w:val="-"/>
      <w:numFmt w:val="bullet"/>
      <w:start w:val="1"/>
    </w:lvl>
  </w:abstractNum>
  <w:abstractNum w:abstractNumId="32">
    <w:nsid w:val="57E4CCAF"/>
    <w:multiLevelType w:val="hybridMultilevel"/>
    <w:lvl w:ilvl="0">
      <w:lvlJc w:val="left"/>
      <w:lvlText w:val="%1."/>
      <w:numFmt w:val="decimal"/>
      <w:start w:val="11"/>
    </w:lvl>
    <w:lvl w:ilvl="1">
      <w:lvlJc w:val="left"/>
      <w:lvlText w:val="(%2)"/>
      <w:numFmt w:val="upperLetter"/>
      <w:start w:val="1"/>
    </w:lvl>
    <w:lvl w:ilvl="2">
      <w:lvlJc w:val="left"/>
      <w:lvlText w:val="(%3)"/>
      <w:numFmt w:val="lowerRoman"/>
      <w:start w:val="1"/>
    </w:lvl>
    <w:lvl w:ilvl="3">
      <w:lvlJc w:val="left"/>
      <w:lvlText w:val="(%4)"/>
      <w:numFmt w:val="lowerLetter"/>
      <w:start w:val="3"/>
    </w:lvl>
    <w:lvl w:ilvl="4">
      <w:lvlJc w:val="left"/>
      <w:lvlText w:val="-"/>
      <w:numFmt w:val="bullet"/>
      <w:start w:val="1"/>
    </w:lvl>
  </w:abstractNum>
  <w:abstractNum w:abstractNumId="33">
    <w:nsid w:val="7A6D8D3C"/>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34">
    <w:nsid w:val="4B588F54"/>
    <w:multiLevelType w:val="hybridMultilevel"/>
    <w:lvl w:ilvl="0">
      <w:lvlJc w:val="left"/>
      <w:lvlText w:val="%1."/>
      <w:numFmt w:val="decimal"/>
      <w:start w:val="15"/>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35">
    <w:nsid w:val="542289EC"/>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10"/>
    </w:lvl>
    <w:lvl w:ilvl="3">
      <w:lvlJc w:val="left"/>
      <w:lvlText w:val="-"/>
      <w:numFmt w:val="bullet"/>
      <w:start w:val="1"/>
    </w:lvl>
  </w:abstractNum>
  <w:abstractNum w:abstractNumId="36">
    <w:nsid w:val="6DE91B18"/>
    <w:multiLevelType w:val="hybridMultilevel"/>
    <w:lvl w:ilvl="0">
      <w:lvlJc w:val="left"/>
      <w:lvlText w:val="(%1)"/>
      <w:numFmt w:val="upperLetter"/>
      <w:start w:val="4"/>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37">
    <w:nsid w:val="38437FDB"/>
    <w:multiLevelType w:val="hybridMultilevel"/>
    <w:lvl w:ilvl="0">
      <w:lvlJc w:val="left"/>
      <w:lvlText w:val="%1."/>
      <w:numFmt w:val="decimal"/>
      <w:start w:val="16"/>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38">
    <w:nsid w:val="7644A45C"/>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39">
    <w:nsid w:val="32FFF902"/>
    <w:multiLevelType w:val="hybridMultilevel"/>
    <w:lvl w:ilvl="0">
      <w:lvlJc w:val="left"/>
      <w:lvlText w:val="%1"/>
      <w:numFmt w:val="decimal"/>
      <w:start w:val="1"/>
    </w:lvl>
    <w:lvl w:ilvl="1">
      <w:lvlJc w:val="left"/>
      <w:lvlText w:val="(%2)"/>
      <w:numFmt w:val="upperLetter"/>
      <w:start w:val="4"/>
    </w:lvl>
  </w:abstractNum>
  <w:abstractNum w:abstractNumId="40">
    <w:nsid w:val="684A481A"/>
    <w:multiLevelType w:val="hybridMultilevel"/>
    <w:lvl w:ilvl="0">
      <w:lvlJc w:val="left"/>
      <w:lvlText w:val="%1."/>
      <w:numFmt w:val="decimal"/>
      <w:start w:val="17"/>
    </w:lvl>
    <w:lvl w:ilvl="1">
      <w:lvlJc w:val="left"/>
      <w:lvlText w:val="(%2)"/>
      <w:numFmt w:val="upperLetter"/>
      <w:start w:val="1"/>
    </w:lvl>
  </w:abstractNum>
  <w:abstractNum w:abstractNumId="41">
    <w:nsid w:val="579478FE"/>
    <w:multiLevelType w:val="hybridMultilevel"/>
    <w:lvl w:ilvl="0">
      <w:lvlJc w:val="left"/>
      <w:lvlText w:val="(%1)"/>
      <w:numFmt w:val="upperLetter"/>
      <w:start w:val="2"/>
    </w:lvl>
    <w:lvl w:ilvl="1">
      <w:lvlJc w:val="left"/>
      <w:lvlText w:val="-"/>
      <w:numFmt w:val="bullet"/>
      <w:start w:val="1"/>
    </w:lvl>
  </w:abstractNum>
  <w:abstractNum w:abstractNumId="42">
    <w:nsid w:val="749ABB43"/>
    <w:multiLevelType w:val="hybridMultilevel"/>
    <w:lvl w:ilvl="0">
      <w:lvlJc w:val="left"/>
      <w:lvlText w:val="(%1)"/>
      <w:numFmt w:val="upperLetter"/>
      <w:start w:val="4"/>
    </w:lvl>
    <w:lvl w:ilvl="1">
      <w:lvlJc w:val="left"/>
      <w:lvlText w:val="-"/>
      <w:numFmt w:val="bullet"/>
      <w:start w:val="1"/>
    </w:lvl>
  </w:abstractNum>
  <w:abstractNum w:abstractNumId="43">
    <w:nsid w:val="3DC240FB"/>
    <w:multiLevelType w:val="hybridMultilevel"/>
    <w:lvl w:ilvl="0">
      <w:lvlJc w:val="left"/>
      <w:lvlText w:val="(%1)"/>
      <w:numFmt w:val="upperLetter"/>
      <w:start w:val="9"/>
    </w:lvl>
    <w:lvl w:ilvl="1">
      <w:lvlJc w:val="left"/>
      <w:lvlText w:val="-"/>
      <w:numFmt w:val="bullet"/>
      <w:start w:val="1"/>
    </w:lvl>
  </w:abstractNum>
  <w:abstractNum w:abstractNumId="44">
    <w:nsid w:val="1BA026FA"/>
    <w:multiLevelType w:val="hybridMultilevel"/>
    <w:lvl w:ilvl="0">
      <w:lvlJc w:val="left"/>
      <w:lvlText w:val="(%1)"/>
      <w:numFmt w:val="upperLetter"/>
      <w:start w:val="13"/>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2"/>
    </w:lvl>
  </w:abstractNum>
  <w:abstractNum w:abstractNumId="47">
    <w:nsid w:val="12E685FB"/>
    <w:multiLevelType w:val="hybridMultilevel"/>
    <w:lvl w:ilvl="0">
      <w:lvlJc w:val="left"/>
      <w:lvlText w:val="(%1)"/>
      <w:numFmt w:val="lowerLetter"/>
      <w:start w:val="6"/>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1"/>
    </w:lvl>
    <w:lvl w:ilvl="1">
      <w:lvlJc w:val="left"/>
      <w:lvlText w:val="*"/>
      <w:numFmt w:val="bullet"/>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67" Type="http://schemas.openxmlformats.org/officeDocument/2006/relationships/hyperlink" Target="http://www.sec.gov/Archives/edgar/data/1783183/000119312519277761/d795888dex31.htm" TargetMode="External"/><Relationship Id="rId68" Type="http://schemas.openxmlformats.org/officeDocument/2006/relationships/hyperlink" Target="http://www.sec.gov/Archives/edgar/data/1783183/000119312519277761/d795888dex32.htm" TargetMode="External"/><Relationship Id="rId69" Type="http://schemas.openxmlformats.org/officeDocument/2006/relationships/hyperlink" Target="http://www.sec.gov/Archives/edgar/data/1783183/000119312519267053/d63338dex41.htm" TargetMode="External"/><Relationship Id="rId70" Type="http://schemas.openxmlformats.org/officeDocument/2006/relationships/hyperlink" Target="http://www.sec.gov/Archives/edgar/data/1783183/000119312519258922/d63338dex42.htm" TargetMode="External"/><Relationship Id="rId71" Type="http://schemas.openxmlformats.org/officeDocument/2006/relationships/hyperlink" Target="http://www.sec.gov/Archives/edgar/data/1783183/000119312519258922/d63338dex43.htm" TargetMode="External"/><Relationship Id="rId72" Type="http://schemas.openxmlformats.org/officeDocument/2006/relationships/hyperlink" Target="http://www.sec.gov/Archives/edgar/data/1783183/000119312519258922/d63338dex44.htm" TargetMode="External"/><Relationship Id="rId73" Type="http://schemas.openxmlformats.org/officeDocument/2006/relationships/hyperlink" Target="http://www.sec.gov/Archives/edgar/data/1783183/000119312519267053/d63338dex45.htm" TargetMode="External"/><Relationship Id="rId74" Type="http://schemas.openxmlformats.org/officeDocument/2006/relationships/hyperlink" Target="http://www.sec.gov/Archives/edgar/data/1783183/000156459020011712/phat-ex46_1431.htm" TargetMode="External"/><Relationship Id="rId75" Type="http://schemas.openxmlformats.org/officeDocument/2006/relationships/hyperlink" Target="http://www.sec.gov/Archives/edgar/data/1783183/000119312520191565/d5491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2020-08-06T07:33:35Z</dcterms:created>
  <dcterms:modified xsi:type="dcterms:W3CDTF">2020-08-06T07:33:35Z</dcterms:modified>
</cp:coreProperties>
</file>