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PHATHOM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22"/>
          <w:szCs w:val="22"/>
          <w:b w:val="1"/>
          <w:bCs w:val="1"/>
          <w:color w:val="0000FF"/>
        </w:rPr>
        <w:t>Jennifer Martin</w:t>
      </w:r>
    </w:p>
    <w:p>
      <w:pPr>
        <w:spacing w:after="0" w:line="8" w:lineRule="exact"/>
        <w:rPr>
          <w:sz w:val="24"/>
          <w:szCs w:val="24"/>
          <w:color w:val="auto"/>
        </w:rPr>
      </w:pPr>
    </w:p>
    <w:p>
      <w:pPr>
        <w:ind w:left="3440"/>
        <w:spacing w:after="0"/>
        <w:rPr>
          <w:sz w:val="20"/>
          <w:szCs w:val="20"/>
          <w:color w:val="auto"/>
        </w:rPr>
      </w:pPr>
      <w:r>
        <w:rPr>
          <w:rFonts w:ascii="Times New Roman" w:cs="Times New Roman" w:eastAsia="Times New Roman" w:hAnsi="Times New Roman"/>
          <w:sz w:val="22"/>
          <w:szCs w:val="22"/>
          <w:b w:val="1"/>
          <w:bCs w:val="1"/>
          <w:color w:val="0000FF"/>
        </w:rPr>
        <w:t>1700 Seventh Ave, Suite 1120,</w:t>
      </w:r>
    </w:p>
    <w:p>
      <w:pPr>
        <w:ind w:left="3960"/>
        <w:spacing w:after="0" w:line="230" w:lineRule="auto"/>
        <w:rPr>
          <w:sz w:val="20"/>
          <w:szCs w:val="20"/>
          <w:color w:val="auto"/>
        </w:rPr>
      </w:pPr>
      <w:r>
        <w:rPr>
          <w:rFonts w:ascii="Times New Roman" w:cs="Times New Roman" w:eastAsia="Times New Roman" w:hAnsi="Times New Roman"/>
          <w:sz w:val="22"/>
          <w:szCs w:val="22"/>
          <w:b w:val="1"/>
          <w:bCs w:val="1"/>
          <w:color w:val="0000FF"/>
        </w:rPr>
        <w:t>Seattle, WA, 98101</w:t>
      </w:r>
    </w:p>
    <w:p>
      <w:pPr>
        <w:spacing w:after="0" w:line="1"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22"/>
          <w:szCs w:val="22"/>
          <w:b w:val="1"/>
          <w:bCs w:val="1"/>
          <w:color w:val="0000FF"/>
        </w:rPr>
        <w:t>(206) 451-8040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10/29/2026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Frazier Life Sciences Public Fund, L.P.</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ind w:left="1160"/>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0" w:type="dxa"/>
        <w:tblCellMar>
          <w:top w:w="0" w:type="dxa"/>
          <w:left w:w="0" w:type="dxa"/>
          <w:bottom w:w="0" w:type="dxa"/>
          <w:right w:w="0" w:type="dxa"/>
        </w:tblCellMar>
      </w:tblPr>
      <w:tr>
        <w:trPr>
          <w:trHeight w:val="282"/>
        </w:trPr>
        <w:tc>
          <w:tcPr>
            <w:tcW w:w="1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5</w:t>
            </w:r>
          </w:p>
        </w:tc>
        <w:tc>
          <w:tcPr>
            <w:tcW w:w="10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6</w:t>
            </w:r>
          </w:p>
        </w:tc>
        <w:tc>
          <w:tcPr>
            <w:tcW w:w="102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102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10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000" w:type="dxa"/>
            <w:vAlign w:val="bottom"/>
          </w:tcPr>
          <w:p>
            <w:pPr>
              <w:spacing w:after="0"/>
              <w:rPr>
                <w:sz w:val="24"/>
                <w:szCs w:val="24"/>
                <w:color w:val="auto"/>
              </w:rPr>
            </w:pPr>
          </w:p>
        </w:tc>
        <w:tc>
          <w:tcPr>
            <w:tcW w:w="1024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102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w w:val="97"/>
              </w:rPr>
              <w:t>Number of</w:t>
            </w:r>
          </w:p>
        </w:tc>
        <w:tc>
          <w:tcPr>
            <w:tcW w:w="1024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000" w:type="dxa"/>
            <w:vAlign w:val="bottom"/>
            <w:vMerge w:val="continue"/>
          </w:tcPr>
          <w:p>
            <w:pPr>
              <w:spacing w:after="0"/>
              <w:rPr>
                <w:sz w:val="3"/>
                <w:szCs w:val="3"/>
                <w:color w:val="auto"/>
              </w:rPr>
            </w:pPr>
          </w:p>
        </w:tc>
        <w:tc>
          <w:tcPr>
            <w:tcW w:w="1024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00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10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24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Beneficially 8</w:t>
            </w:r>
          </w:p>
        </w:tc>
        <w:tc>
          <w:tcPr>
            <w:tcW w:w="0" w:type="dxa"/>
            <w:vAlign w:val="bottom"/>
          </w:tcPr>
          <w:p>
            <w:pPr>
              <w:spacing w:after="0"/>
              <w:rPr>
                <w:sz w:val="1"/>
                <w:szCs w:val="1"/>
                <w:color w:val="auto"/>
              </w:rPr>
            </w:pPr>
          </w:p>
        </w:tc>
      </w:tr>
      <w:tr>
        <w:trPr>
          <w:trHeight w:val="270"/>
        </w:trPr>
        <w:tc>
          <w:tcPr>
            <w:tcW w:w="1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Owned by</w:t>
            </w:r>
          </w:p>
        </w:tc>
        <w:tc>
          <w:tcPr>
            <w:tcW w:w="1024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5,323,356.00</w:t>
            </w:r>
          </w:p>
        </w:tc>
        <w:tc>
          <w:tcPr>
            <w:tcW w:w="0" w:type="dxa"/>
            <w:vAlign w:val="bottom"/>
          </w:tcPr>
          <w:p>
            <w:pPr>
              <w:spacing w:after="0"/>
              <w:rPr>
                <w:sz w:val="1"/>
                <w:szCs w:val="1"/>
                <w:color w:val="auto"/>
              </w:rPr>
            </w:pPr>
          </w:p>
        </w:tc>
      </w:tr>
      <w:tr>
        <w:trPr>
          <w:trHeight w:val="243"/>
        </w:trPr>
        <w:tc>
          <w:tcPr>
            <w:tcW w:w="1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1024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102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1024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With:</w:t>
            </w:r>
          </w:p>
        </w:tc>
        <w:tc>
          <w:tcPr>
            <w:tcW w:w="1024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000" w:type="dxa"/>
            <w:vAlign w:val="bottom"/>
          </w:tcPr>
          <w:p>
            <w:pPr>
              <w:spacing w:after="0"/>
              <w:rPr>
                <w:sz w:val="3"/>
                <w:szCs w:val="3"/>
                <w:color w:val="auto"/>
              </w:rPr>
            </w:pPr>
          </w:p>
        </w:tc>
        <w:tc>
          <w:tcPr>
            <w:tcW w:w="102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102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4"/>
                <w:szCs w:val="24"/>
                <w:color w:val="auto"/>
              </w:rPr>
            </w:pPr>
          </w:p>
        </w:tc>
        <w:tc>
          <w:tcPr>
            <w:tcW w:w="1024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5,323,356.00</w:t>
            </w:r>
          </w:p>
        </w:tc>
        <w:tc>
          <w:tcPr>
            <w:tcW w:w="0" w:type="dxa"/>
            <w:vAlign w:val="bottom"/>
          </w:tcPr>
          <w:p>
            <w:pPr>
              <w:spacing w:after="0"/>
              <w:rPr>
                <w:sz w:val="1"/>
                <w:szCs w:val="1"/>
                <w:color w:val="auto"/>
              </w:rPr>
            </w:pPr>
          </w:p>
        </w:tc>
      </w:tr>
      <w:tr>
        <w:trPr>
          <w:trHeight w:val="338"/>
        </w:trPr>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w:t>
            </w:r>
          </w:p>
        </w:tc>
        <w:tc>
          <w:tcPr>
            <w:tcW w:w="102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102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5,323,356.00</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10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12</w:t>
            </w:r>
          </w:p>
        </w:tc>
        <w:tc>
          <w:tcPr>
            <w:tcW w:w="102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00" w:type="dxa"/>
            <w:vAlign w:val="bottom"/>
            <w:vMerge w:val="continue"/>
          </w:tcPr>
          <w:p>
            <w:pPr>
              <w:spacing w:after="0"/>
              <w:rPr>
                <w:sz w:val="18"/>
                <w:szCs w:val="18"/>
                <w:color w:val="auto"/>
              </w:rPr>
            </w:pPr>
          </w:p>
        </w:tc>
        <w:tc>
          <w:tcPr>
            <w:tcW w:w="10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w:t>
            </w:r>
          </w:p>
        </w:tc>
        <w:tc>
          <w:tcPr>
            <w:tcW w:w="102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102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6.5 %</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10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102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102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PN</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10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10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w:t>
            </w:r>
          </w:p>
        </w:tc>
        <w:tc>
          <w:tcPr>
            <w:tcW w:w="102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8"/>
              </w:rPr>
              <w:t>The shares listed in rows 8, 10 and 11 do not include any warrants held by the Reporting Person. See Item 5(a) to this</w:t>
            </w:r>
          </w:p>
        </w:tc>
        <w:tc>
          <w:tcPr>
            <w:tcW w:w="0" w:type="dxa"/>
            <w:vAlign w:val="bottom"/>
          </w:tcPr>
          <w:p>
            <w:pPr>
              <w:spacing w:after="0"/>
              <w:rPr>
                <w:sz w:val="1"/>
                <w:szCs w:val="1"/>
                <w:color w:val="auto"/>
              </w:rPr>
            </w:pPr>
          </w:p>
        </w:tc>
      </w:tr>
      <w:tr>
        <w:trPr>
          <w:trHeight w:val="229"/>
        </w:trPr>
        <w:tc>
          <w:tcPr>
            <w:tcW w:w="10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 of</w:t>
            </w:r>
          </w:p>
        </w:tc>
        <w:tc>
          <w:tcPr>
            <w:tcW w:w="10240" w:type="dxa"/>
            <w:vAlign w:val="bottom"/>
          </w:tcPr>
          <w:p>
            <w:pPr>
              <w:ind w:left="20"/>
              <w:spacing w:after="0" w:line="229" w:lineRule="exact"/>
              <w:rPr>
                <w:sz w:val="20"/>
                <w:szCs w:val="20"/>
                <w:color w:val="auto"/>
              </w:rPr>
            </w:pPr>
            <w:r>
              <w:rPr>
                <w:rFonts w:ascii="Times New Roman" w:cs="Times New Roman" w:eastAsia="Times New Roman" w:hAnsi="Times New Roman"/>
                <w:sz w:val="22"/>
                <w:szCs w:val="22"/>
                <w:color w:val="auto"/>
              </w:rPr>
              <w:t>Schedule 13D. The percentage listed in row 13 is calculated based on 81,291,520 shares of the Issuer's Common</w:t>
            </w:r>
          </w:p>
        </w:tc>
        <w:tc>
          <w:tcPr>
            <w:tcW w:w="0" w:type="dxa"/>
            <w:vAlign w:val="bottom"/>
          </w:tcPr>
          <w:p>
            <w:pPr>
              <w:spacing w:after="0"/>
              <w:rPr>
                <w:sz w:val="1"/>
                <w:szCs w:val="1"/>
                <w:color w:val="auto"/>
              </w:rPr>
            </w:pPr>
          </w:p>
        </w:tc>
      </w:tr>
      <w:tr>
        <w:trPr>
          <w:trHeight w:val="240"/>
        </w:trPr>
        <w:tc>
          <w:tcPr>
            <w:tcW w:w="10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240" w:type="dxa"/>
            <w:vAlign w:val="bottom"/>
          </w:tcPr>
          <w:p>
            <w:pPr>
              <w:ind w:left="20"/>
              <w:spacing w:after="0" w:line="240" w:lineRule="exact"/>
              <w:rPr>
                <w:sz w:val="20"/>
                <w:szCs w:val="20"/>
                <w:color w:val="auto"/>
              </w:rPr>
            </w:pPr>
            <w:r>
              <w:rPr>
                <w:rFonts w:ascii="Times New Roman" w:cs="Times New Roman" w:eastAsia="Times New Roman" w:hAnsi="Times New Roman"/>
                <w:sz w:val="22"/>
                <w:szCs w:val="22"/>
                <w:color w:val="auto"/>
              </w:rPr>
              <w:t>Stock outstanding as of October 27, 2026, as reported in the Issuer's Quarterly Report on Form 10-Q filed with the</w:t>
            </w:r>
          </w:p>
        </w:tc>
        <w:tc>
          <w:tcPr>
            <w:tcW w:w="0" w:type="dxa"/>
            <w:vAlign w:val="bottom"/>
          </w:tcPr>
          <w:p>
            <w:pPr>
              <w:spacing w:after="0"/>
              <w:rPr>
                <w:sz w:val="1"/>
                <w:szCs w:val="1"/>
                <w:color w:val="auto"/>
              </w:rPr>
            </w:pPr>
          </w:p>
        </w:tc>
      </w:tr>
      <w:tr>
        <w:trPr>
          <w:trHeight w:val="309"/>
        </w:trPr>
        <w:tc>
          <w:tcPr>
            <w:tcW w:w="10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2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Securities and Exchange Commission (the "SEC") on October 29, 2026.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-5433060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-1927225</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FHMLSP,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ectPr>
          <w:pgSz w:w="11900" w:h="16838" w:orient="portrait"/>
          <w:cols w:equalWidth="0" w:num="1">
            <w:col w:w="11240"/>
          </w:cols>
          <w:pgMar w:left="320" w:top="126" w:right="339" w:bottom="0" w:gutter="0" w:footer="0" w:header="0"/>
        </w:sect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1240"/>
          </w:cols>
          <w:pgMar w:left="320" w:top="126" w:right="339" w:bottom="0" w:gutter="0" w:footer="0" w:header="0"/>
          <w:type w:val="continuous"/>
        </w:sectPr>
      </w:pPr>
    </w:p>
    <w:bookmarkStart w:id="2" w:name="page3"/>
    <w:bookmarkEnd w:id="2"/>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10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98"/>
        </w:trPr>
        <w:tc>
          <w:tcPr>
            <w:tcW w:w="1120" w:type="dxa"/>
            <w:vAlign w:val="bottom"/>
          </w:tcPr>
          <w:p>
            <w:pPr>
              <w:spacing w:after="0"/>
              <w:rPr>
                <w:sz w:val="24"/>
                <w:szCs w:val="24"/>
                <w:color w:val="auto"/>
              </w:rPr>
            </w:pPr>
          </w:p>
        </w:tc>
        <w:tc>
          <w:tcPr>
            <w:tcW w:w="1012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101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Number of</w:t>
            </w:r>
          </w:p>
        </w:tc>
        <w:tc>
          <w:tcPr>
            <w:tcW w:w="1012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20" w:type="dxa"/>
            <w:vAlign w:val="bottom"/>
            <w:vMerge w:val="continue"/>
          </w:tcPr>
          <w:p>
            <w:pPr>
              <w:spacing w:after="0"/>
              <w:rPr>
                <w:sz w:val="3"/>
                <w:szCs w:val="3"/>
                <w:color w:val="auto"/>
              </w:rPr>
            </w:pPr>
          </w:p>
        </w:tc>
        <w:tc>
          <w:tcPr>
            <w:tcW w:w="1012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2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10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w w:val="98"/>
              </w:rPr>
              <w:t>Beneficially</w:t>
            </w:r>
          </w:p>
        </w:tc>
        <w:tc>
          <w:tcPr>
            <w:tcW w:w="101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Owned by</w:t>
            </w:r>
          </w:p>
        </w:tc>
        <w:tc>
          <w:tcPr>
            <w:tcW w:w="1012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5,323,356.00</w:t>
            </w:r>
          </w:p>
        </w:tc>
        <w:tc>
          <w:tcPr>
            <w:tcW w:w="0" w:type="dxa"/>
            <w:vAlign w:val="bottom"/>
          </w:tcPr>
          <w:p>
            <w:pPr>
              <w:spacing w:after="0"/>
              <w:rPr>
                <w:sz w:val="1"/>
                <w:szCs w:val="1"/>
                <w:color w:val="auto"/>
              </w:rPr>
            </w:pPr>
          </w:p>
        </w:tc>
      </w:tr>
      <w:tr>
        <w:trPr>
          <w:trHeight w:val="243"/>
        </w:trPr>
        <w:tc>
          <w:tcPr>
            <w:tcW w:w="11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1012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101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1012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With:</w:t>
            </w:r>
          </w:p>
        </w:tc>
        <w:tc>
          <w:tcPr>
            <w:tcW w:w="1012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20" w:type="dxa"/>
            <w:vAlign w:val="bottom"/>
          </w:tcPr>
          <w:p>
            <w:pPr>
              <w:spacing w:after="0"/>
              <w:rPr>
                <w:sz w:val="3"/>
                <w:szCs w:val="3"/>
                <w:color w:val="auto"/>
              </w:rPr>
            </w:pPr>
          </w:p>
        </w:tc>
        <w:tc>
          <w:tcPr>
            <w:tcW w:w="101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101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1012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5,323,356.00</w:t>
            </w:r>
          </w:p>
        </w:tc>
        <w:tc>
          <w:tcPr>
            <w:tcW w:w="0" w:type="dxa"/>
            <w:vAlign w:val="bottom"/>
          </w:tcPr>
          <w:p>
            <w:pPr>
              <w:spacing w:after="0"/>
              <w:rPr>
                <w:sz w:val="1"/>
                <w:szCs w:val="1"/>
                <w:color w:val="auto"/>
              </w:rPr>
            </w:pPr>
          </w:p>
        </w:tc>
      </w:tr>
      <w:tr>
        <w:trPr>
          <w:trHeight w:val="338"/>
        </w:trPr>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w:t>
            </w:r>
          </w:p>
        </w:tc>
        <w:tc>
          <w:tcPr>
            <w:tcW w:w="10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20" w:type="dxa"/>
            <w:vAlign w:val="bottom"/>
            <w:vMerge w:val="continue"/>
          </w:tcPr>
          <w:p>
            <w:pPr>
              <w:spacing w:after="0"/>
              <w:rPr>
                <w:sz w:val="21"/>
                <w:szCs w:val="21"/>
                <w:color w:val="auto"/>
              </w:rPr>
            </w:pPr>
          </w:p>
        </w:tc>
        <w:tc>
          <w:tcPr>
            <w:tcW w:w="10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5,323,356.00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10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12</w:t>
            </w:r>
          </w:p>
        </w:tc>
        <w:tc>
          <w:tcPr>
            <w:tcW w:w="10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20" w:type="dxa"/>
            <w:vAlign w:val="bottom"/>
            <w:vMerge w:val="continue"/>
          </w:tcPr>
          <w:p>
            <w:pPr>
              <w:spacing w:after="0"/>
              <w:rPr>
                <w:sz w:val="18"/>
                <w:szCs w:val="18"/>
                <w:color w:val="auto"/>
              </w:rPr>
            </w:pPr>
          </w:p>
        </w:tc>
        <w:tc>
          <w:tcPr>
            <w:tcW w:w="10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w:t>
            </w:r>
          </w:p>
        </w:tc>
        <w:tc>
          <w:tcPr>
            <w:tcW w:w="10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20" w:type="dxa"/>
            <w:vAlign w:val="bottom"/>
            <w:vMerge w:val="continue"/>
          </w:tcPr>
          <w:p>
            <w:pPr>
              <w:spacing w:after="0"/>
              <w:rPr>
                <w:sz w:val="21"/>
                <w:szCs w:val="21"/>
                <w:color w:val="auto"/>
              </w:rPr>
            </w:pPr>
          </w:p>
        </w:tc>
        <w:tc>
          <w:tcPr>
            <w:tcW w:w="10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6.5 %</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10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10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20" w:type="dxa"/>
            <w:vAlign w:val="bottom"/>
            <w:vMerge w:val="continue"/>
          </w:tcPr>
          <w:p>
            <w:pPr>
              <w:spacing w:after="0"/>
              <w:rPr>
                <w:sz w:val="21"/>
                <w:szCs w:val="21"/>
                <w:color w:val="auto"/>
              </w:rPr>
            </w:pPr>
          </w:p>
        </w:tc>
        <w:tc>
          <w:tcPr>
            <w:tcW w:w="10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PN</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10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11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w:t>
            </w:r>
          </w:p>
        </w:tc>
        <w:tc>
          <w:tcPr>
            <w:tcW w:w="10120" w:type="dxa"/>
            <w:vAlign w:val="bottom"/>
          </w:tcPr>
          <w:p>
            <w:pPr>
              <w:spacing w:after="0"/>
              <w:rPr>
                <w:sz w:val="20"/>
                <w:szCs w:val="20"/>
                <w:color w:val="auto"/>
              </w:rPr>
            </w:pPr>
            <w:r>
              <w:rPr>
                <w:rFonts w:ascii="Times New Roman" w:cs="Times New Roman" w:eastAsia="Times New Roman" w:hAnsi="Times New Roman"/>
                <w:sz w:val="22"/>
                <w:szCs w:val="22"/>
                <w:color w:val="auto"/>
              </w:rPr>
              <w:t>The shares listed in rows 8, 10 and 11 do not include any warrants held by the Reporting Person. See Item 5(a) to</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 of</w:t>
            </w:r>
          </w:p>
        </w:tc>
        <w:tc>
          <w:tcPr>
            <w:tcW w:w="10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w w:val="98"/>
              </w:rPr>
              <w:t>this Schedule 13D. The percentage listed in row 13 is calculated based on 81,291,520 shares of the Issuer's Common</w:t>
            </w:r>
          </w:p>
        </w:tc>
        <w:tc>
          <w:tcPr>
            <w:tcW w:w="0" w:type="dxa"/>
            <w:vAlign w:val="bottom"/>
          </w:tcPr>
          <w:p>
            <w:pPr>
              <w:spacing w:after="0"/>
              <w:rPr>
                <w:sz w:val="1"/>
                <w:szCs w:val="1"/>
                <w:color w:val="auto"/>
              </w:rPr>
            </w:pPr>
          </w:p>
        </w:tc>
      </w:tr>
      <w:tr>
        <w:trPr>
          <w:trHeight w:val="240"/>
        </w:trPr>
        <w:tc>
          <w:tcPr>
            <w:tcW w:w="11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120" w:type="dxa"/>
            <w:vAlign w:val="bottom"/>
          </w:tcPr>
          <w:p>
            <w:pPr>
              <w:spacing w:after="0" w:line="240" w:lineRule="exact"/>
              <w:rPr>
                <w:sz w:val="20"/>
                <w:szCs w:val="20"/>
                <w:color w:val="auto"/>
              </w:rPr>
            </w:pPr>
            <w:r>
              <w:rPr>
                <w:rFonts w:ascii="Times New Roman" w:cs="Times New Roman" w:eastAsia="Times New Roman" w:hAnsi="Times New Roman"/>
                <w:sz w:val="22"/>
                <w:szCs w:val="22"/>
                <w:color w:val="auto"/>
              </w:rPr>
              <w:t>Stock outstanding as of October 27, 2026, as reported in the Issuer's Quarterly Report on Form 10-Q filed with the</w:t>
            </w:r>
          </w:p>
        </w:tc>
        <w:tc>
          <w:tcPr>
            <w:tcW w:w="0" w:type="dxa"/>
            <w:vAlign w:val="bottom"/>
          </w:tcPr>
          <w:p>
            <w:pPr>
              <w:spacing w:after="0"/>
              <w:rPr>
                <w:sz w:val="1"/>
                <w:szCs w:val="1"/>
                <w:color w:val="auto"/>
              </w:rPr>
            </w:pPr>
          </w:p>
        </w:tc>
      </w:tr>
      <w:tr>
        <w:trPr>
          <w:trHeight w:val="309"/>
        </w:trPr>
        <w:tc>
          <w:tcPr>
            <w:tcW w:w="11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120" w:type="dxa"/>
            <w:vAlign w:val="bottom"/>
          </w:tcPr>
          <w:p>
            <w:pPr>
              <w:spacing w:after="0"/>
              <w:rPr>
                <w:sz w:val="20"/>
                <w:szCs w:val="20"/>
                <w:color w:val="auto"/>
              </w:rPr>
            </w:pPr>
            <w:r>
              <w:rPr>
                <w:rFonts w:ascii="Times New Roman" w:cs="Times New Roman" w:eastAsia="Times New Roman" w:hAnsi="Times New Roman"/>
                <w:sz w:val="22"/>
                <w:szCs w:val="22"/>
                <w:color w:val="auto"/>
              </w:rPr>
              <w:t>SEC on October 29, 2026.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-1927225</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FHMLSP,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1040" w:type="dxa"/>
            <w:vAlign w:val="bottom"/>
          </w:tcPr>
          <w:p>
            <w:pPr>
              <w:spacing w:after="0" w:line="219" w:lineRule="exact"/>
              <w:rPr>
                <w:sz w:val="20"/>
                <w:szCs w:val="20"/>
                <w:color w:val="auto"/>
              </w:rPr>
            </w:pPr>
            <w:r>
              <w:rPr>
                <w:rFonts w:ascii="Times New Roman" w:cs="Times New Roman" w:eastAsia="Times New Roman" w:hAnsi="Times New Roman"/>
                <w:sz w:val="22"/>
                <w:szCs w:val="22"/>
                <w:color w:val="auto"/>
              </w:rPr>
              <w:t>Owned by</w:t>
            </w:r>
          </w:p>
        </w:tc>
        <w:tc>
          <w:tcPr>
            <w:tcW w:w="22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w w:val="96"/>
              </w:rPr>
              <w:t>Shared Voting Power</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2240" w:type="dxa"/>
            <w:vAlign w:val="bottom"/>
            <w:vMerge w:val="restart"/>
          </w:tcPr>
          <w:p>
            <w:pPr>
              <w:jc w:val="right"/>
              <w:ind w:right="1892"/>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Reporting</w:t>
            </w:r>
          </w:p>
        </w:tc>
        <w:tc>
          <w:tcPr>
            <w:tcW w:w="2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1040" w:type="dxa"/>
            <w:vAlign w:val="bottom"/>
            <w:vMerge w:val="continue"/>
          </w:tcPr>
          <w:p>
            <w:pPr>
              <w:spacing w:after="0"/>
              <w:rPr>
                <w:sz w:val="16"/>
                <w:szCs w:val="16"/>
                <w:color w:val="auto"/>
              </w:rPr>
            </w:pPr>
          </w:p>
        </w:tc>
        <w:tc>
          <w:tcPr>
            <w:tcW w:w="22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5,323,356.00</w:t>
            </w:r>
          </w:p>
        </w:tc>
        <w:tc>
          <w:tcPr>
            <w:tcW w:w="0" w:type="dxa"/>
            <w:vAlign w:val="bottom"/>
          </w:tcPr>
          <w:p>
            <w:pPr>
              <w:spacing w:after="0"/>
              <w:rPr>
                <w:sz w:val="1"/>
                <w:szCs w:val="1"/>
                <w:color w:val="auto"/>
              </w:rPr>
            </w:pPr>
          </w:p>
        </w:tc>
      </w:tr>
      <w:tr>
        <w:trPr>
          <w:trHeight w:val="94"/>
        </w:trPr>
        <w:tc>
          <w:tcPr>
            <w:tcW w:w="1040" w:type="dxa"/>
            <w:vAlign w:val="bottom"/>
          </w:tcPr>
          <w:p>
            <w:pPr>
              <w:spacing w:after="0"/>
              <w:rPr>
                <w:sz w:val="8"/>
                <w:szCs w:val="8"/>
                <w:color w:val="auto"/>
              </w:rPr>
            </w:pPr>
          </w:p>
        </w:tc>
        <w:tc>
          <w:tcPr>
            <w:tcW w:w="2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1" w:right="3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Person</w:t>
            </w:r>
          </w:p>
        </w:tc>
        <w:tc>
          <w:tcPr>
            <w:tcW w:w="1022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9  Sole Dispositive Power</w:t>
            </w:r>
          </w:p>
        </w:tc>
        <w:tc>
          <w:tcPr>
            <w:tcW w:w="0" w:type="dxa"/>
            <w:vAlign w:val="bottom"/>
          </w:tcPr>
          <w:p>
            <w:pPr>
              <w:spacing w:after="0"/>
              <w:rPr>
                <w:sz w:val="1"/>
                <w:szCs w:val="1"/>
                <w:color w:val="auto"/>
              </w:rPr>
            </w:pPr>
          </w:p>
        </w:tc>
      </w:tr>
      <w:tr>
        <w:trPr>
          <w:trHeight w:val="282"/>
        </w:trPr>
        <w:tc>
          <w:tcPr>
            <w:tcW w:w="10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With:</w:t>
            </w:r>
          </w:p>
        </w:tc>
        <w:tc>
          <w:tcPr>
            <w:tcW w:w="10220" w:type="dxa"/>
            <w:vAlign w:val="bottom"/>
            <w:vMerge w:val="restart"/>
          </w:tcPr>
          <w:p>
            <w:pPr>
              <w:ind w:left="4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10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20" w:type="dxa"/>
            <w:vAlign w:val="bottom"/>
          </w:tcPr>
          <w:p>
            <w:pPr>
              <w:spacing w:after="0"/>
              <w:rPr>
                <w:sz w:val="22"/>
                <w:szCs w:val="22"/>
                <w:color w:val="auto"/>
              </w:rPr>
            </w:pPr>
          </w:p>
        </w:tc>
        <w:tc>
          <w:tcPr>
            <w:tcW w:w="1022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102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1022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5,323,356.00</w:t>
            </w:r>
          </w:p>
        </w:tc>
        <w:tc>
          <w:tcPr>
            <w:tcW w:w="0" w:type="dxa"/>
            <w:vAlign w:val="bottom"/>
          </w:tcPr>
          <w:p>
            <w:pPr>
              <w:spacing w:after="0"/>
              <w:rPr>
                <w:sz w:val="1"/>
                <w:szCs w:val="1"/>
                <w:color w:val="auto"/>
              </w:rPr>
            </w:pPr>
          </w:p>
        </w:tc>
      </w:tr>
      <w:tr>
        <w:trPr>
          <w:trHeight w:val="338"/>
        </w:trPr>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w:t>
            </w:r>
          </w:p>
        </w:tc>
        <w:tc>
          <w:tcPr>
            <w:tcW w:w="10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102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5,323,356.00</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10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12</w:t>
            </w:r>
          </w:p>
        </w:tc>
        <w:tc>
          <w:tcPr>
            <w:tcW w:w="10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20" w:type="dxa"/>
            <w:vAlign w:val="bottom"/>
            <w:vMerge w:val="continue"/>
          </w:tcPr>
          <w:p>
            <w:pPr>
              <w:spacing w:after="0"/>
              <w:rPr>
                <w:sz w:val="18"/>
                <w:szCs w:val="18"/>
                <w:color w:val="auto"/>
              </w:rPr>
            </w:pPr>
          </w:p>
        </w:tc>
        <w:tc>
          <w:tcPr>
            <w:tcW w:w="10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w:t>
            </w:r>
          </w:p>
        </w:tc>
        <w:tc>
          <w:tcPr>
            <w:tcW w:w="10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102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6.5 %</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10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10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102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10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10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w:t>
            </w:r>
          </w:p>
        </w:tc>
        <w:tc>
          <w:tcPr>
            <w:tcW w:w="102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The shares listed in rows 8, 10 and 11 do not include any warrants held by the Reporting Person. See Item 5(a) to</w:t>
            </w:r>
          </w:p>
        </w:tc>
        <w:tc>
          <w:tcPr>
            <w:tcW w:w="0" w:type="dxa"/>
            <w:vAlign w:val="bottom"/>
          </w:tcPr>
          <w:p>
            <w:pPr>
              <w:spacing w:after="0"/>
              <w:rPr>
                <w:sz w:val="1"/>
                <w:szCs w:val="1"/>
                <w:color w:val="auto"/>
              </w:rPr>
            </w:pP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 of</w:t>
            </w:r>
          </w:p>
        </w:tc>
        <w:tc>
          <w:tcPr>
            <w:tcW w:w="102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w w:val="98"/>
              </w:rPr>
              <w:t>this Schedule 13D. The percentage listed in row 13 is calculated based on 81,291,520 shares of the Issuer's Common</w:t>
            </w:r>
          </w:p>
        </w:tc>
        <w:tc>
          <w:tcPr>
            <w:tcW w:w="0" w:type="dxa"/>
            <w:vAlign w:val="bottom"/>
          </w:tcPr>
          <w:p>
            <w:pPr>
              <w:spacing w:after="0"/>
              <w:rPr>
                <w:sz w:val="1"/>
                <w:szCs w:val="1"/>
                <w:color w:val="auto"/>
              </w:rPr>
            </w:pPr>
          </w:p>
        </w:tc>
      </w:tr>
      <w:tr>
        <w:trPr>
          <w:trHeight w:val="240"/>
        </w:trPr>
        <w:tc>
          <w:tcPr>
            <w:tcW w:w="10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220" w:type="dxa"/>
            <w:vAlign w:val="bottom"/>
          </w:tcPr>
          <w:p>
            <w:pPr>
              <w:ind w:left="100"/>
              <w:spacing w:after="0" w:line="240" w:lineRule="exact"/>
              <w:rPr>
                <w:sz w:val="20"/>
                <w:szCs w:val="20"/>
                <w:color w:val="auto"/>
              </w:rPr>
            </w:pPr>
            <w:r>
              <w:rPr>
                <w:rFonts w:ascii="Times New Roman" w:cs="Times New Roman" w:eastAsia="Times New Roman" w:hAnsi="Times New Roman"/>
                <w:sz w:val="22"/>
                <w:szCs w:val="22"/>
                <w:color w:val="auto"/>
              </w:rPr>
              <w:t>Stock outstanding as of October 27, 2026, as reported in the Issuer's Quarterly Report on Form 10-Q filed with the</w:t>
            </w:r>
          </w:p>
        </w:tc>
        <w:tc>
          <w:tcPr>
            <w:tcW w:w="0" w:type="dxa"/>
            <w:vAlign w:val="bottom"/>
          </w:tcPr>
          <w:p>
            <w:pPr>
              <w:spacing w:after="0"/>
              <w:rPr>
                <w:sz w:val="1"/>
                <w:szCs w:val="1"/>
                <w:color w:val="auto"/>
              </w:rPr>
            </w:pPr>
          </w:p>
        </w:tc>
      </w:tr>
      <w:tr>
        <w:trPr>
          <w:trHeight w:val="309"/>
        </w:trPr>
        <w:tc>
          <w:tcPr>
            <w:tcW w:w="10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2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SEC on October 29, 2026.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-1927225</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Frazier Life Sciences X,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102" w:right="33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59,403.00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59,403.00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59,403.00</w:t>
      </w:r>
    </w:p>
    <w:p>
      <w:pPr>
        <w:sectPr>
          <w:pgSz w:w="11900" w:h="16838" w:orient="portrait"/>
          <w:cols w:equalWidth="0" w:num="2">
            <w:col w:w="1100" w:space="60"/>
            <w:col w:w="10080"/>
          </w:cols>
          <w:pgMar w:left="320" w:top="102" w:right="339" w:bottom="0" w:gutter="0" w:footer="0" w:header="0"/>
          <w:type w:val="continuous"/>
        </w:sectPr>
      </w:pPr>
    </w:p>
    <w:bookmarkStart w:id="4" w:name="page5"/>
    <w:bookmarkEnd w:id="4"/>
    <w:p>
      <w:pPr>
        <w:ind w:left="40"/>
        <w:spacing w:after="0"/>
        <w:tabs>
          <w:tab w:leader="none" w:pos="1140" w:val="left"/>
        </w:tabs>
        <w:rPr>
          <w:sz w:val="20"/>
          <w:szCs w:val="20"/>
          <w:color w:val="auto"/>
        </w:rPr>
      </w:pPr>
      <w:r>
        <w:rPr>
          <w:rFonts w:ascii="Times New Roman" w:cs="Times New Roman" w:eastAsia="Times New Roman" w:hAnsi="Times New Roman"/>
          <w:sz w:val="21"/>
          <w:szCs w:val="21"/>
          <w:color w:val="auto"/>
        </w:rPr>
        <w:t>12</w:t>
      </w:r>
      <w:r>
        <w:rPr>
          <w:sz w:val="20"/>
          <w:szCs w:val="20"/>
          <w:color w:val="auto"/>
        </w:rPr>
        <w:tab/>
      </w: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173355</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0.1 %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PN</w:t>
      </w:r>
    </w:p>
    <w:p>
      <w:pPr>
        <w:sectPr>
          <w:pgSz w:w="11900" w:h="16838" w:orient="portrait"/>
          <w:cols w:equalWidth="0" w:num="1">
            <w:col w:w="11240"/>
          </w:cols>
          <w:pgMar w:left="320" w:top="112" w:right="339" w:bottom="46" w:gutter="0" w:footer="0" w:header="0"/>
        </w:sectPr>
      </w:pPr>
    </w:p>
    <w:p>
      <w:pPr>
        <w:spacing w:after="0" w:line="253"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percentage listed in row 13 is calculated based on 81,291,520 shares of the Issuer's Common Stock outstanding as of October 27, 2026, as reported in the Issuer's Quarterly Report on Form 10-Q filed with the SEC on October 29, 2026.</w:t>
      </w:r>
    </w:p>
    <w:p>
      <w:pPr>
        <w:spacing w:after="0" w:line="200" w:lineRule="exact"/>
        <w:rPr>
          <w:sz w:val="20"/>
          <w:szCs w:val="20"/>
          <w:color w:val="auto"/>
        </w:rPr>
      </w:pPr>
    </w:p>
    <w:p>
      <w:pPr>
        <w:sectPr>
          <w:pgSz w:w="11900" w:h="16838" w:orient="portrait"/>
          <w:cols w:equalWidth="0" w:num="2">
            <w:col w:w="1520" w:space="120"/>
            <w:col w:w="9600"/>
          </w:cols>
          <w:pgMar w:left="320" w:top="112" w:right="339" w:bottom="46" w:gutter="0" w:footer="0" w:header="0"/>
          <w:type w:val="continuous"/>
        </w:sectPr>
      </w:pPr>
    </w:p>
    <w:p>
      <w:pPr>
        <w:spacing w:after="0" w:line="200" w:lineRule="exact"/>
        <w:rPr>
          <w:sz w:val="20"/>
          <w:szCs w:val="20"/>
          <w:color w:val="auto"/>
        </w:rPr>
      </w:pPr>
    </w:p>
    <w:p>
      <w:pPr>
        <w:spacing w:after="0" w:line="2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FHMLS X,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9"/>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112" w:right="339" w:bottom="46" w:gutter="0" w:footer="0" w:header="0"/>
          <w:type w:val="continuous"/>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59,403.00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59,403.00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59,403.00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ectPr>
          <w:pgSz w:w="11900" w:h="16838" w:orient="portrait"/>
          <w:cols w:equalWidth="0" w:num="2">
            <w:col w:w="1100" w:space="60"/>
            <w:col w:w="10080"/>
          </w:cols>
          <w:pgMar w:left="320" w:top="112" w:right="339" w:bottom="46" w:gutter="0" w:footer="0" w:header="0"/>
          <w:type w:val="continuous"/>
        </w:sectPr>
      </w:pPr>
    </w:p>
    <w:bookmarkStart w:id="5" w:name="page6"/>
    <w:bookmarkEnd w:id="5"/>
    <w:p>
      <w:pPr>
        <w:spacing w:after="0" w:line="4"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jc w:val="both"/>
        <w:spacing w:after="0" w:line="244" w:lineRule="auto"/>
        <w:rPr>
          <w:sz w:val="20"/>
          <w:szCs w:val="20"/>
          <w:color w:val="auto"/>
        </w:rPr>
      </w:pPr>
      <w:r>
        <w:rPr>
          <w:rFonts w:ascii="Times New Roman" w:cs="Times New Roman" w:eastAsia="Times New Roman" w:hAnsi="Times New Roman"/>
          <w:sz w:val="22"/>
          <w:szCs w:val="22"/>
          <w:color w:val="auto"/>
        </w:rPr>
        <w:t>The percentage listed in row 13 is calculated based on 81,291,520 shares of the Issuer's Common Stock outstanding as of October 27, 2026, as reported in the Issuer's Quarterly Report on Form 10-Q filed with the SEC on October 29, 2026.</w:t>
      </w:r>
    </w:p>
    <w:p>
      <w:pPr>
        <w:spacing w:after="0" w:line="200" w:lineRule="exact"/>
        <w:rPr>
          <w:sz w:val="20"/>
          <w:szCs w:val="20"/>
          <w:color w:val="auto"/>
        </w:rPr>
      </w:pPr>
    </w:p>
    <w:p>
      <w:pPr>
        <w:sectPr>
          <w:pgSz w:w="11900" w:h="16838" w:orient="portrait"/>
          <w:cols w:equalWidth="0" w:num="2">
            <w:col w:w="1520" w:space="120"/>
            <w:col w:w="9600"/>
          </w:cols>
          <w:pgMar w:left="320" w:top="111" w:right="339" w:bottom="7" w:gutter="0" w:footer="0" w:header="0"/>
        </w:sectPr>
      </w:pPr>
    </w:p>
    <w:p>
      <w:pPr>
        <w:spacing w:after="0" w:line="200" w:lineRule="exact"/>
        <w:rPr>
          <w:sz w:val="20"/>
          <w:szCs w:val="20"/>
          <w:color w:val="auto"/>
        </w:rPr>
      </w:pPr>
    </w:p>
    <w:p>
      <w:pPr>
        <w:spacing w:after="0" w:line="2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FHMLS X,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10"/>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111" w:right="339" w:bottom="7" w:gutter="0" w:footer="0" w:header="0"/>
          <w:type w:val="continuous"/>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59,403.00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59,403.00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59,403.00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100" w:space="60"/>
            <w:col w:w="10080"/>
          </w:cols>
          <w:pgMar w:left="320" w:top="111" w:right="339" w:bottom="7" w:gutter="0" w:footer="0" w:header="0"/>
          <w:type w:val="continuous"/>
        </w:sectPr>
      </w:pPr>
    </w:p>
    <w:p>
      <w:pPr>
        <w:spacing w:after="0" w:line="77"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percentage listed in row 13 is calculated based on 81,291,520 shares of the Issuer's Common Stock outstanding as of October 27, 2026, as reported in the Issuer's Quarterly Report on Form 10-Q filed with the SEC on October 29, 2026.</w:t>
      </w:r>
    </w:p>
    <w:p>
      <w:pPr>
        <w:spacing w:after="0" w:line="200" w:lineRule="exact"/>
        <w:rPr>
          <w:sz w:val="20"/>
          <w:szCs w:val="20"/>
          <w:color w:val="auto"/>
        </w:rPr>
      </w:pPr>
    </w:p>
    <w:p>
      <w:pPr>
        <w:sectPr>
          <w:pgSz w:w="11900" w:h="16838" w:orient="portrait"/>
          <w:cols w:equalWidth="0" w:num="2">
            <w:col w:w="1520" w:space="120"/>
            <w:col w:w="9600"/>
          </w:cols>
          <w:pgMar w:left="320" w:top="111" w:right="339" w:bottom="7" w:gutter="0" w:footer="0" w:header="0"/>
          <w:type w:val="continuous"/>
        </w:sectPr>
      </w:pPr>
    </w:p>
    <w:p>
      <w:pPr>
        <w:spacing w:after="0" w:line="200" w:lineRule="exact"/>
        <w:rPr>
          <w:sz w:val="20"/>
          <w:szCs w:val="20"/>
          <w:color w:val="auto"/>
        </w:rPr>
      </w:pPr>
    </w:p>
    <w:p>
      <w:pPr>
        <w:spacing w:after="0" w:line="2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5"/>
          <w:szCs w:val="25"/>
          <w:color w:val="auto"/>
        </w:rPr>
        <w:t>SCHEDULE 13D</w:t>
      </w:r>
    </w:p>
    <w:p>
      <w:pPr>
        <w:sectPr>
          <w:pgSz w:w="11900" w:h="16838" w:orient="portrait"/>
          <w:cols w:equalWidth="0" w:num="1">
            <w:col w:w="11240"/>
          </w:cols>
          <w:pgMar w:left="320" w:top="111" w:right="339" w:bottom="7" w:gutter="0" w:footer="0" w:header="0"/>
          <w:type w:val="continuous"/>
        </w:sectPr>
      </w:pPr>
    </w:p>
    <w:p>
      <w:pPr>
        <w:spacing w:after="0" w:line="3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CUSIP No.</w:t>
      </w:r>
    </w:p>
    <w:p>
      <w:pPr>
        <w:sectPr>
          <w:pgSz w:w="11900" w:h="16838" w:orient="portrait"/>
          <w:cols w:equalWidth="0" w:num="1">
            <w:col w:w="11240"/>
          </w:cols>
          <w:pgMar w:left="320" w:top="111" w:right="339" w:bottom="7" w:gutter="0" w:footer="0" w:header="0"/>
          <w:type w:val="continuous"/>
        </w:sectPr>
      </w:pPr>
    </w:p>
    <w:bookmarkStart w:id="6" w:name="page7"/>
    <w:bookmarkEnd w:id="6"/>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Frazier Life Sciences XI,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0" w:type="dxa"/>
        <w:tblCellMar>
          <w:top w:w="0" w:type="dxa"/>
          <w:left w:w="0" w:type="dxa"/>
          <w:bottom w:w="0" w:type="dxa"/>
          <w:right w:w="0" w:type="dxa"/>
        </w:tblCellMar>
      </w:tblPr>
      <w:tr>
        <w:trPr>
          <w:trHeight w:val="282"/>
        </w:trPr>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5</w:t>
            </w:r>
          </w:p>
        </w:tc>
        <w:tc>
          <w:tcPr>
            <w:tcW w:w="10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6</w:t>
            </w:r>
          </w:p>
        </w:tc>
        <w:tc>
          <w:tcPr>
            <w:tcW w:w="10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20" w:type="dxa"/>
            <w:vAlign w:val="bottom"/>
            <w:vMerge w:val="continue"/>
          </w:tcPr>
          <w:p>
            <w:pPr>
              <w:spacing w:after="0"/>
              <w:rPr>
                <w:sz w:val="21"/>
                <w:szCs w:val="21"/>
                <w:color w:val="auto"/>
              </w:rPr>
            </w:pPr>
          </w:p>
        </w:tc>
        <w:tc>
          <w:tcPr>
            <w:tcW w:w="10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10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20" w:type="dxa"/>
            <w:vAlign w:val="bottom"/>
          </w:tcPr>
          <w:p>
            <w:pPr>
              <w:spacing w:after="0"/>
              <w:rPr>
                <w:sz w:val="24"/>
                <w:szCs w:val="24"/>
                <w:color w:val="auto"/>
              </w:rPr>
            </w:pPr>
          </w:p>
        </w:tc>
        <w:tc>
          <w:tcPr>
            <w:tcW w:w="1012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101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Number of</w:t>
            </w:r>
          </w:p>
        </w:tc>
        <w:tc>
          <w:tcPr>
            <w:tcW w:w="1012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20" w:type="dxa"/>
            <w:vAlign w:val="bottom"/>
            <w:vMerge w:val="continue"/>
          </w:tcPr>
          <w:p>
            <w:pPr>
              <w:spacing w:after="0"/>
              <w:rPr>
                <w:sz w:val="3"/>
                <w:szCs w:val="3"/>
                <w:color w:val="auto"/>
              </w:rPr>
            </w:pPr>
          </w:p>
        </w:tc>
        <w:tc>
          <w:tcPr>
            <w:tcW w:w="1012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2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10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w w:val="98"/>
              </w:rPr>
              <w:t>Beneficially</w:t>
            </w:r>
          </w:p>
        </w:tc>
        <w:tc>
          <w:tcPr>
            <w:tcW w:w="101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Owned by</w:t>
            </w:r>
          </w:p>
        </w:tc>
        <w:tc>
          <w:tcPr>
            <w:tcW w:w="1012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980,286.00</w:t>
            </w:r>
          </w:p>
        </w:tc>
        <w:tc>
          <w:tcPr>
            <w:tcW w:w="0" w:type="dxa"/>
            <w:vAlign w:val="bottom"/>
          </w:tcPr>
          <w:p>
            <w:pPr>
              <w:spacing w:after="0"/>
              <w:rPr>
                <w:sz w:val="1"/>
                <w:szCs w:val="1"/>
                <w:color w:val="auto"/>
              </w:rPr>
            </w:pPr>
          </w:p>
        </w:tc>
      </w:tr>
      <w:tr>
        <w:trPr>
          <w:trHeight w:val="243"/>
        </w:trPr>
        <w:tc>
          <w:tcPr>
            <w:tcW w:w="11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1012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101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1012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With:</w:t>
            </w:r>
          </w:p>
        </w:tc>
        <w:tc>
          <w:tcPr>
            <w:tcW w:w="1012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20" w:type="dxa"/>
            <w:vAlign w:val="bottom"/>
          </w:tcPr>
          <w:p>
            <w:pPr>
              <w:spacing w:after="0"/>
              <w:rPr>
                <w:sz w:val="3"/>
                <w:szCs w:val="3"/>
                <w:color w:val="auto"/>
              </w:rPr>
            </w:pPr>
          </w:p>
        </w:tc>
        <w:tc>
          <w:tcPr>
            <w:tcW w:w="101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101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1012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980,286.00</w:t>
            </w:r>
          </w:p>
        </w:tc>
        <w:tc>
          <w:tcPr>
            <w:tcW w:w="0" w:type="dxa"/>
            <w:vAlign w:val="bottom"/>
          </w:tcPr>
          <w:p>
            <w:pPr>
              <w:spacing w:after="0"/>
              <w:rPr>
                <w:sz w:val="1"/>
                <w:szCs w:val="1"/>
                <w:color w:val="auto"/>
              </w:rPr>
            </w:pPr>
          </w:p>
        </w:tc>
      </w:tr>
      <w:tr>
        <w:trPr>
          <w:trHeight w:val="338"/>
        </w:trPr>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w:t>
            </w:r>
          </w:p>
        </w:tc>
        <w:tc>
          <w:tcPr>
            <w:tcW w:w="10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20" w:type="dxa"/>
            <w:vAlign w:val="bottom"/>
            <w:vMerge w:val="continue"/>
          </w:tcPr>
          <w:p>
            <w:pPr>
              <w:spacing w:after="0"/>
              <w:rPr>
                <w:sz w:val="21"/>
                <w:szCs w:val="21"/>
                <w:color w:val="auto"/>
              </w:rPr>
            </w:pPr>
          </w:p>
        </w:tc>
        <w:tc>
          <w:tcPr>
            <w:tcW w:w="10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980,286.00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10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12</w:t>
            </w:r>
          </w:p>
        </w:tc>
        <w:tc>
          <w:tcPr>
            <w:tcW w:w="10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20" w:type="dxa"/>
            <w:vAlign w:val="bottom"/>
            <w:vMerge w:val="continue"/>
          </w:tcPr>
          <w:p>
            <w:pPr>
              <w:spacing w:after="0"/>
              <w:rPr>
                <w:sz w:val="18"/>
                <w:szCs w:val="18"/>
                <w:color w:val="auto"/>
              </w:rPr>
            </w:pPr>
          </w:p>
        </w:tc>
        <w:tc>
          <w:tcPr>
            <w:tcW w:w="10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w:t>
            </w:r>
          </w:p>
        </w:tc>
        <w:tc>
          <w:tcPr>
            <w:tcW w:w="10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20" w:type="dxa"/>
            <w:vAlign w:val="bottom"/>
            <w:vMerge w:val="continue"/>
          </w:tcPr>
          <w:p>
            <w:pPr>
              <w:spacing w:after="0"/>
              <w:rPr>
                <w:sz w:val="21"/>
                <w:szCs w:val="21"/>
                <w:color w:val="auto"/>
              </w:rPr>
            </w:pPr>
          </w:p>
        </w:tc>
        <w:tc>
          <w:tcPr>
            <w:tcW w:w="10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1.2 %</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10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10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20" w:type="dxa"/>
            <w:vAlign w:val="bottom"/>
            <w:vMerge w:val="continue"/>
          </w:tcPr>
          <w:p>
            <w:pPr>
              <w:spacing w:after="0"/>
              <w:rPr>
                <w:sz w:val="21"/>
                <w:szCs w:val="21"/>
                <w:color w:val="auto"/>
              </w:rPr>
            </w:pPr>
          </w:p>
        </w:tc>
        <w:tc>
          <w:tcPr>
            <w:tcW w:w="10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PN</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10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11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w:t>
            </w:r>
          </w:p>
        </w:tc>
        <w:tc>
          <w:tcPr>
            <w:tcW w:w="10120" w:type="dxa"/>
            <w:vAlign w:val="bottom"/>
          </w:tcPr>
          <w:p>
            <w:pPr>
              <w:spacing w:after="0"/>
              <w:rPr>
                <w:sz w:val="20"/>
                <w:szCs w:val="20"/>
                <w:color w:val="auto"/>
              </w:rPr>
            </w:pPr>
            <w:r>
              <w:rPr>
                <w:rFonts w:ascii="Times New Roman" w:cs="Times New Roman" w:eastAsia="Times New Roman" w:hAnsi="Times New Roman"/>
                <w:sz w:val="22"/>
                <w:szCs w:val="22"/>
                <w:color w:val="auto"/>
              </w:rPr>
              <w:t>The shares listed in rows 8, 10 and 11 do not include any warrants held by the Reporting Person. See Item 5(a) to</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 of</w:t>
            </w:r>
          </w:p>
        </w:tc>
        <w:tc>
          <w:tcPr>
            <w:tcW w:w="10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w w:val="98"/>
              </w:rPr>
              <w:t>this Schedule 13D. The percentage listed in row 13 is calculated based on 81,291,520 shares of the Issuer's Common</w:t>
            </w:r>
          </w:p>
        </w:tc>
        <w:tc>
          <w:tcPr>
            <w:tcW w:w="0" w:type="dxa"/>
            <w:vAlign w:val="bottom"/>
          </w:tcPr>
          <w:p>
            <w:pPr>
              <w:spacing w:after="0"/>
              <w:rPr>
                <w:sz w:val="1"/>
                <w:szCs w:val="1"/>
                <w:color w:val="auto"/>
              </w:rPr>
            </w:pPr>
          </w:p>
        </w:tc>
      </w:tr>
      <w:tr>
        <w:trPr>
          <w:trHeight w:val="240"/>
        </w:trPr>
        <w:tc>
          <w:tcPr>
            <w:tcW w:w="11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120" w:type="dxa"/>
            <w:vAlign w:val="bottom"/>
          </w:tcPr>
          <w:p>
            <w:pPr>
              <w:spacing w:after="0" w:line="240" w:lineRule="exact"/>
              <w:rPr>
                <w:sz w:val="20"/>
                <w:szCs w:val="20"/>
                <w:color w:val="auto"/>
              </w:rPr>
            </w:pPr>
            <w:r>
              <w:rPr>
                <w:rFonts w:ascii="Times New Roman" w:cs="Times New Roman" w:eastAsia="Times New Roman" w:hAnsi="Times New Roman"/>
                <w:sz w:val="22"/>
                <w:szCs w:val="22"/>
                <w:color w:val="auto"/>
              </w:rPr>
              <w:t>Stock outstanding as of October 27, 2026, as reported in the Issuer's Quarterly Report on Form 10-Q filed with the</w:t>
            </w:r>
          </w:p>
        </w:tc>
        <w:tc>
          <w:tcPr>
            <w:tcW w:w="0" w:type="dxa"/>
            <w:vAlign w:val="bottom"/>
          </w:tcPr>
          <w:p>
            <w:pPr>
              <w:spacing w:after="0"/>
              <w:rPr>
                <w:sz w:val="1"/>
                <w:szCs w:val="1"/>
                <w:color w:val="auto"/>
              </w:rPr>
            </w:pPr>
          </w:p>
        </w:tc>
      </w:tr>
      <w:tr>
        <w:trPr>
          <w:trHeight w:val="309"/>
        </w:trPr>
        <w:tc>
          <w:tcPr>
            <w:tcW w:w="11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120" w:type="dxa"/>
            <w:vAlign w:val="bottom"/>
          </w:tcPr>
          <w:p>
            <w:pPr>
              <w:spacing w:after="0"/>
              <w:rPr>
                <w:sz w:val="20"/>
                <w:szCs w:val="20"/>
                <w:color w:val="auto"/>
              </w:rPr>
            </w:pPr>
            <w:r>
              <w:rPr>
                <w:rFonts w:ascii="Times New Roman" w:cs="Times New Roman" w:eastAsia="Times New Roman" w:hAnsi="Times New Roman"/>
                <w:sz w:val="22"/>
                <w:szCs w:val="22"/>
                <w:color w:val="auto"/>
              </w:rPr>
              <w:t>SEC on October 29, 2026.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-5433695</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-1927225</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FHMLS XI,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639" w:right="339" w:bottom="0" w:gutter="0" w:footer="0" w:header="0"/>
        </w:sectPr>
      </w:pPr>
    </w:p>
    <w:bookmarkStart w:id="7" w:name="page8"/>
    <w:bookmarkEnd w:id="7"/>
    <w:p>
      <w:pPr>
        <w:ind w:left="1160" w:hanging="1112"/>
        <w:spacing w:after="0"/>
        <w:tabs>
          <w:tab w:leader="none" w:pos="116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0" w:type="dxa"/>
        <w:tblCellMar>
          <w:top w:w="0" w:type="dxa"/>
          <w:left w:w="0" w:type="dxa"/>
          <w:bottom w:w="0" w:type="dxa"/>
          <w:right w:w="0" w:type="dxa"/>
        </w:tblCellMar>
      </w:tblPr>
      <w:tr>
        <w:trPr>
          <w:trHeight w:val="282"/>
        </w:trPr>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5</w:t>
            </w:r>
          </w:p>
        </w:tc>
        <w:tc>
          <w:tcPr>
            <w:tcW w:w="10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6</w:t>
            </w:r>
          </w:p>
        </w:tc>
        <w:tc>
          <w:tcPr>
            <w:tcW w:w="10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20" w:type="dxa"/>
            <w:vAlign w:val="bottom"/>
            <w:vMerge w:val="continue"/>
          </w:tcPr>
          <w:p>
            <w:pPr>
              <w:spacing w:after="0"/>
              <w:rPr>
                <w:sz w:val="21"/>
                <w:szCs w:val="21"/>
                <w:color w:val="auto"/>
              </w:rPr>
            </w:pPr>
          </w:p>
        </w:tc>
        <w:tc>
          <w:tcPr>
            <w:tcW w:w="10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10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20" w:type="dxa"/>
            <w:vAlign w:val="bottom"/>
          </w:tcPr>
          <w:p>
            <w:pPr>
              <w:spacing w:after="0"/>
              <w:rPr>
                <w:sz w:val="24"/>
                <w:szCs w:val="24"/>
                <w:color w:val="auto"/>
              </w:rPr>
            </w:pPr>
          </w:p>
        </w:tc>
        <w:tc>
          <w:tcPr>
            <w:tcW w:w="1012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101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Number of</w:t>
            </w:r>
          </w:p>
        </w:tc>
        <w:tc>
          <w:tcPr>
            <w:tcW w:w="1012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20" w:type="dxa"/>
            <w:vAlign w:val="bottom"/>
            <w:vMerge w:val="continue"/>
          </w:tcPr>
          <w:p>
            <w:pPr>
              <w:spacing w:after="0"/>
              <w:rPr>
                <w:sz w:val="3"/>
                <w:szCs w:val="3"/>
                <w:color w:val="auto"/>
              </w:rPr>
            </w:pPr>
          </w:p>
        </w:tc>
        <w:tc>
          <w:tcPr>
            <w:tcW w:w="1012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2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10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w w:val="98"/>
              </w:rPr>
              <w:t>Beneficially</w:t>
            </w:r>
          </w:p>
        </w:tc>
        <w:tc>
          <w:tcPr>
            <w:tcW w:w="101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Owned by</w:t>
            </w:r>
          </w:p>
        </w:tc>
        <w:tc>
          <w:tcPr>
            <w:tcW w:w="1012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980,286.00</w:t>
            </w:r>
          </w:p>
        </w:tc>
        <w:tc>
          <w:tcPr>
            <w:tcW w:w="0" w:type="dxa"/>
            <w:vAlign w:val="bottom"/>
          </w:tcPr>
          <w:p>
            <w:pPr>
              <w:spacing w:after="0"/>
              <w:rPr>
                <w:sz w:val="1"/>
                <w:szCs w:val="1"/>
                <w:color w:val="auto"/>
              </w:rPr>
            </w:pPr>
          </w:p>
        </w:tc>
      </w:tr>
      <w:tr>
        <w:trPr>
          <w:trHeight w:val="243"/>
        </w:trPr>
        <w:tc>
          <w:tcPr>
            <w:tcW w:w="11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1012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101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1012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With:</w:t>
            </w:r>
          </w:p>
        </w:tc>
        <w:tc>
          <w:tcPr>
            <w:tcW w:w="1012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20" w:type="dxa"/>
            <w:vAlign w:val="bottom"/>
          </w:tcPr>
          <w:p>
            <w:pPr>
              <w:spacing w:after="0"/>
              <w:rPr>
                <w:sz w:val="3"/>
                <w:szCs w:val="3"/>
                <w:color w:val="auto"/>
              </w:rPr>
            </w:pPr>
          </w:p>
        </w:tc>
        <w:tc>
          <w:tcPr>
            <w:tcW w:w="101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101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1012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980,286.00</w:t>
            </w:r>
          </w:p>
        </w:tc>
        <w:tc>
          <w:tcPr>
            <w:tcW w:w="0" w:type="dxa"/>
            <w:vAlign w:val="bottom"/>
          </w:tcPr>
          <w:p>
            <w:pPr>
              <w:spacing w:after="0"/>
              <w:rPr>
                <w:sz w:val="1"/>
                <w:szCs w:val="1"/>
                <w:color w:val="auto"/>
              </w:rPr>
            </w:pPr>
          </w:p>
        </w:tc>
      </w:tr>
      <w:tr>
        <w:trPr>
          <w:trHeight w:val="338"/>
        </w:trPr>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w:t>
            </w:r>
          </w:p>
        </w:tc>
        <w:tc>
          <w:tcPr>
            <w:tcW w:w="10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20" w:type="dxa"/>
            <w:vAlign w:val="bottom"/>
            <w:vMerge w:val="continue"/>
          </w:tcPr>
          <w:p>
            <w:pPr>
              <w:spacing w:after="0"/>
              <w:rPr>
                <w:sz w:val="21"/>
                <w:szCs w:val="21"/>
                <w:color w:val="auto"/>
              </w:rPr>
            </w:pPr>
          </w:p>
        </w:tc>
        <w:tc>
          <w:tcPr>
            <w:tcW w:w="10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980,286.00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10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12</w:t>
            </w:r>
          </w:p>
        </w:tc>
        <w:tc>
          <w:tcPr>
            <w:tcW w:w="10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20" w:type="dxa"/>
            <w:vAlign w:val="bottom"/>
            <w:vMerge w:val="continue"/>
          </w:tcPr>
          <w:p>
            <w:pPr>
              <w:spacing w:after="0"/>
              <w:rPr>
                <w:sz w:val="18"/>
                <w:szCs w:val="18"/>
                <w:color w:val="auto"/>
              </w:rPr>
            </w:pPr>
          </w:p>
        </w:tc>
        <w:tc>
          <w:tcPr>
            <w:tcW w:w="10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w:t>
            </w:r>
          </w:p>
        </w:tc>
        <w:tc>
          <w:tcPr>
            <w:tcW w:w="10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20" w:type="dxa"/>
            <w:vAlign w:val="bottom"/>
            <w:vMerge w:val="continue"/>
          </w:tcPr>
          <w:p>
            <w:pPr>
              <w:spacing w:after="0"/>
              <w:rPr>
                <w:sz w:val="21"/>
                <w:szCs w:val="21"/>
                <w:color w:val="auto"/>
              </w:rPr>
            </w:pPr>
          </w:p>
        </w:tc>
        <w:tc>
          <w:tcPr>
            <w:tcW w:w="10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1.2 %</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10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10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20" w:type="dxa"/>
            <w:vAlign w:val="bottom"/>
            <w:vMerge w:val="continue"/>
          </w:tcPr>
          <w:p>
            <w:pPr>
              <w:spacing w:after="0"/>
              <w:rPr>
                <w:sz w:val="21"/>
                <w:szCs w:val="21"/>
                <w:color w:val="auto"/>
              </w:rPr>
            </w:pPr>
          </w:p>
        </w:tc>
        <w:tc>
          <w:tcPr>
            <w:tcW w:w="10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PN</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10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11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w:t>
            </w:r>
          </w:p>
        </w:tc>
        <w:tc>
          <w:tcPr>
            <w:tcW w:w="10120" w:type="dxa"/>
            <w:vAlign w:val="bottom"/>
          </w:tcPr>
          <w:p>
            <w:pPr>
              <w:spacing w:after="0"/>
              <w:rPr>
                <w:sz w:val="20"/>
                <w:szCs w:val="20"/>
                <w:color w:val="auto"/>
              </w:rPr>
            </w:pPr>
            <w:r>
              <w:rPr>
                <w:rFonts w:ascii="Times New Roman" w:cs="Times New Roman" w:eastAsia="Times New Roman" w:hAnsi="Times New Roman"/>
                <w:sz w:val="22"/>
                <w:szCs w:val="22"/>
                <w:color w:val="auto"/>
              </w:rPr>
              <w:t>The shares listed in rows 8, 10 and 11 do not include any warrants held by the Reporting Person. See Item 5(a) to</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 of</w:t>
            </w:r>
          </w:p>
        </w:tc>
        <w:tc>
          <w:tcPr>
            <w:tcW w:w="10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w w:val="98"/>
              </w:rPr>
              <w:t>this Schedule 13D. The percentage listed in row 13 is calculated based on 81,291,520 shares of the Issuer's Common</w:t>
            </w:r>
          </w:p>
        </w:tc>
        <w:tc>
          <w:tcPr>
            <w:tcW w:w="0" w:type="dxa"/>
            <w:vAlign w:val="bottom"/>
          </w:tcPr>
          <w:p>
            <w:pPr>
              <w:spacing w:after="0"/>
              <w:rPr>
                <w:sz w:val="1"/>
                <w:szCs w:val="1"/>
                <w:color w:val="auto"/>
              </w:rPr>
            </w:pPr>
          </w:p>
        </w:tc>
      </w:tr>
      <w:tr>
        <w:trPr>
          <w:trHeight w:val="240"/>
        </w:trPr>
        <w:tc>
          <w:tcPr>
            <w:tcW w:w="11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120" w:type="dxa"/>
            <w:vAlign w:val="bottom"/>
          </w:tcPr>
          <w:p>
            <w:pPr>
              <w:spacing w:after="0" w:line="240" w:lineRule="exact"/>
              <w:rPr>
                <w:sz w:val="20"/>
                <w:szCs w:val="20"/>
                <w:color w:val="auto"/>
              </w:rPr>
            </w:pPr>
            <w:r>
              <w:rPr>
                <w:rFonts w:ascii="Times New Roman" w:cs="Times New Roman" w:eastAsia="Times New Roman" w:hAnsi="Times New Roman"/>
                <w:sz w:val="22"/>
                <w:szCs w:val="22"/>
                <w:color w:val="auto"/>
              </w:rPr>
              <w:t>Stock outstanding as of October 27, 2026, as reported in the Issuer's Quarterly Report on Form 10-Q filed with the</w:t>
            </w:r>
          </w:p>
        </w:tc>
        <w:tc>
          <w:tcPr>
            <w:tcW w:w="0" w:type="dxa"/>
            <w:vAlign w:val="bottom"/>
          </w:tcPr>
          <w:p>
            <w:pPr>
              <w:spacing w:after="0"/>
              <w:rPr>
                <w:sz w:val="1"/>
                <w:szCs w:val="1"/>
                <w:color w:val="auto"/>
              </w:rPr>
            </w:pPr>
          </w:p>
        </w:tc>
      </w:tr>
      <w:tr>
        <w:trPr>
          <w:trHeight w:val="309"/>
        </w:trPr>
        <w:tc>
          <w:tcPr>
            <w:tcW w:w="11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120" w:type="dxa"/>
            <w:vAlign w:val="bottom"/>
          </w:tcPr>
          <w:p>
            <w:pPr>
              <w:spacing w:after="0"/>
              <w:rPr>
                <w:sz w:val="20"/>
                <w:szCs w:val="20"/>
                <w:color w:val="auto"/>
              </w:rPr>
            </w:pPr>
            <w:r>
              <w:rPr>
                <w:rFonts w:ascii="Times New Roman" w:cs="Times New Roman" w:eastAsia="Times New Roman" w:hAnsi="Times New Roman"/>
                <w:sz w:val="22"/>
                <w:szCs w:val="22"/>
                <w:color w:val="auto"/>
              </w:rPr>
              <w:t>SEC on October 29, 2026.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-5433060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-1927225</wp:posOffset>
            </wp:positionV>
            <wp:extent cx="12890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FHMLS XI,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hanging="1112"/>
        <w:spacing w:after="0"/>
        <w:tabs>
          <w:tab w:leader="none" w:pos="116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w:t>
      </w:r>
    </w:p>
    <w:p>
      <w:pPr>
        <w:sectPr>
          <w:pgSz w:w="11900" w:h="16838" w:orient="portrait"/>
          <w:cols w:equalWidth="0" w:num="1">
            <w:col w:w="11240"/>
          </w:cols>
          <w:pgMar w:left="320" w:top="111" w:right="339" w:bottom="0" w:gutter="0" w:footer="0" w:header="0"/>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0" w:lineRule="exact"/>
        <w:rPr>
          <w:sz w:val="20"/>
          <w:szCs w:val="20"/>
          <w:color w:val="auto"/>
        </w:rPr>
      </w:pPr>
    </w:p>
    <w:p>
      <w:pPr>
        <w:spacing w:after="0" w:line="320"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ind w:left="40"/>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7</w:t>
      </w:r>
    </w:p>
    <w:p>
      <w:pPr>
        <w:ind w:left="36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8</w:t>
      </w:r>
    </w:p>
    <w:p>
      <w:pPr>
        <w:ind w:left="360"/>
        <w:spacing w:after="0"/>
        <w:rPr>
          <w:sz w:val="20"/>
          <w:szCs w:val="20"/>
          <w:color w:val="auto"/>
        </w:rPr>
      </w:pPr>
      <w:r>
        <w:rPr>
          <w:rFonts w:ascii="Times New Roman" w:cs="Times New Roman" w:eastAsia="Times New Roman" w:hAnsi="Times New Roman"/>
          <w:sz w:val="22"/>
          <w:szCs w:val="22"/>
          <w:color w:val="auto"/>
        </w:rPr>
        <w:t>980,286.00</w:t>
      </w:r>
    </w:p>
    <w:p>
      <w:pPr>
        <w:spacing w:after="0" w:line="2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9</w:t>
      </w:r>
    </w:p>
    <w:p>
      <w:pPr>
        <w:ind w:left="36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10</w:t>
      </w:r>
    </w:p>
    <w:p>
      <w:pPr>
        <w:ind w:left="360"/>
        <w:spacing w:after="0"/>
        <w:rPr>
          <w:sz w:val="20"/>
          <w:szCs w:val="20"/>
          <w:color w:val="auto"/>
        </w:rPr>
      </w:pPr>
      <w:r>
        <w:rPr>
          <w:rFonts w:ascii="Times New Roman" w:cs="Times New Roman" w:eastAsia="Times New Roman" w:hAnsi="Times New Roman"/>
          <w:sz w:val="22"/>
          <w:szCs w:val="22"/>
          <w:color w:val="auto"/>
        </w:rPr>
        <w:t>980,286.00</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980,286.00</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165100</wp:posOffset>
            </wp:positionV>
            <wp:extent cx="128905"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1.2 %</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OO</w:t>
      </w:r>
    </w:p>
    <w:p>
      <w:pPr>
        <w:spacing w:after="0" w:line="27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shares listed in rows 8, 10 and 11 do not include any warrants held by the Reporting Person. See Item 5(a) to this Schedule 13D. The percentage listed in row 13 is calculated based on 81,291,520 shares of the Issuer's Common Stock outstanding as of October 27, 2026, as reported in the Issuer's Quarterly Report on Form 10-Q filed with the SEC on October 29, 2026.</w:t>
      </w:r>
    </w:p>
    <w:p>
      <w:pPr>
        <w:spacing w:after="0" w:line="200" w:lineRule="exact"/>
        <w:rPr>
          <w:sz w:val="20"/>
          <w:szCs w:val="20"/>
          <w:color w:val="auto"/>
        </w:rPr>
      </w:pPr>
    </w:p>
    <w:p>
      <w:pPr>
        <w:sectPr>
          <w:pgSz w:w="11900" w:h="16838" w:orient="portrait"/>
          <w:cols w:equalWidth="0" w:num="2">
            <w:col w:w="1100" w:space="20"/>
            <w:col w:w="10120"/>
          </w:cols>
          <w:pgMar w:left="320" w:top="111" w:right="339" w:bottom="0" w:gutter="0" w:footer="0" w:header="0"/>
        </w:sectPr>
      </w:pPr>
    </w:p>
    <w:p>
      <w:pPr>
        <w:spacing w:after="0" w:line="200" w:lineRule="exact"/>
        <w:rPr>
          <w:sz w:val="20"/>
          <w:szCs w:val="20"/>
          <w:color w:val="auto"/>
        </w:rPr>
      </w:pPr>
    </w:p>
    <w:p>
      <w:pPr>
        <w:spacing w:after="0" w:line="3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Frazier Life Sciences IX,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w:t>
      </w:r>
    </w:p>
    <w:p>
      <w:pPr>
        <w:spacing w:after="0" w:line="1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2"/>
                <w:szCs w:val="22"/>
                <w:color w:val="auto"/>
              </w:rPr>
            </w:pPr>
          </w:p>
        </w:tc>
        <w:tc>
          <w:tcPr>
            <w:tcW w:w="21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tcPr>
          <w:p>
            <w:pPr>
              <w:spacing w:after="0"/>
              <w:rPr>
                <w:sz w:val="21"/>
                <w:szCs w:val="21"/>
                <w:color w:val="auto"/>
              </w:rPr>
            </w:pPr>
          </w:p>
        </w:tc>
        <w:tc>
          <w:tcPr>
            <w:tcW w:w="210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40" w:type="dxa"/>
            <w:vAlign w:val="bottom"/>
          </w:tcPr>
          <w:p>
            <w:pPr>
              <w:spacing w:after="0"/>
              <w:rPr>
                <w:sz w:val="19"/>
                <w:szCs w:val="19"/>
                <w:color w:val="auto"/>
              </w:rPr>
            </w:pP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2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40" w:type="dxa"/>
            <w:vAlign w:val="bottom"/>
            <w:vMerge w:val="continue"/>
          </w:tcPr>
          <w:p>
            <w:pPr>
              <w:spacing w:after="0"/>
              <w:rPr>
                <w:sz w:val="11"/>
                <w:szCs w:val="11"/>
                <w:color w:val="auto"/>
              </w:rPr>
            </w:pP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5,827,415.00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2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40" w:type="dxa"/>
            <w:vAlign w:val="bottom"/>
          </w:tcPr>
          <w:p>
            <w:pPr>
              <w:spacing w:after="0"/>
              <w:rPr>
                <w:sz w:val="11"/>
                <w:szCs w:val="11"/>
                <w:color w:val="auto"/>
              </w:rPr>
            </w:pPr>
          </w:p>
        </w:tc>
        <w:tc>
          <w:tcPr>
            <w:tcW w:w="2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9</w:t>
            </w: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40" w:type="dxa"/>
            <w:vAlign w:val="bottom"/>
            <w:vMerge w:val="continue"/>
          </w:tcPr>
          <w:p>
            <w:pPr>
              <w:spacing w:after="0"/>
              <w:rPr>
                <w:sz w:val="16"/>
                <w:szCs w:val="16"/>
                <w:color w:val="auto"/>
              </w:rPr>
            </w:pPr>
          </w:p>
        </w:tc>
        <w:tc>
          <w:tcPr>
            <w:tcW w:w="2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112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2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1" w:right="339" w:bottom="0" w:gutter="0" w:footer="0" w:header="0"/>
          <w:type w:val="continuous"/>
        </w:sectPr>
      </w:pPr>
    </w:p>
    <w:bookmarkStart w:id="9" w:name="page10"/>
    <w:bookmarkEnd w:id="9"/>
    <w:p>
      <w:pPr>
        <w:ind w:left="14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2"/>
          <w:szCs w:val="22"/>
          <w:color w:val="auto"/>
        </w:rPr>
        <w:t>10</w:t>
      </w:r>
    </w:p>
    <w:p>
      <w:pPr>
        <w:ind w:left="1480"/>
        <w:spacing w:after="0"/>
        <w:rPr>
          <w:sz w:val="20"/>
          <w:szCs w:val="20"/>
          <w:color w:val="auto"/>
        </w:rPr>
      </w:pPr>
      <w:r>
        <w:rPr>
          <w:rFonts w:ascii="Times New Roman" w:cs="Times New Roman" w:eastAsia="Times New Roman" w:hAnsi="Times New Roman"/>
          <w:sz w:val="22"/>
          <w:szCs w:val="22"/>
          <w:color w:val="auto"/>
        </w:rPr>
        <w:t>5,827,415.00</w:t>
      </w:r>
    </w:p>
    <w:p>
      <w:pPr>
        <w:spacing w:after="0" w:line="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5,827,415.00</w:t>
      </w:r>
    </w:p>
    <w:p>
      <w:pPr>
        <w:spacing w:after="0" w:line="1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7.2 %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PN</w:t>
      </w:r>
    </w:p>
    <w:p>
      <w:pPr>
        <w:sectPr>
          <w:pgSz w:w="11900" w:h="16838" w:orient="portrait"/>
          <w:cols w:equalWidth="0" w:num="1">
            <w:col w:w="11240"/>
          </w:cols>
          <w:pgMar w:left="320" w:top="111" w:right="339" w:bottom="0" w:gutter="0" w:footer="0" w:header="0"/>
        </w:sectPr>
      </w:pPr>
    </w:p>
    <w:p>
      <w:pPr>
        <w:spacing w:after="0" w:line="253"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percentage listed in row 13 is calculated based on 81,291,520 shares of the Issuer's Common Stock outstanding as of October 27, 2026, as reported in the Issuer's Quarterly Report on Form 10-Q filed with the SEC on October 29, 2026.</w:t>
      </w:r>
    </w:p>
    <w:p>
      <w:pPr>
        <w:spacing w:after="0" w:line="200" w:lineRule="exact"/>
        <w:rPr>
          <w:sz w:val="20"/>
          <w:szCs w:val="20"/>
          <w:color w:val="auto"/>
        </w:rPr>
      </w:pPr>
    </w:p>
    <w:p>
      <w:pPr>
        <w:sectPr>
          <w:pgSz w:w="11900" w:h="16838" w:orient="portrait"/>
          <w:cols w:equalWidth="0" w:num="2">
            <w:col w:w="1520" w:space="120"/>
            <w:col w:w="9600"/>
          </w:cols>
          <w:pgMar w:left="320" w:top="111" w:right="339" w:bottom="0" w:gutter="0" w:footer="0" w:header="0"/>
          <w:type w:val="continuous"/>
        </w:sectPr>
      </w:pPr>
    </w:p>
    <w:p>
      <w:pPr>
        <w:spacing w:after="0" w:line="200" w:lineRule="exact"/>
        <w:rPr>
          <w:sz w:val="20"/>
          <w:szCs w:val="20"/>
          <w:color w:val="auto"/>
        </w:rPr>
      </w:pPr>
    </w:p>
    <w:p>
      <w:pPr>
        <w:spacing w:after="0" w:line="2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FHMLS IX,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20"/>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111" w:right="339" w:bottom="0" w:gutter="0" w:footer="0" w:header="0"/>
          <w:type w:val="continuous"/>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5,827,415.00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5,827,415.00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5,827,415.00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1" w:lineRule="exact"/>
        <w:rPr>
          <w:sz w:val="20"/>
          <w:szCs w:val="20"/>
          <w:color w:val="auto"/>
        </w:rPr>
      </w:pPr>
    </w:p>
    <w:p>
      <w:pPr>
        <w:sectPr>
          <w:pgSz w:w="11900" w:h="16838" w:orient="portrait"/>
          <w:cols w:equalWidth="0" w:num="2">
            <w:col w:w="1100" w:space="60"/>
            <w:col w:w="10080"/>
          </w:cols>
          <w:pgMar w:left="320" w:top="111" w:right="33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2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1240"/>
          </w:cols>
          <w:pgMar w:left="320" w:top="111" w:right="339" w:bottom="0" w:gutter="0" w:footer="0" w:header="0"/>
          <w:type w:val="continuous"/>
        </w:sectPr>
      </w:pPr>
    </w:p>
    <w:bookmarkStart w:id="10" w:name="page11"/>
    <w:bookmarkEnd w:id="10"/>
    <w:p>
      <w:pPr>
        <w:ind w:left="1160" w:right="5600" w:hanging="1112"/>
        <w:spacing w:after="0" w:line="371" w:lineRule="auto"/>
        <w:tabs>
          <w:tab w:leader="none" w:pos="116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(11) 7.2 %</w:t>
      </w:r>
    </w:p>
    <w:p>
      <w:pPr>
        <w:spacing w:after="0" w:line="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PN</w:t>
      </w:r>
    </w:p>
    <w:p>
      <w:pPr>
        <w:sectPr>
          <w:pgSz w:w="11900" w:h="16838" w:orient="portrait"/>
          <w:cols w:equalWidth="0" w:num="1">
            <w:col w:w="11240"/>
          </w:cols>
          <w:pgMar w:left="320" w:top="112" w:right="339" w:bottom="0" w:gutter="0" w:footer="0" w:header="0"/>
        </w:sectPr>
      </w:pPr>
    </w:p>
    <w:p>
      <w:pPr>
        <w:spacing w:after="0" w:line="253"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percentage listed in row 13 is calculated based on 81,291,520 shares of the Issuer's Common Stock outstanding as of October 27, 2026, as reported in the Issuer's Quarterly Report on Form 10-Q filed with the SEC on October 29, 2026.</w:t>
      </w:r>
    </w:p>
    <w:p>
      <w:pPr>
        <w:spacing w:after="0" w:line="200" w:lineRule="exact"/>
        <w:rPr>
          <w:sz w:val="20"/>
          <w:szCs w:val="20"/>
          <w:color w:val="auto"/>
        </w:rPr>
      </w:pPr>
    </w:p>
    <w:p>
      <w:pPr>
        <w:sectPr>
          <w:pgSz w:w="11900" w:h="16838" w:orient="portrait"/>
          <w:cols w:equalWidth="0" w:num="2">
            <w:col w:w="1520" w:space="120"/>
            <w:col w:w="9600"/>
          </w:cols>
          <w:pgMar w:left="320" w:top="112" w:right="339" w:bottom="0" w:gutter="0" w:footer="0" w:header="0"/>
          <w:type w:val="continuous"/>
        </w:sectPr>
      </w:pPr>
    </w:p>
    <w:p>
      <w:pPr>
        <w:spacing w:after="0" w:line="200" w:lineRule="exact"/>
        <w:rPr>
          <w:sz w:val="20"/>
          <w:szCs w:val="20"/>
          <w:color w:val="auto"/>
        </w:rPr>
      </w:pPr>
    </w:p>
    <w:p>
      <w:pPr>
        <w:spacing w:after="0" w:line="2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FHMLS IX,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2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112" w:right="339" w:bottom="0" w:gutter="0" w:footer="0" w:header="0"/>
          <w:type w:val="continuous"/>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5,827,416.00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5,827,416.00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5,827,416.00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100" w:space="60"/>
            <w:col w:w="10080"/>
          </w:cols>
          <w:pgMar w:left="320" w:top="112" w:right="339" w:bottom="0" w:gutter="0" w:footer="0" w:header="0"/>
          <w:type w:val="continuous"/>
        </w:sectPr>
      </w:pPr>
    </w:p>
    <w:p>
      <w:pPr>
        <w:spacing w:after="0" w:line="77"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percentage listed in row 13 is calculated based on 81,291,520 shares of the Issuer's Common Stock outstanding as of October 27, 2026, as reported in the Issuer's Quarterly Report on Form 10-Q filed with the SEC on October 29, 2026.</w:t>
      </w:r>
    </w:p>
    <w:p>
      <w:pPr>
        <w:sectPr>
          <w:pgSz w:w="11900" w:h="16838" w:orient="portrait"/>
          <w:cols w:equalWidth="0" w:num="2">
            <w:col w:w="1520" w:space="120"/>
            <w:col w:w="9600"/>
          </w:cols>
          <w:pgMar w:left="320" w:top="112" w:right="339" w:bottom="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Frazier Life Sciences XII,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2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0" w:type="dxa"/>
        <w:tblCellMar>
          <w:top w:w="0" w:type="dxa"/>
          <w:left w:w="0" w:type="dxa"/>
          <w:bottom w:w="0" w:type="dxa"/>
          <w:right w:w="0" w:type="dxa"/>
        </w:tblCellMar>
      </w:tblPr>
      <w:tr>
        <w:trPr>
          <w:trHeight w:val="282"/>
        </w:trPr>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5</w:t>
            </w:r>
          </w:p>
        </w:tc>
        <w:tc>
          <w:tcPr>
            <w:tcW w:w="10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6</w:t>
            </w:r>
          </w:p>
        </w:tc>
        <w:tc>
          <w:tcPr>
            <w:tcW w:w="10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20" w:type="dxa"/>
            <w:vAlign w:val="bottom"/>
            <w:vMerge w:val="continue"/>
          </w:tcPr>
          <w:p>
            <w:pPr>
              <w:spacing w:after="0"/>
              <w:rPr>
                <w:sz w:val="21"/>
                <w:szCs w:val="21"/>
                <w:color w:val="auto"/>
              </w:rPr>
            </w:pPr>
          </w:p>
        </w:tc>
        <w:tc>
          <w:tcPr>
            <w:tcW w:w="10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10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20" w:type="dxa"/>
            <w:vAlign w:val="bottom"/>
          </w:tcPr>
          <w:p>
            <w:pPr>
              <w:spacing w:after="0"/>
              <w:rPr>
                <w:sz w:val="24"/>
                <w:szCs w:val="24"/>
                <w:color w:val="auto"/>
              </w:rPr>
            </w:pPr>
          </w:p>
        </w:tc>
        <w:tc>
          <w:tcPr>
            <w:tcW w:w="1012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101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Number of</w:t>
            </w:r>
          </w:p>
        </w:tc>
        <w:tc>
          <w:tcPr>
            <w:tcW w:w="1012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20" w:type="dxa"/>
            <w:vAlign w:val="bottom"/>
            <w:vMerge w:val="continue"/>
          </w:tcPr>
          <w:p>
            <w:pPr>
              <w:spacing w:after="0"/>
              <w:rPr>
                <w:sz w:val="3"/>
                <w:szCs w:val="3"/>
                <w:color w:val="auto"/>
              </w:rPr>
            </w:pPr>
          </w:p>
        </w:tc>
        <w:tc>
          <w:tcPr>
            <w:tcW w:w="1012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2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10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w w:val="98"/>
              </w:rPr>
              <w:t>Beneficially</w:t>
            </w:r>
          </w:p>
        </w:tc>
        <w:tc>
          <w:tcPr>
            <w:tcW w:w="101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Owned by</w:t>
            </w:r>
          </w:p>
        </w:tc>
        <w:tc>
          <w:tcPr>
            <w:tcW w:w="1012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276,029.00</w:t>
            </w:r>
          </w:p>
        </w:tc>
        <w:tc>
          <w:tcPr>
            <w:tcW w:w="0" w:type="dxa"/>
            <w:vAlign w:val="bottom"/>
          </w:tcPr>
          <w:p>
            <w:pPr>
              <w:spacing w:after="0"/>
              <w:rPr>
                <w:sz w:val="1"/>
                <w:szCs w:val="1"/>
                <w:color w:val="auto"/>
              </w:rPr>
            </w:pPr>
          </w:p>
        </w:tc>
      </w:tr>
      <w:tr>
        <w:trPr>
          <w:trHeight w:val="243"/>
        </w:trPr>
        <w:tc>
          <w:tcPr>
            <w:tcW w:w="11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1012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101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1012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With:</w:t>
            </w:r>
          </w:p>
        </w:tc>
        <w:tc>
          <w:tcPr>
            <w:tcW w:w="1012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20" w:type="dxa"/>
            <w:vAlign w:val="bottom"/>
          </w:tcPr>
          <w:p>
            <w:pPr>
              <w:spacing w:after="0"/>
              <w:rPr>
                <w:sz w:val="3"/>
                <w:szCs w:val="3"/>
                <w:color w:val="auto"/>
              </w:rPr>
            </w:pPr>
          </w:p>
        </w:tc>
        <w:tc>
          <w:tcPr>
            <w:tcW w:w="101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101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1012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276,029.00</w:t>
            </w:r>
          </w:p>
        </w:tc>
        <w:tc>
          <w:tcPr>
            <w:tcW w:w="0" w:type="dxa"/>
            <w:vAlign w:val="bottom"/>
          </w:tcPr>
          <w:p>
            <w:pPr>
              <w:spacing w:after="0"/>
              <w:rPr>
                <w:sz w:val="1"/>
                <w:szCs w:val="1"/>
                <w:color w:val="auto"/>
              </w:rPr>
            </w:pPr>
          </w:p>
        </w:tc>
      </w:tr>
      <w:tr>
        <w:trPr>
          <w:trHeight w:val="338"/>
        </w:trPr>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w:t>
            </w:r>
          </w:p>
        </w:tc>
        <w:tc>
          <w:tcPr>
            <w:tcW w:w="10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20" w:type="dxa"/>
            <w:vAlign w:val="bottom"/>
            <w:vMerge w:val="continue"/>
          </w:tcPr>
          <w:p>
            <w:pPr>
              <w:spacing w:after="0"/>
              <w:rPr>
                <w:sz w:val="21"/>
                <w:szCs w:val="21"/>
                <w:color w:val="auto"/>
              </w:rPr>
            </w:pPr>
          </w:p>
        </w:tc>
        <w:tc>
          <w:tcPr>
            <w:tcW w:w="10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276,029.00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10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12</w:t>
            </w:r>
          </w:p>
        </w:tc>
        <w:tc>
          <w:tcPr>
            <w:tcW w:w="10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20" w:type="dxa"/>
            <w:vAlign w:val="bottom"/>
            <w:vMerge w:val="continue"/>
          </w:tcPr>
          <w:p>
            <w:pPr>
              <w:spacing w:after="0"/>
              <w:rPr>
                <w:sz w:val="18"/>
                <w:szCs w:val="18"/>
                <w:color w:val="auto"/>
              </w:rPr>
            </w:pPr>
          </w:p>
        </w:tc>
        <w:tc>
          <w:tcPr>
            <w:tcW w:w="10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w:t>
            </w:r>
          </w:p>
        </w:tc>
        <w:tc>
          <w:tcPr>
            <w:tcW w:w="10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20" w:type="dxa"/>
            <w:vAlign w:val="bottom"/>
            <w:vMerge w:val="continue"/>
          </w:tcPr>
          <w:p>
            <w:pPr>
              <w:spacing w:after="0"/>
              <w:rPr>
                <w:sz w:val="21"/>
                <w:szCs w:val="21"/>
                <w:color w:val="auto"/>
              </w:rPr>
            </w:pPr>
          </w:p>
        </w:tc>
        <w:tc>
          <w:tcPr>
            <w:tcW w:w="10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0.3 %</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10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10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20" w:type="dxa"/>
            <w:vAlign w:val="bottom"/>
            <w:vMerge w:val="continue"/>
          </w:tcPr>
          <w:p>
            <w:pPr>
              <w:spacing w:after="0"/>
              <w:rPr>
                <w:sz w:val="21"/>
                <w:szCs w:val="21"/>
                <w:color w:val="auto"/>
              </w:rPr>
            </w:pPr>
          </w:p>
        </w:tc>
        <w:tc>
          <w:tcPr>
            <w:tcW w:w="10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PN</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10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11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w:t>
            </w:r>
          </w:p>
        </w:tc>
        <w:tc>
          <w:tcPr>
            <w:tcW w:w="10120" w:type="dxa"/>
            <w:vAlign w:val="bottom"/>
          </w:tcPr>
          <w:p>
            <w:pPr>
              <w:spacing w:after="0"/>
              <w:rPr>
                <w:sz w:val="20"/>
                <w:szCs w:val="20"/>
                <w:color w:val="auto"/>
              </w:rPr>
            </w:pPr>
            <w:r>
              <w:rPr>
                <w:rFonts w:ascii="Times New Roman" w:cs="Times New Roman" w:eastAsia="Times New Roman" w:hAnsi="Times New Roman"/>
                <w:sz w:val="22"/>
                <w:szCs w:val="22"/>
                <w:color w:val="auto"/>
              </w:rPr>
              <w:t>The shares listed in rows 8, 10 and 11 do not include any warrants held by the Reporting Person. See Item 5(a) to</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 of</w:t>
            </w:r>
          </w:p>
        </w:tc>
        <w:tc>
          <w:tcPr>
            <w:tcW w:w="10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w w:val="98"/>
              </w:rPr>
              <w:t>this Schedule 13D. The percentage listed in row 13 is calculated based on 81,291,520 shares of the Issuer's Common</w:t>
            </w:r>
          </w:p>
        </w:tc>
        <w:tc>
          <w:tcPr>
            <w:tcW w:w="0" w:type="dxa"/>
            <w:vAlign w:val="bottom"/>
          </w:tcPr>
          <w:p>
            <w:pPr>
              <w:spacing w:after="0"/>
              <w:rPr>
                <w:sz w:val="1"/>
                <w:szCs w:val="1"/>
                <w:color w:val="auto"/>
              </w:rPr>
            </w:pPr>
          </w:p>
        </w:tc>
      </w:tr>
      <w:tr>
        <w:trPr>
          <w:trHeight w:val="240"/>
        </w:trPr>
        <w:tc>
          <w:tcPr>
            <w:tcW w:w="11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120" w:type="dxa"/>
            <w:vAlign w:val="bottom"/>
          </w:tcPr>
          <w:p>
            <w:pPr>
              <w:spacing w:after="0" w:line="240" w:lineRule="exact"/>
              <w:rPr>
                <w:sz w:val="20"/>
                <w:szCs w:val="20"/>
                <w:color w:val="auto"/>
              </w:rPr>
            </w:pPr>
            <w:r>
              <w:rPr>
                <w:rFonts w:ascii="Times New Roman" w:cs="Times New Roman" w:eastAsia="Times New Roman" w:hAnsi="Times New Roman"/>
                <w:sz w:val="22"/>
                <w:szCs w:val="22"/>
                <w:color w:val="auto"/>
              </w:rPr>
              <w:t>Stock outstanding as of October 27, 2026, as reported in the Issuer's Quarterly Report on Form 10-Q filed with the</w:t>
            </w:r>
          </w:p>
        </w:tc>
        <w:tc>
          <w:tcPr>
            <w:tcW w:w="0" w:type="dxa"/>
            <w:vAlign w:val="bottom"/>
          </w:tcPr>
          <w:p>
            <w:pPr>
              <w:spacing w:after="0"/>
              <w:rPr>
                <w:sz w:val="1"/>
                <w:szCs w:val="1"/>
                <w:color w:val="auto"/>
              </w:rPr>
            </w:pPr>
          </w:p>
        </w:tc>
      </w:tr>
      <w:tr>
        <w:trPr>
          <w:trHeight w:val="309"/>
        </w:trPr>
        <w:tc>
          <w:tcPr>
            <w:tcW w:w="11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120" w:type="dxa"/>
            <w:vAlign w:val="bottom"/>
          </w:tcPr>
          <w:p>
            <w:pPr>
              <w:spacing w:after="0"/>
              <w:rPr>
                <w:sz w:val="20"/>
                <w:szCs w:val="20"/>
                <w:color w:val="auto"/>
              </w:rPr>
            </w:pPr>
            <w:r>
              <w:rPr>
                <w:rFonts w:ascii="Times New Roman" w:cs="Times New Roman" w:eastAsia="Times New Roman" w:hAnsi="Times New Roman"/>
                <w:sz w:val="22"/>
                <w:szCs w:val="22"/>
                <w:color w:val="auto"/>
              </w:rPr>
              <w:t>SEC on October 29, 2026.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-5433695</wp:posOffset>
            </wp:positionV>
            <wp:extent cx="128905" cy="1289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-1927225</wp:posOffset>
            </wp:positionV>
            <wp:extent cx="128905" cy="1289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ectPr>
          <w:pgSz w:w="11900" w:h="16838" w:orient="portrait"/>
          <w:cols w:equalWidth="0" w:num="1">
            <w:col w:w="11240"/>
          </w:cols>
          <w:pgMar w:left="320" w:top="810" w:right="339" w:bottom="0" w:gutter="0" w:footer="0" w:header="0"/>
        </w:sectPr>
      </w:pPr>
    </w:p>
    <w:p>
      <w:pPr>
        <w:spacing w:after="0" w:line="200" w:lineRule="exact"/>
        <w:rPr>
          <w:sz w:val="20"/>
          <w:szCs w:val="20"/>
          <w:color w:val="auto"/>
        </w:rPr>
      </w:pPr>
    </w:p>
    <w:p>
      <w:pPr>
        <w:spacing w:after="0" w:line="361" w:lineRule="exact"/>
        <w:rPr>
          <w:sz w:val="20"/>
          <w:szCs w:val="20"/>
          <w:color w:val="auto"/>
        </w:rPr>
      </w:pPr>
    </w:p>
    <w:p>
      <w:pPr>
        <w:ind w:left="1160" w:hanging="1112"/>
        <w:spacing w:after="0"/>
        <w:tabs>
          <w:tab w:leader="none" w:pos="1160"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Name of reporting person</w:t>
      </w:r>
    </w:p>
    <w:p>
      <w:pPr>
        <w:sectPr>
          <w:pgSz w:w="11900" w:h="16838" w:orient="portrait"/>
          <w:cols w:equalWidth="0" w:num="1">
            <w:col w:w="11240"/>
          </w:cols>
          <w:pgMar w:left="320" w:top="810" w:right="339" w:bottom="0" w:gutter="0" w:footer="0" w:header="0"/>
          <w:type w:val="continuous"/>
        </w:sectPr>
      </w:pPr>
    </w:p>
    <w:bookmarkStart w:id="12" w:name="page13"/>
    <w:bookmarkEnd w:id="12"/>
    <w:p>
      <w:pPr>
        <w:ind w:left="1160"/>
        <w:spacing w:after="0"/>
        <w:rPr>
          <w:sz w:val="20"/>
          <w:szCs w:val="20"/>
          <w:color w:val="auto"/>
        </w:rPr>
      </w:pPr>
      <w:r>
        <w:rPr>
          <w:rFonts w:ascii="Times New Roman" w:cs="Times New Roman" w:eastAsia="Times New Roman" w:hAnsi="Times New Roman"/>
          <w:sz w:val="22"/>
          <w:szCs w:val="22"/>
          <w:color w:val="auto"/>
        </w:rPr>
        <w:t>FHMLS XII, L.P.</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2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0" w:type="dxa"/>
        <w:tblCellMar>
          <w:top w:w="0" w:type="dxa"/>
          <w:left w:w="0" w:type="dxa"/>
          <w:bottom w:w="0" w:type="dxa"/>
          <w:right w:w="0" w:type="dxa"/>
        </w:tblCellMar>
      </w:tblPr>
      <w:tr>
        <w:trPr>
          <w:trHeight w:val="282"/>
        </w:trPr>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5</w:t>
            </w:r>
          </w:p>
        </w:tc>
        <w:tc>
          <w:tcPr>
            <w:tcW w:w="10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6</w:t>
            </w:r>
          </w:p>
        </w:tc>
        <w:tc>
          <w:tcPr>
            <w:tcW w:w="10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20" w:type="dxa"/>
            <w:vAlign w:val="bottom"/>
            <w:vMerge w:val="continue"/>
          </w:tcPr>
          <w:p>
            <w:pPr>
              <w:spacing w:after="0"/>
              <w:rPr>
                <w:sz w:val="21"/>
                <w:szCs w:val="21"/>
                <w:color w:val="auto"/>
              </w:rPr>
            </w:pPr>
          </w:p>
        </w:tc>
        <w:tc>
          <w:tcPr>
            <w:tcW w:w="10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10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20" w:type="dxa"/>
            <w:vAlign w:val="bottom"/>
          </w:tcPr>
          <w:p>
            <w:pPr>
              <w:spacing w:after="0"/>
              <w:rPr>
                <w:sz w:val="24"/>
                <w:szCs w:val="24"/>
                <w:color w:val="auto"/>
              </w:rPr>
            </w:pPr>
          </w:p>
        </w:tc>
        <w:tc>
          <w:tcPr>
            <w:tcW w:w="1012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101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Number of</w:t>
            </w:r>
          </w:p>
        </w:tc>
        <w:tc>
          <w:tcPr>
            <w:tcW w:w="1012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20" w:type="dxa"/>
            <w:vAlign w:val="bottom"/>
            <w:vMerge w:val="continue"/>
          </w:tcPr>
          <w:p>
            <w:pPr>
              <w:spacing w:after="0"/>
              <w:rPr>
                <w:sz w:val="3"/>
                <w:szCs w:val="3"/>
                <w:color w:val="auto"/>
              </w:rPr>
            </w:pPr>
          </w:p>
        </w:tc>
        <w:tc>
          <w:tcPr>
            <w:tcW w:w="1012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2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10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w w:val="98"/>
              </w:rPr>
              <w:t>Beneficially</w:t>
            </w:r>
          </w:p>
        </w:tc>
        <w:tc>
          <w:tcPr>
            <w:tcW w:w="101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Owned by</w:t>
            </w:r>
          </w:p>
        </w:tc>
        <w:tc>
          <w:tcPr>
            <w:tcW w:w="1012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276,029.00</w:t>
            </w:r>
          </w:p>
        </w:tc>
        <w:tc>
          <w:tcPr>
            <w:tcW w:w="0" w:type="dxa"/>
            <w:vAlign w:val="bottom"/>
          </w:tcPr>
          <w:p>
            <w:pPr>
              <w:spacing w:after="0"/>
              <w:rPr>
                <w:sz w:val="1"/>
                <w:szCs w:val="1"/>
                <w:color w:val="auto"/>
              </w:rPr>
            </w:pPr>
          </w:p>
        </w:tc>
      </w:tr>
      <w:tr>
        <w:trPr>
          <w:trHeight w:val="243"/>
        </w:trPr>
        <w:tc>
          <w:tcPr>
            <w:tcW w:w="11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1012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101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1012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With:</w:t>
            </w:r>
          </w:p>
        </w:tc>
        <w:tc>
          <w:tcPr>
            <w:tcW w:w="1012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20" w:type="dxa"/>
            <w:vAlign w:val="bottom"/>
          </w:tcPr>
          <w:p>
            <w:pPr>
              <w:spacing w:after="0"/>
              <w:rPr>
                <w:sz w:val="3"/>
                <w:szCs w:val="3"/>
                <w:color w:val="auto"/>
              </w:rPr>
            </w:pPr>
          </w:p>
        </w:tc>
        <w:tc>
          <w:tcPr>
            <w:tcW w:w="101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101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1012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276,029.00</w:t>
            </w:r>
          </w:p>
        </w:tc>
        <w:tc>
          <w:tcPr>
            <w:tcW w:w="0" w:type="dxa"/>
            <w:vAlign w:val="bottom"/>
          </w:tcPr>
          <w:p>
            <w:pPr>
              <w:spacing w:after="0"/>
              <w:rPr>
                <w:sz w:val="1"/>
                <w:szCs w:val="1"/>
                <w:color w:val="auto"/>
              </w:rPr>
            </w:pPr>
          </w:p>
        </w:tc>
      </w:tr>
      <w:tr>
        <w:trPr>
          <w:trHeight w:val="338"/>
        </w:trPr>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w:t>
            </w:r>
          </w:p>
        </w:tc>
        <w:tc>
          <w:tcPr>
            <w:tcW w:w="10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20" w:type="dxa"/>
            <w:vAlign w:val="bottom"/>
            <w:vMerge w:val="continue"/>
          </w:tcPr>
          <w:p>
            <w:pPr>
              <w:spacing w:after="0"/>
              <w:rPr>
                <w:sz w:val="21"/>
                <w:szCs w:val="21"/>
                <w:color w:val="auto"/>
              </w:rPr>
            </w:pPr>
          </w:p>
        </w:tc>
        <w:tc>
          <w:tcPr>
            <w:tcW w:w="10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276,029.00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10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12</w:t>
            </w:r>
          </w:p>
        </w:tc>
        <w:tc>
          <w:tcPr>
            <w:tcW w:w="10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20" w:type="dxa"/>
            <w:vAlign w:val="bottom"/>
            <w:vMerge w:val="continue"/>
          </w:tcPr>
          <w:p>
            <w:pPr>
              <w:spacing w:after="0"/>
              <w:rPr>
                <w:sz w:val="18"/>
                <w:szCs w:val="18"/>
                <w:color w:val="auto"/>
              </w:rPr>
            </w:pPr>
          </w:p>
        </w:tc>
        <w:tc>
          <w:tcPr>
            <w:tcW w:w="10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w:t>
            </w:r>
          </w:p>
        </w:tc>
        <w:tc>
          <w:tcPr>
            <w:tcW w:w="10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20" w:type="dxa"/>
            <w:vAlign w:val="bottom"/>
            <w:vMerge w:val="continue"/>
          </w:tcPr>
          <w:p>
            <w:pPr>
              <w:spacing w:after="0"/>
              <w:rPr>
                <w:sz w:val="21"/>
                <w:szCs w:val="21"/>
                <w:color w:val="auto"/>
              </w:rPr>
            </w:pPr>
          </w:p>
        </w:tc>
        <w:tc>
          <w:tcPr>
            <w:tcW w:w="10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0.3 %</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10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10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20" w:type="dxa"/>
            <w:vAlign w:val="bottom"/>
            <w:vMerge w:val="continue"/>
          </w:tcPr>
          <w:p>
            <w:pPr>
              <w:spacing w:after="0"/>
              <w:rPr>
                <w:sz w:val="21"/>
                <w:szCs w:val="21"/>
                <w:color w:val="auto"/>
              </w:rPr>
            </w:pPr>
          </w:p>
        </w:tc>
        <w:tc>
          <w:tcPr>
            <w:tcW w:w="10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PN</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10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11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w:t>
            </w:r>
          </w:p>
        </w:tc>
        <w:tc>
          <w:tcPr>
            <w:tcW w:w="10120" w:type="dxa"/>
            <w:vAlign w:val="bottom"/>
          </w:tcPr>
          <w:p>
            <w:pPr>
              <w:spacing w:after="0"/>
              <w:rPr>
                <w:sz w:val="20"/>
                <w:szCs w:val="20"/>
                <w:color w:val="auto"/>
              </w:rPr>
            </w:pPr>
            <w:r>
              <w:rPr>
                <w:rFonts w:ascii="Times New Roman" w:cs="Times New Roman" w:eastAsia="Times New Roman" w:hAnsi="Times New Roman"/>
                <w:sz w:val="22"/>
                <w:szCs w:val="22"/>
                <w:color w:val="auto"/>
              </w:rPr>
              <w:t>The shares listed in rows 8, 10 and 11 do not include any warrants held by the Reporting Person. See Item 5(a) to</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 of</w:t>
            </w:r>
          </w:p>
        </w:tc>
        <w:tc>
          <w:tcPr>
            <w:tcW w:w="10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w w:val="98"/>
              </w:rPr>
              <w:t>this Schedule 13D. The percentage listed in row 13 is calculated based on 81,291,520 shares of the Issuer's Common</w:t>
            </w:r>
          </w:p>
        </w:tc>
        <w:tc>
          <w:tcPr>
            <w:tcW w:w="0" w:type="dxa"/>
            <w:vAlign w:val="bottom"/>
          </w:tcPr>
          <w:p>
            <w:pPr>
              <w:spacing w:after="0"/>
              <w:rPr>
                <w:sz w:val="1"/>
                <w:szCs w:val="1"/>
                <w:color w:val="auto"/>
              </w:rPr>
            </w:pPr>
          </w:p>
        </w:tc>
      </w:tr>
      <w:tr>
        <w:trPr>
          <w:trHeight w:val="240"/>
        </w:trPr>
        <w:tc>
          <w:tcPr>
            <w:tcW w:w="11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120" w:type="dxa"/>
            <w:vAlign w:val="bottom"/>
          </w:tcPr>
          <w:p>
            <w:pPr>
              <w:spacing w:after="0" w:line="240" w:lineRule="exact"/>
              <w:rPr>
                <w:sz w:val="20"/>
                <w:szCs w:val="20"/>
                <w:color w:val="auto"/>
              </w:rPr>
            </w:pPr>
            <w:r>
              <w:rPr>
                <w:rFonts w:ascii="Times New Roman" w:cs="Times New Roman" w:eastAsia="Times New Roman" w:hAnsi="Times New Roman"/>
                <w:sz w:val="22"/>
                <w:szCs w:val="22"/>
                <w:color w:val="auto"/>
              </w:rPr>
              <w:t>Stock outstanding as of October 27, 2026, as reported in the Issuer's Quarterly Report on Form 10-Q filed with the</w:t>
            </w:r>
          </w:p>
        </w:tc>
        <w:tc>
          <w:tcPr>
            <w:tcW w:w="0" w:type="dxa"/>
            <w:vAlign w:val="bottom"/>
          </w:tcPr>
          <w:p>
            <w:pPr>
              <w:spacing w:after="0"/>
              <w:rPr>
                <w:sz w:val="1"/>
                <w:szCs w:val="1"/>
                <w:color w:val="auto"/>
              </w:rPr>
            </w:pPr>
          </w:p>
        </w:tc>
      </w:tr>
      <w:tr>
        <w:trPr>
          <w:trHeight w:val="309"/>
        </w:trPr>
        <w:tc>
          <w:tcPr>
            <w:tcW w:w="11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120" w:type="dxa"/>
            <w:vAlign w:val="bottom"/>
          </w:tcPr>
          <w:p>
            <w:pPr>
              <w:spacing w:after="0"/>
              <w:rPr>
                <w:sz w:val="20"/>
                <w:szCs w:val="20"/>
                <w:color w:val="auto"/>
              </w:rPr>
            </w:pPr>
            <w:r>
              <w:rPr>
                <w:rFonts w:ascii="Times New Roman" w:cs="Times New Roman" w:eastAsia="Times New Roman" w:hAnsi="Times New Roman"/>
                <w:sz w:val="22"/>
                <w:szCs w:val="22"/>
                <w:color w:val="auto"/>
              </w:rPr>
              <w:t>SEC on October 29, 2026.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-5433695</wp:posOffset>
            </wp:positionV>
            <wp:extent cx="128905" cy="1289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-1927225</wp:posOffset>
            </wp:positionV>
            <wp:extent cx="128905" cy="1289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FHMLS XII,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2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hanging="1112"/>
        <w:spacing w:after="0"/>
        <w:tabs>
          <w:tab w:leader="none" w:pos="116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of funds (See Instructions)</w:t>
      </w:r>
    </w:p>
    <w:p>
      <w:pPr>
        <w:sectPr>
          <w:pgSz w:w="11900" w:h="16838" w:orient="portrait"/>
          <w:cols w:equalWidth="0" w:num="1">
            <w:col w:w="11240"/>
          </w:cols>
          <w:pgMar w:left="320" w:top="355" w:right="339" w:bottom="0" w:gutter="0" w:footer="0" w:header="0"/>
        </w:sectPr>
      </w:pPr>
    </w:p>
    <w:bookmarkStart w:id="13" w:name="page14"/>
    <w:bookmarkEnd w:id="13"/>
    <w:p>
      <w:pPr>
        <w:spacing w:after="0" w:line="200" w:lineRule="exact"/>
        <w:rPr>
          <w:sz w:val="20"/>
          <w:szCs w:val="20"/>
          <w:color w:val="auto"/>
        </w:rPr>
      </w:pPr>
    </w:p>
    <w:p>
      <w:pPr>
        <w:spacing w:after="0" w:line="3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0" w:lineRule="exact"/>
        <w:rPr>
          <w:sz w:val="20"/>
          <w:szCs w:val="20"/>
          <w:color w:val="auto"/>
        </w:rPr>
      </w:pPr>
    </w:p>
    <w:p>
      <w:pPr>
        <w:spacing w:after="0" w:line="320"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ind w:left="40"/>
        <w:spacing w:after="0"/>
        <w:rPr>
          <w:sz w:val="20"/>
          <w:szCs w:val="20"/>
          <w:color w:val="auto"/>
        </w:rPr>
      </w:pPr>
      <w:r>
        <w:rPr>
          <w:rFonts w:ascii="Times New Roman" w:cs="Times New Roman" w:eastAsia="Times New Roman" w:hAnsi="Times New Roman"/>
          <w:sz w:val="22"/>
          <w:szCs w:val="22"/>
          <w:color w:val="auto"/>
        </w:rPr>
        <w:t>AF</w:t>
      </w:r>
    </w:p>
    <w:p>
      <w:pPr>
        <w:spacing w:after="0" w:line="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165100</wp:posOffset>
            </wp:positionV>
            <wp:extent cx="128905" cy="1289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7</w:t>
      </w:r>
    </w:p>
    <w:p>
      <w:pPr>
        <w:ind w:left="36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8</w:t>
      </w:r>
    </w:p>
    <w:p>
      <w:pPr>
        <w:ind w:left="360"/>
        <w:spacing w:after="0"/>
        <w:rPr>
          <w:sz w:val="20"/>
          <w:szCs w:val="20"/>
          <w:color w:val="auto"/>
        </w:rPr>
      </w:pPr>
      <w:r>
        <w:rPr>
          <w:rFonts w:ascii="Times New Roman" w:cs="Times New Roman" w:eastAsia="Times New Roman" w:hAnsi="Times New Roman"/>
          <w:sz w:val="22"/>
          <w:szCs w:val="22"/>
          <w:color w:val="auto"/>
        </w:rPr>
        <w:t>276,029.00</w:t>
      </w:r>
    </w:p>
    <w:p>
      <w:pPr>
        <w:spacing w:after="0" w:line="2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9</w:t>
      </w:r>
    </w:p>
    <w:p>
      <w:pPr>
        <w:ind w:left="36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10</w:t>
      </w:r>
    </w:p>
    <w:p>
      <w:pPr>
        <w:ind w:left="360"/>
        <w:spacing w:after="0"/>
        <w:rPr>
          <w:sz w:val="20"/>
          <w:szCs w:val="20"/>
          <w:color w:val="auto"/>
        </w:rPr>
      </w:pPr>
      <w:r>
        <w:rPr>
          <w:rFonts w:ascii="Times New Roman" w:cs="Times New Roman" w:eastAsia="Times New Roman" w:hAnsi="Times New Roman"/>
          <w:sz w:val="22"/>
          <w:szCs w:val="22"/>
          <w:color w:val="auto"/>
        </w:rPr>
        <w:t>276,029.00</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276,029.00</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165100</wp:posOffset>
            </wp:positionV>
            <wp:extent cx="128905" cy="1289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0.3 %</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OO</w:t>
      </w:r>
    </w:p>
    <w:p>
      <w:pPr>
        <w:spacing w:after="0" w:line="27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shares listed in rows 8, 10 and 11 do not include any warrants held by the Reporting Person. See Item 5(a) to this Schedule 13D. The percentage listed in row 13 is calculated based on 81,291,520 shares of the Issuer's Common Stock outstanding as of October 27, 2026, as reported in the Issuer's Quarterly Report on Form 10-Q filed with the SEC on October 29, 2026.</w:t>
      </w:r>
    </w:p>
    <w:p>
      <w:pPr>
        <w:spacing w:after="0" w:line="200" w:lineRule="exact"/>
        <w:rPr>
          <w:sz w:val="20"/>
          <w:szCs w:val="20"/>
          <w:color w:val="auto"/>
        </w:rPr>
      </w:pPr>
    </w:p>
    <w:p>
      <w:pPr>
        <w:sectPr>
          <w:pgSz w:w="11900" w:h="16838" w:orient="portrait"/>
          <w:cols w:equalWidth="0" w:num="2">
            <w:col w:w="1100" w:space="20"/>
            <w:col w:w="10120"/>
          </w:cols>
          <w:pgMar w:left="320" w:top="112" w:right="339" w:bottom="0" w:gutter="0" w:footer="0" w:header="0"/>
        </w:sectPr>
      </w:pPr>
    </w:p>
    <w:p>
      <w:pPr>
        <w:spacing w:after="0" w:line="200" w:lineRule="exact"/>
        <w:rPr>
          <w:sz w:val="20"/>
          <w:szCs w:val="20"/>
          <w:color w:val="auto"/>
        </w:rPr>
      </w:pPr>
    </w:p>
    <w:p>
      <w:pPr>
        <w:spacing w:after="0" w:line="3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James N. Topper</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1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2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233" w:lineRule="auto"/>
        <w:tabs>
          <w:tab w:leader="none" w:pos="11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7  Sole Voting Power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1240"/>
          </w:cols>
          <w:pgMar w:left="320" w:top="112" w:right="339" w:bottom="0" w:gutter="0" w:footer="0" w:header="0"/>
          <w:type w:val="continuous"/>
        </w:sectPr>
      </w:pPr>
    </w:p>
    <w:bookmarkStart w:id="14" w:name="page15"/>
    <w:bookmarkEnd w:id="14"/>
    <w:tbl>
      <w:tblPr>
        <w:tblLayout w:type="fixed"/>
        <w:tblInd w:w="40" w:type="dxa"/>
        <w:tblCellMar>
          <w:top w:w="0" w:type="dxa"/>
          <w:left w:w="0" w:type="dxa"/>
          <w:bottom w:w="0" w:type="dxa"/>
          <w:right w:w="0" w:type="dxa"/>
        </w:tblCellMar>
      </w:tblPr>
      <w:tr>
        <w:trPr>
          <w:trHeight w:val="253"/>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126,508.00</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0"/>
        </w:trPr>
        <w:tc>
          <w:tcPr>
            <w:tcW w:w="1100" w:type="dxa"/>
            <w:vAlign w:val="bottom"/>
          </w:tcPr>
          <w:p>
            <w:pPr>
              <w:spacing w:after="0" w:line="240"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60"/>
              <w:spacing w:after="0" w:line="240"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46"/>
        </w:trPr>
        <w:tc>
          <w:tcPr>
            <w:tcW w:w="1100" w:type="dxa"/>
            <w:vAlign w:val="bottom"/>
          </w:tcPr>
          <w:p>
            <w:pPr>
              <w:spacing w:after="0" w:line="246"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340"/>
              <w:spacing w:after="0" w:line="246" w:lineRule="exact"/>
              <w:rPr>
                <w:sz w:val="20"/>
                <w:szCs w:val="20"/>
                <w:color w:val="auto"/>
              </w:rPr>
            </w:pPr>
            <w:r>
              <w:rPr>
                <w:rFonts w:ascii="Times New Roman" w:cs="Times New Roman" w:eastAsia="Times New Roman" w:hAnsi="Times New Roman"/>
                <w:sz w:val="22"/>
                <w:szCs w:val="22"/>
                <w:color w:val="auto"/>
              </w:rPr>
              <w:t>5,886,819.00</w:t>
            </w:r>
          </w:p>
        </w:tc>
        <w:tc>
          <w:tcPr>
            <w:tcW w:w="0" w:type="dxa"/>
            <w:vAlign w:val="bottom"/>
          </w:tcPr>
          <w:p>
            <w:pPr>
              <w:spacing w:after="0"/>
              <w:rPr>
                <w:sz w:val="1"/>
                <w:szCs w:val="1"/>
                <w:color w:val="auto"/>
              </w:rPr>
            </w:pPr>
          </w:p>
        </w:tc>
      </w:tr>
      <w:tr>
        <w:trPr>
          <w:trHeight w:val="216"/>
        </w:trPr>
        <w:tc>
          <w:tcPr>
            <w:tcW w:w="1100" w:type="dxa"/>
            <w:vAlign w:val="bottom"/>
          </w:tcPr>
          <w:p>
            <w:pPr>
              <w:spacing w:after="0" w:line="216"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10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1100" w:type="dxa"/>
            <w:vAlign w:val="bottom"/>
            <w:vMerge w:val="continue"/>
          </w:tcPr>
          <w:p>
            <w:pPr>
              <w:spacing w:after="0"/>
              <w:rPr>
                <w:sz w:val="15"/>
                <w:szCs w:val="15"/>
                <w:color w:val="auto"/>
              </w:rPr>
            </w:pPr>
          </w:p>
        </w:tc>
        <w:tc>
          <w:tcPr>
            <w:tcW w:w="7400" w:type="dxa"/>
            <w:vAlign w:val="bottom"/>
            <w:vMerge w:val="restart"/>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69"/>
        </w:trPr>
        <w:tc>
          <w:tcPr>
            <w:tcW w:w="1100" w:type="dxa"/>
            <w:vAlign w:val="bottom"/>
          </w:tcPr>
          <w:p>
            <w:pPr>
              <w:spacing w:after="0"/>
              <w:rPr>
                <w:sz w:val="5"/>
                <w:szCs w:val="5"/>
                <w:color w:val="auto"/>
              </w:rPr>
            </w:pPr>
          </w:p>
        </w:tc>
        <w:tc>
          <w:tcPr>
            <w:tcW w:w="7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126,508.00</w:t>
            </w:r>
          </w:p>
        </w:tc>
        <w:tc>
          <w:tcPr>
            <w:tcW w:w="0" w:type="dxa"/>
            <w:vAlign w:val="bottom"/>
          </w:tcPr>
          <w:p>
            <w:pPr>
              <w:spacing w:after="0"/>
              <w:rPr>
                <w:sz w:val="1"/>
                <w:szCs w:val="1"/>
                <w:color w:val="auto"/>
              </w:rPr>
            </w:pPr>
          </w:p>
        </w:tc>
      </w:tr>
      <w:tr>
        <w:trPr>
          <w:trHeight w:val="258"/>
        </w:trPr>
        <w:tc>
          <w:tcPr>
            <w:tcW w:w="1100" w:type="dxa"/>
            <w:vAlign w:val="bottom"/>
          </w:tcPr>
          <w:p>
            <w:pPr>
              <w:spacing w:after="0"/>
              <w:rPr>
                <w:sz w:val="22"/>
                <w:szCs w:val="22"/>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5,886,819.00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6,013,327.00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7.4 %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IN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The shares listed in row 11 represents (i) 42,596 shares of Common Stock held directly by the Reporting Person, (ii)</w:t>
            </w:r>
          </w:p>
        </w:tc>
      </w:tr>
      <w:tr>
        <w:trPr>
          <w:trHeight w:val="229"/>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w w:val="99"/>
              </w:rPr>
              <w:t>3,912 shares of Common Stock held by Topper Group III LLC, (iii) 80,000 shares of Common Stock that are issuable</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upon the exercise of options held directly by the Reporting Person, (iv) 5,827,415 shares of Common Stock held</w:t>
            </w:r>
          </w:p>
        </w:tc>
      </w:tr>
    </w:tbl>
    <w:p>
      <w:pPr>
        <w:jc w:val="both"/>
        <w:spacing w:after="0" w:line="209" w:lineRule="auto"/>
        <w:rPr>
          <w:sz w:val="20"/>
          <w:szCs w:val="20"/>
          <w:color w:val="auto"/>
        </w:rPr>
      </w:pPr>
      <w:r>
        <w:rPr>
          <w:rFonts w:ascii="Times New Roman" w:cs="Times New Roman" w:eastAsia="Times New Roman" w:hAnsi="Times New Roman"/>
          <w:sz w:val="33"/>
          <w:szCs w:val="33"/>
          <w:b w:val="1"/>
          <w:bCs w:val="1"/>
          <w:color w:val="auto"/>
          <w:vertAlign w:val="superscript"/>
        </w:rPr>
        <w:t>Reporting</w:t>
      </w:r>
      <w:r>
        <w:rPr>
          <w:rFonts w:ascii="Times New Roman" w:cs="Times New Roman" w:eastAsia="Times New Roman" w:hAnsi="Times New Roman"/>
          <w:sz w:val="19"/>
          <w:szCs w:val="19"/>
          <w:color w:val="auto"/>
        </w:rPr>
        <w:t xml:space="preserve"> directly by Frazier Life Sciences IX, L.P., (v) 1 share of Common Stock held directly by FHMLS IX, L.L.C., and (vi) </w:t>
      </w:r>
      <w:r>
        <w:rPr>
          <w:rFonts w:ascii="Times New Roman" w:cs="Times New Roman" w:eastAsia="Times New Roman" w:hAnsi="Times New Roman"/>
          <w:sz w:val="33"/>
          <w:szCs w:val="33"/>
          <w:b w:val="1"/>
          <w:bCs w:val="1"/>
          <w:color w:val="auto"/>
          <w:vertAlign w:val="superscript"/>
        </w:rPr>
        <w:t>Person:</w:t>
      </w:r>
      <w:r>
        <w:rPr>
          <w:rFonts w:ascii="Times New Roman" w:cs="Times New Roman" w:eastAsia="Times New Roman" w:hAnsi="Times New Roman"/>
          <w:sz w:val="19"/>
          <w:szCs w:val="19"/>
          <w:color w:val="auto"/>
        </w:rPr>
        <w:t xml:space="preserve"> 59,403 shares of Common Stock held directly by Frazier Life Sciences X, L.P. The percentage listed in row 13 is</w:t>
      </w:r>
    </w:p>
    <w:p>
      <w:pPr>
        <w:jc w:val="both"/>
        <w:ind w:left="920" w:right="20"/>
        <w:spacing w:after="0" w:line="235" w:lineRule="auto"/>
        <w:rPr>
          <w:sz w:val="20"/>
          <w:szCs w:val="20"/>
          <w:color w:val="auto"/>
        </w:rPr>
      </w:pPr>
      <w:r>
        <w:rPr>
          <w:rFonts w:ascii="Times New Roman" w:cs="Times New Roman" w:eastAsia="Times New Roman" w:hAnsi="Times New Roman"/>
          <w:sz w:val="22"/>
          <w:szCs w:val="22"/>
          <w:color w:val="auto"/>
        </w:rPr>
        <w:t>calculated based on (i) 81,291,520 shares of the Issuer's Common Stock outstanding as of October 27, 2026, as reported in the Issuer's Quarterly Report on Form 10-Q filed with the SEC on October 29, 2026 and (ii) 80,000 shares of Common Stock that are issuable upon the exercise of options held directly by the Reporting Person.</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Patrick J. Heron</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2"/>
                <w:szCs w:val="22"/>
                <w:color w:val="auto"/>
              </w:rPr>
            </w:pPr>
          </w:p>
        </w:tc>
        <w:tc>
          <w:tcPr>
            <w:tcW w:w="21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tcPr>
          <w:p>
            <w:pPr>
              <w:spacing w:after="0"/>
              <w:rPr>
                <w:sz w:val="21"/>
                <w:szCs w:val="21"/>
                <w:color w:val="auto"/>
              </w:rPr>
            </w:pPr>
          </w:p>
        </w:tc>
        <w:tc>
          <w:tcPr>
            <w:tcW w:w="210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14,937.00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40" w:type="dxa"/>
            <w:vAlign w:val="bottom"/>
          </w:tcPr>
          <w:p>
            <w:pPr>
              <w:spacing w:after="0"/>
              <w:rPr>
                <w:sz w:val="19"/>
                <w:szCs w:val="19"/>
                <w:color w:val="auto"/>
              </w:rPr>
            </w:pP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2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40" w:type="dxa"/>
            <w:vAlign w:val="bottom"/>
            <w:vMerge w:val="continue"/>
          </w:tcPr>
          <w:p>
            <w:pPr>
              <w:spacing w:after="0"/>
              <w:rPr>
                <w:sz w:val="11"/>
                <w:szCs w:val="11"/>
                <w:color w:val="auto"/>
              </w:rPr>
            </w:pP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5,886,819.00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2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40" w:type="dxa"/>
            <w:vAlign w:val="bottom"/>
          </w:tcPr>
          <w:p>
            <w:pPr>
              <w:spacing w:after="0"/>
              <w:rPr>
                <w:sz w:val="11"/>
                <w:szCs w:val="11"/>
                <w:color w:val="auto"/>
              </w:rPr>
            </w:pPr>
          </w:p>
        </w:tc>
        <w:tc>
          <w:tcPr>
            <w:tcW w:w="2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9</w:t>
            </w: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40" w:type="dxa"/>
            <w:vAlign w:val="bottom"/>
            <w:vMerge w:val="continue"/>
          </w:tcPr>
          <w:p>
            <w:pPr>
              <w:spacing w:after="0"/>
              <w:rPr>
                <w:sz w:val="16"/>
                <w:szCs w:val="16"/>
                <w:color w:val="auto"/>
              </w:rPr>
            </w:pPr>
          </w:p>
        </w:tc>
        <w:tc>
          <w:tcPr>
            <w:tcW w:w="2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112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2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2" w:right="339" w:bottom="0" w:gutter="0" w:footer="0" w:header="0"/>
        </w:sectPr>
      </w:pPr>
    </w:p>
    <w:bookmarkStart w:id="15" w:name="page16"/>
    <w:bookmarkEnd w:id="15"/>
    <w:p>
      <w:pPr>
        <w:spacing w:after="0" w:line="1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14,937.00</w:t>
      </w:r>
    </w:p>
    <w:p>
      <w:pPr>
        <w:spacing w:after="0" w:line="4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2"/>
          <w:szCs w:val="22"/>
          <w:color w:val="auto"/>
        </w:rPr>
        <w:t>10</w:t>
      </w:r>
    </w:p>
    <w:p>
      <w:pPr>
        <w:ind w:left="1480"/>
        <w:spacing w:after="0"/>
        <w:rPr>
          <w:sz w:val="20"/>
          <w:szCs w:val="20"/>
          <w:color w:val="auto"/>
        </w:rPr>
      </w:pPr>
      <w:r>
        <w:rPr>
          <w:rFonts w:ascii="Times New Roman" w:cs="Times New Roman" w:eastAsia="Times New Roman" w:hAnsi="Times New Roman"/>
          <w:sz w:val="22"/>
          <w:szCs w:val="22"/>
          <w:color w:val="auto"/>
        </w:rPr>
        <w:t>5,886,819.00</w:t>
      </w:r>
    </w:p>
    <w:p>
      <w:pPr>
        <w:spacing w:after="0" w:line="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5,901,756.00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7.3 %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IN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The shares listed in row 11 represents (i) 14,937 shares of Common Stock held by The Heron Living Trust 11/30/2004,</w:t>
      </w:r>
    </w:p>
    <w:tbl>
      <w:tblPr>
        <w:tblLayout w:type="fixed"/>
        <w:tblInd w:w="0" w:type="dxa"/>
        <w:tblCellMar>
          <w:top w:w="0" w:type="dxa"/>
          <w:left w:w="0" w:type="dxa"/>
          <w:bottom w:w="0" w:type="dxa"/>
          <w:right w:w="0" w:type="dxa"/>
        </w:tblCellMar>
      </w:tblPr>
      <w:tr>
        <w:trPr>
          <w:trHeight w:val="221"/>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w w:val="99"/>
              </w:rPr>
              <w:t>(ii) 5,827,415 shares of Common Stock held directly by Frazier Life Sciences IX, L.P., (iii) 1 share of Common Stock</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held directly by FHMLS IX, L.L.C., and (iv) 59,403 shares of Common Stock held directly by Frazier Life Sciences X,</w:t>
            </w:r>
          </w:p>
        </w:tc>
      </w:tr>
    </w:tbl>
    <w:p>
      <w:pPr>
        <w:jc w:val="both"/>
        <w:spacing w:after="0" w:line="187" w:lineRule="auto"/>
        <w:rPr>
          <w:sz w:val="20"/>
          <w:szCs w:val="20"/>
          <w:color w:val="auto"/>
        </w:rPr>
      </w:pPr>
      <w:r>
        <w:rPr>
          <w:rFonts w:ascii="Times New Roman" w:cs="Times New Roman" w:eastAsia="Times New Roman" w:hAnsi="Times New Roman"/>
          <w:sz w:val="37"/>
          <w:szCs w:val="37"/>
          <w:b w:val="1"/>
          <w:bCs w:val="1"/>
          <w:color w:val="auto"/>
          <w:vertAlign w:val="superscript"/>
        </w:rPr>
        <w:t>Reporting</w:t>
      </w:r>
      <w:r>
        <w:rPr>
          <w:rFonts w:ascii="Times New Roman" w:cs="Times New Roman" w:eastAsia="Times New Roman" w:hAnsi="Times New Roman"/>
          <w:sz w:val="21"/>
          <w:szCs w:val="21"/>
          <w:color w:val="auto"/>
        </w:rPr>
        <w:t xml:space="preserve"> L.P. The percentage listed in row 13 is calculated based on 81,291,520 shares of the Issuer's Common Stock </w:t>
      </w:r>
      <w:r>
        <w:rPr>
          <w:rFonts w:ascii="Times New Roman" w:cs="Times New Roman" w:eastAsia="Times New Roman" w:hAnsi="Times New Roman"/>
          <w:sz w:val="37"/>
          <w:szCs w:val="37"/>
          <w:b w:val="1"/>
          <w:bCs w:val="1"/>
          <w:color w:val="auto"/>
          <w:vertAlign w:val="superscript"/>
        </w:rPr>
        <w:t>Person:</w:t>
      </w:r>
      <w:r>
        <w:rPr>
          <w:rFonts w:ascii="Times New Roman" w:cs="Times New Roman" w:eastAsia="Times New Roman" w:hAnsi="Times New Roman"/>
          <w:sz w:val="21"/>
          <w:szCs w:val="21"/>
          <w:color w:val="auto"/>
        </w:rPr>
        <w:t xml:space="preserve"> outstanding as of October 27, 2026, as reported in the Issuer's Quarterly Report on Form 10-Q filed with the SEC on</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October 29, 2026.</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Common Stock, $0.0001 par value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PHATHOM PHARMACEUTICALS,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100 CAMPUS DRIVE,, SUITE 102, FLORHAM PARK, NEW JERSEY , 07932.</w:t>
      </w:r>
    </w:p>
    <w:p>
      <w:pPr>
        <w:spacing w:after="0" w:line="20" w:lineRule="exact"/>
        <w:rPr>
          <w:sz w:val="20"/>
          <w:szCs w:val="20"/>
          <w:color w:val="auto"/>
        </w:rPr>
      </w:pPr>
    </w:p>
    <w:p>
      <w:pPr>
        <w:jc w:val="right"/>
        <w:ind w:left="40" w:right="40"/>
        <w:spacing w:after="0" w:line="244"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12 ("Amendment No. 12") to Schedule 13D amends the statement on Schedule 13D filed on</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November 6, 2019 (the "Original Schedule 13D"), as amended on June 17, 2020, December 23, 2020, August 11,</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2022, September 26, 2022, May 5, 2023, May 26, 2023, June 6, 2024, August 22, 2024, May 13, 2025 and November 4, 2025 (the "Prior Amendments", and together with the Original Schedule 13D and this Amendment No. 12, the "Schedule 13D"). Except as otherwise specified in Amendment No. 12, all items in the Original Schedule 13D, as amended by the Prior Amendments, are unchanged. All capitalized terms used in this Amendment No. 12 and not otherwise defined herein have the meanings ascribed to such terms in the Original Schedule 13D, as amended by the</w:t>
      </w:r>
    </w:p>
    <w:p>
      <w:pPr>
        <w:spacing w:after="0" w:line="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Prior Amendments.</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Item 2(b) is hereby amended and restated in its entirety to read as follows: The address of the principal place of</w:t>
      </w:r>
    </w:p>
    <w:p>
      <w:pPr>
        <w:spacing w:after="0" w:line="14" w:lineRule="exact"/>
        <w:rPr>
          <w:sz w:val="20"/>
          <w:szCs w:val="20"/>
          <w:color w:val="auto"/>
        </w:rPr>
      </w:pPr>
    </w:p>
    <w:p>
      <w:pPr>
        <w:ind w:left="960" w:right="760" w:hanging="912"/>
        <w:spacing w:after="0" w:line="237" w:lineRule="auto"/>
        <w:tabs>
          <w:tab w:leader="none" w:pos="96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 for each of the Reporting Persons is: c/o Frazier Life Sciences Management, L.P. 1001 Page Mill Rd, Building 4, Suite 200B Palo Alto, CA 94304</w:t>
      </w:r>
    </w:p>
    <w:p>
      <w:pPr>
        <w:spacing w:after="0" w:line="16" w:lineRule="exact"/>
        <w:rPr>
          <w:rFonts w:ascii="Times New Roman" w:cs="Times New Roman" w:eastAsia="Times New Roman" w:hAnsi="Times New Roman"/>
          <w:sz w:val="22"/>
          <w:szCs w:val="22"/>
          <w:color w:val="auto"/>
        </w:rPr>
      </w:pPr>
    </w:p>
    <w:p>
      <w:pPr>
        <w:ind w:left="9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Item 2(f) is hereby amended and restated in its entirety to read as follows: Entities: FLSPF - Delaware, U.S.A.</w:t>
      </w:r>
    </w:p>
    <w:p>
      <w:pPr>
        <w:spacing w:after="0" w:line="1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1"/>
          <w:szCs w:val="21"/>
          <w:color w:val="auto"/>
        </w:rPr>
        <w:t>FHMLSP, L.P. - Delaware, U.S.A. FHMLSP, L.L.C. - Delaware, U.S.A. FLS IX - Delaware, U.S.A. FHMLS IX, L.P.</w:t>
      </w:r>
    </w:p>
    <w:p>
      <w:pPr>
        <w:spacing w:after="0" w:line="2" w:lineRule="exact"/>
        <w:rPr>
          <w:sz w:val="20"/>
          <w:szCs w:val="20"/>
          <w:color w:val="auto"/>
        </w:rPr>
      </w:pPr>
    </w:p>
    <w:p>
      <w:pPr>
        <w:ind w:left="960" w:right="340" w:hanging="912"/>
        <w:spacing w:after="0" w:line="196" w:lineRule="auto"/>
        <w:tabs>
          <w:tab w:leader="none" w:pos="960" w:val="left"/>
        </w:tabs>
        <w:numPr>
          <w:ilvl w:val="0"/>
          <w:numId w:val="36"/>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 Delaware, U.S.A. FHMLS IX, L.L.C. - Delaware, U.S.A. FLS X - Delaware, U.S.A. FHMLS X, L.P. - Delaware, U.S.A. FHMLS X, L.L.C. - Delaware, U.S.A. FLS XI - Delaware, U.S.A. FHMLS XI, L.P. - Delaware, U.S.A. FHMLS XI, L.L.C. - Delaware, U.S.A. FLS XII - Delaware, U.S.A. FHMLS XII, L.P. - Delaware, U.S.A. FHMLS XII, L.L.C. - Delaware, U.S.A. Individuals: Topper - United States Citizen Heron - United States Citizen</w:t>
      </w:r>
    </w:p>
    <w:p>
      <w:pPr>
        <w:spacing w:after="0" w:line="16"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60" w:right="80" w:hanging="912"/>
        <w:spacing w:after="0" w:line="249" w:lineRule="auto"/>
        <w:tabs>
          <w:tab w:leader="none" w:pos="960"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information contained in rows 7, 8, 9, 10, 11, and 13 of each Reporting Person's cover page to this Schedule 13D (including the footnotes thereto) is incorporated by reference into this Item 5. FLSPF directly holds 5,323,356 shares of the Issuer's Common Stock (the "FLSPF Shares"). FHMLSP, L.P. is the general partner of FLSPF and the general partner of FHMLSP, L.P. is FHMLSP, L.L.C., which is managed by an investment committee of four that acts by majority vote. Accordingly, no members of such committee are attributed beneficial ownership of the securities directly held by FLSPF. FLS IX directly holds 5,827,415 shares of the Issuer's Common Stock (the "FLS IX Shares").</w:t>
      </w:r>
    </w:p>
    <w:p>
      <w:pPr>
        <w:sectPr>
          <w:pgSz w:w="11900" w:h="16855" w:orient="portrait"/>
          <w:cols w:equalWidth="0" w:num="1">
            <w:col w:w="11240"/>
          </w:cols>
          <w:pgMar w:left="320" w:top="355" w:right="339" w:bottom="0" w:gutter="0" w:footer="0" w:header="0"/>
        </w:sectPr>
      </w:pPr>
    </w:p>
    <w:bookmarkStart w:id="16" w:name="page17"/>
    <w:bookmarkEnd w:id="16"/>
    <w:p>
      <w:pPr>
        <w:jc w:val="both"/>
        <w:ind w:left="920" w:right="160"/>
        <w:spacing w:after="0" w:line="249" w:lineRule="auto"/>
        <w:rPr>
          <w:sz w:val="20"/>
          <w:szCs w:val="20"/>
          <w:color w:val="auto"/>
        </w:rPr>
      </w:pPr>
      <w:r>
        <w:rPr>
          <w:rFonts w:ascii="Times New Roman" w:cs="Times New Roman" w:eastAsia="Times New Roman" w:hAnsi="Times New Roman"/>
          <w:sz w:val="21"/>
          <w:szCs w:val="21"/>
          <w:color w:val="auto"/>
        </w:rPr>
        <w:t>FHMLS IX, L.P. is the general partner of FLS IX and FHMLS IX, L.L.C. is the general partner of FHMLS IX, L.P. Heron and Topper are the members of FHMLS IX, L.L.C. and therefore share voting and investment power over the FLS IX Shares. FHMLS IX, L.L.C. directly holds 1 share of the Issuer's Common Stock (the "FHMLS IX, L.L.C.</w:t>
      </w:r>
    </w:p>
    <w:p>
      <w:pPr>
        <w:spacing w:after="0" w:line="2" w:lineRule="exact"/>
        <w:rPr>
          <w:sz w:val="20"/>
          <w:szCs w:val="20"/>
          <w:color w:val="auto"/>
        </w:rPr>
      </w:pPr>
    </w:p>
    <w:p>
      <w:pPr>
        <w:ind w:left="920" w:right="20"/>
        <w:spacing w:after="0" w:line="242" w:lineRule="auto"/>
        <w:rPr>
          <w:sz w:val="20"/>
          <w:szCs w:val="20"/>
          <w:color w:val="auto"/>
        </w:rPr>
      </w:pPr>
      <w:r>
        <w:rPr>
          <w:rFonts w:ascii="Times New Roman" w:cs="Times New Roman" w:eastAsia="Times New Roman" w:hAnsi="Times New Roman"/>
          <w:sz w:val="21"/>
          <w:szCs w:val="21"/>
          <w:color w:val="auto"/>
        </w:rPr>
        <w:t>Share"). Heron and Topper are the members of FHMLS IX, L.L.C. and therefore share voting and investment power over the FHMLS IX, L.L.C. Share. FLS X directly holds 59,403 shares of the Issuer's Common Stock (the "FLS X Shares"). FHMLS X, L.P. is the general partner of FLS X and FHMLS X, L.L.C. is the general partner of FHMLS X, L.P. Heron and Topper are the members of FHMLS X, L.L.C. and therefore share voting and investment power over the FLS X Shares. FLS XI directly holds 980,286 shares of this Issuer's Common Stock (the "FLS XI Shares"). FHMLS XI, L.P. is the general partner of FLS XI and the general partner of FHMLS XI, L.P. is FHMLS XI, L.L.C., which is managed by an investment committee of three that acts by majority vote. Accordingly, no members of such committee are attributed beneficial ownership of the securities directly held by FLS XI. FLS XII directly holds 276,029 shares of this Issuer's Common Stock (the "FLS XII Shares"). FHMLS XII, L.P. is the general partner of FLS XII and the general partner of FHMLS XII, L.P. is FHMLS XII, L.L.C., which is managed by an investment committee of three that acts by majority vote. Accordingly, no members of such committee are attributed beneficial ownership of the securities directly held by FLS XII. The above referenced beneficial ownership and amounts reflected on the cover pages hereto do not include certain warrants and prefunded warrants to acquire shares of Common Stock (the "Warrants"), the exercise of which is subject to certain beneficial ownership limitations. In this regard, (i) FLSPF holds Warrants to purchase 2,596,399 shares of the Issuer's Common Stock and (ii) FLS XI holds Warrants to purchase 12,523 shares of the Issuer's Common Stock, each of which cannot be exercised, if, upon giving effect to such exercise, the aggregate number of shares of Common Stock beneficially owned by the holder of such Warrant (together with its affiliates or any other persons acting as a group together with such holder) would exceed 9.99% of the number of shares of Common Stock outstanding immediately after giving effect to such exercise. Additionally, (i) FLSPF holds Warrants to purchase 1,109,569 shares of the Issuer's Common Stock, (ii) FLS XI holds Warrants to purchase 10,376 shares of the Issuer's Common Stock and (ii) FLS XII holds Warrants to purchase 130,133 shares of the Issuer's Common Stock, each of which cannot be exercised, if, upon giving effect to such exercise, the aggregate number of shares of Common Stock beneficially owned by the holder of such Warrant (together with its affiliates or any other persons acting as a group together with such holder) would exceed 19.99% of the number of shares of Common Stock outstanding immediately after giving effect to such exercise. Except as specifically stated herein, the filing of this Schedule 13D shall not be construed as an admission that any Reporting Person or any of the foregoing is, for the purposes of Section 13(d) and/or Section 13(g) of the Act or otherwise, the beneficial owner of any securities covered by this Schedule 13D or a member of a "group" with any other person.</w:t>
      </w:r>
    </w:p>
    <w:p>
      <w:pPr>
        <w:spacing w:after="0" w:line="16" w:lineRule="exact"/>
        <w:rPr>
          <w:sz w:val="20"/>
          <w:szCs w:val="20"/>
          <w:color w:val="auto"/>
        </w:rPr>
      </w:pPr>
    </w:p>
    <w:p>
      <w:pPr>
        <w:jc w:val="right"/>
        <w:ind w:right="7440"/>
        <w:spacing w:after="0"/>
        <w:tabs>
          <w:tab w:leader="none" w:pos="102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jc w:val="right"/>
        <w:ind w:right="7420"/>
        <w:spacing w:after="0"/>
        <w:rPr>
          <w:sz w:val="20"/>
          <w:szCs w:val="20"/>
          <w:color w:val="auto"/>
        </w:rPr>
      </w:pPr>
      <w:r>
        <w:rPr>
          <w:rFonts w:ascii="Times New Roman" w:cs="Times New Roman" w:eastAsia="Times New Roman" w:hAnsi="Times New Roman"/>
          <w:sz w:val="22"/>
          <w:szCs w:val="22"/>
          <w:color w:val="auto"/>
        </w:rPr>
        <w:t>EX-99.1 Joint Filing Agreement</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2"/>
          <w:szCs w:val="22"/>
          <w:color w:val="auto"/>
        </w:rPr>
        <w:t>Frazier Life Sciences Public Fund,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Jennifer Martin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1"/>
          <w:szCs w:val="21"/>
          <w:color w:val="auto"/>
        </w:rPr>
        <w:t>By Jennifer Martin, CFO of FHMLSP, L.L.C., GP</w:t>
      </w:r>
    </w:p>
    <w:p>
      <w:pPr>
        <w:spacing w:after="0" w:line="1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of FHMLSP, L.P., GP of Frazier Life Sciences</w:t>
      </w:r>
    </w:p>
    <w:p>
      <w:pPr>
        <w:ind w:left="6740"/>
        <w:spacing w:after="0"/>
        <w:rPr>
          <w:sz w:val="20"/>
          <w:szCs w:val="20"/>
          <w:color w:val="auto"/>
        </w:rPr>
      </w:pPr>
      <w:r>
        <w:rPr>
          <w:rFonts w:ascii="Times New Roman" w:cs="Times New Roman" w:eastAsia="Times New Roman" w:hAnsi="Times New Roman"/>
          <w:sz w:val="22"/>
          <w:szCs w:val="22"/>
          <w:color w:val="auto"/>
        </w:rPr>
        <w:t>Public Fund, L.P.</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11/02/2026</w:t>
      </w:r>
    </w:p>
    <w:p>
      <w:pPr>
        <w:spacing w:after="0" w:line="15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color w:val="auto"/>
        </w:rPr>
        <w:t>FHMLSP,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Jennifer Martin</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By Jennifer Martin, CFO of FHMLSP, L.L.C., GP</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of FHMLSP, L.P.</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11/02/2026</w:t>
      </w:r>
    </w:p>
    <w:p>
      <w:pPr>
        <w:spacing w:after="0" w:line="15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2"/>
          <w:szCs w:val="22"/>
          <w:color w:val="auto"/>
        </w:rPr>
        <w:t>FHMLSP, L.L.C.</w:t>
      </w:r>
    </w:p>
    <w:p>
      <w:pPr>
        <w:spacing w:after="0" w:line="152" w:lineRule="exact"/>
        <w:rPr>
          <w:sz w:val="20"/>
          <w:szCs w:val="20"/>
          <w:color w:val="auto"/>
        </w:rPr>
      </w:pPr>
    </w:p>
    <w:p>
      <w:pPr>
        <w:ind w:left="5240"/>
        <w:spacing w:after="0"/>
        <w:tabs>
          <w:tab w:leader="none" w:pos="6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Jennifer Martin</w:t>
      </w:r>
    </w:p>
    <w:p>
      <w:pPr>
        <w:spacing w:after="0" w:line="4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Name/Title: By Jennifer Martin, CFO of FHMLSP, L.L.C.</w:t>
      </w:r>
    </w:p>
    <w:p>
      <w:pPr>
        <w:spacing w:after="0" w:line="44" w:lineRule="exact"/>
        <w:rPr>
          <w:sz w:val="20"/>
          <w:szCs w:val="20"/>
          <w:color w:val="auto"/>
        </w:rPr>
      </w:pPr>
    </w:p>
    <w:p>
      <w:pPr>
        <w:ind w:left="5240"/>
        <w:spacing w:after="0"/>
        <w:tabs>
          <w:tab w:leader="none" w:pos="6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11/02/2026</w:t>
      </w:r>
    </w:p>
    <w:p>
      <w:pPr>
        <w:spacing w:after="0" w:line="152"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2"/>
          <w:szCs w:val="22"/>
          <w:color w:val="auto"/>
        </w:rPr>
        <w:t>Frazier Life Sciences X,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Jennifer Martin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By Jennifer Martin, CFO of FHMLS X, L.L.C.,</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GP of FHMLS X, L.P., GP of Frazier Life</w:t>
      </w:r>
    </w:p>
    <w:p>
      <w:pPr>
        <w:ind w:left="6740"/>
        <w:spacing w:after="0"/>
        <w:rPr>
          <w:sz w:val="20"/>
          <w:szCs w:val="20"/>
          <w:color w:val="auto"/>
        </w:rPr>
      </w:pPr>
      <w:r>
        <w:rPr>
          <w:rFonts w:ascii="Times New Roman" w:cs="Times New Roman" w:eastAsia="Times New Roman" w:hAnsi="Times New Roman"/>
          <w:sz w:val="22"/>
          <w:szCs w:val="22"/>
          <w:color w:val="auto"/>
        </w:rPr>
        <w:t>Sciences X, L.P.</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11/02/2026</w:t>
      </w:r>
    </w:p>
    <w:p>
      <w:pPr>
        <w:sectPr>
          <w:pgSz w:w="11900" w:h="16838" w:orient="portrait"/>
          <w:cols w:equalWidth="0" w:num="1">
            <w:col w:w="11140"/>
          </w:cols>
          <w:pgMar w:left="360" w:top="112" w:right="399" w:bottom="0" w:gutter="0" w:footer="0" w:header="0"/>
        </w:sectPr>
      </w:pPr>
    </w:p>
    <w:bookmarkStart w:id="17" w:name="page18"/>
    <w:bookmarkEnd w:id="17"/>
    <w:p>
      <w:pPr>
        <w:ind w:left="480"/>
        <w:spacing w:after="0"/>
        <w:rPr>
          <w:sz w:val="20"/>
          <w:szCs w:val="20"/>
          <w:color w:val="auto"/>
        </w:rPr>
      </w:pPr>
      <w:r>
        <w:rPr>
          <w:rFonts w:ascii="Times New Roman" w:cs="Times New Roman" w:eastAsia="Times New Roman" w:hAnsi="Times New Roman"/>
          <w:sz w:val="22"/>
          <w:szCs w:val="22"/>
          <w:color w:val="auto"/>
        </w:rPr>
        <w:t>FHMLS X, L.P.</w:t>
      </w:r>
    </w:p>
    <w:p>
      <w:pPr>
        <w:spacing w:after="0" w:line="153"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Jennifer Martin</w:t>
      </w:r>
    </w:p>
    <w:p>
      <w:pPr>
        <w:ind w:left="458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By Jennifer Martin, CFO of FHMLS X, L.L.C.,</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GP of FHMLS X, L.P.</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11/02/2026</w:t>
      </w:r>
    </w:p>
    <w:p>
      <w:pPr>
        <w:spacing w:after="0" w:line="15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FHMLS X, L.L.C.</w:t>
      </w:r>
    </w:p>
    <w:p>
      <w:pPr>
        <w:spacing w:after="0" w:line="152" w:lineRule="exact"/>
        <w:rPr>
          <w:sz w:val="20"/>
          <w:szCs w:val="20"/>
          <w:color w:val="auto"/>
        </w:rPr>
      </w:pPr>
    </w:p>
    <w:p>
      <w:pPr>
        <w:ind w:left="428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Jennifer Martin</w:t>
      </w:r>
    </w:p>
    <w:p>
      <w:pPr>
        <w:spacing w:after="0" w:line="44"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Name/Title: By Jennifer Martin, CFO of FHMLS X, L.L.C.</w:t>
      </w:r>
    </w:p>
    <w:p>
      <w:pPr>
        <w:spacing w:after="0" w:line="44" w:lineRule="exact"/>
        <w:rPr>
          <w:sz w:val="20"/>
          <w:szCs w:val="20"/>
          <w:color w:val="auto"/>
        </w:rPr>
      </w:pPr>
    </w:p>
    <w:p>
      <w:pPr>
        <w:ind w:left="428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11/02/2026</w:t>
      </w:r>
    </w:p>
    <w:p>
      <w:pPr>
        <w:spacing w:after="0" w:line="15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2"/>
          <w:szCs w:val="22"/>
          <w:color w:val="auto"/>
        </w:rPr>
        <w:t>Frazier Life Sciences XI, L.P.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Jennifer Martin</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By Jennifer Martin, CFO of FHMLS XI, L.L.C.,</w:t>
      </w:r>
    </w:p>
    <w:p>
      <w:pPr>
        <w:spacing w:after="0" w:line="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Name/Title: GP of FHMLS XI, L.P., GP of Frazier Life</w:t>
      </w:r>
    </w:p>
    <w:p>
      <w:pPr>
        <w:ind w:left="5660"/>
        <w:spacing w:after="0"/>
        <w:rPr>
          <w:sz w:val="20"/>
          <w:szCs w:val="20"/>
          <w:color w:val="auto"/>
        </w:rPr>
      </w:pPr>
      <w:r>
        <w:rPr>
          <w:rFonts w:ascii="Times New Roman" w:cs="Times New Roman" w:eastAsia="Times New Roman" w:hAnsi="Times New Roman"/>
          <w:sz w:val="22"/>
          <w:szCs w:val="22"/>
          <w:color w:val="auto"/>
        </w:rPr>
        <w:t>Sciences XI, L.P.</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11/02/2026</w:t>
      </w:r>
    </w:p>
    <w:p>
      <w:pPr>
        <w:spacing w:after="0" w:line="15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2"/>
          <w:szCs w:val="22"/>
          <w:color w:val="auto"/>
        </w:rPr>
        <w:t>FHMLS XI, L.P.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Jennifer Martin</w:t>
      </w:r>
    </w:p>
    <w:p>
      <w:pPr>
        <w:ind w:left="458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By Jennifer Martin, CFO of FHMLS XI, L.L.C.,</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GP of FHMLS XI, L.P.</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11/02/2026</w:t>
      </w:r>
    </w:p>
    <w:p>
      <w:pPr>
        <w:spacing w:after="0" w:line="15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FHMLS XI, L.L.C.</w:t>
      </w:r>
    </w:p>
    <w:p>
      <w:pPr>
        <w:spacing w:after="0" w:line="152" w:lineRule="exact"/>
        <w:rPr>
          <w:sz w:val="20"/>
          <w:szCs w:val="20"/>
          <w:color w:val="auto"/>
        </w:rPr>
      </w:pPr>
    </w:p>
    <w:p>
      <w:pPr>
        <w:ind w:left="4340"/>
        <w:spacing w:after="0"/>
        <w:tabs>
          <w:tab w:leader="none" w:pos="5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Jennifer Martin</w:t>
      </w:r>
    </w:p>
    <w:p>
      <w:pPr>
        <w:spacing w:after="0" w:line="4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Name/Title: By Jennifer Martin, CFO of FHMLS XI, L.L.C.</w:t>
      </w:r>
    </w:p>
    <w:p>
      <w:pPr>
        <w:spacing w:after="0" w:line="44" w:lineRule="exact"/>
        <w:rPr>
          <w:sz w:val="20"/>
          <w:szCs w:val="20"/>
          <w:color w:val="auto"/>
        </w:rPr>
      </w:pPr>
    </w:p>
    <w:p>
      <w:pPr>
        <w:ind w:left="4340"/>
        <w:spacing w:after="0"/>
        <w:tabs>
          <w:tab w:leader="none" w:pos="5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11/02/2026</w:t>
      </w:r>
    </w:p>
    <w:p>
      <w:pPr>
        <w:spacing w:after="0" w:line="15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2"/>
          <w:szCs w:val="22"/>
          <w:color w:val="auto"/>
        </w:rPr>
        <w:t>Frazier Life Sciences IX, L.P.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Jennifer Martin</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By Jennifer Martin, CFO of FHMLS IX, L.L.C.,</w:t>
      </w:r>
    </w:p>
    <w:p>
      <w:pPr>
        <w:spacing w:after="0" w:line="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Name/Title: GP of FHMLS IX, L.P., GP of Frazier Life</w:t>
      </w:r>
    </w:p>
    <w:p>
      <w:pPr>
        <w:ind w:left="5660"/>
        <w:spacing w:after="0"/>
        <w:rPr>
          <w:sz w:val="20"/>
          <w:szCs w:val="20"/>
          <w:color w:val="auto"/>
        </w:rPr>
      </w:pPr>
      <w:r>
        <w:rPr>
          <w:rFonts w:ascii="Times New Roman" w:cs="Times New Roman" w:eastAsia="Times New Roman" w:hAnsi="Times New Roman"/>
          <w:sz w:val="22"/>
          <w:szCs w:val="22"/>
          <w:color w:val="auto"/>
        </w:rPr>
        <w:t>Sciences IX, L.P.</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11/02/2026</w:t>
      </w:r>
    </w:p>
    <w:p>
      <w:pPr>
        <w:spacing w:after="0" w:line="15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2"/>
          <w:szCs w:val="22"/>
          <w:color w:val="auto"/>
        </w:rPr>
        <w:t>FHMLS IX, L.P.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Jennifer Martin</w:t>
      </w:r>
    </w:p>
    <w:p>
      <w:pPr>
        <w:ind w:left="458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By Jennifer Martin, CFO of FHMLS IX, L.L.C.,</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GP of FHMLS IX, L.P.</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11/02/2026</w:t>
      </w:r>
    </w:p>
    <w:p>
      <w:pPr>
        <w:spacing w:after="0" w:line="15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FHMLS IX, L.L.C.</w:t>
      </w:r>
    </w:p>
    <w:p>
      <w:pPr>
        <w:spacing w:after="0" w:line="152" w:lineRule="exact"/>
        <w:rPr>
          <w:sz w:val="20"/>
          <w:szCs w:val="20"/>
          <w:color w:val="auto"/>
        </w:rPr>
      </w:pPr>
    </w:p>
    <w:p>
      <w:pPr>
        <w:ind w:left="4340"/>
        <w:spacing w:after="0"/>
        <w:tabs>
          <w:tab w:leader="none" w:pos="5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Jennifer Martin</w:t>
      </w:r>
    </w:p>
    <w:p>
      <w:pPr>
        <w:spacing w:after="0" w:line="4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Name/Title: By Jennifer Martin, CFO of FHMLS IX, L.L.C.</w:t>
      </w:r>
    </w:p>
    <w:p>
      <w:pPr>
        <w:spacing w:after="0" w:line="44" w:lineRule="exact"/>
        <w:rPr>
          <w:sz w:val="20"/>
          <w:szCs w:val="20"/>
          <w:color w:val="auto"/>
        </w:rPr>
      </w:pPr>
    </w:p>
    <w:p>
      <w:pPr>
        <w:ind w:left="4340"/>
        <w:spacing w:after="0"/>
        <w:tabs>
          <w:tab w:leader="none" w:pos="5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11/02/2026</w:t>
      </w:r>
    </w:p>
    <w:p>
      <w:pPr>
        <w:spacing w:after="0" w:line="15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Frazier Life Sciences XII, L.P.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Jennifer Martin</w:t>
      </w:r>
    </w:p>
    <w:p>
      <w:pPr>
        <w:spacing w:after="0" w:line="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By Jennifer Martin, CFO of FHMLS XII, L.L.C.,</w:t>
      </w:r>
    </w:p>
    <w:p>
      <w:pPr>
        <w:spacing w:after="0" w:line="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Name/Title: GP of FHMLS XII, L.P., GP of Frazier Life</w:t>
      </w:r>
    </w:p>
    <w:p>
      <w:pPr>
        <w:ind w:left="5660"/>
        <w:spacing w:after="0"/>
        <w:rPr>
          <w:sz w:val="20"/>
          <w:szCs w:val="20"/>
          <w:color w:val="auto"/>
        </w:rPr>
      </w:pPr>
      <w:r>
        <w:rPr>
          <w:rFonts w:ascii="Times New Roman" w:cs="Times New Roman" w:eastAsia="Times New Roman" w:hAnsi="Times New Roman"/>
          <w:sz w:val="22"/>
          <w:szCs w:val="22"/>
          <w:color w:val="auto"/>
        </w:rPr>
        <w:t>Sciences XII, L.P.</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11/02/2026</w:t>
      </w:r>
    </w:p>
    <w:p>
      <w:pPr>
        <w:spacing w:after="0" w:line="1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FHMLS XII, L.P.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Jennifer Martin</w:t>
      </w:r>
    </w:p>
    <w:p>
      <w:pPr>
        <w:jc w:val="right"/>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By Jennifer Martin, CFO of FHMLS XII, L.L.C.,</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GP of FHMLS XII, L.P.</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11/02/2026</w:t>
      </w:r>
    </w:p>
    <w:p>
      <w:pPr>
        <w:sectPr>
          <w:pgSz w:w="11900" w:h="16838" w:orient="portrait"/>
          <w:cols w:equalWidth="0" w:num="1">
            <w:col w:w="9940"/>
          </w:cols>
          <w:pgMar w:left="1440" w:top="112" w:right="519" w:bottom="0" w:gutter="0" w:footer="0" w:header="0"/>
        </w:sectPr>
      </w:pPr>
    </w:p>
    <w:bookmarkStart w:id="18" w:name="page19"/>
    <w:bookmarkEnd w:id="18"/>
    <w:p>
      <w:pPr>
        <w:ind w:left="860"/>
        <w:spacing w:after="0"/>
        <w:rPr>
          <w:sz w:val="20"/>
          <w:szCs w:val="20"/>
          <w:color w:val="auto"/>
        </w:rPr>
      </w:pPr>
      <w:r>
        <w:rPr>
          <w:rFonts w:ascii="Times New Roman" w:cs="Times New Roman" w:eastAsia="Times New Roman" w:hAnsi="Times New Roman"/>
          <w:sz w:val="22"/>
          <w:szCs w:val="22"/>
          <w:color w:val="auto"/>
        </w:rPr>
        <w:t>FHMLS XII, L.L.C.</w:t>
      </w:r>
    </w:p>
    <w:p>
      <w:pPr>
        <w:spacing w:after="0" w:line="153" w:lineRule="exact"/>
        <w:rPr>
          <w:sz w:val="20"/>
          <w:szCs w:val="20"/>
          <w:color w:val="auto"/>
        </w:rPr>
      </w:pPr>
    </w:p>
    <w:p>
      <w:pPr>
        <w:ind w:left="4400"/>
        <w:spacing w:after="0"/>
        <w:tabs>
          <w:tab w:leader="none" w:pos="5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Jennifer Martin</w:t>
      </w:r>
    </w:p>
    <w:p>
      <w:pPr>
        <w:spacing w:after="0" w:line="4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Name/Title: By Jennifer Martin, CFO of FHMLS XII, L.L.C.</w:t>
      </w:r>
    </w:p>
    <w:p>
      <w:pPr>
        <w:spacing w:after="0" w:line="44" w:lineRule="exact"/>
        <w:rPr>
          <w:sz w:val="20"/>
          <w:szCs w:val="20"/>
          <w:color w:val="auto"/>
        </w:rPr>
      </w:pPr>
    </w:p>
    <w:p>
      <w:pPr>
        <w:ind w:left="4400"/>
        <w:spacing w:after="0"/>
        <w:tabs>
          <w:tab w:leader="none" w:pos="5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11/02/2026</w:t>
      </w:r>
    </w:p>
    <w:p>
      <w:pPr>
        <w:spacing w:after="0" w:line="15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2"/>
          <w:szCs w:val="22"/>
          <w:color w:val="auto"/>
        </w:rPr>
        <w:t>James N. Topper</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Jennifer Martin</w:t>
      </w:r>
    </w:p>
    <w:p>
      <w:pPr>
        <w:ind w:left="458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By Jennifer Martin, Attorney-in-Fact for James N.</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Topper, pursuant to a Power of Attorney</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11/02/2026</w:t>
      </w:r>
    </w:p>
    <w:p>
      <w:pPr>
        <w:spacing w:after="0" w:line="1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auto"/>
        </w:rPr>
        <w:t>Patrick J. Heron</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Jennifer Martin</w:t>
      </w:r>
    </w:p>
    <w:p>
      <w:pPr>
        <w:jc w:val="right"/>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By Jennifer Martin, Attorney-in-Fact for Patrick J.</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Heron, pursuant to a Power of Attorney</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11/02/2026</w:t>
      </w:r>
    </w:p>
    <w:p>
      <w:pPr>
        <w:sectPr>
          <w:pgSz w:w="11900" w:h="16838" w:orient="portrait"/>
          <w:cols w:equalWidth="0" w:num="1">
            <w:col w:w="10040"/>
          </w:cols>
          <w:pgMar w:left="1440" w:top="112" w:right="419" w:bottom="1440" w:gutter="0" w:footer="0" w:header="0"/>
        </w:sectPr>
      </w:pPr>
    </w:p>
    <w:bookmarkStart w:id="19" w:name="page20"/>
    <w:bookmarkEnd w:id="19"/>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JOINT FILING AGREEMENT</w:t>
      </w:r>
    </w:p>
    <w:p>
      <w:pPr>
        <w:spacing w:after="0" w:line="23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Pursuant to Rule 13d-1(k)(1) under the Securities Exchange Act of 1934, the undersigned hereby agree that only one statement containing the information required by Schedule 13G need be filed with respect to the ownership by each of the undersigned of Shares of Common Stock of Phathom Pharmaceuticals, Inc.</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200" w:type="dxa"/>
            <w:vAlign w:val="bottom"/>
          </w:tcPr>
          <w:p>
            <w:pPr>
              <w:spacing w:after="0"/>
              <w:rPr>
                <w:sz w:val="20"/>
                <w:szCs w:val="20"/>
                <w:color w:val="auto"/>
              </w:rPr>
            </w:pPr>
            <w:r>
              <w:rPr>
                <w:rFonts w:ascii="Times New Roman" w:cs="Times New Roman" w:eastAsia="Times New Roman" w:hAnsi="Times New Roman"/>
                <w:sz w:val="22"/>
                <w:szCs w:val="22"/>
                <w:color w:val="auto"/>
              </w:rPr>
              <w:t>Date: November 2, 2026</w:t>
            </w:r>
          </w:p>
        </w:tc>
        <w:tc>
          <w:tcPr>
            <w:tcW w:w="5660" w:type="dxa"/>
            <w:vAlign w:val="bottom"/>
            <w:gridSpan w:val="3"/>
          </w:tcPr>
          <w:p>
            <w:pPr>
              <w:ind w:left="1000"/>
              <w:spacing w:after="0"/>
              <w:rPr>
                <w:sz w:val="20"/>
                <w:szCs w:val="20"/>
                <w:color w:val="auto"/>
              </w:rPr>
            </w:pPr>
            <w:r>
              <w:rPr>
                <w:rFonts w:ascii="Times New Roman" w:cs="Times New Roman" w:eastAsia="Times New Roman" w:hAnsi="Times New Roman"/>
                <w:sz w:val="22"/>
                <w:szCs w:val="22"/>
                <w:b w:val="1"/>
                <w:bCs w:val="1"/>
                <w:color w:val="auto"/>
                <w:w w:val="97"/>
              </w:rPr>
              <w:t>FRAZIER LIFE SCIENCES PUBLIC FUND, L.P.</w:t>
            </w:r>
          </w:p>
        </w:tc>
        <w:tc>
          <w:tcPr>
            <w:tcW w:w="0" w:type="dxa"/>
            <w:vAlign w:val="bottom"/>
          </w:tcPr>
          <w:p>
            <w:pPr>
              <w:spacing w:after="0"/>
              <w:rPr>
                <w:sz w:val="1"/>
                <w:szCs w:val="1"/>
                <w:color w:val="auto"/>
              </w:rPr>
            </w:pPr>
          </w:p>
        </w:tc>
      </w:tr>
      <w:tr>
        <w:trPr>
          <w:trHeight w:val="243"/>
        </w:trPr>
        <w:tc>
          <w:tcPr>
            <w:tcW w:w="3200" w:type="dxa"/>
            <w:vAlign w:val="bottom"/>
          </w:tcPr>
          <w:p>
            <w:pPr>
              <w:spacing w:after="0"/>
              <w:rPr>
                <w:sz w:val="21"/>
                <w:szCs w:val="21"/>
                <w:color w:val="auto"/>
              </w:rPr>
            </w:pPr>
          </w:p>
        </w:tc>
        <w:tc>
          <w:tcPr>
            <w:tcW w:w="5660" w:type="dxa"/>
            <w:vAlign w:val="bottom"/>
            <w:gridSpan w:val="3"/>
          </w:tcPr>
          <w:p>
            <w:pPr>
              <w:ind w:left="1020"/>
              <w:spacing w:after="0" w:line="243" w:lineRule="exact"/>
              <w:rPr>
                <w:sz w:val="20"/>
                <w:szCs w:val="20"/>
                <w:color w:val="auto"/>
              </w:rPr>
            </w:pPr>
            <w:r>
              <w:rPr>
                <w:rFonts w:ascii="Times New Roman" w:cs="Times New Roman" w:eastAsia="Times New Roman" w:hAnsi="Times New Roman"/>
                <w:sz w:val="22"/>
                <w:szCs w:val="22"/>
                <w:color w:val="auto"/>
              </w:rPr>
              <w:t>By: FHMLSP, L.P., its General Partner</w:t>
            </w:r>
          </w:p>
        </w:tc>
        <w:tc>
          <w:tcPr>
            <w:tcW w:w="0" w:type="dxa"/>
            <w:vAlign w:val="bottom"/>
          </w:tcPr>
          <w:p>
            <w:pPr>
              <w:spacing w:after="0"/>
              <w:rPr>
                <w:sz w:val="1"/>
                <w:szCs w:val="1"/>
                <w:color w:val="auto"/>
              </w:rPr>
            </w:pPr>
          </w:p>
        </w:tc>
      </w:tr>
      <w:tr>
        <w:trPr>
          <w:trHeight w:val="282"/>
        </w:trPr>
        <w:tc>
          <w:tcPr>
            <w:tcW w:w="3200" w:type="dxa"/>
            <w:vAlign w:val="bottom"/>
          </w:tcPr>
          <w:p>
            <w:pPr>
              <w:spacing w:after="0"/>
              <w:rPr>
                <w:sz w:val="24"/>
                <w:szCs w:val="24"/>
                <w:color w:val="auto"/>
              </w:rPr>
            </w:pPr>
          </w:p>
        </w:tc>
        <w:tc>
          <w:tcPr>
            <w:tcW w:w="5660" w:type="dxa"/>
            <w:vAlign w:val="bottom"/>
            <w:gridSpan w:val="3"/>
          </w:tcPr>
          <w:p>
            <w:pPr>
              <w:ind w:left="1020"/>
              <w:spacing w:after="0"/>
              <w:rPr>
                <w:sz w:val="20"/>
                <w:szCs w:val="20"/>
                <w:color w:val="auto"/>
              </w:rPr>
            </w:pPr>
            <w:r>
              <w:rPr>
                <w:rFonts w:ascii="Times New Roman" w:cs="Times New Roman" w:eastAsia="Times New Roman" w:hAnsi="Times New Roman"/>
                <w:sz w:val="22"/>
                <w:szCs w:val="22"/>
                <w:color w:val="auto"/>
              </w:rPr>
              <w:t>By: FHMLSP, L.L.C., its General Partner</w:t>
            </w:r>
          </w:p>
        </w:tc>
        <w:tc>
          <w:tcPr>
            <w:tcW w:w="0" w:type="dxa"/>
            <w:vAlign w:val="bottom"/>
          </w:tcPr>
          <w:p>
            <w:pPr>
              <w:spacing w:after="0"/>
              <w:rPr>
                <w:sz w:val="1"/>
                <w:szCs w:val="1"/>
                <w:color w:val="auto"/>
              </w:rPr>
            </w:pPr>
          </w:p>
        </w:tc>
      </w:tr>
      <w:tr>
        <w:trPr>
          <w:trHeight w:val="434"/>
        </w:trPr>
        <w:tc>
          <w:tcPr>
            <w:tcW w:w="3200" w:type="dxa"/>
            <w:vAlign w:val="bottom"/>
          </w:tcPr>
          <w:p>
            <w:pPr>
              <w:spacing w:after="0"/>
              <w:rPr>
                <w:sz w:val="24"/>
                <w:szCs w:val="24"/>
                <w:color w:val="auto"/>
              </w:rPr>
            </w:pPr>
          </w:p>
        </w:tc>
        <w:tc>
          <w:tcPr>
            <w:tcW w:w="5660" w:type="dxa"/>
            <w:vAlign w:val="bottom"/>
            <w:gridSpan w:val="3"/>
          </w:tcPr>
          <w:p>
            <w:pPr>
              <w:ind w:left="1020"/>
              <w:spacing w:after="0"/>
              <w:rPr>
                <w:sz w:val="20"/>
                <w:szCs w:val="20"/>
                <w:color w:val="auto"/>
              </w:rPr>
            </w:pPr>
            <w:r>
              <w:rPr>
                <w:rFonts w:ascii="Times New Roman" w:cs="Times New Roman" w:eastAsia="Times New Roman" w:hAnsi="Times New Roman"/>
                <w:sz w:val="22"/>
                <w:szCs w:val="22"/>
                <w:color w:val="auto"/>
              </w:rPr>
              <w:t>By: /s/ Jennifer Martin</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340" w:type="dxa"/>
            <w:vAlign w:val="bottom"/>
            <w:vMerge w:val="restart"/>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3200" w:type="dxa"/>
            <w:vAlign w:val="bottom"/>
          </w:tcPr>
          <w:p>
            <w:pPr>
              <w:spacing w:after="0"/>
              <w:rPr>
                <w:sz w:val="23"/>
                <w:szCs w:val="23"/>
                <w:color w:val="auto"/>
              </w:rPr>
            </w:pPr>
          </w:p>
        </w:tc>
        <w:tc>
          <w:tcPr>
            <w:tcW w:w="1340" w:type="dxa"/>
            <w:vAlign w:val="bottom"/>
            <w:vMerge w:val="continue"/>
          </w:tcPr>
          <w:p>
            <w:pPr>
              <w:spacing w:after="0"/>
              <w:rPr>
                <w:sz w:val="23"/>
                <w:szCs w:val="23"/>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Jennifer Martin, Chief Financial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200" w:type="dxa"/>
            <w:vAlign w:val="bottom"/>
          </w:tcPr>
          <w:p>
            <w:pPr>
              <w:spacing w:after="0"/>
              <w:rPr>
                <w:sz w:val="20"/>
                <w:szCs w:val="20"/>
                <w:color w:val="auto"/>
              </w:rPr>
            </w:pPr>
            <w:r>
              <w:rPr>
                <w:rFonts w:ascii="Times New Roman" w:cs="Times New Roman" w:eastAsia="Times New Roman" w:hAnsi="Times New Roman"/>
                <w:sz w:val="22"/>
                <w:szCs w:val="22"/>
                <w:color w:val="auto"/>
              </w:rPr>
              <w:t>Date: November 2, 2026</w:t>
            </w:r>
          </w:p>
        </w:tc>
        <w:tc>
          <w:tcPr>
            <w:tcW w:w="4800" w:type="dxa"/>
            <w:vAlign w:val="bottom"/>
            <w:gridSpan w:val="3"/>
          </w:tcPr>
          <w:p>
            <w:pPr>
              <w:ind w:left="1000"/>
              <w:spacing w:after="0"/>
              <w:rPr>
                <w:sz w:val="20"/>
                <w:szCs w:val="20"/>
                <w:color w:val="auto"/>
              </w:rPr>
            </w:pPr>
            <w:r>
              <w:rPr>
                <w:rFonts w:ascii="Times New Roman" w:cs="Times New Roman" w:eastAsia="Times New Roman" w:hAnsi="Times New Roman"/>
                <w:sz w:val="22"/>
                <w:szCs w:val="22"/>
                <w:b w:val="1"/>
                <w:bCs w:val="1"/>
                <w:color w:val="auto"/>
              </w:rPr>
              <w:t>FHMLSP, L.P.</w:t>
            </w:r>
          </w:p>
        </w:tc>
        <w:tc>
          <w:tcPr>
            <w:tcW w:w="0" w:type="dxa"/>
            <w:vAlign w:val="bottom"/>
          </w:tcPr>
          <w:p>
            <w:pPr>
              <w:spacing w:after="0"/>
              <w:rPr>
                <w:sz w:val="1"/>
                <w:szCs w:val="1"/>
                <w:color w:val="auto"/>
              </w:rPr>
            </w:pPr>
          </w:p>
        </w:tc>
      </w:tr>
      <w:tr>
        <w:trPr>
          <w:trHeight w:val="282"/>
        </w:trPr>
        <w:tc>
          <w:tcPr>
            <w:tcW w:w="3200" w:type="dxa"/>
            <w:vAlign w:val="bottom"/>
          </w:tcPr>
          <w:p>
            <w:pPr>
              <w:spacing w:after="0"/>
              <w:rPr>
                <w:sz w:val="24"/>
                <w:szCs w:val="24"/>
                <w:color w:val="auto"/>
              </w:rPr>
            </w:pPr>
          </w:p>
        </w:tc>
        <w:tc>
          <w:tcPr>
            <w:tcW w:w="4800" w:type="dxa"/>
            <w:vAlign w:val="bottom"/>
            <w:gridSpan w:val="3"/>
          </w:tcPr>
          <w:p>
            <w:pPr>
              <w:ind w:left="1020"/>
              <w:spacing w:after="0"/>
              <w:rPr>
                <w:sz w:val="20"/>
                <w:szCs w:val="20"/>
                <w:color w:val="auto"/>
              </w:rPr>
            </w:pPr>
            <w:r>
              <w:rPr>
                <w:rFonts w:ascii="Times New Roman" w:cs="Times New Roman" w:eastAsia="Times New Roman" w:hAnsi="Times New Roman"/>
                <w:sz w:val="22"/>
                <w:szCs w:val="22"/>
                <w:color w:val="auto"/>
              </w:rPr>
              <w:t>By: FHMLSP, L.L.C., its General Partner</w:t>
            </w:r>
          </w:p>
        </w:tc>
        <w:tc>
          <w:tcPr>
            <w:tcW w:w="0" w:type="dxa"/>
            <w:vAlign w:val="bottom"/>
          </w:tcPr>
          <w:p>
            <w:pPr>
              <w:spacing w:after="0"/>
              <w:rPr>
                <w:sz w:val="1"/>
                <w:szCs w:val="1"/>
                <w:color w:val="auto"/>
              </w:rPr>
            </w:pPr>
          </w:p>
        </w:tc>
      </w:tr>
      <w:tr>
        <w:trPr>
          <w:trHeight w:val="677"/>
        </w:trPr>
        <w:tc>
          <w:tcPr>
            <w:tcW w:w="3200" w:type="dxa"/>
            <w:vAlign w:val="bottom"/>
          </w:tcPr>
          <w:p>
            <w:pPr>
              <w:spacing w:after="0"/>
              <w:rPr>
                <w:sz w:val="24"/>
                <w:szCs w:val="24"/>
                <w:color w:val="auto"/>
              </w:rPr>
            </w:pPr>
          </w:p>
        </w:tc>
        <w:tc>
          <w:tcPr>
            <w:tcW w:w="4800" w:type="dxa"/>
            <w:vAlign w:val="bottom"/>
            <w:gridSpan w:val="3"/>
          </w:tcPr>
          <w:p>
            <w:pPr>
              <w:ind w:left="1020"/>
              <w:spacing w:after="0"/>
              <w:rPr>
                <w:sz w:val="20"/>
                <w:szCs w:val="20"/>
                <w:color w:val="auto"/>
              </w:rPr>
            </w:pPr>
            <w:r>
              <w:rPr>
                <w:rFonts w:ascii="Times New Roman" w:cs="Times New Roman" w:eastAsia="Times New Roman" w:hAnsi="Times New Roman"/>
                <w:sz w:val="22"/>
                <w:szCs w:val="22"/>
                <w:color w:val="auto"/>
              </w:rPr>
              <w:t>By: /s/ Jennifer Martin</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340" w:type="dxa"/>
            <w:vAlign w:val="bottom"/>
            <w:vMerge w:val="restart"/>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82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3200" w:type="dxa"/>
            <w:vAlign w:val="bottom"/>
          </w:tcPr>
          <w:p>
            <w:pPr>
              <w:spacing w:after="0"/>
              <w:rPr>
                <w:sz w:val="23"/>
                <w:szCs w:val="23"/>
                <w:color w:val="auto"/>
              </w:rPr>
            </w:pPr>
          </w:p>
        </w:tc>
        <w:tc>
          <w:tcPr>
            <w:tcW w:w="1340" w:type="dxa"/>
            <w:vAlign w:val="bottom"/>
            <w:vMerge w:val="continue"/>
          </w:tcPr>
          <w:p>
            <w:pPr>
              <w:spacing w:after="0"/>
              <w:rPr>
                <w:sz w:val="23"/>
                <w:szCs w:val="23"/>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Jennifer Martin, Chief Financial Officer</w:t>
            </w:r>
          </w:p>
        </w:tc>
        <w:tc>
          <w:tcPr>
            <w:tcW w:w="0" w:type="dxa"/>
            <w:vAlign w:val="bottom"/>
          </w:tcPr>
          <w:p>
            <w:pPr>
              <w:spacing w:after="0"/>
              <w:rPr>
                <w:sz w:val="1"/>
                <w:szCs w:val="1"/>
                <w:color w:val="auto"/>
              </w:rPr>
            </w:pPr>
          </w:p>
        </w:tc>
      </w:tr>
      <w:tr>
        <w:trPr>
          <w:trHeight w:val="729"/>
        </w:trPr>
        <w:tc>
          <w:tcPr>
            <w:tcW w:w="3200" w:type="dxa"/>
            <w:vAlign w:val="bottom"/>
          </w:tcPr>
          <w:p>
            <w:pPr>
              <w:spacing w:after="0"/>
              <w:rPr>
                <w:sz w:val="20"/>
                <w:szCs w:val="20"/>
                <w:color w:val="auto"/>
              </w:rPr>
            </w:pPr>
            <w:r>
              <w:rPr>
                <w:rFonts w:ascii="Times New Roman" w:cs="Times New Roman" w:eastAsia="Times New Roman" w:hAnsi="Times New Roman"/>
                <w:sz w:val="22"/>
                <w:szCs w:val="22"/>
                <w:color w:val="auto"/>
              </w:rPr>
              <w:t>Date: November 2, 2026</w:t>
            </w:r>
          </w:p>
        </w:tc>
        <w:tc>
          <w:tcPr>
            <w:tcW w:w="4800" w:type="dxa"/>
            <w:vAlign w:val="bottom"/>
            <w:gridSpan w:val="3"/>
          </w:tcPr>
          <w:p>
            <w:pPr>
              <w:ind w:left="1000"/>
              <w:spacing w:after="0"/>
              <w:rPr>
                <w:sz w:val="20"/>
                <w:szCs w:val="20"/>
                <w:color w:val="auto"/>
              </w:rPr>
            </w:pPr>
            <w:r>
              <w:rPr>
                <w:rFonts w:ascii="Times New Roman" w:cs="Times New Roman" w:eastAsia="Times New Roman" w:hAnsi="Times New Roman"/>
                <w:sz w:val="22"/>
                <w:szCs w:val="22"/>
                <w:b w:val="1"/>
                <w:bCs w:val="1"/>
                <w:color w:val="auto"/>
              </w:rPr>
              <w:t>FHMLSP, L.L.C.</w:t>
            </w:r>
          </w:p>
        </w:tc>
        <w:tc>
          <w:tcPr>
            <w:tcW w:w="0" w:type="dxa"/>
            <w:vAlign w:val="bottom"/>
          </w:tcPr>
          <w:p>
            <w:pPr>
              <w:spacing w:after="0"/>
              <w:rPr>
                <w:sz w:val="1"/>
                <w:szCs w:val="1"/>
                <w:color w:val="auto"/>
              </w:rPr>
            </w:pPr>
          </w:p>
        </w:tc>
      </w:tr>
      <w:tr>
        <w:trPr>
          <w:trHeight w:val="677"/>
        </w:trPr>
        <w:tc>
          <w:tcPr>
            <w:tcW w:w="3200" w:type="dxa"/>
            <w:vAlign w:val="bottom"/>
          </w:tcPr>
          <w:p>
            <w:pPr>
              <w:spacing w:after="0"/>
              <w:rPr>
                <w:sz w:val="24"/>
                <w:szCs w:val="24"/>
                <w:color w:val="auto"/>
              </w:rPr>
            </w:pPr>
          </w:p>
        </w:tc>
        <w:tc>
          <w:tcPr>
            <w:tcW w:w="4800" w:type="dxa"/>
            <w:vAlign w:val="bottom"/>
            <w:gridSpan w:val="3"/>
          </w:tcPr>
          <w:p>
            <w:pPr>
              <w:ind w:left="1020"/>
              <w:spacing w:after="0"/>
              <w:rPr>
                <w:sz w:val="20"/>
                <w:szCs w:val="20"/>
                <w:color w:val="auto"/>
              </w:rPr>
            </w:pPr>
            <w:r>
              <w:rPr>
                <w:rFonts w:ascii="Times New Roman" w:cs="Times New Roman" w:eastAsia="Times New Roman" w:hAnsi="Times New Roman"/>
                <w:sz w:val="22"/>
                <w:szCs w:val="22"/>
                <w:color w:val="auto"/>
              </w:rPr>
              <w:t>By: /s/ Jennifer Martin</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340" w:type="dxa"/>
            <w:vAlign w:val="bottom"/>
            <w:vMerge w:val="restart"/>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82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3200" w:type="dxa"/>
            <w:vAlign w:val="bottom"/>
          </w:tcPr>
          <w:p>
            <w:pPr>
              <w:spacing w:after="0"/>
              <w:rPr>
                <w:sz w:val="23"/>
                <w:szCs w:val="23"/>
                <w:color w:val="auto"/>
              </w:rPr>
            </w:pPr>
          </w:p>
        </w:tc>
        <w:tc>
          <w:tcPr>
            <w:tcW w:w="1340" w:type="dxa"/>
            <w:vAlign w:val="bottom"/>
            <w:vMerge w:val="continue"/>
          </w:tcPr>
          <w:p>
            <w:pPr>
              <w:spacing w:after="0"/>
              <w:rPr>
                <w:sz w:val="23"/>
                <w:szCs w:val="23"/>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Jennifer Martin, Chief Financial Officer</w:t>
            </w:r>
          </w:p>
        </w:tc>
        <w:tc>
          <w:tcPr>
            <w:tcW w:w="0" w:type="dxa"/>
            <w:vAlign w:val="bottom"/>
          </w:tcPr>
          <w:p>
            <w:pPr>
              <w:spacing w:after="0"/>
              <w:rPr>
                <w:sz w:val="1"/>
                <w:szCs w:val="1"/>
                <w:color w:val="auto"/>
              </w:rPr>
            </w:pPr>
          </w:p>
        </w:tc>
      </w:tr>
      <w:tr>
        <w:trPr>
          <w:trHeight w:val="689"/>
        </w:trPr>
        <w:tc>
          <w:tcPr>
            <w:tcW w:w="3200" w:type="dxa"/>
            <w:vAlign w:val="bottom"/>
          </w:tcPr>
          <w:p>
            <w:pPr>
              <w:spacing w:after="0"/>
              <w:rPr>
                <w:sz w:val="20"/>
                <w:szCs w:val="20"/>
                <w:color w:val="auto"/>
              </w:rPr>
            </w:pPr>
            <w:r>
              <w:rPr>
                <w:rFonts w:ascii="Times New Roman" w:cs="Times New Roman" w:eastAsia="Times New Roman" w:hAnsi="Times New Roman"/>
                <w:sz w:val="22"/>
                <w:szCs w:val="22"/>
                <w:color w:val="auto"/>
              </w:rPr>
              <w:t>Date: November 2, 2026</w:t>
            </w:r>
          </w:p>
        </w:tc>
        <w:tc>
          <w:tcPr>
            <w:tcW w:w="4800" w:type="dxa"/>
            <w:vAlign w:val="bottom"/>
            <w:gridSpan w:val="3"/>
          </w:tcPr>
          <w:p>
            <w:pPr>
              <w:ind w:left="1000"/>
              <w:spacing w:after="0"/>
              <w:rPr>
                <w:sz w:val="20"/>
                <w:szCs w:val="20"/>
                <w:color w:val="auto"/>
              </w:rPr>
            </w:pPr>
            <w:r>
              <w:rPr>
                <w:rFonts w:ascii="Times New Roman" w:cs="Times New Roman" w:eastAsia="Times New Roman" w:hAnsi="Times New Roman"/>
                <w:sz w:val="22"/>
                <w:szCs w:val="22"/>
                <w:b w:val="1"/>
                <w:bCs w:val="1"/>
                <w:color w:val="auto"/>
              </w:rPr>
              <w:t>FRAZIER LIFE SCIENCES IX, L.P.</w:t>
            </w:r>
          </w:p>
        </w:tc>
        <w:tc>
          <w:tcPr>
            <w:tcW w:w="0" w:type="dxa"/>
            <w:vAlign w:val="bottom"/>
          </w:tcPr>
          <w:p>
            <w:pPr>
              <w:spacing w:after="0"/>
              <w:rPr>
                <w:sz w:val="1"/>
                <w:szCs w:val="1"/>
                <w:color w:val="auto"/>
              </w:rPr>
            </w:pPr>
          </w:p>
        </w:tc>
      </w:tr>
      <w:tr>
        <w:trPr>
          <w:trHeight w:val="243"/>
        </w:trPr>
        <w:tc>
          <w:tcPr>
            <w:tcW w:w="3200" w:type="dxa"/>
            <w:vAlign w:val="bottom"/>
          </w:tcPr>
          <w:p>
            <w:pPr>
              <w:spacing w:after="0"/>
              <w:rPr>
                <w:sz w:val="21"/>
                <w:szCs w:val="21"/>
                <w:color w:val="auto"/>
              </w:rPr>
            </w:pPr>
          </w:p>
        </w:tc>
        <w:tc>
          <w:tcPr>
            <w:tcW w:w="4800" w:type="dxa"/>
            <w:vAlign w:val="bottom"/>
            <w:gridSpan w:val="3"/>
          </w:tcPr>
          <w:p>
            <w:pPr>
              <w:ind w:left="1020"/>
              <w:spacing w:after="0" w:line="243" w:lineRule="exact"/>
              <w:rPr>
                <w:sz w:val="20"/>
                <w:szCs w:val="20"/>
                <w:color w:val="auto"/>
              </w:rPr>
            </w:pPr>
            <w:r>
              <w:rPr>
                <w:rFonts w:ascii="Times New Roman" w:cs="Times New Roman" w:eastAsia="Times New Roman" w:hAnsi="Times New Roman"/>
                <w:sz w:val="22"/>
                <w:szCs w:val="22"/>
                <w:color w:val="auto"/>
              </w:rPr>
              <w:t>By: FHMLS IX, L.P., its General Partner</w:t>
            </w:r>
          </w:p>
        </w:tc>
        <w:tc>
          <w:tcPr>
            <w:tcW w:w="0" w:type="dxa"/>
            <w:vAlign w:val="bottom"/>
          </w:tcPr>
          <w:p>
            <w:pPr>
              <w:spacing w:after="0"/>
              <w:rPr>
                <w:sz w:val="1"/>
                <w:szCs w:val="1"/>
                <w:color w:val="auto"/>
              </w:rPr>
            </w:pPr>
          </w:p>
        </w:tc>
      </w:tr>
      <w:tr>
        <w:trPr>
          <w:trHeight w:val="282"/>
        </w:trPr>
        <w:tc>
          <w:tcPr>
            <w:tcW w:w="3200" w:type="dxa"/>
            <w:vAlign w:val="bottom"/>
          </w:tcPr>
          <w:p>
            <w:pPr>
              <w:spacing w:after="0"/>
              <w:rPr>
                <w:sz w:val="24"/>
                <w:szCs w:val="24"/>
                <w:color w:val="auto"/>
              </w:rPr>
            </w:pPr>
          </w:p>
        </w:tc>
        <w:tc>
          <w:tcPr>
            <w:tcW w:w="4800" w:type="dxa"/>
            <w:vAlign w:val="bottom"/>
            <w:gridSpan w:val="3"/>
          </w:tcPr>
          <w:p>
            <w:pPr>
              <w:ind w:left="1020"/>
              <w:spacing w:after="0"/>
              <w:rPr>
                <w:sz w:val="20"/>
                <w:szCs w:val="20"/>
                <w:color w:val="auto"/>
              </w:rPr>
            </w:pPr>
            <w:r>
              <w:rPr>
                <w:rFonts w:ascii="Times New Roman" w:cs="Times New Roman" w:eastAsia="Times New Roman" w:hAnsi="Times New Roman"/>
                <w:sz w:val="22"/>
                <w:szCs w:val="22"/>
                <w:color w:val="auto"/>
                <w:w w:val="97"/>
              </w:rPr>
              <w:t>By: FHMLS IX, L.L.C., its General Partner</w:t>
            </w:r>
          </w:p>
        </w:tc>
        <w:tc>
          <w:tcPr>
            <w:tcW w:w="0" w:type="dxa"/>
            <w:vAlign w:val="bottom"/>
          </w:tcPr>
          <w:p>
            <w:pPr>
              <w:spacing w:after="0"/>
              <w:rPr>
                <w:sz w:val="1"/>
                <w:szCs w:val="1"/>
                <w:color w:val="auto"/>
              </w:rPr>
            </w:pPr>
          </w:p>
        </w:tc>
      </w:tr>
      <w:tr>
        <w:trPr>
          <w:trHeight w:val="434"/>
        </w:trPr>
        <w:tc>
          <w:tcPr>
            <w:tcW w:w="3200" w:type="dxa"/>
            <w:vAlign w:val="bottom"/>
          </w:tcPr>
          <w:p>
            <w:pPr>
              <w:spacing w:after="0"/>
              <w:rPr>
                <w:sz w:val="24"/>
                <w:szCs w:val="24"/>
                <w:color w:val="auto"/>
              </w:rPr>
            </w:pPr>
          </w:p>
        </w:tc>
        <w:tc>
          <w:tcPr>
            <w:tcW w:w="4800" w:type="dxa"/>
            <w:vAlign w:val="bottom"/>
            <w:gridSpan w:val="3"/>
          </w:tcPr>
          <w:p>
            <w:pPr>
              <w:ind w:left="1020"/>
              <w:spacing w:after="0"/>
              <w:rPr>
                <w:sz w:val="20"/>
                <w:szCs w:val="20"/>
                <w:color w:val="auto"/>
              </w:rPr>
            </w:pPr>
            <w:r>
              <w:rPr>
                <w:rFonts w:ascii="Times New Roman" w:cs="Times New Roman" w:eastAsia="Times New Roman" w:hAnsi="Times New Roman"/>
                <w:sz w:val="22"/>
                <w:szCs w:val="22"/>
                <w:color w:val="auto"/>
              </w:rPr>
              <w:t>By: /s/ Jennifer Martin</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340" w:type="dxa"/>
            <w:vAlign w:val="bottom"/>
            <w:vMerge w:val="restart"/>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82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3200" w:type="dxa"/>
            <w:vAlign w:val="bottom"/>
          </w:tcPr>
          <w:p>
            <w:pPr>
              <w:spacing w:after="0"/>
              <w:rPr>
                <w:sz w:val="23"/>
                <w:szCs w:val="23"/>
                <w:color w:val="auto"/>
              </w:rPr>
            </w:pPr>
          </w:p>
        </w:tc>
        <w:tc>
          <w:tcPr>
            <w:tcW w:w="1340" w:type="dxa"/>
            <w:vAlign w:val="bottom"/>
            <w:vMerge w:val="continue"/>
          </w:tcPr>
          <w:p>
            <w:pPr>
              <w:spacing w:after="0"/>
              <w:rPr>
                <w:sz w:val="23"/>
                <w:szCs w:val="23"/>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Jennifer Martin, Chief Financial Officer</w:t>
            </w:r>
          </w:p>
        </w:tc>
        <w:tc>
          <w:tcPr>
            <w:tcW w:w="0" w:type="dxa"/>
            <w:vAlign w:val="bottom"/>
          </w:tcPr>
          <w:p>
            <w:pPr>
              <w:spacing w:after="0"/>
              <w:rPr>
                <w:sz w:val="1"/>
                <w:szCs w:val="1"/>
                <w:color w:val="auto"/>
              </w:rPr>
            </w:pPr>
          </w:p>
        </w:tc>
      </w:tr>
      <w:tr>
        <w:trPr>
          <w:trHeight w:val="689"/>
        </w:trPr>
        <w:tc>
          <w:tcPr>
            <w:tcW w:w="3200" w:type="dxa"/>
            <w:vAlign w:val="bottom"/>
          </w:tcPr>
          <w:p>
            <w:pPr>
              <w:spacing w:after="0"/>
              <w:rPr>
                <w:sz w:val="20"/>
                <w:szCs w:val="20"/>
                <w:color w:val="auto"/>
              </w:rPr>
            </w:pPr>
            <w:r>
              <w:rPr>
                <w:rFonts w:ascii="Times New Roman" w:cs="Times New Roman" w:eastAsia="Times New Roman" w:hAnsi="Times New Roman"/>
                <w:sz w:val="22"/>
                <w:szCs w:val="22"/>
                <w:color w:val="auto"/>
              </w:rPr>
              <w:t>Date: November 2, 2026</w:t>
            </w:r>
          </w:p>
        </w:tc>
        <w:tc>
          <w:tcPr>
            <w:tcW w:w="4800" w:type="dxa"/>
            <w:vAlign w:val="bottom"/>
            <w:gridSpan w:val="3"/>
          </w:tcPr>
          <w:p>
            <w:pPr>
              <w:ind w:left="1000"/>
              <w:spacing w:after="0"/>
              <w:rPr>
                <w:sz w:val="20"/>
                <w:szCs w:val="20"/>
                <w:color w:val="auto"/>
              </w:rPr>
            </w:pPr>
            <w:r>
              <w:rPr>
                <w:rFonts w:ascii="Times New Roman" w:cs="Times New Roman" w:eastAsia="Times New Roman" w:hAnsi="Times New Roman"/>
                <w:sz w:val="22"/>
                <w:szCs w:val="22"/>
                <w:b w:val="1"/>
                <w:bCs w:val="1"/>
                <w:color w:val="auto"/>
              </w:rPr>
              <w:t>FHMLS IX, L.P.</w:t>
            </w:r>
          </w:p>
        </w:tc>
        <w:tc>
          <w:tcPr>
            <w:tcW w:w="0" w:type="dxa"/>
            <w:vAlign w:val="bottom"/>
          </w:tcPr>
          <w:p>
            <w:pPr>
              <w:spacing w:after="0"/>
              <w:rPr>
                <w:sz w:val="1"/>
                <w:szCs w:val="1"/>
                <w:color w:val="auto"/>
              </w:rPr>
            </w:pPr>
          </w:p>
        </w:tc>
      </w:tr>
      <w:tr>
        <w:trPr>
          <w:trHeight w:val="282"/>
        </w:trPr>
        <w:tc>
          <w:tcPr>
            <w:tcW w:w="3200" w:type="dxa"/>
            <w:vAlign w:val="bottom"/>
          </w:tcPr>
          <w:p>
            <w:pPr>
              <w:spacing w:after="0"/>
              <w:rPr>
                <w:sz w:val="24"/>
                <w:szCs w:val="24"/>
                <w:color w:val="auto"/>
              </w:rPr>
            </w:pPr>
          </w:p>
        </w:tc>
        <w:tc>
          <w:tcPr>
            <w:tcW w:w="4800" w:type="dxa"/>
            <w:vAlign w:val="bottom"/>
            <w:gridSpan w:val="3"/>
          </w:tcPr>
          <w:p>
            <w:pPr>
              <w:ind w:left="1020"/>
              <w:spacing w:after="0"/>
              <w:rPr>
                <w:sz w:val="20"/>
                <w:szCs w:val="20"/>
                <w:color w:val="auto"/>
              </w:rPr>
            </w:pPr>
            <w:r>
              <w:rPr>
                <w:rFonts w:ascii="Times New Roman" w:cs="Times New Roman" w:eastAsia="Times New Roman" w:hAnsi="Times New Roman"/>
                <w:sz w:val="22"/>
                <w:szCs w:val="22"/>
                <w:color w:val="auto"/>
                <w:w w:val="97"/>
              </w:rPr>
              <w:t>By: FHMLS IX, L.L.C., its General Partner</w:t>
            </w:r>
          </w:p>
        </w:tc>
        <w:tc>
          <w:tcPr>
            <w:tcW w:w="0" w:type="dxa"/>
            <w:vAlign w:val="bottom"/>
          </w:tcPr>
          <w:p>
            <w:pPr>
              <w:spacing w:after="0"/>
              <w:rPr>
                <w:sz w:val="1"/>
                <w:szCs w:val="1"/>
                <w:color w:val="auto"/>
              </w:rPr>
            </w:pPr>
          </w:p>
        </w:tc>
      </w:tr>
      <w:tr>
        <w:trPr>
          <w:trHeight w:val="434"/>
        </w:trPr>
        <w:tc>
          <w:tcPr>
            <w:tcW w:w="3200" w:type="dxa"/>
            <w:vAlign w:val="bottom"/>
          </w:tcPr>
          <w:p>
            <w:pPr>
              <w:spacing w:after="0"/>
              <w:rPr>
                <w:sz w:val="24"/>
                <w:szCs w:val="24"/>
                <w:color w:val="auto"/>
              </w:rPr>
            </w:pPr>
          </w:p>
        </w:tc>
        <w:tc>
          <w:tcPr>
            <w:tcW w:w="4800" w:type="dxa"/>
            <w:vAlign w:val="bottom"/>
            <w:gridSpan w:val="3"/>
          </w:tcPr>
          <w:p>
            <w:pPr>
              <w:ind w:left="1020"/>
              <w:spacing w:after="0"/>
              <w:rPr>
                <w:sz w:val="20"/>
                <w:szCs w:val="20"/>
                <w:color w:val="auto"/>
              </w:rPr>
            </w:pPr>
            <w:r>
              <w:rPr>
                <w:rFonts w:ascii="Times New Roman" w:cs="Times New Roman" w:eastAsia="Times New Roman" w:hAnsi="Times New Roman"/>
                <w:sz w:val="22"/>
                <w:szCs w:val="22"/>
                <w:color w:val="auto"/>
              </w:rPr>
              <w:t>By: /s/ Jennifer Martin</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82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Financial Officer</w:t>
            </w:r>
          </w:p>
        </w:tc>
        <w:tc>
          <w:tcPr>
            <w:tcW w:w="0" w:type="dxa"/>
            <w:vAlign w:val="bottom"/>
          </w:tcPr>
          <w:p>
            <w:pPr>
              <w:spacing w:after="0" w:line="20" w:lineRule="exact"/>
              <w:rPr>
                <w:sz w:val="1"/>
                <w:szCs w:val="1"/>
                <w:color w:val="auto"/>
              </w:rPr>
            </w:pPr>
          </w:p>
        </w:tc>
      </w:tr>
      <w:tr>
        <w:trPr>
          <w:trHeight w:val="276"/>
        </w:trPr>
        <w:tc>
          <w:tcPr>
            <w:tcW w:w="3200" w:type="dxa"/>
            <w:vAlign w:val="bottom"/>
          </w:tcPr>
          <w:p>
            <w:pPr>
              <w:spacing w:after="0"/>
              <w:rPr>
                <w:sz w:val="23"/>
                <w:szCs w:val="23"/>
                <w:color w:val="auto"/>
              </w:rPr>
            </w:pPr>
          </w:p>
        </w:tc>
        <w:tc>
          <w:tcPr>
            <w:tcW w:w="2980" w:type="dxa"/>
            <w:vAlign w:val="bottom"/>
            <w:gridSpan w:val="2"/>
          </w:tcPr>
          <w:p>
            <w:pPr>
              <w:ind w:left="1020"/>
              <w:spacing w:after="0"/>
              <w:rPr>
                <w:sz w:val="20"/>
                <w:szCs w:val="20"/>
                <w:color w:val="auto"/>
              </w:rPr>
            </w:pPr>
            <w:r>
              <w:rPr>
                <w:rFonts w:ascii="Times New Roman" w:cs="Times New Roman" w:eastAsia="Times New Roman" w:hAnsi="Times New Roman"/>
                <w:sz w:val="22"/>
                <w:szCs w:val="22"/>
                <w:color w:val="auto"/>
                <w:w w:val="97"/>
              </w:rPr>
              <w:t>Jennifer Martin, Chief</w:t>
            </w:r>
          </w:p>
        </w:tc>
        <w:tc>
          <w:tcPr>
            <w:tcW w:w="18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729"/>
        </w:trPr>
        <w:tc>
          <w:tcPr>
            <w:tcW w:w="3200" w:type="dxa"/>
            <w:vAlign w:val="bottom"/>
          </w:tcPr>
          <w:p>
            <w:pPr>
              <w:spacing w:after="0"/>
              <w:rPr>
                <w:sz w:val="20"/>
                <w:szCs w:val="20"/>
                <w:color w:val="auto"/>
              </w:rPr>
            </w:pPr>
            <w:r>
              <w:rPr>
                <w:rFonts w:ascii="Times New Roman" w:cs="Times New Roman" w:eastAsia="Times New Roman" w:hAnsi="Times New Roman"/>
                <w:sz w:val="22"/>
                <w:szCs w:val="22"/>
                <w:color w:val="auto"/>
              </w:rPr>
              <w:t>Date: November 2, 2026</w:t>
            </w:r>
          </w:p>
        </w:tc>
        <w:tc>
          <w:tcPr>
            <w:tcW w:w="4800" w:type="dxa"/>
            <w:vAlign w:val="bottom"/>
            <w:gridSpan w:val="3"/>
          </w:tcPr>
          <w:p>
            <w:pPr>
              <w:ind w:left="1000"/>
              <w:spacing w:after="0"/>
              <w:rPr>
                <w:sz w:val="20"/>
                <w:szCs w:val="20"/>
                <w:color w:val="auto"/>
              </w:rPr>
            </w:pPr>
            <w:r>
              <w:rPr>
                <w:rFonts w:ascii="Times New Roman" w:cs="Times New Roman" w:eastAsia="Times New Roman" w:hAnsi="Times New Roman"/>
                <w:sz w:val="22"/>
                <w:szCs w:val="22"/>
                <w:b w:val="1"/>
                <w:bCs w:val="1"/>
                <w:color w:val="auto"/>
              </w:rPr>
              <w:t>FHMLS IX, L.L.C.</w:t>
            </w:r>
          </w:p>
        </w:tc>
        <w:tc>
          <w:tcPr>
            <w:tcW w:w="0" w:type="dxa"/>
            <w:vAlign w:val="bottom"/>
          </w:tcPr>
          <w:p>
            <w:pPr>
              <w:spacing w:after="0"/>
              <w:rPr>
                <w:sz w:val="1"/>
                <w:szCs w:val="1"/>
                <w:color w:val="auto"/>
              </w:rPr>
            </w:pPr>
          </w:p>
        </w:tc>
      </w:tr>
      <w:tr>
        <w:trPr>
          <w:trHeight w:val="434"/>
        </w:trPr>
        <w:tc>
          <w:tcPr>
            <w:tcW w:w="3200" w:type="dxa"/>
            <w:vAlign w:val="bottom"/>
          </w:tcPr>
          <w:p>
            <w:pPr>
              <w:spacing w:after="0"/>
              <w:rPr>
                <w:sz w:val="24"/>
                <w:szCs w:val="24"/>
                <w:color w:val="auto"/>
              </w:rPr>
            </w:pPr>
          </w:p>
        </w:tc>
        <w:tc>
          <w:tcPr>
            <w:tcW w:w="4800" w:type="dxa"/>
            <w:vAlign w:val="bottom"/>
            <w:gridSpan w:val="3"/>
          </w:tcPr>
          <w:p>
            <w:pPr>
              <w:ind w:left="1020"/>
              <w:spacing w:after="0"/>
              <w:rPr>
                <w:sz w:val="20"/>
                <w:szCs w:val="20"/>
                <w:color w:val="auto"/>
              </w:rPr>
            </w:pPr>
            <w:r>
              <w:rPr>
                <w:rFonts w:ascii="Times New Roman" w:cs="Times New Roman" w:eastAsia="Times New Roman" w:hAnsi="Times New Roman"/>
                <w:sz w:val="22"/>
                <w:szCs w:val="22"/>
                <w:color w:val="auto"/>
              </w:rPr>
              <w:t>By: /s/ Jennifer Martin</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82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Financial Officer</w:t>
            </w:r>
          </w:p>
        </w:tc>
        <w:tc>
          <w:tcPr>
            <w:tcW w:w="0" w:type="dxa"/>
            <w:vAlign w:val="bottom"/>
          </w:tcPr>
          <w:p>
            <w:pPr>
              <w:spacing w:after="0" w:line="20" w:lineRule="exact"/>
              <w:rPr>
                <w:sz w:val="1"/>
                <w:szCs w:val="1"/>
                <w:color w:val="auto"/>
              </w:rPr>
            </w:pPr>
          </w:p>
        </w:tc>
      </w:tr>
      <w:tr>
        <w:trPr>
          <w:trHeight w:val="276"/>
        </w:trPr>
        <w:tc>
          <w:tcPr>
            <w:tcW w:w="3200" w:type="dxa"/>
            <w:vAlign w:val="bottom"/>
          </w:tcPr>
          <w:p>
            <w:pPr>
              <w:spacing w:after="0"/>
              <w:rPr>
                <w:sz w:val="23"/>
                <w:szCs w:val="23"/>
                <w:color w:val="auto"/>
              </w:rPr>
            </w:pPr>
          </w:p>
        </w:tc>
        <w:tc>
          <w:tcPr>
            <w:tcW w:w="2980" w:type="dxa"/>
            <w:vAlign w:val="bottom"/>
            <w:gridSpan w:val="2"/>
          </w:tcPr>
          <w:p>
            <w:pPr>
              <w:ind w:left="1020"/>
              <w:spacing w:after="0"/>
              <w:rPr>
                <w:sz w:val="20"/>
                <w:szCs w:val="20"/>
                <w:color w:val="auto"/>
              </w:rPr>
            </w:pPr>
            <w:r>
              <w:rPr>
                <w:rFonts w:ascii="Times New Roman" w:cs="Times New Roman" w:eastAsia="Times New Roman" w:hAnsi="Times New Roman"/>
                <w:sz w:val="22"/>
                <w:szCs w:val="22"/>
                <w:color w:val="auto"/>
                <w:w w:val="97"/>
              </w:rPr>
              <w:t>Jennifer Martin, Chief</w:t>
            </w:r>
          </w:p>
        </w:tc>
        <w:tc>
          <w:tcPr>
            <w:tcW w:w="18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932"/>
        </w:trPr>
        <w:tc>
          <w:tcPr>
            <w:tcW w:w="3200" w:type="dxa"/>
            <w:vAlign w:val="bottom"/>
          </w:tcPr>
          <w:p>
            <w:pPr>
              <w:spacing w:after="0"/>
              <w:rPr>
                <w:sz w:val="20"/>
                <w:szCs w:val="20"/>
                <w:color w:val="auto"/>
              </w:rPr>
            </w:pPr>
            <w:r>
              <w:rPr>
                <w:rFonts w:ascii="Times New Roman" w:cs="Times New Roman" w:eastAsia="Times New Roman" w:hAnsi="Times New Roman"/>
                <w:sz w:val="22"/>
                <w:szCs w:val="22"/>
                <w:color w:val="auto"/>
              </w:rPr>
              <w:t>Date: November 2, 2026</w:t>
            </w:r>
          </w:p>
        </w:tc>
        <w:tc>
          <w:tcPr>
            <w:tcW w:w="4800" w:type="dxa"/>
            <w:vAlign w:val="bottom"/>
            <w:gridSpan w:val="3"/>
          </w:tcPr>
          <w:p>
            <w:pPr>
              <w:ind w:left="1000"/>
              <w:spacing w:after="0"/>
              <w:rPr>
                <w:sz w:val="20"/>
                <w:szCs w:val="20"/>
                <w:color w:val="auto"/>
              </w:rPr>
            </w:pPr>
            <w:r>
              <w:rPr>
                <w:rFonts w:ascii="Times New Roman" w:cs="Times New Roman" w:eastAsia="Times New Roman" w:hAnsi="Times New Roman"/>
                <w:sz w:val="22"/>
                <w:szCs w:val="22"/>
                <w:b w:val="1"/>
                <w:bCs w:val="1"/>
                <w:color w:val="auto"/>
              </w:rPr>
              <w:t>FRAZIER LIFE SCIENCES X, L.P.</w:t>
            </w:r>
          </w:p>
        </w:tc>
        <w:tc>
          <w:tcPr>
            <w:tcW w:w="0" w:type="dxa"/>
            <w:vAlign w:val="bottom"/>
          </w:tcPr>
          <w:p>
            <w:pPr>
              <w:spacing w:after="0"/>
              <w:rPr>
                <w:sz w:val="1"/>
                <w:szCs w:val="1"/>
                <w:color w:val="auto"/>
              </w:rPr>
            </w:pPr>
          </w:p>
        </w:tc>
      </w:tr>
      <w:tr>
        <w:trPr>
          <w:trHeight w:val="243"/>
        </w:trPr>
        <w:tc>
          <w:tcPr>
            <w:tcW w:w="3200" w:type="dxa"/>
            <w:vAlign w:val="bottom"/>
          </w:tcPr>
          <w:p>
            <w:pPr>
              <w:spacing w:after="0"/>
              <w:rPr>
                <w:sz w:val="21"/>
                <w:szCs w:val="21"/>
                <w:color w:val="auto"/>
              </w:rPr>
            </w:pPr>
          </w:p>
        </w:tc>
        <w:tc>
          <w:tcPr>
            <w:tcW w:w="4800" w:type="dxa"/>
            <w:vAlign w:val="bottom"/>
            <w:gridSpan w:val="3"/>
          </w:tcPr>
          <w:p>
            <w:pPr>
              <w:ind w:left="1020"/>
              <w:spacing w:after="0" w:line="243" w:lineRule="exact"/>
              <w:rPr>
                <w:sz w:val="20"/>
                <w:szCs w:val="20"/>
                <w:color w:val="auto"/>
              </w:rPr>
            </w:pPr>
            <w:r>
              <w:rPr>
                <w:rFonts w:ascii="Times New Roman" w:cs="Times New Roman" w:eastAsia="Times New Roman" w:hAnsi="Times New Roman"/>
                <w:sz w:val="22"/>
                <w:szCs w:val="22"/>
                <w:color w:val="auto"/>
              </w:rPr>
              <w:t>By: FHMLS X, L.P., its General Partner</w:t>
            </w:r>
          </w:p>
        </w:tc>
        <w:tc>
          <w:tcPr>
            <w:tcW w:w="0" w:type="dxa"/>
            <w:vAlign w:val="bottom"/>
          </w:tcPr>
          <w:p>
            <w:pPr>
              <w:spacing w:after="0"/>
              <w:rPr>
                <w:sz w:val="1"/>
                <w:szCs w:val="1"/>
                <w:color w:val="auto"/>
              </w:rPr>
            </w:pPr>
          </w:p>
        </w:tc>
      </w:tr>
      <w:tr>
        <w:trPr>
          <w:trHeight w:val="282"/>
        </w:trPr>
        <w:tc>
          <w:tcPr>
            <w:tcW w:w="3200" w:type="dxa"/>
            <w:vAlign w:val="bottom"/>
          </w:tcPr>
          <w:p>
            <w:pPr>
              <w:spacing w:after="0"/>
              <w:rPr>
                <w:sz w:val="24"/>
                <w:szCs w:val="24"/>
                <w:color w:val="auto"/>
              </w:rPr>
            </w:pPr>
          </w:p>
        </w:tc>
        <w:tc>
          <w:tcPr>
            <w:tcW w:w="4800" w:type="dxa"/>
            <w:vAlign w:val="bottom"/>
            <w:gridSpan w:val="3"/>
          </w:tcPr>
          <w:p>
            <w:pPr>
              <w:ind w:left="1020"/>
              <w:spacing w:after="0"/>
              <w:rPr>
                <w:sz w:val="20"/>
                <w:szCs w:val="20"/>
                <w:color w:val="auto"/>
              </w:rPr>
            </w:pPr>
            <w:r>
              <w:rPr>
                <w:rFonts w:ascii="Times New Roman" w:cs="Times New Roman" w:eastAsia="Times New Roman" w:hAnsi="Times New Roman"/>
                <w:sz w:val="22"/>
                <w:szCs w:val="22"/>
                <w:color w:val="auto"/>
                <w:w w:val="99"/>
              </w:rPr>
              <w:t>By: FHMLS X, L.L.C., its General Partner</w:t>
            </w:r>
          </w:p>
        </w:tc>
        <w:tc>
          <w:tcPr>
            <w:tcW w:w="0" w:type="dxa"/>
            <w:vAlign w:val="bottom"/>
          </w:tcPr>
          <w:p>
            <w:pPr>
              <w:spacing w:after="0"/>
              <w:rPr>
                <w:sz w:val="1"/>
                <w:szCs w:val="1"/>
                <w:color w:val="auto"/>
              </w:rPr>
            </w:pPr>
          </w:p>
        </w:tc>
      </w:tr>
      <w:tr>
        <w:trPr>
          <w:trHeight w:val="433"/>
        </w:trPr>
        <w:tc>
          <w:tcPr>
            <w:tcW w:w="3200" w:type="dxa"/>
            <w:vAlign w:val="bottom"/>
          </w:tcPr>
          <w:p>
            <w:pPr>
              <w:spacing w:after="0"/>
              <w:rPr>
                <w:sz w:val="24"/>
                <w:szCs w:val="24"/>
                <w:color w:val="auto"/>
              </w:rPr>
            </w:pPr>
          </w:p>
        </w:tc>
        <w:tc>
          <w:tcPr>
            <w:tcW w:w="4800" w:type="dxa"/>
            <w:vAlign w:val="bottom"/>
            <w:gridSpan w:val="3"/>
          </w:tcPr>
          <w:p>
            <w:pPr>
              <w:ind w:left="1020"/>
              <w:spacing w:after="0"/>
              <w:rPr>
                <w:sz w:val="20"/>
                <w:szCs w:val="20"/>
                <w:color w:val="auto"/>
              </w:rPr>
            </w:pPr>
            <w:r>
              <w:rPr>
                <w:rFonts w:ascii="Times New Roman" w:cs="Times New Roman" w:eastAsia="Times New Roman" w:hAnsi="Times New Roman"/>
                <w:sz w:val="22"/>
                <w:szCs w:val="22"/>
                <w:color w:val="auto"/>
              </w:rPr>
              <w:t>By: /s/ Jennifer Martin</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340" w:type="dxa"/>
            <w:vAlign w:val="bottom"/>
            <w:vMerge w:val="restart"/>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82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3200" w:type="dxa"/>
            <w:vAlign w:val="bottom"/>
          </w:tcPr>
          <w:p>
            <w:pPr>
              <w:spacing w:after="0"/>
              <w:rPr>
                <w:sz w:val="23"/>
                <w:szCs w:val="23"/>
                <w:color w:val="auto"/>
              </w:rPr>
            </w:pPr>
          </w:p>
        </w:tc>
        <w:tc>
          <w:tcPr>
            <w:tcW w:w="1340" w:type="dxa"/>
            <w:vAlign w:val="bottom"/>
            <w:vMerge w:val="continue"/>
          </w:tcPr>
          <w:p>
            <w:pPr>
              <w:spacing w:after="0"/>
              <w:rPr>
                <w:sz w:val="23"/>
                <w:szCs w:val="23"/>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Jennifer Martin, Chief Financial Officer</w:t>
            </w:r>
          </w:p>
        </w:tc>
        <w:tc>
          <w:tcPr>
            <w:tcW w:w="0" w:type="dxa"/>
            <w:vAlign w:val="bottom"/>
          </w:tcPr>
          <w:p>
            <w:pPr>
              <w:spacing w:after="0"/>
              <w:rPr>
                <w:sz w:val="1"/>
                <w:szCs w:val="1"/>
                <w:color w:val="auto"/>
              </w:rPr>
            </w:pPr>
          </w:p>
        </w:tc>
      </w:tr>
      <w:tr>
        <w:trPr>
          <w:trHeight w:val="689"/>
        </w:trPr>
        <w:tc>
          <w:tcPr>
            <w:tcW w:w="3200" w:type="dxa"/>
            <w:vAlign w:val="bottom"/>
          </w:tcPr>
          <w:p>
            <w:pPr>
              <w:spacing w:after="0"/>
              <w:rPr>
                <w:sz w:val="20"/>
                <w:szCs w:val="20"/>
                <w:color w:val="auto"/>
              </w:rPr>
            </w:pPr>
            <w:r>
              <w:rPr>
                <w:rFonts w:ascii="Times New Roman" w:cs="Times New Roman" w:eastAsia="Times New Roman" w:hAnsi="Times New Roman"/>
                <w:sz w:val="22"/>
                <w:szCs w:val="22"/>
                <w:color w:val="auto"/>
              </w:rPr>
              <w:t>Date: November 2, 2026</w:t>
            </w:r>
          </w:p>
        </w:tc>
        <w:tc>
          <w:tcPr>
            <w:tcW w:w="4800" w:type="dxa"/>
            <w:vAlign w:val="bottom"/>
            <w:gridSpan w:val="3"/>
          </w:tcPr>
          <w:p>
            <w:pPr>
              <w:ind w:left="1000"/>
              <w:spacing w:after="0"/>
              <w:rPr>
                <w:sz w:val="20"/>
                <w:szCs w:val="20"/>
                <w:color w:val="auto"/>
              </w:rPr>
            </w:pPr>
            <w:r>
              <w:rPr>
                <w:rFonts w:ascii="Times New Roman" w:cs="Times New Roman" w:eastAsia="Times New Roman" w:hAnsi="Times New Roman"/>
                <w:sz w:val="22"/>
                <w:szCs w:val="22"/>
                <w:b w:val="1"/>
                <w:bCs w:val="1"/>
                <w:color w:val="auto"/>
              </w:rPr>
              <w:t>FHMLS X, L.P.</w:t>
            </w:r>
          </w:p>
        </w:tc>
        <w:tc>
          <w:tcPr>
            <w:tcW w:w="0" w:type="dxa"/>
            <w:vAlign w:val="bottom"/>
          </w:tcPr>
          <w:p>
            <w:pPr>
              <w:spacing w:after="0"/>
              <w:rPr>
                <w:sz w:val="1"/>
                <w:szCs w:val="1"/>
                <w:color w:val="auto"/>
              </w:rPr>
            </w:pPr>
          </w:p>
        </w:tc>
      </w:tr>
      <w:tr>
        <w:trPr>
          <w:trHeight w:val="282"/>
        </w:trPr>
        <w:tc>
          <w:tcPr>
            <w:tcW w:w="3200" w:type="dxa"/>
            <w:vAlign w:val="bottom"/>
          </w:tcPr>
          <w:p>
            <w:pPr>
              <w:spacing w:after="0"/>
              <w:rPr>
                <w:sz w:val="24"/>
                <w:szCs w:val="24"/>
                <w:color w:val="auto"/>
              </w:rPr>
            </w:pPr>
          </w:p>
        </w:tc>
        <w:tc>
          <w:tcPr>
            <w:tcW w:w="4800" w:type="dxa"/>
            <w:vAlign w:val="bottom"/>
            <w:gridSpan w:val="3"/>
          </w:tcPr>
          <w:p>
            <w:pPr>
              <w:ind w:left="1020"/>
              <w:spacing w:after="0"/>
              <w:rPr>
                <w:sz w:val="20"/>
                <w:szCs w:val="20"/>
                <w:color w:val="auto"/>
              </w:rPr>
            </w:pPr>
            <w:r>
              <w:rPr>
                <w:rFonts w:ascii="Times New Roman" w:cs="Times New Roman" w:eastAsia="Times New Roman" w:hAnsi="Times New Roman"/>
                <w:sz w:val="22"/>
                <w:szCs w:val="22"/>
                <w:color w:val="auto"/>
                <w:w w:val="99"/>
              </w:rPr>
              <w:t>By: FHMLS X, L.L.C., its General Partner</w:t>
            </w:r>
          </w:p>
        </w:tc>
        <w:tc>
          <w:tcPr>
            <w:tcW w:w="0" w:type="dxa"/>
            <w:vAlign w:val="bottom"/>
          </w:tcPr>
          <w:p>
            <w:pPr>
              <w:spacing w:after="0"/>
              <w:rPr>
                <w:sz w:val="1"/>
                <w:szCs w:val="1"/>
                <w:color w:val="auto"/>
              </w:rPr>
            </w:pPr>
          </w:p>
        </w:tc>
      </w:tr>
      <w:tr>
        <w:trPr>
          <w:trHeight w:val="433"/>
        </w:trPr>
        <w:tc>
          <w:tcPr>
            <w:tcW w:w="3200" w:type="dxa"/>
            <w:vAlign w:val="bottom"/>
          </w:tcPr>
          <w:p>
            <w:pPr>
              <w:spacing w:after="0"/>
              <w:rPr>
                <w:sz w:val="24"/>
                <w:szCs w:val="24"/>
                <w:color w:val="auto"/>
              </w:rPr>
            </w:pPr>
          </w:p>
        </w:tc>
        <w:tc>
          <w:tcPr>
            <w:tcW w:w="4800" w:type="dxa"/>
            <w:vAlign w:val="bottom"/>
            <w:gridSpan w:val="3"/>
          </w:tcPr>
          <w:p>
            <w:pPr>
              <w:ind w:left="1020"/>
              <w:spacing w:after="0"/>
              <w:rPr>
                <w:sz w:val="20"/>
                <w:szCs w:val="20"/>
                <w:color w:val="auto"/>
              </w:rPr>
            </w:pPr>
            <w:r>
              <w:rPr>
                <w:rFonts w:ascii="Times New Roman" w:cs="Times New Roman" w:eastAsia="Times New Roman" w:hAnsi="Times New Roman"/>
                <w:sz w:val="22"/>
                <w:szCs w:val="22"/>
                <w:color w:val="auto"/>
              </w:rPr>
              <w:t>By: /s/ Jennifer Martin</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82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Financial Officer</w:t>
            </w:r>
          </w:p>
        </w:tc>
        <w:tc>
          <w:tcPr>
            <w:tcW w:w="0" w:type="dxa"/>
            <w:vAlign w:val="bottom"/>
          </w:tcPr>
          <w:p>
            <w:pPr>
              <w:spacing w:after="0" w:line="20" w:lineRule="exact"/>
              <w:rPr>
                <w:sz w:val="1"/>
                <w:szCs w:val="1"/>
                <w:color w:val="auto"/>
              </w:rPr>
            </w:pPr>
          </w:p>
        </w:tc>
      </w:tr>
      <w:tr>
        <w:trPr>
          <w:trHeight w:val="276"/>
        </w:trPr>
        <w:tc>
          <w:tcPr>
            <w:tcW w:w="3200" w:type="dxa"/>
            <w:vAlign w:val="bottom"/>
          </w:tcPr>
          <w:p>
            <w:pPr>
              <w:spacing w:after="0"/>
              <w:rPr>
                <w:sz w:val="23"/>
                <w:szCs w:val="23"/>
                <w:color w:val="auto"/>
              </w:rPr>
            </w:pPr>
          </w:p>
        </w:tc>
        <w:tc>
          <w:tcPr>
            <w:tcW w:w="2980" w:type="dxa"/>
            <w:vAlign w:val="bottom"/>
            <w:gridSpan w:val="2"/>
          </w:tcPr>
          <w:p>
            <w:pPr>
              <w:ind w:left="1020"/>
              <w:spacing w:after="0"/>
              <w:rPr>
                <w:sz w:val="20"/>
                <w:szCs w:val="20"/>
                <w:color w:val="auto"/>
              </w:rPr>
            </w:pPr>
            <w:r>
              <w:rPr>
                <w:rFonts w:ascii="Times New Roman" w:cs="Times New Roman" w:eastAsia="Times New Roman" w:hAnsi="Times New Roman"/>
                <w:sz w:val="22"/>
                <w:szCs w:val="22"/>
                <w:color w:val="auto"/>
                <w:w w:val="97"/>
              </w:rPr>
              <w:t>Jennifer Martin, Chief</w:t>
            </w:r>
          </w:p>
        </w:tc>
        <w:tc>
          <w:tcPr>
            <w:tcW w:w="18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83"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3200" w:type="dxa"/>
            <w:vAlign w:val="bottom"/>
          </w:tcPr>
          <w:p>
            <w:pPr>
              <w:spacing w:after="0"/>
              <w:rPr>
                <w:sz w:val="20"/>
                <w:szCs w:val="20"/>
                <w:color w:val="auto"/>
              </w:rPr>
            </w:pPr>
            <w:r>
              <w:rPr>
                <w:rFonts w:ascii="Times New Roman" w:cs="Times New Roman" w:eastAsia="Times New Roman" w:hAnsi="Times New Roman"/>
                <w:sz w:val="22"/>
                <w:szCs w:val="22"/>
                <w:color w:val="auto"/>
              </w:rPr>
              <w:t>Date: November 2, 2026</w:t>
            </w:r>
          </w:p>
        </w:tc>
        <w:tc>
          <w:tcPr>
            <w:tcW w:w="8040" w:type="dxa"/>
            <w:vAlign w:val="bottom"/>
            <w:gridSpan w:val="3"/>
          </w:tcPr>
          <w:p>
            <w:pPr>
              <w:ind w:left="1000"/>
              <w:spacing w:after="0"/>
              <w:rPr>
                <w:sz w:val="20"/>
                <w:szCs w:val="20"/>
                <w:color w:val="auto"/>
              </w:rPr>
            </w:pPr>
            <w:r>
              <w:rPr>
                <w:rFonts w:ascii="Times New Roman" w:cs="Times New Roman" w:eastAsia="Times New Roman" w:hAnsi="Times New Roman"/>
                <w:sz w:val="22"/>
                <w:szCs w:val="22"/>
                <w:b w:val="1"/>
                <w:bCs w:val="1"/>
                <w:color w:val="auto"/>
              </w:rPr>
              <w:t>FHMLS X, L.L.C.</w:t>
            </w:r>
          </w:p>
        </w:tc>
        <w:tc>
          <w:tcPr>
            <w:tcW w:w="0" w:type="dxa"/>
            <w:vAlign w:val="bottom"/>
          </w:tcPr>
          <w:p>
            <w:pPr>
              <w:spacing w:after="0"/>
              <w:rPr>
                <w:sz w:val="1"/>
                <w:szCs w:val="1"/>
                <w:color w:val="auto"/>
              </w:rPr>
            </w:pPr>
          </w:p>
        </w:tc>
      </w:tr>
      <w:tr>
        <w:trPr>
          <w:trHeight w:val="434"/>
        </w:trPr>
        <w:tc>
          <w:tcPr>
            <w:tcW w:w="3200" w:type="dxa"/>
            <w:vAlign w:val="bottom"/>
          </w:tcPr>
          <w:p>
            <w:pPr>
              <w:spacing w:after="0"/>
              <w:rPr>
                <w:sz w:val="24"/>
                <w:szCs w:val="24"/>
                <w:color w:val="auto"/>
              </w:rPr>
            </w:pPr>
          </w:p>
        </w:tc>
        <w:tc>
          <w:tcPr>
            <w:tcW w:w="8040" w:type="dxa"/>
            <w:vAlign w:val="bottom"/>
            <w:gridSpan w:val="3"/>
          </w:tcPr>
          <w:p>
            <w:pPr>
              <w:ind w:left="1020"/>
              <w:spacing w:after="0"/>
              <w:rPr>
                <w:sz w:val="20"/>
                <w:szCs w:val="20"/>
                <w:color w:val="auto"/>
              </w:rPr>
            </w:pPr>
            <w:r>
              <w:rPr>
                <w:rFonts w:ascii="Times New Roman" w:cs="Times New Roman" w:eastAsia="Times New Roman" w:hAnsi="Times New Roman"/>
                <w:sz w:val="22"/>
                <w:szCs w:val="22"/>
                <w:color w:val="auto"/>
              </w:rPr>
              <w:t>By: /s/ Jennifer Martin</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506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Financial Officer</w:t>
            </w:r>
          </w:p>
        </w:tc>
        <w:tc>
          <w:tcPr>
            <w:tcW w:w="0" w:type="dxa"/>
            <w:vAlign w:val="bottom"/>
          </w:tcPr>
          <w:p>
            <w:pPr>
              <w:spacing w:after="0" w:line="20" w:lineRule="exact"/>
              <w:rPr>
                <w:sz w:val="1"/>
                <w:szCs w:val="1"/>
                <w:color w:val="auto"/>
              </w:rPr>
            </w:pPr>
          </w:p>
        </w:tc>
      </w:tr>
      <w:tr>
        <w:trPr>
          <w:trHeight w:val="276"/>
        </w:trPr>
        <w:tc>
          <w:tcPr>
            <w:tcW w:w="3200" w:type="dxa"/>
            <w:vAlign w:val="bottom"/>
          </w:tcPr>
          <w:p>
            <w:pPr>
              <w:spacing w:after="0"/>
              <w:rPr>
                <w:sz w:val="23"/>
                <w:szCs w:val="23"/>
                <w:color w:val="auto"/>
              </w:rPr>
            </w:pPr>
          </w:p>
        </w:tc>
        <w:tc>
          <w:tcPr>
            <w:tcW w:w="2980" w:type="dxa"/>
            <w:vAlign w:val="bottom"/>
            <w:gridSpan w:val="2"/>
          </w:tcPr>
          <w:p>
            <w:pPr>
              <w:ind w:left="1020"/>
              <w:spacing w:after="0"/>
              <w:rPr>
                <w:sz w:val="20"/>
                <w:szCs w:val="20"/>
                <w:color w:val="auto"/>
              </w:rPr>
            </w:pPr>
            <w:r>
              <w:rPr>
                <w:rFonts w:ascii="Times New Roman" w:cs="Times New Roman" w:eastAsia="Times New Roman" w:hAnsi="Times New Roman"/>
                <w:sz w:val="22"/>
                <w:szCs w:val="22"/>
                <w:color w:val="auto"/>
                <w:w w:val="98"/>
              </w:rPr>
              <w:t>Jennifer Martin, Chief</w:t>
            </w:r>
          </w:p>
        </w:tc>
        <w:tc>
          <w:tcPr>
            <w:tcW w:w="50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689"/>
        </w:trPr>
        <w:tc>
          <w:tcPr>
            <w:tcW w:w="3200" w:type="dxa"/>
            <w:vAlign w:val="bottom"/>
          </w:tcPr>
          <w:p>
            <w:pPr>
              <w:spacing w:after="0"/>
              <w:rPr>
                <w:sz w:val="20"/>
                <w:szCs w:val="20"/>
                <w:color w:val="auto"/>
              </w:rPr>
            </w:pPr>
            <w:r>
              <w:rPr>
                <w:rFonts w:ascii="Times New Roman" w:cs="Times New Roman" w:eastAsia="Times New Roman" w:hAnsi="Times New Roman"/>
                <w:sz w:val="22"/>
                <w:szCs w:val="22"/>
                <w:color w:val="auto"/>
              </w:rPr>
              <w:t>Date: November 2, 2026</w:t>
            </w:r>
          </w:p>
        </w:tc>
        <w:tc>
          <w:tcPr>
            <w:tcW w:w="8040" w:type="dxa"/>
            <w:vAlign w:val="bottom"/>
            <w:gridSpan w:val="3"/>
          </w:tcPr>
          <w:p>
            <w:pPr>
              <w:ind w:left="1000"/>
              <w:spacing w:after="0"/>
              <w:rPr>
                <w:sz w:val="20"/>
                <w:szCs w:val="20"/>
                <w:color w:val="auto"/>
              </w:rPr>
            </w:pPr>
            <w:r>
              <w:rPr>
                <w:rFonts w:ascii="Times New Roman" w:cs="Times New Roman" w:eastAsia="Times New Roman" w:hAnsi="Times New Roman"/>
                <w:sz w:val="22"/>
                <w:szCs w:val="22"/>
                <w:b w:val="1"/>
                <w:bCs w:val="1"/>
                <w:color w:val="auto"/>
              </w:rPr>
              <w:t>FRAZIER LIFE SCIENCES XI, L.P.</w:t>
            </w:r>
          </w:p>
        </w:tc>
        <w:tc>
          <w:tcPr>
            <w:tcW w:w="0" w:type="dxa"/>
            <w:vAlign w:val="bottom"/>
          </w:tcPr>
          <w:p>
            <w:pPr>
              <w:spacing w:after="0"/>
              <w:rPr>
                <w:sz w:val="1"/>
                <w:szCs w:val="1"/>
                <w:color w:val="auto"/>
              </w:rPr>
            </w:pPr>
          </w:p>
        </w:tc>
      </w:tr>
      <w:tr>
        <w:trPr>
          <w:trHeight w:val="243"/>
        </w:trPr>
        <w:tc>
          <w:tcPr>
            <w:tcW w:w="3200" w:type="dxa"/>
            <w:vAlign w:val="bottom"/>
          </w:tcPr>
          <w:p>
            <w:pPr>
              <w:spacing w:after="0"/>
              <w:rPr>
                <w:sz w:val="21"/>
                <w:szCs w:val="21"/>
                <w:color w:val="auto"/>
              </w:rPr>
            </w:pPr>
          </w:p>
        </w:tc>
        <w:tc>
          <w:tcPr>
            <w:tcW w:w="8040" w:type="dxa"/>
            <w:vAlign w:val="bottom"/>
            <w:gridSpan w:val="3"/>
          </w:tcPr>
          <w:p>
            <w:pPr>
              <w:ind w:left="1020"/>
              <w:spacing w:after="0" w:line="243" w:lineRule="exact"/>
              <w:rPr>
                <w:sz w:val="20"/>
                <w:szCs w:val="20"/>
                <w:color w:val="auto"/>
              </w:rPr>
            </w:pPr>
            <w:r>
              <w:rPr>
                <w:rFonts w:ascii="Times New Roman" w:cs="Times New Roman" w:eastAsia="Times New Roman" w:hAnsi="Times New Roman"/>
                <w:sz w:val="22"/>
                <w:szCs w:val="22"/>
                <w:color w:val="auto"/>
              </w:rPr>
              <w:t>By: FHMLS XI, L.P., its General Partner</w:t>
            </w:r>
          </w:p>
        </w:tc>
        <w:tc>
          <w:tcPr>
            <w:tcW w:w="0" w:type="dxa"/>
            <w:vAlign w:val="bottom"/>
          </w:tcPr>
          <w:p>
            <w:pPr>
              <w:spacing w:after="0"/>
              <w:rPr>
                <w:sz w:val="1"/>
                <w:szCs w:val="1"/>
                <w:color w:val="auto"/>
              </w:rPr>
            </w:pPr>
          </w:p>
        </w:tc>
      </w:tr>
      <w:tr>
        <w:trPr>
          <w:trHeight w:val="282"/>
        </w:trPr>
        <w:tc>
          <w:tcPr>
            <w:tcW w:w="3200" w:type="dxa"/>
            <w:vAlign w:val="bottom"/>
          </w:tcPr>
          <w:p>
            <w:pPr>
              <w:spacing w:after="0"/>
              <w:rPr>
                <w:sz w:val="24"/>
                <w:szCs w:val="24"/>
                <w:color w:val="auto"/>
              </w:rPr>
            </w:pPr>
          </w:p>
        </w:tc>
        <w:tc>
          <w:tcPr>
            <w:tcW w:w="8040" w:type="dxa"/>
            <w:vAlign w:val="bottom"/>
            <w:gridSpan w:val="3"/>
          </w:tcPr>
          <w:p>
            <w:pPr>
              <w:ind w:left="1020"/>
              <w:spacing w:after="0"/>
              <w:rPr>
                <w:sz w:val="20"/>
                <w:szCs w:val="20"/>
                <w:color w:val="auto"/>
              </w:rPr>
            </w:pPr>
            <w:r>
              <w:rPr>
                <w:rFonts w:ascii="Times New Roman" w:cs="Times New Roman" w:eastAsia="Times New Roman" w:hAnsi="Times New Roman"/>
                <w:sz w:val="22"/>
                <w:szCs w:val="22"/>
                <w:color w:val="auto"/>
              </w:rPr>
              <w:t>By: FHMLS XI, L.L.C., its General Partner</w:t>
            </w:r>
          </w:p>
        </w:tc>
        <w:tc>
          <w:tcPr>
            <w:tcW w:w="0" w:type="dxa"/>
            <w:vAlign w:val="bottom"/>
          </w:tcPr>
          <w:p>
            <w:pPr>
              <w:spacing w:after="0"/>
              <w:rPr>
                <w:sz w:val="1"/>
                <w:szCs w:val="1"/>
                <w:color w:val="auto"/>
              </w:rPr>
            </w:pPr>
          </w:p>
        </w:tc>
      </w:tr>
      <w:tr>
        <w:trPr>
          <w:trHeight w:val="433"/>
        </w:trPr>
        <w:tc>
          <w:tcPr>
            <w:tcW w:w="3200" w:type="dxa"/>
            <w:vAlign w:val="bottom"/>
          </w:tcPr>
          <w:p>
            <w:pPr>
              <w:spacing w:after="0"/>
              <w:rPr>
                <w:sz w:val="24"/>
                <w:szCs w:val="24"/>
                <w:color w:val="auto"/>
              </w:rPr>
            </w:pPr>
          </w:p>
        </w:tc>
        <w:tc>
          <w:tcPr>
            <w:tcW w:w="8040" w:type="dxa"/>
            <w:vAlign w:val="bottom"/>
            <w:gridSpan w:val="3"/>
          </w:tcPr>
          <w:p>
            <w:pPr>
              <w:ind w:left="1020"/>
              <w:spacing w:after="0"/>
              <w:rPr>
                <w:sz w:val="20"/>
                <w:szCs w:val="20"/>
                <w:color w:val="auto"/>
              </w:rPr>
            </w:pPr>
            <w:r>
              <w:rPr>
                <w:rFonts w:ascii="Times New Roman" w:cs="Times New Roman" w:eastAsia="Times New Roman" w:hAnsi="Times New Roman"/>
                <w:sz w:val="22"/>
                <w:szCs w:val="22"/>
                <w:color w:val="auto"/>
              </w:rPr>
              <w:t>By: /s/ Jennifer Martin</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340" w:type="dxa"/>
            <w:vAlign w:val="bottom"/>
            <w:vMerge w:val="restart"/>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3200" w:type="dxa"/>
            <w:vAlign w:val="bottom"/>
          </w:tcPr>
          <w:p>
            <w:pPr>
              <w:spacing w:after="0"/>
              <w:rPr>
                <w:sz w:val="23"/>
                <w:szCs w:val="23"/>
                <w:color w:val="auto"/>
              </w:rPr>
            </w:pPr>
          </w:p>
        </w:tc>
        <w:tc>
          <w:tcPr>
            <w:tcW w:w="1340" w:type="dxa"/>
            <w:vAlign w:val="bottom"/>
            <w:vMerge w:val="continue"/>
          </w:tcPr>
          <w:p>
            <w:pPr>
              <w:spacing w:after="0"/>
              <w:rPr>
                <w:sz w:val="23"/>
                <w:szCs w:val="23"/>
                <w:color w:val="auto"/>
              </w:rPr>
            </w:pPr>
          </w:p>
        </w:tc>
        <w:tc>
          <w:tcPr>
            <w:tcW w:w="67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Jennifer Martin, Chief Financial Officer</w:t>
            </w:r>
          </w:p>
        </w:tc>
        <w:tc>
          <w:tcPr>
            <w:tcW w:w="0" w:type="dxa"/>
            <w:vAlign w:val="bottom"/>
          </w:tcPr>
          <w:p>
            <w:pPr>
              <w:spacing w:after="0"/>
              <w:rPr>
                <w:sz w:val="1"/>
                <w:szCs w:val="1"/>
                <w:color w:val="auto"/>
              </w:rPr>
            </w:pPr>
          </w:p>
        </w:tc>
      </w:tr>
      <w:tr>
        <w:trPr>
          <w:trHeight w:val="689"/>
        </w:trPr>
        <w:tc>
          <w:tcPr>
            <w:tcW w:w="3200" w:type="dxa"/>
            <w:vAlign w:val="bottom"/>
          </w:tcPr>
          <w:p>
            <w:pPr>
              <w:spacing w:after="0"/>
              <w:rPr>
                <w:sz w:val="20"/>
                <w:szCs w:val="20"/>
                <w:color w:val="auto"/>
              </w:rPr>
            </w:pPr>
            <w:r>
              <w:rPr>
                <w:rFonts w:ascii="Times New Roman" w:cs="Times New Roman" w:eastAsia="Times New Roman" w:hAnsi="Times New Roman"/>
                <w:sz w:val="22"/>
                <w:szCs w:val="22"/>
                <w:color w:val="auto"/>
              </w:rPr>
              <w:t>Date: November 2, 2026</w:t>
            </w:r>
          </w:p>
        </w:tc>
        <w:tc>
          <w:tcPr>
            <w:tcW w:w="8040" w:type="dxa"/>
            <w:vAlign w:val="bottom"/>
            <w:gridSpan w:val="3"/>
          </w:tcPr>
          <w:p>
            <w:pPr>
              <w:ind w:left="1000"/>
              <w:spacing w:after="0"/>
              <w:rPr>
                <w:sz w:val="20"/>
                <w:szCs w:val="20"/>
                <w:color w:val="auto"/>
              </w:rPr>
            </w:pPr>
            <w:r>
              <w:rPr>
                <w:rFonts w:ascii="Times New Roman" w:cs="Times New Roman" w:eastAsia="Times New Roman" w:hAnsi="Times New Roman"/>
                <w:sz w:val="22"/>
                <w:szCs w:val="22"/>
                <w:b w:val="1"/>
                <w:bCs w:val="1"/>
                <w:color w:val="auto"/>
              </w:rPr>
              <w:t>FHMLS XI, L.P.</w:t>
            </w:r>
          </w:p>
        </w:tc>
        <w:tc>
          <w:tcPr>
            <w:tcW w:w="0" w:type="dxa"/>
            <w:vAlign w:val="bottom"/>
          </w:tcPr>
          <w:p>
            <w:pPr>
              <w:spacing w:after="0"/>
              <w:rPr>
                <w:sz w:val="1"/>
                <w:szCs w:val="1"/>
                <w:color w:val="auto"/>
              </w:rPr>
            </w:pPr>
          </w:p>
        </w:tc>
      </w:tr>
      <w:tr>
        <w:trPr>
          <w:trHeight w:val="282"/>
        </w:trPr>
        <w:tc>
          <w:tcPr>
            <w:tcW w:w="3200" w:type="dxa"/>
            <w:vAlign w:val="bottom"/>
          </w:tcPr>
          <w:p>
            <w:pPr>
              <w:spacing w:after="0"/>
              <w:rPr>
                <w:sz w:val="24"/>
                <w:szCs w:val="24"/>
                <w:color w:val="auto"/>
              </w:rPr>
            </w:pPr>
          </w:p>
        </w:tc>
        <w:tc>
          <w:tcPr>
            <w:tcW w:w="8040" w:type="dxa"/>
            <w:vAlign w:val="bottom"/>
            <w:gridSpan w:val="3"/>
          </w:tcPr>
          <w:p>
            <w:pPr>
              <w:ind w:left="1020"/>
              <w:spacing w:after="0"/>
              <w:rPr>
                <w:sz w:val="20"/>
                <w:szCs w:val="20"/>
                <w:color w:val="auto"/>
              </w:rPr>
            </w:pPr>
            <w:r>
              <w:rPr>
                <w:rFonts w:ascii="Times New Roman" w:cs="Times New Roman" w:eastAsia="Times New Roman" w:hAnsi="Times New Roman"/>
                <w:sz w:val="22"/>
                <w:szCs w:val="22"/>
                <w:color w:val="auto"/>
              </w:rPr>
              <w:t>By: FHMLS XI, L.L.C., its General Partner</w:t>
            </w:r>
          </w:p>
        </w:tc>
        <w:tc>
          <w:tcPr>
            <w:tcW w:w="0" w:type="dxa"/>
            <w:vAlign w:val="bottom"/>
          </w:tcPr>
          <w:p>
            <w:pPr>
              <w:spacing w:after="0"/>
              <w:rPr>
                <w:sz w:val="1"/>
                <w:szCs w:val="1"/>
                <w:color w:val="auto"/>
              </w:rPr>
            </w:pPr>
          </w:p>
        </w:tc>
      </w:tr>
      <w:tr>
        <w:trPr>
          <w:trHeight w:val="433"/>
        </w:trPr>
        <w:tc>
          <w:tcPr>
            <w:tcW w:w="3200" w:type="dxa"/>
            <w:vAlign w:val="bottom"/>
          </w:tcPr>
          <w:p>
            <w:pPr>
              <w:spacing w:after="0"/>
              <w:rPr>
                <w:sz w:val="24"/>
                <w:szCs w:val="24"/>
                <w:color w:val="auto"/>
              </w:rPr>
            </w:pPr>
          </w:p>
        </w:tc>
        <w:tc>
          <w:tcPr>
            <w:tcW w:w="8040" w:type="dxa"/>
            <w:vAlign w:val="bottom"/>
            <w:gridSpan w:val="3"/>
          </w:tcPr>
          <w:p>
            <w:pPr>
              <w:ind w:left="1020"/>
              <w:spacing w:after="0"/>
              <w:rPr>
                <w:sz w:val="20"/>
                <w:szCs w:val="20"/>
                <w:color w:val="auto"/>
              </w:rPr>
            </w:pPr>
            <w:r>
              <w:rPr>
                <w:rFonts w:ascii="Times New Roman" w:cs="Times New Roman" w:eastAsia="Times New Roman" w:hAnsi="Times New Roman"/>
                <w:sz w:val="22"/>
                <w:szCs w:val="22"/>
                <w:color w:val="auto"/>
              </w:rPr>
              <w:t>By: /s/ Jennifer Martin</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340" w:type="dxa"/>
            <w:vAlign w:val="bottom"/>
            <w:vMerge w:val="restart"/>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3200" w:type="dxa"/>
            <w:vAlign w:val="bottom"/>
          </w:tcPr>
          <w:p>
            <w:pPr>
              <w:spacing w:after="0"/>
              <w:rPr>
                <w:sz w:val="23"/>
                <w:szCs w:val="23"/>
                <w:color w:val="auto"/>
              </w:rPr>
            </w:pPr>
          </w:p>
        </w:tc>
        <w:tc>
          <w:tcPr>
            <w:tcW w:w="1340" w:type="dxa"/>
            <w:vAlign w:val="bottom"/>
            <w:vMerge w:val="continue"/>
          </w:tcPr>
          <w:p>
            <w:pPr>
              <w:spacing w:after="0"/>
              <w:rPr>
                <w:sz w:val="23"/>
                <w:szCs w:val="23"/>
                <w:color w:val="auto"/>
              </w:rPr>
            </w:pPr>
          </w:p>
        </w:tc>
        <w:tc>
          <w:tcPr>
            <w:tcW w:w="67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Jennifer Martin, Chief Financial Officer</w:t>
            </w:r>
          </w:p>
        </w:tc>
        <w:tc>
          <w:tcPr>
            <w:tcW w:w="0" w:type="dxa"/>
            <w:vAlign w:val="bottom"/>
          </w:tcPr>
          <w:p>
            <w:pPr>
              <w:spacing w:after="0"/>
              <w:rPr>
                <w:sz w:val="1"/>
                <w:szCs w:val="1"/>
                <w:color w:val="auto"/>
              </w:rPr>
            </w:pPr>
          </w:p>
        </w:tc>
      </w:tr>
      <w:tr>
        <w:trPr>
          <w:trHeight w:val="729"/>
        </w:trPr>
        <w:tc>
          <w:tcPr>
            <w:tcW w:w="3200" w:type="dxa"/>
            <w:vAlign w:val="bottom"/>
          </w:tcPr>
          <w:p>
            <w:pPr>
              <w:spacing w:after="0"/>
              <w:rPr>
                <w:sz w:val="20"/>
                <w:szCs w:val="20"/>
                <w:color w:val="auto"/>
              </w:rPr>
            </w:pPr>
            <w:r>
              <w:rPr>
                <w:rFonts w:ascii="Times New Roman" w:cs="Times New Roman" w:eastAsia="Times New Roman" w:hAnsi="Times New Roman"/>
                <w:sz w:val="22"/>
                <w:szCs w:val="22"/>
                <w:color w:val="auto"/>
              </w:rPr>
              <w:t>Date: November 2, 2026</w:t>
            </w:r>
          </w:p>
        </w:tc>
        <w:tc>
          <w:tcPr>
            <w:tcW w:w="8040" w:type="dxa"/>
            <w:vAlign w:val="bottom"/>
            <w:gridSpan w:val="3"/>
          </w:tcPr>
          <w:p>
            <w:pPr>
              <w:ind w:left="1000"/>
              <w:spacing w:after="0"/>
              <w:rPr>
                <w:sz w:val="20"/>
                <w:szCs w:val="20"/>
                <w:color w:val="auto"/>
              </w:rPr>
            </w:pPr>
            <w:r>
              <w:rPr>
                <w:rFonts w:ascii="Times New Roman" w:cs="Times New Roman" w:eastAsia="Times New Roman" w:hAnsi="Times New Roman"/>
                <w:sz w:val="22"/>
                <w:szCs w:val="22"/>
                <w:b w:val="1"/>
                <w:bCs w:val="1"/>
                <w:color w:val="auto"/>
              </w:rPr>
              <w:t>FHMLS XI, L.L.C.</w:t>
            </w:r>
          </w:p>
        </w:tc>
        <w:tc>
          <w:tcPr>
            <w:tcW w:w="0" w:type="dxa"/>
            <w:vAlign w:val="bottom"/>
          </w:tcPr>
          <w:p>
            <w:pPr>
              <w:spacing w:after="0"/>
              <w:rPr>
                <w:sz w:val="1"/>
                <w:szCs w:val="1"/>
                <w:color w:val="auto"/>
              </w:rPr>
            </w:pPr>
          </w:p>
        </w:tc>
      </w:tr>
      <w:tr>
        <w:trPr>
          <w:trHeight w:val="433"/>
        </w:trPr>
        <w:tc>
          <w:tcPr>
            <w:tcW w:w="3200" w:type="dxa"/>
            <w:vAlign w:val="bottom"/>
          </w:tcPr>
          <w:p>
            <w:pPr>
              <w:spacing w:after="0"/>
              <w:rPr>
                <w:sz w:val="24"/>
                <w:szCs w:val="24"/>
                <w:color w:val="auto"/>
              </w:rPr>
            </w:pPr>
          </w:p>
        </w:tc>
        <w:tc>
          <w:tcPr>
            <w:tcW w:w="8040" w:type="dxa"/>
            <w:vAlign w:val="bottom"/>
            <w:gridSpan w:val="3"/>
          </w:tcPr>
          <w:p>
            <w:pPr>
              <w:ind w:left="1020"/>
              <w:spacing w:after="0"/>
              <w:rPr>
                <w:sz w:val="20"/>
                <w:szCs w:val="20"/>
                <w:color w:val="auto"/>
              </w:rPr>
            </w:pPr>
            <w:r>
              <w:rPr>
                <w:rFonts w:ascii="Times New Roman" w:cs="Times New Roman" w:eastAsia="Times New Roman" w:hAnsi="Times New Roman"/>
                <w:sz w:val="22"/>
                <w:szCs w:val="22"/>
                <w:color w:val="auto"/>
              </w:rPr>
              <w:t>By: /s/ Jennifer Martin</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340" w:type="dxa"/>
            <w:vAlign w:val="bottom"/>
            <w:vMerge w:val="restart"/>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3200" w:type="dxa"/>
            <w:vAlign w:val="bottom"/>
          </w:tcPr>
          <w:p>
            <w:pPr>
              <w:spacing w:after="0"/>
              <w:rPr>
                <w:sz w:val="23"/>
                <w:szCs w:val="23"/>
                <w:color w:val="auto"/>
              </w:rPr>
            </w:pPr>
          </w:p>
        </w:tc>
        <w:tc>
          <w:tcPr>
            <w:tcW w:w="1340" w:type="dxa"/>
            <w:vAlign w:val="bottom"/>
            <w:vMerge w:val="continue"/>
          </w:tcPr>
          <w:p>
            <w:pPr>
              <w:spacing w:after="0"/>
              <w:rPr>
                <w:sz w:val="23"/>
                <w:szCs w:val="23"/>
                <w:color w:val="auto"/>
              </w:rPr>
            </w:pPr>
          </w:p>
        </w:tc>
        <w:tc>
          <w:tcPr>
            <w:tcW w:w="67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Jennifer Martin, Chief Financial Officer</w:t>
            </w:r>
          </w:p>
        </w:tc>
        <w:tc>
          <w:tcPr>
            <w:tcW w:w="0" w:type="dxa"/>
            <w:vAlign w:val="bottom"/>
          </w:tcPr>
          <w:p>
            <w:pPr>
              <w:spacing w:after="0"/>
              <w:rPr>
                <w:sz w:val="1"/>
                <w:szCs w:val="1"/>
                <w:color w:val="auto"/>
              </w:rPr>
            </w:pPr>
          </w:p>
        </w:tc>
      </w:tr>
      <w:tr>
        <w:trPr>
          <w:trHeight w:val="689"/>
        </w:trPr>
        <w:tc>
          <w:tcPr>
            <w:tcW w:w="3200" w:type="dxa"/>
            <w:vAlign w:val="bottom"/>
          </w:tcPr>
          <w:p>
            <w:pPr>
              <w:spacing w:after="0"/>
              <w:rPr>
                <w:sz w:val="20"/>
                <w:szCs w:val="20"/>
                <w:color w:val="auto"/>
              </w:rPr>
            </w:pPr>
            <w:r>
              <w:rPr>
                <w:rFonts w:ascii="Times New Roman" w:cs="Times New Roman" w:eastAsia="Times New Roman" w:hAnsi="Times New Roman"/>
                <w:sz w:val="22"/>
                <w:szCs w:val="22"/>
                <w:color w:val="auto"/>
              </w:rPr>
              <w:t>Date: November 2, 2026</w:t>
            </w:r>
          </w:p>
        </w:tc>
        <w:tc>
          <w:tcPr>
            <w:tcW w:w="8040" w:type="dxa"/>
            <w:vAlign w:val="bottom"/>
            <w:gridSpan w:val="3"/>
          </w:tcPr>
          <w:p>
            <w:pPr>
              <w:ind w:left="1000"/>
              <w:spacing w:after="0"/>
              <w:rPr>
                <w:sz w:val="20"/>
                <w:szCs w:val="20"/>
                <w:color w:val="auto"/>
              </w:rPr>
            </w:pPr>
            <w:r>
              <w:rPr>
                <w:rFonts w:ascii="Times New Roman" w:cs="Times New Roman" w:eastAsia="Times New Roman" w:hAnsi="Times New Roman"/>
                <w:sz w:val="22"/>
                <w:szCs w:val="22"/>
                <w:b w:val="1"/>
                <w:bCs w:val="1"/>
                <w:color w:val="auto"/>
              </w:rPr>
              <w:t>FRAZIER LIFE SCIENCES XII, L.P.</w:t>
            </w:r>
          </w:p>
        </w:tc>
        <w:tc>
          <w:tcPr>
            <w:tcW w:w="0" w:type="dxa"/>
            <w:vAlign w:val="bottom"/>
          </w:tcPr>
          <w:p>
            <w:pPr>
              <w:spacing w:after="0"/>
              <w:rPr>
                <w:sz w:val="1"/>
                <w:szCs w:val="1"/>
                <w:color w:val="auto"/>
              </w:rPr>
            </w:pPr>
          </w:p>
        </w:tc>
      </w:tr>
      <w:tr>
        <w:trPr>
          <w:trHeight w:val="243"/>
        </w:trPr>
        <w:tc>
          <w:tcPr>
            <w:tcW w:w="3200" w:type="dxa"/>
            <w:vAlign w:val="bottom"/>
          </w:tcPr>
          <w:p>
            <w:pPr>
              <w:spacing w:after="0"/>
              <w:rPr>
                <w:sz w:val="21"/>
                <w:szCs w:val="21"/>
                <w:color w:val="auto"/>
              </w:rPr>
            </w:pPr>
          </w:p>
        </w:tc>
        <w:tc>
          <w:tcPr>
            <w:tcW w:w="8040" w:type="dxa"/>
            <w:vAlign w:val="bottom"/>
            <w:gridSpan w:val="3"/>
          </w:tcPr>
          <w:p>
            <w:pPr>
              <w:ind w:left="1020"/>
              <w:spacing w:after="0" w:line="243" w:lineRule="exact"/>
              <w:rPr>
                <w:sz w:val="20"/>
                <w:szCs w:val="20"/>
                <w:color w:val="auto"/>
              </w:rPr>
            </w:pPr>
            <w:r>
              <w:rPr>
                <w:rFonts w:ascii="Times New Roman" w:cs="Times New Roman" w:eastAsia="Times New Roman" w:hAnsi="Times New Roman"/>
                <w:sz w:val="22"/>
                <w:szCs w:val="22"/>
                <w:color w:val="auto"/>
              </w:rPr>
              <w:t>By: FHMLS XII, L.P., its General Partner</w:t>
            </w:r>
          </w:p>
        </w:tc>
        <w:tc>
          <w:tcPr>
            <w:tcW w:w="0" w:type="dxa"/>
            <w:vAlign w:val="bottom"/>
          </w:tcPr>
          <w:p>
            <w:pPr>
              <w:spacing w:after="0"/>
              <w:rPr>
                <w:sz w:val="1"/>
                <w:szCs w:val="1"/>
                <w:color w:val="auto"/>
              </w:rPr>
            </w:pPr>
          </w:p>
        </w:tc>
      </w:tr>
      <w:tr>
        <w:trPr>
          <w:trHeight w:val="282"/>
        </w:trPr>
        <w:tc>
          <w:tcPr>
            <w:tcW w:w="3200" w:type="dxa"/>
            <w:vAlign w:val="bottom"/>
          </w:tcPr>
          <w:p>
            <w:pPr>
              <w:spacing w:after="0"/>
              <w:rPr>
                <w:sz w:val="24"/>
                <w:szCs w:val="24"/>
                <w:color w:val="auto"/>
              </w:rPr>
            </w:pPr>
          </w:p>
        </w:tc>
        <w:tc>
          <w:tcPr>
            <w:tcW w:w="8040" w:type="dxa"/>
            <w:vAlign w:val="bottom"/>
            <w:gridSpan w:val="3"/>
          </w:tcPr>
          <w:p>
            <w:pPr>
              <w:ind w:left="1020"/>
              <w:spacing w:after="0"/>
              <w:rPr>
                <w:sz w:val="20"/>
                <w:szCs w:val="20"/>
                <w:color w:val="auto"/>
              </w:rPr>
            </w:pPr>
            <w:r>
              <w:rPr>
                <w:rFonts w:ascii="Times New Roman" w:cs="Times New Roman" w:eastAsia="Times New Roman" w:hAnsi="Times New Roman"/>
                <w:sz w:val="22"/>
                <w:szCs w:val="22"/>
                <w:color w:val="auto"/>
              </w:rPr>
              <w:t>By: FHMLS XII, L.L.C., its General Partner</w:t>
            </w:r>
          </w:p>
        </w:tc>
        <w:tc>
          <w:tcPr>
            <w:tcW w:w="0" w:type="dxa"/>
            <w:vAlign w:val="bottom"/>
          </w:tcPr>
          <w:p>
            <w:pPr>
              <w:spacing w:after="0"/>
              <w:rPr>
                <w:sz w:val="1"/>
                <w:szCs w:val="1"/>
                <w:color w:val="auto"/>
              </w:rPr>
            </w:pPr>
          </w:p>
        </w:tc>
      </w:tr>
      <w:tr>
        <w:trPr>
          <w:trHeight w:val="434"/>
        </w:trPr>
        <w:tc>
          <w:tcPr>
            <w:tcW w:w="3200" w:type="dxa"/>
            <w:vAlign w:val="bottom"/>
          </w:tcPr>
          <w:p>
            <w:pPr>
              <w:spacing w:after="0"/>
              <w:rPr>
                <w:sz w:val="24"/>
                <w:szCs w:val="24"/>
                <w:color w:val="auto"/>
              </w:rPr>
            </w:pPr>
          </w:p>
        </w:tc>
        <w:tc>
          <w:tcPr>
            <w:tcW w:w="8040" w:type="dxa"/>
            <w:vAlign w:val="bottom"/>
            <w:gridSpan w:val="3"/>
          </w:tcPr>
          <w:p>
            <w:pPr>
              <w:ind w:left="1020"/>
              <w:spacing w:after="0"/>
              <w:rPr>
                <w:sz w:val="20"/>
                <w:szCs w:val="20"/>
                <w:color w:val="auto"/>
              </w:rPr>
            </w:pPr>
            <w:r>
              <w:rPr>
                <w:rFonts w:ascii="Times New Roman" w:cs="Times New Roman" w:eastAsia="Times New Roman" w:hAnsi="Times New Roman"/>
                <w:sz w:val="22"/>
                <w:szCs w:val="22"/>
                <w:color w:val="auto"/>
              </w:rPr>
              <w:t>By: /s/ Jennifer Martin</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340" w:type="dxa"/>
            <w:vAlign w:val="bottom"/>
            <w:vMerge w:val="restart"/>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3200" w:type="dxa"/>
            <w:vAlign w:val="bottom"/>
          </w:tcPr>
          <w:p>
            <w:pPr>
              <w:spacing w:after="0"/>
              <w:rPr>
                <w:sz w:val="23"/>
                <w:szCs w:val="23"/>
                <w:color w:val="auto"/>
              </w:rPr>
            </w:pPr>
          </w:p>
        </w:tc>
        <w:tc>
          <w:tcPr>
            <w:tcW w:w="1340" w:type="dxa"/>
            <w:vAlign w:val="bottom"/>
            <w:vMerge w:val="continue"/>
          </w:tcPr>
          <w:p>
            <w:pPr>
              <w:spacing w:after="0"/>
              <w:rPr>
                <w:sz w:val="23"/>
                <w:szCs w:val="23"/>
                <w:color w:val="auto"/>
              </w:rPr>
            </w:pPr>
          </w:p>
        </w:tc>
        <w:tc>
          <w:tcPr>
            <w:tcW w:w="67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Jennifer Martin, Chief Financial Officer</w:t>
            </w:r>
          </w:p>
        </w:tc>
        <w:tc>
          <w:tcPr>
            <w:tcW w:w="0" w:type="dxa"/>
            <w:vAlign w:val="bottom"/>
          </w:tcPr>
          <w:p>
            <w:pPr>
              <w:spacing w:after="0"/>
              <w:rPr>
                <w:sz w:val="1"/>
                <w:szCs w:val="1"/>
                <w:color w:val="auto"/>
              </w:rPr>
            </w:pPr>
          </w:p>
        </w:tc>
      </w:tr>
      <w:tr>
        <w:trPr>
          <w:trHeight w:val="1068"/>
        </w:trPr>
        <w:tc>
          <w:tcPr>
            <w:tcW w:w="3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200" w:type="dxa"/>
            <w:vAlign w:val="bottom"/>
            <w:shd w:val="clear" w:color="auto" w:fill="808080"/>
          </w:tcPr>
          <w:p>
            <w:pPr>
              <w:spacing w:after="0"/>
              <w:rPr>
                <w:sz w:val="12"/>
                <w:szCs w:val="12"/>
                <w:color w:val="auto"/>
              </w:rPr>
            </w:pPr>
          </w:p>
        </w:tc>
        <w:tc>
          <w:tcPr>
            <w:tcW w:w="1340" w:type="dxa"/>
            <w:vAlign w:val="bottom"/>
            <w:shd w:val="clear" w:color="auto" w:fill="808080"/>
          </w:tcPr>
          <w:p>
            <w:pPr>
              <w:spacing w:after="0"/>
              <w:rPr>
                <w:sz w:val="12"/>
                <w:szCs w:val="12"/>
                <w:color w:val="auto"/>
              </w:rPr>
            </w:pPr>
          </w:p>
        </w:tc>
        <w:tc>
          <w:tcPr>
            <w:tcW w:w="1640" w:type="dxa"/>
            <w:vAlign w:val="bottom"/>
            <w:shd w:val="clear" w:color="auto" w:fill="808080"/>
          </w:tcPr>
          <w:p>
            <w:pPr>
              <w:spacing w:after="0"/>
              <w:rPr>
                <w:sz w:val="12"/>
                <w:szCs w:val="12"/>
                <w:color w:val="auto"/>
              </w:rPr>
            </w:pPr>
          </w:p>
        </w:tc>
        <w:tc>
          <w:tcPr>
            <w:tcW w:w="5060" w:type="dxa"/>
            <w:vAlign w:val="bottom"/>
            <w:shd w:val="clear" w:color="auto" w:fill="808080"/>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200" w:type="dxa"/>
            <w:vAlign w:val="bottom"/>
          </w:tcPr>
          <w:p>
            <w:pPr>
              <w:spacing w:after="0"/>
              <w:rPr>
                <w:sz w:val="20"/>
                <w:szCs w:val="20"/>
                <w:color w:val="auto"/>
              </w:rPr>
            </w:pPr>
            <w:r>
              <w:rPr>
                <w:rFonts w:ascii="Times New Roman" w:cs="Times New Roman" w:eastAsia="Times New Roman" w:hAnsi="Times New Roman"/>
                <w:sz w:val="22"/>
                <w:szCs w:val="22"/>
                <w:color w:val="auto"/>
              </w:rPr>
              <w:t>Date: November 2, 2026</w:t>
            </w:r>
          </w:p>
        </w:tc>
        <w:tc>
          <w:tcPr>
            <w:tcW w:w="4860" w:type="dxa"/>
            <w:vAlign w:val="bottom"/>
            <w:gridSpan w:val="3"/>
          </w:tcPr>
          <w:p>
            <w:pPr>
              <w:ind w:left="1000"/>
              <w:spacing w:after="0"/>
              <w:rPr>
                <w:sz w:val="20"/>
                <w:szCs w:val="20"/>
                <w:color w:val="auto"/>
              </w:rPr>
            </w:pPr>
            <w:r>
              <w:rPr>
                <w:rFonts w:ascii="Times New Roman" w:cs="Times New Roman" w:eastAsia="Times New Roman" w:hAnsi="Times New Roman"/>
                <w:sz w:val="22"/>
                <w:szCs w:val="22"/>
                <w:b w:val="1"/>
                <w:bCs w:val="1"/>
                <w:color w:val="auto"/>
              </w:rPr>
              <w:t>FHMLS XII, L.P.</w:t>
            </w:r>
          </w:p>
        </w:tc>
        <w:tc>
          <w:tcPr>
            <w:tcW w:w="0" w:type="dxa"/>
            <w:vAlign w:val="bottom"/>
          </w:tcPr>
          <w:p>
            <w:pPr>
              <w:spacing w:after="0"/>
              <w:rPr>
                <w:sz w:val="1"/>
                <w:szCs w:val="1"/>
                <w:color w:val="auto"/>
              </w:rPr>
            </w:pPr>
          </w:p>
        </w:tc>
      </w:tr>
      <w:tr>
        <w:trPr>
          <w:trHeight w:val="282"/>
        </w:trPr>
        <w:tc>
          <w:tcPr>
            <w:tcW w:w="3200" w:type="dxa"/>
            <w:vAlign w:val="bottom"/>
          </w:tcPr>
          <w:p>
            <w:pPr>
              <w:spacing w:after="0"/>
              <w:rPr>
                <w:sz w:val="24"/>
                <w:szCs w:val="24"/>
                <w:color w:val="auto"/>
              </w:rPr>
            </w:pPr>
          </w:p>
        </w:tc>
        <w:tc>
          <w:tcPr>
            <w:tcW w:w="4860" w:type="dxa"/>
            <w:vAlign w:val="bottom"/>
            <w:gridSpan w:val="3"/>
          </w:tcPr>
          <w:p>
            <w:pPr>
              <w:ind w:left="1020"/>
              <w:spacing w:after="0"/>
              <w:rPr>
                <w:sz w:val="20"/>
                <w:szCs w:val="20"/>
                <w:color w:val="auto"/>
              </w:rPr>
            </w:pPr>
            <w:r>
              <w:rPr>
                <w:rFonts w:ascii="Times New Roman" w:cs="Times New Roman" w:eastAsia="Times New Roman" w:hAnsi="Times New Roman"/>
                <w:sz w:val="22"/>
                <w:szCs w:val="22"/>
                <w:color w:val="auto"/>
                <w:w w:val="97"/>
              </w:rPr>
              <w:t>By: FHMLS XII, L.L.C., its General Partner</w:t>
            </w:r>
          </w:p>
        </w:tc>
        <w:tc>
          <w:tcPr>
            <w:tcW w:w="0" w:type="dxa"/>
            <w:vAlign w:val="bottom"/>
          </w:tcPr>
          <w:p>
            <w:pPr>
              <w:spacing w:after="0"/>
              <w:rPr>
                <w:sz w:val="1"/>
                <w:szCs w:val="1"/>
                <w:color w:val="auto"/>
              </w:rPr>
            </w:pPr>
          </w:p>
        </w:tc>
      </w:tr>
      <w:tr>
        <w:trPr>
          <w:trHeight w:val="433"/>
        </w:trPr>
        <w:tc>
          <w:tcPr>
            <w:tcW w:w="3200" w:type="dxa"/>
            <w:vAlign w:val="bottom"/>
          </w:tcPr>
          <w:p>
            <w:pPr>
              <w:spacing w:after="0"/>
              <w:rPr>
                <w:sz w:val="24"/>
                <w:szCs w:val="24"/>
                <w:color w:val="auto"/>
              </w:rPr>
            </w:pPr>
          </w:p>
        </w:tc>
        <w:tc>
          <w:tcPr>
            <w:tcW w:w="4860" w:type="dxa"/>
            <w:vAlign w:val="bottom"/>
            <w:gridSpan w:val="3"/>
          </w:tcPr>
          <w:p>
            <w:pPr>
              <w:ind w:left="1020"/>
              <w:spacing w:after="0"/>
              <w:rPr>
                <w:sz w:val="20"/>
                <w:szCs w:val="20"/>
                <w:color w:val="auto"/>
              </w:rPr>
            </w:pPr>
            <w:r>
              <w:rPr>
                <w:rFonts w:ascii="Times New Roman" w:cs="Times New Roman" w:eastAsia="Times New Roman" w:hAnsi="Times New Roman"/>
                <w:sz w:val="22"/>
                <w:szCs w:val="22"/>
                <w:color w:val="auto"/>
              </w:rPr>
              <w:t>By: /s/ Jennifer Martin</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340" w:type="dxa"/>
            <w:vAlign w:val="bottom"/>
            <w:vMerge w:val="restart"/>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3200" w:type="dxa"/>
            <w:vAlign w:val="bottom"/>
          </w:tcPr>
          <w:p>
            <w:pPr>
              <w:spacing w:after="0"/>
              <w:rPr>
                <w:sz w:val="23"/>
                <w:szCs w:val="23"/>
                <w:color w:val="auto"/>
              </w:rPr>
            </w:pPr>
          </w:p>
        </w:tc>
        <w:tc>
          <w:tcPr>
            <w:tcW w:w="1340" w:type="dxa"/>
            <w:vAlign w:val="bottom"/>
            <w:vMerge w:val="continue"/>
          </w:tcPr>
          <w:p>
            <w:pPr>
              <w:spacing w:after="0"/>
              <w:rPr>
                <w:sz w:val="23"/>
                <w:szCs w:val="23"/>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Jennifer Martin, Chief Financial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3200" w:type="dxa"/>
            <w:vAlign w:val="bottom"/>
          </w:tcPr>
          <w:p>
            <w:pPr>
              <w:spacing w:after="0"/>
              <w:rPr>
                <w:sz w:val="20"/>
                <w:szCs w:val="20"/>
                <w:color w:val="auto"/>
              </w:rPr>
            </w:pPr>
            <w:r>
              <w:rPr>
                <w:rFonts w:ascii="Times New Roman" w:cs="Times New Roman" w:eastAsia="Times New Roman" w:hAnsi="Times New Roman"/>
                <w:sz w:val="22"/>
                <w:szCs w:val="22"/>
                <w:color w:val="auto"/>
              </w:rPr>
              <w:t>Date: November 2, 2026</w:t>
            </w:r>
          </w:p>
        </w:tc>
        <w:tc>
          <w:tcPr>
            <w:tcW w:w="4720" w:type="dxa"/>
            <w:vAlign w:val="bottom"/>
            <w:gridSpan w:val="6"/>
          </w:tcPr>
          <w:p>
            <w:pPr>
              <w:ind w:left="1000"/>
              <w:spacing w:after="0"/>
              <w:rPr>
                <w:sz w:val="20"/>
                <w:szCs w:val="20"/>
                <w:color w:val="auto"/>
              </w:rPr>
            </w:pPr>
            <w:r>
              <w:rPr>
                <w:rFonts w:ascii="Times New Roman" w:cs="Times New Roman" w:eastAsia="Times New Roman" w:hAnsi="Times New Roman"/>
                <w:sz w:val="22"/>
                <w:szCs w:val="22"/>
                <w:b w:val="1"/>
                <w:bCs w:val="1"/>
                <w:color w:val="auto"/>
              </w:rPr>
              <w:t>FHMLS XII, L.L.C.</w:t>
            </w:r>
          </w:p>
        </w:tc>
        <w:tc>
          <w:tcPr>
            <w:tcW w:w="0" w:type="dxa"/>
            <w:vAlign w:val="bottom"/>
          </w:tcPr>
          <w:p>
            <w:pPr>
              <w:spacing w:after="0"/>
              <w:rPr>
                <w:sz w:val="1"/>
                <w:szCs w:val="1"/>
                <w:color w:val="auto"/>
              </w:rPr>
            </w:pPr>
          </w:p>
        </w:tc>
      </w:tr>
      <w:tr>
        <w:trPr>
          <w:trHeight w:val="433"/>
        </w:trPr>
        <w:tc>
          <w:tcPr>
            <w:tcW w:w="3200" w:type="dxa"/>
            <w:vAlign w:val="bottom"/>
          </w:tcPr>
          <w:p>
            <w:pPr>
              <w:spacing w:after="0"/>
              <w:rPr>
                <w:sz w:val="24"/>
                <w:szCs w:val="24"/>
                <w:color w:val="auto"/>
              </w:rPr>
            </w:pPr>
          </w:p>
        </w:tc>
        <w:tc>
          <w:tcPr>
            <w:tcW w:w="4720" w:type="dxa"/>
            <w:vAlign w:val="bottom"/>
            <w:gridSpan w:val="6"/>
          </w:tcPr>
          <w:p>
            <w:pPr>
              <w:ind w:left="1020"/>
              <w:spacing w:after="0"/>
              <w:rPr>
                <w:sz w:val="20"/>
                <w:szCs w:val="20"/>
                <w:color w:val="auto"/>
              </w:rPr>
            </w:pPr>
            <w:r>
              <w:rPr>
                <w:rFonts w:ascii="Times New Roman" w:cs="Times New Roman" w:eastAsia="Times New Roman" w:hAnsi="Times New Roman"/>
                <w:sz w:val="22"/>
                <w:szCs w:val="22"/>
                <w:color w:val="auto"/>
              </w:rPr>
              <w:t>By: /s/ Jennifer Martin</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30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20" w:type="dxa"/>
            <w:vAlign w:val="bottom"/>
            <w:tcBorders>
              <w:right w:val="single" w:sz="8" w:color="auto"/>
            </w:tcBorders>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3200" w:type="dxa"/>
            <w:vAlign w:val="bottom"/>
          </w:tcPr>
          <w:p>
            <w:pPr>
              <w:spacing w:after="0"/>
              <w:rPr>
                <w:sz w:val="23"/>
                <w:szCs w:val="23"/>
                <w:color w:val="auto"/>
              </w:rPr>
            </w:pPr>
          </w:p>
        </w:tc>
        <w:tc>
          <w:tcPr>
            <w:tcW w:w="1300" w:type="dxa"/>
            <w:vAlign w:val="bottom"/>
            <w:vMerge w:val="continue"/>
          </w:tcPr>
          <w:p>
            <w:pPr>
              <w:spacing w:after="0"/>
              <w:rPr>
                <w:sz w:val="23"/>
                <w:szCs w:val="23"/>
                <w:color w:val="auto"/>
              </w:rPr>
            </w:pPr>
          </w:p>
        </w:tc>
        <w:tc>
          <w:tcPr>
            <w:tcW w:w="40" w:type="dxa"/>
            <w:vAlign w:val="bottom"/>
            <w:vMerge w:val="continue"/>
          </w:tcPr>
          <w:p>
            <w:pPr>
              <w:spacing w:after="0"/>
              <w:rPr>
                <w:sz w:val="23"/>
                <w:szCs w:val="23"/>
                <w:color w:val="auto"/>
              </w:rPr>
            </w:pPr>
          </w:p>
        </w:tc>
        <w:tc>
          <w:tcPr>
            <w:tcW w:w="3380" w:type="dxa"/>
            <w:vAlign w:val="bottom"/>
            <w:gridSpan w:val="4"/>
          </w:tcPr>
          <w:p>
            <w:pPr>
              <w:spacing w:after="0"/>
              <w:rPr>
                <w:sz w:val="20"/>
                <w:szCs w:val="20"/>
                <w:color w:val="auto"/>
              </w:rPr>
            </w:pPr>
            <w:r>
              <w:rPr>
                <w:rFonts w:ascii="Times New Roman" w:cs="Times New Roman" w:eastAsia="Times New Roman" w:hAnsi="Times New Roman"/>
                <w:sz w:val="22"/>
                <w:szCs w:val="22"/>
                <w:color w:val="auto"/>
                <w:w w:val="95"/>
              </w:rPr>
              <w:t>Jennifer Martin, Chief Financial Officer</w:t>
            </w:r>
          </w:p>
        </w:tc>
        <w:tc>
          <w:tcPr>
            <w:tcW w:w="0" w:type="dxa"/>
            <w:vAlign w:val="bottom"/>
          </w:tcPr>
          <w:p>
            <w:pPr>
              <w:spacing w:after="0"/>
              <w:rPr>
                <w:sz w:val="1"/>
                <w:szCs w:val="1"/>
                <w:color w:val="auto"/>
              </w:rPr>
            </w:pPr>
          </w:p>
        </w:tc>
      </w:tr>
      <w:tr>
        <w:trPr>
          <w:trHeight w:val="676"/>
        </w:trPr>
        <w:tc>
          <w:tcPr>
            <w:tcW w:w="3200" w:type="dxa"/>
            <w:vAlign w:val="bottom"/>
          </w:tcPr>
          <w:p>
            <w:pPr>
              <w:spacing w:after="0"/>
              <w:rPr>
                <w:sz w:val="20"/>
                <w:szCs w:val="20"/>
                <w:color w:val="auto"/>
              </w:rPr>
            </w:pPr>
            <w:r>
              <w:rPr>
                <w:rFonts w:ascii="Times New Roman" w:cs="Times New Roman" w:eastAsia="Times New Roman" w:hAnsi="Times New Roman"/>
                <w:sz w:val="22"/>
                <w:szCs w:val="22"/>
                <w:color w:val="auto"/>
              </w:rPr>
              <w:t>Date: November 2, 2026</w:t>
            </w:r>
          </w:p>
        </w:tc>
        <w:tc>
          <w:tcPr>
            <w:tcW w:w="4720" w:type="dxa"/>
            <w:vAlign w:val="bottom"/>
            <w:gridSpan w:val="6"/>
          </w:tcPr>
          <w:p>
            <w:pPr>
              <w:ind w:left="1000"/>
              <w:spacing w:after="0"/>
              <w:rPr>
                <w:sz w:val="20"/>
                <w:szCs w:val="20"/>
                <w:color w:val="auto"/>
              </w:rPr>
            </w:pPr>
            <w:r>
              <w:rPr>
                <w:rFonts w:ascii="Times New Roman" w:cs="Times New Roman" w:eastAsia="Times New Roman" w:hAnsi="Times New Roman"/>
                <w:sz w:val="22"/>
                <w:szCs w:val="22"/>
                <w:color w:val="auto"/>
              </w:rPr>
              <w:t>By: *</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300" w:type="dxa"/>
            <w:vAlign w:val="bottom"/>
            <w:vMerge w:val="restart"/>
          </w:tcPr>
          <w:p>
            <w:pPr>
              <w:spacing w:after="0" w:line="20" w:lineRule="exact"/>
              <w:rPr>
                <w:sz w:val="1"/>
                <w:szCs w:val="1"/>
                <w:color w:val="auto"/>
              </w:rPr>
            </w:pPr>
          </w:p>
        </w:tc>
        <w:tc>
          <w:tcPr>
            <w:tcW w:w="60" w:type="dxa"/>
            <w:vAlign w:val="bottom"/>
            <w:gridSpan w:val="2"/>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3200" w:type="dxa"/>
            <w:vAlign w:val="bottom"/>
          </w:tcPr>
          <w:p>
            <w:pPr>
              <w:spacing w:after="0"/>
              <w:rPr>
                <w:sz w:val="23"/>
                <w:szCs w:val="23"/>
                <w:color w:val="auto"/>
              </w:rPr>
            </w:pPr>
          </w:p>
        </w:tc>
        <w:tc>
          <w:tcPr>
            <w:tcW w:w="1300" w:type="dxa"/>
            <w:vAlign w:val="bottom"/>
            <w:vMerge w:val="continue"/>
          </w:tcPr>
          <w:p>
            <w:pPr>
              <w:spacing w:after="0"/>
              <w:rPr>
                <w:sz w:val="23"/>
                <w:szCs w:val="23"/>
                <w:color w:val="auto"/>
              </w:rPr>
            </w:pPr>
          </w:p>
        </w:tc>
        <w:tc>
          <w:tcPr>
            <w:tcW w:w="60" w:type="dxa"/>
            <w:vAlign w:val="bottom"/>
            <w:gridSpan w:val="2"/>
            <w:vMerge w:val="continue"/>
          </w:tcPr>
          <w:p>
            <w:pPr>
              <w:spacing w:after="0"/>
              <w:rPr>
                <w:sz w:val="23"/>
                <w:szCs w:val="23"/>
                <w:color w:val="auto"/>
              </w:rPr>
            </w:pPr>
          </w:p>
        </w:tc>
        <w:tc>
          <w:tcPr>
            <w:tcW w:w="33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James N. Topper</w:t>
            </w:r>
          </w:p>
        </w:tc>
        <w:tc>
          <w:tcPr>
            <w:tcW w:w="0" w:type="dxa"/>
            <w:vAlign w:val="bottom"/>
          </w:tcPr>
          <w:p>
            <w:pPr>
              <w:spacing w:after="0"/>
              <w:rPr>
                <w:sz w:val="1"/>
                <w:szCs w:val="1"/>
                <w:color w:val="auto"/>
              </w:rPr>
            </w:pPr>
          </w:p>
        </w:tc>
      </w:tr>
      <w:tr>
        <w:trPr>
          <w:trHeight w:val="676"/>
        </w:trPr>
        <w:tc>
          <w:tcPr>
            <w:tcW w:w="3200" w:type="dxa"/>
            <w:vAlign w:val="bottom"/>
          </w:tcPr>
          <w:p>
            <w:pPr>
              <w:spacing w:after="0"/>
              <w:rPr>
                <w:sz w:val="20"/>
                <w:szCs w:val="20"/>
                <w:color w:val="auto"/>
              </w:rPr>
            </w:pPr>
            <w:r>
              <w:rPr>
                <w:rFonts w:ascii="Times New Roman" w:cs="Times New Roman" w:eastAsia="Times New Roman" w:hAnsi="Times New Roman"/>
                <w:sz w:val="22"/>
                <w:szCs w:val="22"/>
                <w:color w:val="auto"/>
              </w:rPr>
              <w:t>Date: November 2, 2026</w:t>
            </w:r>
          </w:p>
        </w:tc>
        <w:tc>
          <w:tcPr>
            <w:tcW w:w="4720" w:type="dxa"/>
            <w:vAlign w:val="bottom"/>
            <w:gridSpan w:val="6"/>
          </w:tcPr>
          <w:p>
            <w:pPr>
              <w:ind w:left="1000"/>
              <w:spacing w:after="0"/>
              <w:rPr>
                <w:sz w:val="20"/>
                <w:szCs w:val="20"/>
                <w:color w:val="auto"/>
              </w:rPr>
            </w:pPr>
            <w:r>
              <w:rPr>
                <w:rFonts w:ascii="Times New Roman" w:cs="Times New Roman" w:eastAsia="Times New Roman" w:hAnsi="Times New Roman"/>
                <w:sz w:val="22"/>
                <w:szCs w:val="22"/>
                <w:color w:val="auto"/>
              </w:rPr>
              <w:t>By: *</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300" w:type="dxa"/>
            <w:vAlign w:val="bottom"/>
            <w:vMerge w:val="restart"/>
          </w:tcPr>
          <w:p>
            <w:pPr>
              <w:spacing w:after="0" w:line="20" w:lineRule="exact"/>
              <w:rPr>
                <w:sz w:val="1"/>
                <w:szCs w:val="1"/>
                <w:color w:val="auto"/>
              </w:rPr>
            </w:pPr>
          </w:p>
        </w:tc>
        <w:tc>
          <w:tcPr>
            <w:tcW w:w="60" w:type="dxa"/>
            <w:vAlign w:val="bottom"/>
            <w:gridSpan w:val="2"/>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3200" w:type="dxa"/>
            <w:vAlign w:val="bottom"/>
          </w:tcPr>
          <w:p>
            <w:pPr>
              <w:spacing w:after="0"/>
              <w:rPr>
                <w:sz w:val="23"/>
                <w:szCs w:val="23"/>
                <w:color w:val="auto"/>
              </w:rPr>
            </w:pPr>
          </w:p>
        </w:tc>
        <w:tc>
          <w:tcPr>
            <w:tcW w:w="1300" w:type="dxa"/>
            <w:vAlign w:val="bottom"/>
            <w:vMerge w:val="continue"/>
          </w:tcPr>
          <w:p>
            <w:pPr>
              <w:spacing w:after="0"/>
              <w:rPr>
                <w:sz w:val="23"/>
                <w:szCs w:val="23"/>
                <w:color w:val="auto"/>
              </w:rPr>
            </w:pPr>
          </w:p>
        </w:tc>
        <w:tc>
          <w:tcPr>
            <w:tcW w:w="60" w:type="dxa"/>
            <w:vAlign w:val="bottom"/>
            <w:gridSpan w:val="2"/>
            <w:vMerge w:val="continue"/>
          </w:tcPr>
          <w:p>
            <w:pPr>
              <w:spacing w:after="0"/>
              <w:rPr>
                <w:sz w:val="23"/>
                <w:szCs w:val="23"/>
                <w:color w:val="auto"/>
              </w:rPr>
            </w:pPr>
          </w:p>
        </w:tc>
        <w:tc>
          <w:tcPr>
            <w:tcW w:w="33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Patrick J. Heron</w:t>
            </w:r>
          </w:p>
        </w:tc>
        <w:tc>
          <w:tcPr>
            <w:tcW w:w="0" w:type="dxa"/>
            <w:vAlign w:val="bottom"/>
          </w:tcPr>
          <w:p>
            <w:pPr>
              <w:spacing w:after="0"/>
              <w:rPr>
                <w:sz w:val="1"/>
                <w:szCs w:val="1"/>
                <w:color w:val="auto"/>
              </w:rPr>
            </w:pPr>
          </w:p>
        </w:tc>
      </w:tr>
      <w:tr>
        <w:trPr>
          <w:trHeight w:val="676"/>
        </w:trPr>
        <w:tc>
          <w:tcPr>
            <w:tcW w:w="3200" w:type="dxa"/>
            <w:vAlign w:val="bottom"/>
          </w:tcPr>
          <w:p>
            <w:pPr>
              <w:spacing w:after="0"/>
              <w:rPr>
                <w:sz w:val="20"/>
                <w:szCs w:val="20"/>
                <w:color w:val="auto"/>
              </w:rPr>
            </w:pPr>
            <w:r>
              <w:rPr>
                <w:rFonts w:ascii="Times New Roman" w:cs="Times New Roman" w:eastAsia="Times New Roman" w:hAnsi="Times New Roman"/>
                <w:sz w:val="22"/>
                <w:szCs w:val="22"/>
                <w:color w:val="auto"/>
              </w:rPr>
              <w:t>Date: November 2, 2026</w:t>
            </w:r>
          </w:p>
        </w:tc>
        <w:tc>
          <w:tcPr>
            <w:tcW w:w="4720" w:type="dxa"/>
            <w:vAlign w:val="bottom"/>
            <w:gridSpan w:val="6"/>
          </w:tcPr>
          <w:p>
            <w:pPr>
              <w:ind w:left="1000"/>
              <w:spacing w:after="0"/>
              <w:rPr>
                <w:sz w:val="20"/>
                <w:szCs w:val="20"/>
                <w:color w:val="auto"/>
              </w:rPr>
            </w:pPr>
            <w:r>
              <w:rPr>
                <w:rFonts w:ascii="Times New Roman" w:cs="Times New Roman" w:eastAsia="Times New Roman" w:hAnsi="Times New Roman"/>
                <w:sz w:val="22"/>
                <w:szCs w:val="22"/>
                <w:color w:val="auto"/>
              </w:rPr>
              <w:t>By: /s/ Jennifer Martin</w:t>
            </w:r>
          </w:p>
        </w:tc>
        <w:tc>
          <w:tcPr>
            <w:tcW w:w="0" w:type="dxa"/>
            <w:vAlign w:val="bottom"/>
          </w:tcPr>
          <w:p>
            <w:pPr>
              <w:spacing w:after="0"/>
              <w:rPr>
                <w:sz w:val="1"/>
                <w:szCs w:val="1"/>
                <w:color w:val="auto"/>
              </w:rPr>
            </w:pPr>
          </w:p>
        </w:tc>
      </w:tr>
      <w:tr>
        <w:trPr>
          <w:trHeight w:val="276"/>
        </w:trPr>
        <w:tc>
          <w:tcPr>
            <w:tcW w:w="3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68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22"/>
                <w:szCs w:val="22"/>
                <w:color w:val="auto"/>
                <w:w w:val="99"/>
              </w:rPr>
              <w:t>Jennifer Martin, as</w:t>
            </w:r>
          </w:p>
        </w:tc>
        <w:tc>
          <w:tcPr>
            <w:tcW w:w="1740" w:type="dxa"/>
            <w:vAlign w:val="bottom"/>
          </w:tcPr>
          <w:p>
            <w:pPr>
              <w:spacing w:after="0"/>
              <w:rPr>
                <w:sz w:val="20"/>
                <w:szCs w:val="20"/>
                <w:color w:val="auto"/>
              </w:rPr>
            </w:pPr>
            <w:r>
              <w:rPr>
                <w:rFonts w:ascii="Times New Roman" w:cs="Times New Roman" w:eastAsia="Times New Roman" w:hAnsi="Times New Roman"/>
                <w:sz w:val="22"/>
                <w:szCs w:val="22"/>
                <w:color w:val="auto"/>
              </w:rPr>
              <w:t>Attorney-in-Fact</w:t>
            </w:r>
          </w:p>
        </w:tc>
        <w:tc>
          <w:tcPr>
            <w:tcW w:w="0" w:type="dxa"/>
            <w:vAlign w:val="bottom"/>
          </w:tcPr>
          <w:p>
            <w:pPr>
              <w:spacing w:after="0"/>
              <w:rPr>
                <w:sz w:val="1"/>
                <w:szCs w:val="1"/>
                <w:color w:val="auto"/>
              </w:rPr>
            </w:pPr>
          </w:p>
        </w:tc>
      </w:tr>
    </w:tbl>
    <w:p>
      <w:pPr>
        <w:spacing w:after="0" w:line="203" w:lineRule="exact"/>
        <w:rPr>
          <w:sz w:val="20"/>
          <w:szCs w:val="20"/>
          <w:color w:val="auto"/>
        </w:rPr>
      </w:pPr>
    </w:p>
    <w:p>
      <w:pPr>
        <w:ind w:firstLine="8"/>
        <w:spacing w:after="0" w:line="258" w:lineRule="auto"/>
        <w:tabs>
          <w:tab w:leader="none" w:pos="162"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Joint Filing Agreement was executed by Jennifer Martin on behalf of the individuals listed above pursuant to a Power of Attorney, a copy of which was filed with the SEC on January 27, 2026.</w:t>
      </w:r>
    </w:p>
    <w:sectPr>
      <w:pgSz w:w="11900" w:h="16838" w:orient="portrait"/>
      <w:cols w:equalWidth="0" w:num="1">
        <w:col w:w="11240"/>
      </w:cols>
      <w:pgMar w:left="320" w:top="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57130A3"/>
    <w:multiLevelType w:val="hybridMultilevel"/>
    <w:lvl w:ilvl="0">
      <w:lvlJc w:val="left"/>
      <w:lvlText w:val="2"/>
      <w:numFmt w:val="bullet"/>
      <w:start w:val="1"/>
    </w:lvl>
  </w:abstractNum>
  <w:abstractNum w:abstractNumId="1">
    <w:nsid w:val="62BBD95A"/>
    <w:multiLevelType w:val="hybridMultilevel"/>
    <w:lvl w:ilvl="0">
      <w:lvlJc w:val="left"/>
      <w:lvlText w:val="3"/>
      <w:numFmt w:val="bullet"/>
      <w:start w:val="1"/>
    </w:lvl>
  </w:abstractNum>
  <w:abstractNum w:abstractNumId="2">
    <w:nsid w:val="436C6125"/>
    <w:multiLevelType w:val="hybridMultilevel"/>
    <w:lvl w:ilvl="0">
      <w:lvlJc w:val="left"/>
      <w:lvlText w:val="2"/>
      <w:numFmt w:val="bullet"/>
      <w:start w:val="1"/>
    </w:lvl>
  </w:abstractNum>
  <w:abstractNum w:abstractNumId="3">
    <w:nsid w:val="628C895D"/>
    <w:multiLevelType w:val="hybridMultilevel"/>
    <w:lvl w:ilvl="0">
      <w:lvlJc w:val="left"/>
      <w:lvlText w:val="3"/>
      <w:numFmt w:val="bullet"/>
      <w:start w:val="1"/>
    </w:lvl>
  </w:abstractNum>
  <w:abstractNum w:abstractNumId="4">
    <w:nsid w:val="333AB105"/>
    <w:multiLevelType w:val="hybridMultilevel"/>
    <w:lvl w:ilvl="0">
      <w:lvlJc w:val="left"/>
      <w:lvlText w:val="6"/>
      <w:numFmt w:val="bullet"/>
      <w:start w:val="1"/>
    </w:lvl>
  </w:abstractNum>
  <w:abstractNum w:abstractNumId="5">
    <w:nsid w:val="721DA317"/>
    <w:multiLevelType w:val="hybridMultilevel"/>
    <w:lvl w:ilvl="0">
      <w:lvlJc w:val="left"/>
      <w:lvlText w:val="2"/>
      <w:numFmt w:val="bullet"/>
      <w:start w:val="1"/>
    </w:lvl>
  </w:abstractNum>
  <w:abstractNum w:abstractNumId="6">
    <w:nsid w:val="2443A858"/>
    <w:multiLevelType w:val="hybridMultilevel"/>
    <w:lvl w:ilvl="0">
      <w:lvlJc w:val="left"/>
      <w:lvlText w:val="3"/>
      <w:numFmt w:val="bullet"/>
      <w:start w:val="1"/>
    </w:lvl>
  </w:abstractNum>
  <w:abstractNum w:abstractNumId="7">
    <w:nsid w:val="2D1D5AE9"/>
    <w:multiLevelType w:val="hybridMultilevel"/>
    <w:lvl w:ilvl="0">
      <w:lvlJc w:val="left"/>
      <w:lvlText w:val="2"/>
      <w:numFmt w:val="bullet"/>
      <w:start w:val="1"/>
    </w:lvl>
  </w:abstractNum>
  <w:abstractNum w:abstractNumId="8">
    <w:nsid w:val="6763845E"/>
    <w:multiLevelType w:val="hybridMultilevel"/>
    <w:lvl w:ilvl="0">
      <w:lvlJc w:val="left"/>
      <w:lvlText w:val="2"/>
      <w:numFmt w:val="bullet"/>
      <w:start w:val="1"/>
    </w:lvl>
  </w:abstractNum>
  <w:abstractNum w:abstractNumId="9">
    <w:nsid w:val="75A2A8D4"/>
    <w:multiLevelType w:val="hybridMultilevel"/>
    <w:lvl w:ilvl="0">
      <w:lvlJc w:val="left"/>
      <w:lvlText w:val="2"/>
      <w:numFmt w:val="bullet"/>
      <w:start w:val="1"/>
    </w:lvl>
  </w:abstractNum>
  <w:abstractNum w:abstractNumId="10">
    <w:nsid w:val="8EDBDAB"/>
    <w:multiLevelType w:val="hybridMultilevel"/>
    <w:lvl w:ilvl="0">
      <w:lvlJc w:val="left"/>
      <w:lvlText w:val="2"/>
      <w:numFmt w:val="bullet"/>
      <w:start w:val="1"/>
    </w:lvl>
  </w:abstractNum>
  <w:abstractNum w:abstractNumId="11">
    <w:nsid w:val="79838CB2"/>
    <w:multiLevelType w:val="hybridMultilevel"/>
    <w:lvl w:ilvl="0">
      <w:lvlJc w:val="left"/>
      <w:lvlText w:val="3"/>
      <w:numFmt w:val="bullet"/>
      <w:start w:val="1"/>
    </w:lvl>
  </w:abstractNum>
  <w:abstractNum w:abstractNumId="12">
    <w:nsid w:val="4353D0CD"/>
    <w:multiLevelType w:val="hybridMultilevel"/>
    <w:lvl w:ilvl="0">
      <w:lvlJc w:val="left"/>
      <w:lvlText w:val="2"/>
      <w:numFmt w:val="bullet"/>
      <w:start w:val="1"/>
    </w:lvl>
  </w:abstractNum>
  <w:abstractNum w:abstractNumId="13">
    <w:nsid w:val="B03E0C6"/>
    <w:multiLevelType w:val="hybridMultilevel"/>
    <w:lvl w:ilvl="0">
      <w:lvlJc w:val="left"/>
      <w:lvlText w:val="3"/>
      <w:numFmt w:val="bullet"/>
      <w:start w:val="1"/>
    </w:lvl>
  </w:abstractNum>
  <w:abstractNum w:abstractNumId="14">
    <w:nsid w:val="189A769B"/>
    <w:multiLevelType w:val="hybridMultilevel"/>
    <w:lvl w:ilvl="0">
      <w:lvlJc w:val="left"/>
      <w:lvlText w:val="2"/>
      <w:numFmt w:val="bullet"/>
      <w:start w:val="1"/>
    </w:lvl>
  </w:abstractNum>
  <w:abstractNum w:abstractNumId="15">
    <w:nsid w:val="54E49EB4"/>
    <w:multiLevelType w:val="hybridMultilevel"/>
    <w:lvl w:ilvl="0">
      <w:lvlJc w:val="left"/>
      <w:lvlText w:val="3"/>
      <w:numFmt w:val="bullet"/>
      <w:start w:val="1"/>
    </w:lvl>
  </w:abstractNum>
  <w:abstractNum w:abstractNumId="16">
    <w:nsid w:val="71F32454"/>
    <w:multiLevelType w:val="hybridMultilevel"/>
    <w:lvl w:ilvl="0">
      <w:lvlJc w:val="left"/>
      <w:lvlText w:val="6"/>
      <w:numFmt w:val="bullet"/>
      <w:start w:val="1"/>
    </w:lvl>
  </w:abstractNum>
  <w:abstractNum w:abstractNumId="17">
    <w:nsid w:val="2CA88611"/>
    <w:multiLevelType w:val="hybridMultilevel"/>
    <w:lvl w:ilvl="0">
      <w:lvlJc w:val="left"/>
      <w:lvlText w:val="2"/>
      <w:numFmt w:val="bullet"/>
      <w:start w:val="1"/>
    </w:lvl>
  </w:abstractNum>
  <w:abstractNum w:abstractNumId="18">
    <w:nsid w:val="836C40E"/>
    <w:multiLevelType w:val="hybridMultilevel"/>
    <w:lvl w:ilvl="0">
      <w:lvlJc w:val="left"/>
      <w:lvlText w:val="3"/>
      <w:numFmt w:val="bullet"/>
      <w:start w:val="1"/>
    </w:lvl>
  </w:abstractNum>
  <w:abstractNum w:abstractNumId="19">
    <w:nsid w:val="2901D82"/>
    <w:multiLevelType w:val="hybridMultilevel"/>
    <w:lvl w:ilvl="0">
      <w:lvlJc w:val="left"/>
      <w:lvlText w:val="2"/>
      <w:numFmt w:val="bullet"/>
      <w:start w:val="1"/>
    </w:lvl>
  </w:abstractNum>
  <w:abstractNum w:abstractNumId="20">
    <w:nsid w:val="3A95F874"/>
    <w:multiLevelType w:val="hybridMultilevel"/>
    <w:lvl w:ilvl="0">
      <w:lvlJc w:val="left"/>
      <w:lvlText w:val="%1"/>
      <w:numFmt w:val="decimal"/>
      <w:start w:val="13"/>
    </w:lvl>
  </w:abstractNum>
  <w:abstractNum w:abstractNumId="21">
    <w:nsid w:val="8138641"/>
    <w:multiLevelType w:val="hybridMultilevel"/>
    <w:lvl w:ilvl="0">
      <w:lvlJc w:val="left"/>
      <w:lvlText w:val="2"/>
      <w:numFmt w:val="bullet"/>
      <w:start w:val="1"/>
    </w:lvl>
  </w:abstractNum>
  <w:abstractNum w:abstractNumId="22">
    <w:nsid w:val="1E7FF521"/>
    <w:multiLevelType w:val="hybridMultilevel"/>
    <w:lvl w:ilvl="0">
      <w:lvlJc w:val="left"/>
      <w:lvlText w:val="2"/>
      <w:numFmt w:val="bullet"/>
      <w:start w:val="1"/>
    </w:lvl>
  </w:abstractNum>
  <w:abstractNum w:abstractNumId="23">
    <w:nsid w:val="7C3DBD3D"/>
    <w:multiLevelType w:val="hybridMultilevel"/>
    <w:lvl w:ilvl="0">
      <w:lvlJc w:val="left"/>
      <w:lvlText w:val="3"/>
      <w:numFmt w:val="bullet"/>
      <w:start w:val="1"/>
    </w:lvl>
  </w:abstractNum>
  <w:abstractNum w:abstractNumId="24">
    <w:nsid w:val="737B8DDC"/>
    <w:multiLevelType w:val="hybridMultilevel"/>
    <w:lvl w:ilvl="0">
      <w:lvlJc w:val="left"/>
      <w:lvlText w:val="1"/>
      <w:numFmt w:val="bullet"/>
      <w:start w:val="1"/>
    </w:lvl>
  </w:abstractNum>
  <w:abstractNum w:abstractNumId="25">
    <w:nsid w:val="6CEAF087"/>
    <w:multiLevelType w:val="hybridMultilevel"/>
    <w:lvl w:ilvl="0">
      <w:lvlJc w:val="left"/>
      <w:lvlText w:val="2"/>
      <w:numFmt w:val="bullet"/>
      <w:start w:val="1"/>
    </w:lvl>
  </w:abstractNum>
  <w:abstractNum w:abstractNumId="26">
    <w:nsid w:val="22221A70"/>
    <w:multiLevelType w:val="hybridMultilevel"/>
    <w:lvl w:ilvl="0">
      <w:lvlJc w:val="left"/>
      <w:lvlText w:val="3"/>
      <w:numFmt w:val="bullet"/>
      <w:start w:val="1"/>
    </w:lvl>
  </w:abstractNum>
  <w:abstractNum w:abstractNumId="27">
    <w:nsid w:val="4516DDE9"/>
    <w:multiLevelType w:val="hybridMultilevel"/>
    <w:lvl w:ilvl="0">
      <w:lvlJc w:val="left"/>
      <w:lvlText w:val="2"/>
      <w:numFmt w:val="bullet"/>
      <w:start w:val="1"/>
    </w:lvl>
  </w:abstractNum>
  <w:abstractNum w:abstractNumId="28">
    <w:nsid w:val="3006C83E"/>
    <w:multiLevelType w:val="hybridMultilevel"/>
    <w:lvl w:ilvl="0">
      <w:lvlJc w:val="left"/>
      <w:lvlText w:val="3"/>
      <w:numFmt w:val="bullet"/>
      <w:start w:val="1"/>
    </w:lvl>
  </w:abstractNum>
  <w:abstractNum w:abstractNumId="29">
    <w:nsid w:val="614FD4A1"/>
    <w:multiLevelType w:val="hybridMultilevel"/>
    <w:lvl w:ilvl="0">
      <w:lvlJc w:val="left"/>
      <w:lvlText w:val="4"/>
      <w:numFmt w:val="bullet"/>
      <w:start w:val="1"/>
    </w:lvl>
  </w:abstractNum>
  <w:abstractNum w:abstractNumId="30">
    <w:nsid w:val="419AC241"/>
    <w:multiLevelType w:val="hybridMultilevel"/>
    <w:lvl w:ilvl="0">
      <w:lvlJc w:val="left"/>
      <w:lvlText w:val="2"/>
      <w:numFmt w:val="bullet"/>
      <w:start w:val="1"/>
    </w:lvl>
  </w:abstractNum>
  <w:abstractNum w:abstractNumId="31">
    <w:nsid w:val="5577F8E1"/>
    <w:multiLevelType w:val="hybridMultilevel"/>
    <w:lvl w:ilvl="0">
      <w:lvlJc w:val="left"/>
      <w:lvlText w:val="3"/>
      <w:numFmt w:val="bullet"/>
      <w:start w:val="1"/>
    </w:lvl>
  </w:abstractNum>
  <w:abstractNum w:abstractNumId="32">
    <w:nsid w:val="440BADFC"/>
    <w:multiLevelType w:val="hybridMultilevel"/>
    <w:lvl w:ilvl="0">
      <w:lvlJc w:val="left"/>
      <w:lvlText w:val="2"/>
      <w:numFmt w:val="bullet"/>
      <w:start w:val="1"/>
    </w:lvl>
  </w:abstractNum>
  <w:abstractNum w:abstractNumId="33">
    <w:nsid w:val="5072367"/>
    <w:multiLevelType w:val="hybridMultilevel"/>
    <w:lvl w:ilvl="0">
      <w:lvlJc w:val="left"/>
      <w:lvlText w:val="3"/>
      <w:numFmt w:val="bullet"/>
      <w:start w:val="1"/>
    </w:lvl>
  </w:abstractNum>
  <w:abstractNum w:abstractNumId="34">
    <w:nsid w:val="3804823E"/>
    <w:multiLevelType w:val="hybridMultilevel"/>
    <w:lvl w:ilvl="0">
      <w:lvlJc w:val="left"/>
      <w:lvlText w:val="(%1)"/>
      <w:numFmt w:val="lowerLetter"/>
      <w:start w:val="2"/>
    </w:lvl>
  </w:abstractNum>
  <w:abstractNum w:abstractNumId="35">
    <w:nsid w:val="77465F01"/>
    <w:multiLevelType w:val="hybridMultilevel"/>
    <w:lvl w:ilvl="0">
      <w:lvlJc w:val="left"/>
      <w:lvlText w:val="(%1)"/>
      <w:numFmt w:val="lowerLetter"/>
      <w:start w:val="6"/>
    </w:lvl>
  </w:abstractNum>
  <w:abstractNum w:abstractNumId="36">
    <w:nsid w:val="7724C67E"/>
    <w:multiLevelType w:val="hybridMultilevel"/>
    <w:lvl w:ilvl="0">
      <w:lvlJc w:val="left"/>
      <w:lvlText w:val="(%1)"/>
      <w:numFmt w:val="lowerLetter"/>
      <w:start w:val="1"/>
    </w:lvl>
  </w:abstractNum>
  <w:abstractNum w:abstractNumId="37">
    <w:nsid w:val="5C482A9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2026-11-02T15:35:03Z</dcterms:created>
  <dcterms:modified xsi:type="dcterms:W3CDTF">2026-11-02T15:35:03Z</dcterms:modified>
</cp:coreProperties>
</file>