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83820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3" w:lineRule="exact"/>
        <w:rPr>
          <w:sz w:val="24"/>
          <w:szCs w:val="24"/>
          <w:color w:val="auto"/>
        </w:rPr>
      </w:pPr>
    </w:p>
    <w:p>
      <w:pPr>
        <w:ind w:left="520" w:right="200" w:hanging="512"/>
        <w:spacing w:after="0" w:line="256" w:lineRule="auto"/>
        <w:tabs>
          <w:tab w:leader="none" w:pos="952"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520" w:right="180" w:hanging="512"/>
        <w:spacing w:after="0" w:line="256" w:lineRule="auto"/>
        <w:tabs>
          <w:tab w:leader="none" w:pos="95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-7620</wp:posOffset>
            </wp:positionV>
            <wp:extent cx="118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9"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53"/>
        </w:trPr>
        <w:tc>
          <w:tcPr>
            <w:tcW w:w="4380" w:type="dxa"/>
            <w:vAlign w:val="bottom"/>
          </w:tcPr>
          <w:p>
            <w:pPr>
              <w:jc w:val="center"/>
              <w:ind w:right="1919"/>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453"/>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34"/>
        </w:trPr>
        <w:tc>
          <w:tcPr>
            <w:tcW w:w="4380" w:type="dxa"/>
            <w:vAlign w:val="bottom"/>
          </w:tcPr>
          <w:p>
            <w:pPr>
              <w:jc w:val="center"/>
              <w:ind w:right="195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90"/>
        </w:trPr>
        <w:tc>
          <w:tcPr>
            <w:tcW w:w="4380" w:type="dxa"/>
            <w:vAlign w:val="bottom"/>
          </w:tcPr>
          <w:p>
            <w:pPr>
              <w:jc w:val="center"/>
              <w:ind w:right="19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61"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PHAT</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24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5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40"/>
        <w:spacing w:after="0" w:line="26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8, 2023, the registrant had 56,803,183 </w:t>
      </w:r>
      <w:r>
        <w:rPr>
          <w:rFonts w:ascii="Arial" w:cs="Arial" w:eastAsia="Arial" w:hAnsi="Arial"/>
          <w:sz w:val="15"/>
          <w:szCs w:val="15"/>
          <w:color w:val="auto"/>
        </w:rPr>
        <w:t>s</w:t>
      </w:r>
      <w:r>
        <w:rPr>
          <w:rFonts w:ascii="Arial" w:cs="Arial" w:eastAsia="Arial" w:hAnsi="Arial"/>
          <w:sz w:val="17"/>
          <w:szCs w:val="17"/>
          <w:color w:val="auto"/>
        </w:rPr>
        <w:t>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ind w:left="420"/>
        <w:spacing w:after="0"/>
        <w:rPr>
          <w:sz w:val="20"/>
          <w:szCs w:val="20"/>
          <w:color w:val="auto"/>
        </w:rPr>
      </w:pPr>
      <w:r>
        <w:rPr>
          <w:rFonts w:ascii="Arial" w:cs="Arial" w:eastAsia="Arial" w:hAnsi="Arial"/>
          <w:sz w:val="18"/>
          <w:szCs w:val="18"/>
          <w:b w:val="1"/>
          <w:bCs w:val="1"/>
          <w:color w:val="231F20"/>
        </w:rPr>
        <w:t>TABLE OF CONTENTS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1590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1</w:t>
            </w:r>
          </w:p>
        </w:tc>
        <w:tc>
          <w:tcPr>
            <w:tcW w:w="638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31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0"/>
        </w:trPr>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5"/>
              </w:rPr>
              <w:t>Balance Sheets</w:t>
            </w:r>
          </w:p>
        </w:tc>
        <w:tc>
          <w:tcPr>
            <w:tcW w:w="40" w:type="dxa"/>
            <w:vAlign w:val="bottom"/>
            <w:tcBorders>
              <w:top w:val="single" w:sz="8" w:color="0000FF"/>
              <w:bottom w:val="single" w:sz="8" w:color="0000EE"/>
            </w:tcBorders>
          </w:tcPr>
          <w:p>
            <w:pPr>
              <w:spacing w:after="0"/>
              <w:rPr>
                <w:sz w:val="21"/>
                <w:szCs w:val="21"/>
                <w:color w:val="auto"/>
              </w:rPr>
            </w:pPr>
          </w:p>
        </w:tc>
        <w:tc>
          <w:tcPr>
            <w:tcW w:w="1260" w:type="dxa"/>
            <w:vAlign w:val="bottom"/>
            <w:tcBorders>
              <w:top w:val="single" w:sz="8" w:color="0000FF"/>
            </w:tcBorders>
            <w:gridSpan w:val="6"/>
          </w:tcPr>
          <w:p>
            <w:pPr>
              <w:spacing w:after="0"/>
              <w:rPr>
                <w:sz w:val="21"/>
                <w:szCs w:val="21"/>
                <w:color w:val="auto"/>
              </w:rPr>
            </w:pPr>
          </w:p>
        </w:tc>
        <w:tc>
          <w:tcPr>
            <w:tcW w:w="3980" w:type="dxa"/>
            <w:vAlign w:val="bottom"/>
            <w:gridSpan w:val="6"/>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50"/>
        </w:trPr>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7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91"/>
              </w:rPr>
              <w:t>Statements of Operatons and Comprehensive Loss</w:t>
            </w:r>
          </w:p>
        </w:tc>
        <w:tc>
          <w:tcPr>
            <w:tcW w:w="2620" w:type="dxa"/>
            <w:vAlign w:val="bottom"/>
            <w:gridSpan w:val="3"/>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380" w:type="dxa"/>
            <w:vAlign w:val="bottom"/>
            <w:gridSpan w:val="17"/>
          </w:tcPr>
          <w:p>
            <w:pPr>
              <w:spacing w:after="0"/>
              <w:rPr>
                <w:sz w:val="20"/>
                <w:szCs w:val="20"/>
                <w:color w:val="auto"/>
              </w:rPr>
            </w:pPr>
            <w:r>
              <w:rPr>
                <w:rFonts w:ascii="Arial" w:cs="Arial" w:eastAsia="Arial" w:hAnsi="Arial"/>
                <w:sz w:val="18"/>
                <w:szCs w:val="18"/>
                <w:color w:val="0000FF"/>
              </w:rPr>
              <w:t>Statements of Stockholders’ Equity (Defcit)</w:t>
            </w:r>
          </w:p>
        </w:tc>
        <w:tc>
          <w:tcPr>
            <w:tcW w:w="31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1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Statements of Cash Flows</w:t>
            </w:r>
          </w:p>
        </w:tc>
        <w:tc>
          <w:tcPr>
            <w:tcW w:w="3220" w:type="dxa"/>
            <w:vAlign w:val="bottom"/>
            <w:gridSpan w:val="4"/>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380" w:type="dxa"/>
            <w:vAlign w:val="bottom"/>
            <w:gridSpan w:val="17"/>
          </w:tcPr>
          <w:p>
            <w:pPr>
              <w:spacing w:after="0"/>
              <w:rPr>
                <w:sz w:val="20"/>
                <w:szCs w:val="20"/>
                <w:color w:val="auto"/>
              </w:rPr>
            </w:pPr>
            <w:r>
              <w:rPr>
                <w:rFonts w:ascii="Arial" w:cs="Arial" w:eastAsia="Arial" w:hAnsi="Arial"/>
                <w:sz w:val="18"/>
                <w:szCs w:val="18"/>
                <w:color w:val="0000FF"/>
              </w:rPr>
              <w:t>Notes to Unaudited Financial Statements</w:t>
            </w:r>
          </w:p>
        </w:tc>
        <w:tc>
          <w:tcPr>
            <w:tcW w:w="31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2</w:t>
            </w:r>
          </w:p>
        </w:tc>
        <w:tc>
          <w:tcPr>
            <w:tcW w:w="63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Conditon and Results of Operatons</w:t>
            </w:r>
          </w:p>
        </w:tc>
        <w:tc>
          <w:tcPr>
            <w:tcW w:w="3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3</w:t>
            </w:r>
          </w:p>
        </w:tc>
        <w:tc>
          <w:tcPr>
            <w:tcW w:w="6380" w:type="dxa"/>
            <w:vAlign w:val="bottom"/>
            <w:gridSpan w:val="17"/>
          </w:tcPr>
          <w:p>
            <w:pPr>
              <w:spacing w:after="0"/>
              <w:rPr>
                <w:sz w:val="20"/>
                <w:szCs w:val="20"/>
                <w:color w:val="auto"/>
              </w:rPr>
            </w:pPr>
            <w:r>
              <w:rPr>
                <w:rFonts w:ascii="Arial" w:cs="Arial" w:eastAsia="Arial" w:hAnsi="Arial"/>
                <w:sz w:val="18"/>
                <w:szCs w:val="18"/>
                <w:color w:val="0000FF"/>
              </w:rPr>
              <w:t>Quanttatve and Qualitatve Disclosures About Market Risk</w:t>
            </w:r>
          </w:p>
        </w:tc>
        <w:tc>
          <w:tcPr>
            <w:tcW w:w="3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Controls and Procedures</w:t>
            </w:r>
          </w:p>
        </w:tc>
        <w:tc>
          <w:tcPr>
            <w:tcW w:w="2080" w:type="dxa"/>
            <w:vAlign w:val="bottom"/>
            <w:gridSpan w:val="2"/>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39"/>
        </w:trPr>
        <w:tc>
          <w:tcPr>
            <w:tcW w:w="8080" w:type="dxa"/>
            <w:vAlign w:val="bottom"/>
            <w:gridSpan w:val="19"/>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3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5"/>
              </w:rPr>
              <w:t>Legal Proceedings</w:t>
            </w:r>
          </w:p>
        </w:tc>
        <w:tc>
          <w:tcPr>
            <w:tcW w:w="5080" w:type="dxa"/>
            <w:vAlign w:val="bottom"/>
            <w:gridSpan w:val="11"/>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3"/>
              </w:rPr>
              <w:t>Risk Factors</w:t>
            </w:r>
          </w:p>
        </w:tc>
        <w:tc>
          <w:tcPr>
            <w:tcW w:w="5520" w:type="dxa"/>
            <w:vAlign w:val="bottom"/>
            <w:gridSpan w:val="14"/>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40" w:type="dxa"/>
            <w:vAlign w:val="bottom"/>
          </w:tcPr>
          <w:p>
            <w:pPr>
              <w:spacing w:after="0"/>
              <w:rPr>
                <w:sz w:val="22"/>
                <w:szCs w:val="22"/>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2</w:t>
            </w:r>
          </w:p>
        </w:tc>
        <w:tc>
          <w:tcPr>
            <w:tcW w:w="638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Securites and Use of Proceeds</w:t>
            </w: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3</w:t>
            </w:r>
          </w:p>
        </w:tc>
        <w:tc>
          <w:tcPr>
            <w:tcW w:w="23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Securites</w:t>
            </w:r>
          </w:p>
        </w:tc>
        <w:tc>
          <w:tcPr>
            <w:tcW w:w="2020" w:type="dxa"/>
            <w:vAlign w:val="bottom"/>
            <w:tcBorders>
              <w:top w:val="single" w:sz="8" w:color="0000FF"/>
            </w:tcBorders>
            <w:gridSpan w:val="6"/>
          </w:tcPr>
          <w:p>
            <w:pPr>
              <w:spacing w:after="0"/>
              <w:rPr>
                <w:sz w:val="21"/>
                <w:szCs w:val="21"/>
                <w:color w:val="auto"/>
              </w:rPr>
            </w:pPr>
          </w:p>
        </w:tc>
        <w:tc>
          <w:tcPr>
            <w:tcW w:w="2060" w:type="dxa"/>
            <w:vAlign w:val="bottom"/>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4</w:t>
            </w:r>
          </w:p>
        </w:tc>
        <w:tc>
          <w:tcPr>
            <w:tcW w:w="638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Informaton</w:t>
            </w:r>
          </w:p>
        </w:tc>
        <w:tc>
          <w:tcPr>
            <w:tcW w:w="4600" w:type="dxa"/>
            <w:vAlign w:val="bottom"/>
            <w:gridSpan w:val="9"/>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0" w:type="dxa"/>
            <w:vAlign w:val="bottom"/>
          </w:tcPr>
          <w:p>
            <w:pPr>
              <w:spacing w:after="0"/>
              <w:rPr>
                <w:sz w:val="21"/>
                <w:szCs w:val="21"/>
                <w:color w:val="auto"/>
              </w:rPr>
            </w:pPr>
          </w:p>
        </w:tc>
        <w:tc>
          <w:tcPr>
            <w:tcW w:w="1660" w:type="dxa"/>
            <w:vAlign w:val="bottom"/>
          </w:tcPr>
          <w:p>
            <w:pPr>
              <w:ind w:left="56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Exhibits</w:t>
            </w:r>
          </w:p>
        </w:tc>
        <w:tc>
          <w:tcPr>
            <w:tcW w:w="5060" w:type="dxa"/>
            <w:vAlign w:val="bottom"/>
            <w:gridSpan w:val="10"/>
          </w:tcPr>
          <w:p>
            <w:pPr>
              <w:spacing w:after="0"/>
              <w:rPr>
                <w:sz w:val="21"/>
                <w:szCs w:val="21"/>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gridSpan w:val="15"/>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38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824"/>
        </w:trPr>
        <w:tc>
          <w:tcPr>
            <w:tcW w:w="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33"/>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1"/>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248,847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155,385</w:t>
            </w:r>
          </w:p>
        </w:tc>
      </w:tr>
      <w:tr>
        <w:trPr>
          <w:trHeight w:val="235"/>
        </w:trPr>
        <w:tc>
          <w:tcPr>
            <w:tcW w:w="78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8,760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5,127</w:t>
            </w:r>
          </w:p>
        </w:tc>
      </w:tr>
      <w:tr>
        <w:trPr>
          <w:trHeight w:val="245"/>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257,718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160,512</w:t>
            </w:r>
          </w:p>
        </w:tc>
      </w:tr>
      <w:tr>
        <w:trPr>
          <w:trHeight w:val="251"/>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1,207</w:t>
            </w: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Operatng lease right-of-use assets</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2,287</w:t>
            </w:r>
          </w:p>
        </w:tc>
      </w:tr>
      <w:tr>
        <w:trPr>
          <w:trHeight w:val="251"/>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505</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3,749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299</w:t>
            </w:r>
          </w:p>
        </w:tc>
      </w:tr>
      <w:tr>
        <w:trPr>
          <w:trHeight w:val="277"/>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265,039</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164,810</w:t>
            </w:r>
          </w:p>
        </w:tc>
      </w:tr>
      <w:tr>
        <w:trPr>
          <w:trHeight w:val="230"/>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Liabilites and Stockholders’ Equity</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1"/>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(including related party amounts of $27 and $35, respectvely)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4,174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9,997</w:t>
            </w:r>
          </w:p>
        </w:tc>
      </w:tr>
      <w:tr>
        <w:trPr>
          <w:trHeight w:val="235"/>
        </w:trPr>
        <w:tc>
          <w:tcPr>
            <w:tcW w:w="7800" w:type="dxa"/>
            <w:vAlign w:val="bottom"/>
          </w:tcPr>
          <w:p>
            <w:pPr>
              <w:ind w:left="200"/>
              <w:spacing w:after="0"/>
              <w:rPr>
                <w:sz w:val="20"/>
                <w:szCs w:val="20"/>
                <w:color w:val="auto"/>
              </w:rPr>
            </w:pPr>
            <w:r>
              <w:rPr>
                <w:rFonts w:ascii="Arial" w:cs="Arial" w:eastAsia="Arial" w:hAnsi="Arial"/>
                <w:sz w:val="18"/>
                <w:szCs w:val="18"/>
                <w:color w:val="auto"/>
              </w:rPr>
              <w:t>Accrued expenses (including related party amounts of $2,786 and $2,499, respectvely)</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15,451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14,678</w:t>
            </w:r>
          </w:p>
        </w:tc>
      </w:tr>
      <w:tr>
        <w:trPr>
          <w:trHeight w:val="251"/>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854</w:t>
            </w:r>
          </w:p>
        </w:tc>
      </w:tr>
      <w:tr>
        <w:trPr>
          <w:trHeight w:val="235"/>
        </w:trPr>
        <w:tc>
          <w:tcPr>
            <w:tcW w:w="7800" w:type="dxa"/>
            <w:vAlign w:val="bottom"/>
          </w:tcPr>
          <w:p>
            <w:pPr>
              <w:ind w:left="200"/>
              <w:spacing w:after="0"/>
              <w:rPr>
                <w:sz w:val="20"/>
                <w:szCs w:val="20"/>
                <w:color w:val="auto"/>
              </w:rPr>
            </w:pPr>
            <w:r>
              <w:rPr>
                <w:rFonts w:ascii="Arial" w:cs="Arial" w:eastAsia="Arial" w:hAnsi="Arial"/>
                <w:sz w:val="18"/>
                <w:szCs w:val="18"/>
                <w:color w:val="auto"/>
              </w:rPr>
              <w:t>Operatng lease liabilites, current</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708</w:t>
            </w:r>
          </w:p>
        </w:tc>
      </w:tr>
      <w:tr>
        <w:trPr>
          <w:trHeight w:val="245"/>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porton of revenue interest fnancing liability</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276</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Total current liabilites</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21,545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26,237</w:t>
            </w:r>
          </w:p>
        </w:tc>
      </w:tr>
      <w:tr>
        <w:trPr>
          <w:trHeight w:val="251"/>
        </w:trPr>
        <w:tc>
          <w:tcPr>
            <w:tcW w:w="7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Long-term debt, net of discount</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97,806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95,264</w:t>
            </w:r>
          </w:p>
        </w:tc>
      </w:tr>
      <w:tr>
        <w:trPr>
          <w:trHeight w:val="251"/>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interest fnancing liability</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119,799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109,525</w:t>
            </w: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Operatng lease liabilites</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1,098</w:t>
            </w:r>
          </w:p>
        </w:tc>
      </w:tr>
      <w:tr>
        <w:trPr>
          <w:trHeight w:val="245"/>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liabilites</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7,500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7,500</w:t>
            </w:r>
          </w:p>
        </w:tc>
      </w:tr>
      <w:tr>
        <w:trPr>
          <w:trHeight w:val="236"/>
        </w:trPr>
        <w:tc>
          <w:tcPr>
            <w:tcW w:w="7800" w:type="dxa"/>
            <w:vAlign w:val="bottom"/>
          </w:tcPr>
          <w:p>
            <w:pPr>
              <w:ind w:left="20"/>
              <w:spacing w:after="0"/>
              <w:rPr>
                <w:sz w:val="20"/>
                <w:szCs w:val="20"/>
                <w:color w:val="auto"/>
              </w:rPr>
            </w:pPr>
            <w:r>
              <w:rPr>
                <w:rFonts w:ascii="Arial" w:cs="Arial" w:eastAsia="Arial" w:hAnsi="Arial"/>
                <w:sz w:val="18"/>
                <w:szCs w:val="18"/>
                <w:color w:val="auto"/>
              </w:rPr>
              <w:t>Total liabilites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247,439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239,624</w:t>
            </w:r>
          </w:p>
        </w:tc>
      </w:tr>
      <w:tr>
        <w:trPr>
          <w:trHeight w:val="243"/>
        </w:trPr>
        <w:tc>
          <w:tcPr>
            <w:tcW w:w="7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Commitments and contngencies (Note 4)</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1"/>
        </w:trPr>
        <w:tc>
          <w:tcPr>
            <w:tcW w:w="7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5"/>
        </w:trPr>
        <w:tc>
          <w:tcPr>
            <w:tcW w:w="78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5"/>
        </w:trPr>
        <w:tc>
          <w:tcPr>
            <w:tcW w:w="7800" w:type="dxa"/>
            <w:vAlign w:val="bottom"/>
            <w:shd w:val="clear" w:color="auto" w:fill="CFF0FC"/>
          </w:tcPr>
          <w:p>
            <w:pPr>
              <w:ind w:left="200"/>
              <w:spacing w:after="0" w:line="205" w:lineRule="exact"/>
              <w:rPr>
                <w:sz w:val="20"/>
                <w:szCs w:val="20"/>
                <w:color w:val="auto"/>
              </w:rPr>
            </w:pPr>
            <w:r>
              <w:rPr>
                <w:rFonts w:ascii="Arial" w:cs="Arial" w:eastAsia="Arial" w:hAnsi="Arial"/>
                <w:sz w:val="18"/>
                <w:szCs w:val="18"/>
                <w:color w:val="auto"/>
                <w:w w:val="93"/>
              </w:rPr>
              <w:t>Preferred stock, $0.0001 par value; authorized shares — 40,000,000 at June 30, 2023 and December</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42"/>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31, 2022; no shares issued and outstanding at June 30, 2023 and December 31, 2022</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197"/>
        </w:trPr>
        <w:tc>
          <w:tcPr>
            <w:tcW w:w="7800" w:type="dxa"/>
            <w:vAlign w:val="bottom"/>
          </w:tcPr>
          <w:p>
            <w:pPr>
              <w:ind w:left="200"/>
              <w:spacing w:after="0" w:line="197" w:lineRule="exact"/>
              <w:rPr>
                <w:sz w:val="20"/>
                <w:szCs w:val="20"/>
                <w:color w:val="auto"/>
              </w:rPr>
            </w:pPr>
            <w:r>
              <w:rPr>
                <w:rFonts w:ascii="Arial" w:cs="Arial" w:eastAsia="Arial" w:hAnsi="Arial"/>
                <w:sz w:val="18"/>
                <w:szCs w:val="18"/>
                <w:color w:val="auto"/>
                <w:w w:val="92"/>
              </w:rPr>
              <w:t>Common stock, $0.0001 par value; authorized shares — 400,000,000 at June 30, 2023 and December</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800" w:type="dxa"/>
            <w:vAlign w:val="bottom"/>
          </w:tcPr>
          <w:p>
            <w:pPr>
              <w:ind w:left="200"/>
              <w:spacing w:after="0"/>
              <w:rPr>
                <w:sz w:val="20"/>
                <w:szCs w:val="20"/>
                <w:color w:val="auto"/>
              </w:rPr>
            </w:pPr>
            <w:r>
              <w:rPr>
                <w:rFonts w:ascii="Arial" w:cs="Arial" w:eastAsia="Arial" w:hAnsi="Arial"/>
                <w:sz w:val="18"/>
                <w:szCs w:val="18"/>
                <w:color w:val="auto"/>
                <w:w w:val="96"/>
              </w:rPr>
              <w:t>31, 2022; issued shares — 56,639,085 and 41,723,308 at June 30, 2023 and December 31, 2022,</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0" w:type="dxa"/>
            <w:vAlign w:val="bottom"/>
          </w:tcPr>
          <w:p>
            <w:pPr>
              <w:ind w:left="200"/>
              <w:spacing w:after="0"/>
              <w:rPr>
                <w:sz w:val="20"/>
                <w:szCs w:val="20"/>
                <w:color w:val="auto"/>
              </w:rPr>
            </w:pPr>
            <w:r>
              <w:rPr>
                <w:rFonts w:ascii="Arial" w:cs="Arial" w:eastAsia="Arial" w:hAnsi="Arial"/>
                <w:sz w:val="18"/>
                <w:szCs w:val="18"/>
                <w:color w:val="auto"/>
                <w:w w:val="95"/>
              </w:rPr>
              <w:t>respectvely; outstanding shares — 56,639,085 and 41,468,871 at June 30, 2023 and December 31,</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7"/>
        </w:trPr>
        <w:tc>
          <w:tcPr>
            <w:tcW w:w="7800" w:type="dxa"/>
            <w:vAlign w:val="bottom"/>
          </w:tcPr>
          <w:p>
            <w:pPr>
              <w:ind w:left="200"/>
              <w:spacing w:after="0"/>
              <w:rPr>
                <w:sz w:val="20"/>
                <w:szCs w:val="20"/>
                <w:color w:val="auto"/>
              </w:rPr>
            </w:pPr>
            <w:r>
              <w:rPr>
                <w:rFonts w:ascii="Arial" w:cs="Arial" w:eastAsia="Arial" w:hAnsi="Arial"/>
                <w:sz w:val="18"/>
                <w:szCs w:val="18"/>
                <w:color w:val="auto"/>
              </w:rPr>
              <w:t>2022, respectvely</w:t>
            </w:r>
          </w:p>
        </w:tc>
        <w:tc>
          <w:tcPr>
            <w:tcW w:w="2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5"/>
        </w:trPr>
        <w:tc>
          <w:tcPr>
            <w:tcW w:w="7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43"/>
        </w:trPr>
        <w:tc>
          <w:tcPr>
            <w:tcW w:w="7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 19 shares at June 30, 2023 and December 31, 2022, respectvely</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5"/>
        </w:trPr>
        <w:tc>
          <w:tcPr>
            <w:tcW w:w="7800" w:type="dxa"/>
            <w:vAlign w:val="bottom"/>
          </w:tcPr>
          <w:p>
            <w:pPr>
              <w:ind w:left="200"/>
              <w:spacing w:after="0"/>
              <w:rPr>
                <w:sz w:val="20"/>
                <w:szCs w:val="20"/>
                <w:color w:val="auto"/>
              </w:rPr>
            </w:pPr>
            <w:r>
              <w:rPr>
                <w:rFonts w:ascii="Arial" w:cs="Arial" w:eastAsia="Arial" w:hAnsi="Arial"/>
                <w:sz w:val="18"/>
                <w:szCs w:val="18"/>
                <w:color w:val="auto"/>
              </w:rPr>
              <w:t>Additonal paid-in capital</w:t>
            </w:r>
          </w:p>
        </w:tc>
        <w:tc>
          <w:tcPr>
            <w:tcW w:w="2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823,467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652,276</w:t>
            </w:r>
          </w:p>
        </w:tc>
      </w:tr>
      <w:tr>
        <w:trPr>
          <w:trHeight w:val="245"/>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defcit</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(805,872 )</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(727,093 )</w:t>
            </w:r>
          </w:p>
        </w:tc>
      </w:tr>
      <w:tr>
        <w:trPr>
          <w:trHeight w:val="236"/>
        </w:trPr>
        <w:tc>
          <w:tcPr>
            <w:tcW w:w="7800" w:type="dxa"/>
            <w:vAlign w:val="bottom"/>
          </w:tcPr>
          <w:p>
            <w:pPr>
              <w:ind w:left="20"/>
              <w:spacing w:after="0"/>
              <w:rPr>
                <w:sz w:val="20"/>
                <w:szCs w:val="20"/>
                <w:color w:val="auto"/>
              </w:rPr>
            </w:pPr>
            <w:r>
              <w:rPr>
                <w:rFonts w:ascii="Arial" w:cs="Arial" w:eastAsia="Arial" w:hAnsi="Arial"/>
                <w:sz w:val="18"/>
                <w:szCs w:val="18"/>
                <w:color w:val="auto"/>
              </w:rPr>
              <w:t>Total stockholders’ equity (defcit)</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17,600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(74,814 )</w:t>
            </w:r>
          </w:p>
        </w:tc>
      </w:tr>
      <w:tr>
        <w:trPr>
          <w:trHeight w:val="276"/>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265,039</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164,810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-5596890</wp:posOffset>
            </wp:positionV>
            <wp:extent cx="12890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-4653915</wp:posOffset>
            </wp:positionV>
            <wp:extent cx="12890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797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-3394075</wp:posOffset>
            </wp:positionV>
            <wp:extent cx="12890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-2459990</wp:posOffset>
            </wp:positionV>
            <wp:extent cx="1289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-351155</wp:posOffset>
            </wp:positionV>
            <wp:extent cx="1289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289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28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7"/>
        </w:trPr>
        <w:tc>
          <w:tcPr>
            <w:tcW w:w="5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Operatng expenses: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00" w:type="dxa"/>
            <w:vAlign w:val="bottom"/>
          </w:tcPr>
          <w:p>
            <w:pPr>
              <w:ind w:left="200"/>
              <w:spacing w:after="0" w:line="197" w:lineRule="exact"/>
              <w:rPr>
                <w:sz w:val="20"/>
                <w:szCs w:val="20"/>
                <w:color w:val="auto"/>
              </w:rPr>
            </w:pPr>
            <w:r>
              <w:rPr>
                <w:rFonts w:ascii="Arial" w:cs="Arial" w:eastAsia="Arial" w:hAnsi="Arial"/>
                <w:sz w:val="18"/>
                <w:szCs w:val="18"/>
                <w:color w:val="auto"/>
              </w:rPr>
              <w:t>Research and development (includes related party amounts of $233,</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00" w:type="dxa"/>
            <w:vAlign w:val="bottom"/>
          </w:tcPr>
          <w:p>
            <w:pPr>
              <w:ind w:left="200"/>
              <w:spacing w:after="0"/>
              <w:rPr>
                <w:sz w:val="20"/>
                <w:szCs w:val="20"/>
                <w:color w:val="auto"/>
              </w:rPr>
            </w:pPr>
            <w:r>
              <w:rPr>
                <w:rFonts w:ascii="Arial" w:cs="Arial" w:eastAsia="Arial" w:hAnsi="Arial"/>
                <w:sz w:val="18"/>
                <w:szCs w:val="18"/>
                <w:color w:val="auto"/>
              </w:rPr>
              <w:t>$370, $407 and $1,800, respectvely)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12,764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18,815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24,242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36,475</w:t>
            </w:r>
          </w:p>
        </w:tc>
        <w:tc>
          <w:tcPr>
            <w:tcW w:w="0" w:type="dxa"/>
            <w:vAlign w:val="bottom"/>
          </w:tcPr>
          <w:p>
            <w:pPr>
              <w:spacing w:after="0"/>
              <w:rPr>
                <w:sz w:val="1"/>
                <w:szCs w:val="1"/>
                <w:color w:val="auto"/>
              </w:rPr>
            </w:pPr>
          </w:p>
        </w:tc>
      </w:tr>
      <w:tr>
        <w:trPr>
          <w:trHeight w:val="35"/>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w w:val="98"/>
              </w:rPr>
              <w:t>General and administratve (includes related party amounts of $14, $0,</w:t>
            </w:r>
          </w:p>
        </w:tc>
        <w:tc>
          <w:tcPr>
            <w:tcW w:w="20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18,937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26,548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37,536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46,795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$17 and $0, respectvely)</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operatng expenses</w:t>
            </w:r>
          </w:p>
        </w:tc>
        <w:tc>
          <w:tcPr>
            <w:tcW w:w="2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31,701</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45,363</w:t>
            </w:r>
          </w:p>
        </w:tc>
        <w:tc>
          <w:tcPr>
            <w:tcW w:w="1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61,778</w:t>
            </w:r>
          </w:p>
        </w:tc>
        <w:tc>
          <w:tcPr>
            <w:tcW w:w="1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83,270</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operatons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(31,701 )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(45,363 )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(61,778 )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(83,270 )</w:t>
            </w:r>
          </w:p>
        </w:tc>
        <w:tc>
          <w:tcPr>
            <w:tcW w:w="0" w:type="dxa"/>
            <w:vAlign w:val="bottom"/>
          </w:tcPr>
          <w:p>
            <w:pPr>
              <w:spacing w:after="0"/>
              <w:rPr>
                <w:sz w:val="1"/>
                <w:szCs w:val="1"/>
                <w:color w:val="auto"/>
              </w:rPr>
            </w:pPr>
          </w:p>
        </w:tc>
      </w:tr>
      <w:tr>
        <w:trPr>
          <w:trHeight w:val="451"/>
        </w:trPr>
        <w:tc>
          <w:tcPr>
            <w:tcW w:w="5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1,808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5"/>
        </w:trPr>
        <w:tc>
          <w:tcPr>
            <w:tcW w:w="5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(9,615 )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(5,667 )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(18,832 )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(8,426 )</w:t>
            </w:r>
          </w:p>
        </w:tc>
        <w:tc>
          <w:tcPr>
            <w:tcW w:w="0" w:type="dxa"/>
            <w:vAlign w:val="bottom"/>
          </w:tcPr>
          <w:p>
            <w:pPr>
              <w:spacing w:after="0"/>
              <w:rPr>
                <w:sz w:val="1"/>
                <w:szCs w:val="1"/>
                <w:color w:val="auto"/>
              </w:rPr>
            </w:pPr>
          </w:p>
        </w:tc>
      </w:tr>
      <w:tr>
        <w:trPr>
          <w:trHeight w:val="245"/>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(17,001 )</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(8,315 )</w:t>
            </w:r>
          </w:p>
        </w:tc>
        <w:tc>
          <w:tcPr>
            <w:tcW w:w="0" w:type="dxa"/>
            <w:vAlign w:val="bottom"/>
          </w:tcPr>
          <w:p>
            <w:pPr>
              <w:spacing w:after="0"/>
              <w:rPr>
                <w:sz w:val="1"/>
                <w:szCs w:val="1"/>
                <w:color w:val="auto"/>
              </w:rPr>
            </w:pPr>
          </w:p>
        </w:tc>
      </w:tr>
      <w:tr>
        <w:trPr>
          <w:trHeight w:val="27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(40,965 )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(50,920 )</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(78,779 )</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(91,585 )</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(0.84 )</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(1.33 )</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(1.73 )</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5"/>
              </w:rPr>
              <w:t>Weighted-average shares of common stock outstanding, basic and diluted</w:t>
            </w:r>
          </w:p>
        </w:tc>
        <w:tc>
          <w:tcPr>
            <w:tcW w:w="2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48,500,516</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5"/>
              </w:rPr>
              <w:t>38,272,044</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45,444,496</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38,155,151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6216015</wp:posOffset>
            </wp:positionH>
            <wp:positionV relativeFrom="paragraph">
              <wp:posOffset>-2875280</wp:posOffset>
            </wp:positionV>
            <wp:extent cx="92138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1385" cy="1968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-1962150</wp:posOffset>
            </wp:positionV>
            <wp:extent cx="9398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3257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-1962150</wp:posOffset>
            </wp:positionV>
            <wp:extent cx="10287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-1962150</wp:posOffset>
            </wp:positionV>
            <wp:extent cx="102870"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-710565</wp:posOffset>
            </wp:positionV>
            <wp:extent cx="939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-710565</wp:posOffset>
            </wp:positionV>
            <wp:extent cx="1028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-710565</wp:posOffset>
            </wp:positionV>
            <wp:extent cx="1028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-385445</wp:posOffset>
            </wp:positionV>
            <wp:extent cx="190309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095" cy="20574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5"/>
              </w:rPr>
              <w:t>Treasury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Additonal</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3"/>
              </w:rPr>
              <w:t>Total</w:t>
            </w: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21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2"/>
              </w:rPr>
              <w:t>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Paid-in</w:t>
            </w:r>
          </w:p>
        </w:tc>
        <w:tc>
          <w:tcPr>
            <w:tcW w:w="380" w:type="dxa"/>
            <w:vAlign w:val="bottom"/>
          </w:tcPr>
          <w:p>
            <w:pPr>
              <w:spacing w:after="0"/>
              <w:rPr>
                <w:sz w:val="19"/>
                <w:szCs w:val="19"/>
                <w:color w:val="auto"/>
              </w:rPr>
            </w:pPr>
          </w:p>
        </w:tc>
        <w:tc>
          <w:tcPr>
            <w:tcW w:w="14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93"/>
              </w:rPr>
              <w:t>Accumulated</w:t>
            </w:r>
          </w:p>
        </w:tc>
        <w:tc>
          <w:tcPr>
            <w:tcW w:w="120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Capital</w:t>
            </w: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jc w:val="right"/>
              <w:ind w:right="579"/>
              <w:spacing w:after="0"/>
              <w:rPr>
                <w:sz w:val="20"/>
                <w:szCs w:val="20"/>
                <w:color w:val="auto"/>
              </w:rPr>
            </w:pPr>
            <w:r>
              <w:rPr>
                <w:rFonts w:ascii="Arial" w:cs="Arial" w:eastAsia="Arial" w:hAnsi="Arial"/>
                <w:sz w:val="16"/>
                <w:szCs w:val="16"/>
                <w:b w:val="1"/>
                <w:bCs w:val="1"/>
                <w:color w:val="auto"/>
              </w:rPr>
              <w:t>Defcit</w:t>
            </w:r>
          </w:p>
        </w:tc>
        <w:tc>
          <w:tcPr>
            <w:tcW w:w="220" w:type="dxa"/>
            <w:vAlign w:val="bottom"/>
          </w:tcPr>
          <w:p>
            <w:pPr>
              <w:spacing w:after="0"/>
              <w:rPr>
                <w:sz w:val="2"/>
                <w:szCs w:val="2"/>
                <w:color w:val="auto"/>
              </w:rPr>
            </w:pPr>
          </w:p>
        </w:tc>
        <w:tc>
          <w:tcPr>
            <w:tcW w:w="980" w:type="dxa"/>
            <w:vAlign w:val="bottom"/>
            <w:gridSpan w:val="2"/>
            <w:vMerge w:val="restart"/>
          </w:tcPr>
          <w:p>
            <w:pPr>
              <w:jc w:val="center"/>
              <w:ind w:right="279"/>
              <w:spacing w:after="0"/>
              <w:rPr>
                <w:sz w:val="20"/>
                <w:szCs w:val="20"/>
                <w:color w:val="auto"/>
              </w:rPr>
            </w:pPr>
            <w:r>
              <w:rPr>
                <w:rFonts w:ascii="Arial" w:cs="Arial" w:eastAsia="Arial" w:hAnsi="Arial"/>
                <w:sz w:val="16"/>
                <w:szCs w:val="16"/>
                <w:b w:val="1"/>
                <w:bCs w:val="1"/>
                <w:color w:val="auto"/>
                <w:w w:val="85"/>
              </w:rPr>
              <w:t>Equity</w:t>
            </w: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280" w:type="dxa"/>
            <w:vAlign w:val="bottom"/>
            <w:vMerge w:val="continue"/>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2"/>
              </w:rPr>
              <w:t>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60" w:type="dxa"/>
            <w:vAlign w:val="bottom"/>
            <w:vMerge w:val="restart"/>
          </w:tcPr>
          <w:p>
            <w:pPr>
              <w:ind w:left="20"/>
              <w:spacing w:after="0"/>
              <w:rPr>
                <w:sz w:val="20"/>
                <w:szCs w:val="20"/>
                <w:color w:val="auto"/>
              </w:rPr>
            </w:pPr>
            <w:r>
              <w:rPr>
                <w:rFonts w:ascii="Arial" w:cs="Arial" w:eastAsia="Arial" w:hAnsi="Arial"/>
                <w:sz w:val="16"/>
                <w:szCs w:val="16"/>
                <w:color w:val="auto"/>
              </w:rPr>
              <w:t>Balance at December 31, 2022</w:t>
            </w:r>
          </w:p>
        </w:tc>
        <w:tc>
          <w:tcPr>
            <w:tcW w:w="104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vMerge w:val="restart"/>
          </w:tcPr>
          <w:p>
            <w:pPr>
              <w:jc w:val="right"/>
              <w:ind w:right="219"/>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41,468,871</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652,276</w:t>
            </w:r>
          </w:p>
        </w:tc>
        <w:tc>
          <w:tcPr>
            <w:tcW w:w="38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(727,093</w:t>
            </w:r>
          </w:p>
        </w:tc>
        <w:tc>
          <w:tcPr>
            <w:tcW w:w="360" w:type="dxa"/>
            <w:vAlign w:val="bottom"/>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(74,814</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401(k) matching contributon</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52,130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1040" w:type="dxa"/>
            <w:vAlign w:val="bottom"/>
          </w:tcPr>
          <w:p>
            <w:pPr>
              <w:jc w:val="right"/>
              <w:spacing w:after="0"/>
              <w:rPr>
                <w:sz w:val="20"/>
                <w:szCs w:val="20"/>
                <w:color w:val="auto"/>
              </w:rPr>
            </w:pPr>
            <w:r>
              <w:rPr>
                <w:rFonts w:ascii="Arial" w:cs="Arial" w:eastAsia="Arial" w:hAnsi="Arial"/>
                <w:sz w:val="16"/>
                <w:szCs w:val="16"/>
                <w:color w:val="auto"/>
              </w:rPr>
              <w:t>414,119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compensaton</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7,048</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7,048</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color w:val="auto"/>
              </w:rPr>
              <w:t>ESPP shares issued</w:t>
            </w:r>
          </w:p>
        </w:tc>
        <w:tc>
          <w:tcPr>
            <w:tcW w:w="1040" w:type="dxa"/>
            <w:vAlign w:val="bottom"/>
          </w:tcPr>
          <w:p>
            <w:pPr>
              <w:jc w:val="right"/>
              <w:spacing w:after="0"/>
              <w:rPr>
                <w:sz w:val="20"/>
                <w:szCs w:val="20"/>
                <w:color w:val="auto"/>
              </w:rPr>
            </w:pPr>
            <w:r>
              <w:rPr>
                <w:rFonts w:ascii="Arial" w:cs="Arial" w:eastAsia="Arial" w:hAnsi="Arial"/>
                <w:sz w:val="16"/>
                <w:szCs w:val="16"/>
                <w:color w:val="auto"/>
              </w:rPr>
              <w:t>121,801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856</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stock under ATM facility</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1,514,219</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14,072</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14,073</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(37,814 )</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(37,814 )</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43,571,140</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674,708</w:t>
            </w:r>
          </w:p>
        </w:tc>
        <w:tc>
          <w:tcPr>
            <w:tcW w:w="3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(764,907</w:t>
            </w:r>
          </w:p>
        </w:tc>
        <w:tc>
          <w:tcPr>
            <w:tcW w:w="36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(90,195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4"/>
        </w:trPr>
        <w:tc>
          <w:tcPr>
            <w:tcW w:w="38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259,194</w:t>
            </w:r>
          </w:p>
        </w:tc>
        <w:tc>
          <w:tcPr>
            <w:tcW w:w="2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compensaton</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7,253</w:t>
            </w:r>
          </w:p>
        </w:tc>
        <w:tc>
          <w:tcPr>
            <w:tcW w:w="3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7,253</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20"/>
              <w:spacing w:after="0"/>
              <w:rPr>
                <w:sz w:val="20"/>
                <w:szCs w:val="20"/>
                <w:color w:val="auto"/>
              </w:rPr>
            </w:pPr>
            <w:r>
              <w:rPr>
                <w:rFonts w:ascii="Arial" w:cs="Arial" w:eastAsia="Arial" w:hAnsi="Arial"/>
                <w:sz w:val="16"/>
                <w:szCs w:val="16"/>
                <w:color w:val="auto"/>
              </w:rPr>
              <w:t>Issuance of common stock from exercise of stock</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color w:val="auto"/>
              </w:rPr>
              <w:t>optons</w:t>
            </w:r>
          </w:p>
        </w:tc>
        <w:tc>
          <w:tcPr>
            <w:tcW w:w="1040" w:type="dxa"/>
            <w:vAlign w:val="bottom"/>
          </w:tcPr>
          <w:p>
            <w:pPr>
              <w:jc w:val="right"/>
              <w:spacing w:after="0"/>
              <w:rPr>
                <w:sz w:val="20"/>
                <w:szCs w:val="20"/>
                <w:color w:val="auto"/>
              </w:rPr>
            </w:pPr>
            <w:r>
              <w:rPr>
                <w:rFonts w:ascii="Arial" w:cs="Arial" w:eastAsia="Arial" w:hAnsi="Arial"/>
                <w:sz w:val="16"/>
                <w:szCs w:val="16"/>
                <w:color w:val="auto"/>
              </w:rPr>
              <w:t>15,000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in connecton with</w:t>
            </w: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underwriten public ofering, net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12,793,750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141,389</w:t>
            </w:r>
          </w:p>
        </w:tc>
        <w:tc>
          <w:tcPr>
            <w:tcW w:w="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141,390</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(40,965 )</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(40,965 )</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56,639,085</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823,467</w:t>
            </w:r>
          </w:p>
        </w:tc>
        <w:tc>
          <w:tcPr>
            <w:tcW w:w="3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(805,872</w:t>
            </w:r>
          </w:p>
        </w:tc>
        <w:tc>
          <w:tcPr>
            <w:tcW w:w="36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17,600</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-1190625</wp:posOffset>
            </wp:positionV>
            <wp:extent cx="40208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208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5"/>
              </w:rPr>
              <w:t>Treasury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Additonal</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19"/>
                <w:szCs w:val="19"/>
                <w:color w:val="auto"/>
              </w:rPr>
            </w:pPr>
          </w:p>
        </w:tc>
        <w:tc>
          <w:tcPr>
            <w:tcW w:w="20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2"/>
              </w:rPr>
              <w:t>Stock</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Paid-in</w:t>
            </w:r>
          </w:p>
        </w:tc>
        <w:tc>
          <w:tcPr>
            <w:tcW w:w="320" w:type="dxa"/>
            <w:vAlign w:val="bottom"/>
          </w:tcPr>
          <w:p>
            <w:pPr>
              <w:spacing w:after="0"/>
              <w:rPr>
                <w:sz w:val="19"/>
                <w:szCs w:val="19"/>
                <w:color w:val="auto"/>
              </w:rPr>
            </w:pPr>
          </w:p>
        </w:tc>
        <w:tc>
          <w:tcPr>
            <w:tcW w:w="13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w w:val="93"/>
              </w:rPr>
              <w:t>Accumulated</w:t>
            </w:r>
          </w:p>
        </w:tc>
        <w:tc>
          <w:tcPr>
            <w:tcW w:w="120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559"/>
              <w:spacing w:after="0"/>
              <w:rPr>
                <w:sz w:val="20"/>
                <w:szCs w:val="20"/>
                <w:color w:val="auto"/>
              </w:rPr>
            </w:pPr>
            <w:r>
              <w:rPr>
                <w:rFonts w:ascii="Arial" w:cs="Arial" w:eastAsia="Arial" w:hAnsi="Arial"/>
                <w:sz w:val="16"/>
                <w:szCs w:val="16"/>
                <w:b w:val="1"/>
                <w:bCs w:val="1"/>
                <w:color w:val="auto"/>
              </w:rPr>
              <w:t>Defcit</w:t>
            </w:r>
          </w:p>
        </w:tc>
        <w:tc>
          <w:tcPr>
            <w:tcW w:w="200" w:type="dxa"/>
            <w:vAlign w:val="bottom"/>
          </w:tcPr>
          <w:p>
            <w:pPr>
              <w:spacing w:after="0"/>
              <w:rPr>
                <w:sz w:val="2"/>
                <w:szCs w:val="2"/>
                <w:color w:val="auto"/>
              </w:rPr>
            </w:pPr>
          </w:p>
        </w:tc>
        <w:tc>
          <w:tcPr>
            <w:tcW w:w="1000" w:type="dxa"/>
            <w:vAlign w:val="bottom"/>
            <w:gridSpan w:val="2"/>
            <w:vMerge w:val="restart"/>
          </w:tcPr>
          <w:p>
            <w:pPr>
              <w:jc w:val="center"/>
              <w:ind w:right="259"/>
              <w:spacing w:after="0"/>
              <w:rPr>
                <w:sz w:val="20"/>
                <w:szCs w:val="20"/>
                <w:color w:val="auto"/>
              </w:rPr>
            </w:pPr>
            <w:r>
              <w:rPr>
                <w:rFonts w:ascii="Arial" w:cs="Arial" w:eastAsia="Arial" w:hAnsi="Arial"/>
                <w:sz w:val="16"/>
                <w:szCs w:val="16"/>
                <w:b w:val="1"/>
                <w:bCs w:val="1"/>
                <w:color w:val="auto"/>
                <w:w w:val="85"/>
              </w:rPr>
              <w:t>Equity</w:t>
            </w:r>
          </w:p>
        </w:tc>
        <w:tc>
          <w:tcPr>
            <w:tcW w:w="0" w:type="dxa"/>
            <w:vAlign w:val="bottom"/>
          </w:tcPr>
          <w:p>
            <w:pPr>
              <w:spacing w:after="0"/>
              <w:rPr>
                <w:sz w:val="1"/>
                <w:szCs w:val="1"/>
                <w:color w:val="auto"/>
              </w:rPr>
            </w:pPr>
          </w:p>
        </w:tc>
      </w:tr>
      <w:tr>
        <w:trPr>
          <w:trHeight w:val="199"/>
        </w:trPr>
        <w:tc>
          <w:tcPr>
            <w:tcW w:w="382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Amount</w:t>
            </w:r>
          </w:p>
        </w:tc>
        <w:tc>
          <w:tcPr>
            <w:tcW w:w="280" w:type="dxa"/>
            <w:vAlign w:val="bottom"/>
            <w:vMerge w:val="continue"/>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2"/>
              </w:rPr>
              <w:t>Shares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20" w:type="dxa"/>
            <w:vAlign w:val="bottom"/>
            <w:vMerge w:val="restart"/>
          </w:tcPr>
          <w:p>
            <w:pPr>
              <w:ind w:left="20"/>
              <w:spacing w:after="0"/>
              <w:rPr>
                <w:sz w:val="20"/>
                <w:szCs w:val="20"/>
                <w:color w:val="auto"/>
              </w:rPr>
            </w:pPr>
            <w:r>
              <w:rPr>
                <w:rFonts w:ascii="Arial" w:cs="Arial" w:eastAsia="Arial" w:hAnsi="Arial"/>
                <w:sz w:val="16"/>
                <w:szCs w:val="16"/>
                <w:color w:val="auto"/>
              </w:rPr>
              <w:t>Balance at December 31, 2021</w:t>
            </w: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vMerge w:val="restart"/>
          </w:tcPr>
          <w:p>
            <w:pPr>
              <w:jc w:val="right"/>
              <w:ind w:right="179"/>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30,511,226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601,523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(529,370</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72,156</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Cashless exercise of common stock warrants</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7,359,285</w:t>
            </w: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Arial" w:cs="Arial" w:eastAsia="Arial" w:hAnsi="Arial"/>
                <w:sz w:val="16"/>
                <w:szCs w:val="16"/>
                <w:color w:val="auto"/>
              </w:rPr>
              <w:t>401(k) matching contributon</w:t>
            </w:r>
          </w:p>
        </w:tc>
        <w:tc>
          <w:tcPr>
            <w:tcW w:w="960" w:type="dxa"/>
            <w:vAlign w:val="bottom"/>
          </w:tcPr>
          <w:p>
            <w:pPr>
              <w:jc w:val="right"/>
              <w:spacing w:after="0"/>
              <w:rPr>
                <w:sz w:val="20"/>
                <w:szCs w:val="20"/>
                <w:color w:val="auto"/>
              </w:rPr>
            </w:pPr>
            <w:r>
              <w:rPr>
                <w:rFonts w:ascii="Arial" w:cs="Arial" w:eastAsia="Arial" w:hAnsi="Arial"/>
                <w:sz w:val="16"/>
                <w:szCs w:val="16"/>
                <w:color w:val="auto"/>
              </w:rPr>
              <w:t>16,756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222,595</w:t>
            </w: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compensaton</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 shares issued</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39,951</w:t>
            </w: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Arial" w:cs="Arial" w:eastAsia="Arial" w:hAnsi="Arial"/>
                <w:sz w:val="16"/>
                <w:szCs w:val="16"/>
                <w:color w:val="auto"/>
              </w:rPr>
              <w:t>(40,665 )</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(40,665 )</w:t>
            </w: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2022</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38,149,813</w:t>
            </w:r>
          </w:p>
        </w:tc>
        <w:tc>
          <w:tcPr>
            <w:tcW w:w="3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608,067</w:t>
            </w:r>
          </w:p>
        </w:tc>
        <w:tc>
          <w:tcPr>
            <w:tcW w:w="3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(570,035</w:t>
            </w:r>
          </w:p>
        </w:tc>
        <w:tc>
          <w:tcPr>
            <w:tcW w:w="32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38,035</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Vestng of restricted shares and restricted stock units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222,590</w:t>
            </w:r>
          </w:p>
        </w:tc>
        <w:tc>
          <w:tcPr>
            <w:tcW w:w="3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compensaton</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5,885</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5,885</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Arial" w:cs="Arial" w:eastAsia="Arial" w:hAnsi="Arial"/>
                <w:sz w:val="16"/>
                <w:szCs w:val="16"/>
                <w:color w:val="auto"/>
              </w:rPr>
              <w:t>(50,920 )</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(50,920 )</w:t>
            </w: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38,372,403</w:t>
            </w:r>
          </w:p>
        </w:tc>
        <w:tc>
          <w:tcPr>
            <w:tcW w:w="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613,952</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(620,955</w:t>
            </w:r>
          </w:p>
        </w:tc>
        <w:tc>
          <w:tcPr>
            <w:tcW w:w="32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(7,000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-642620</wp:posOffset>
            </wp:positionV>
            <wp:extent cx="409765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97655" cy="17145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Six Months Ended</w:t>
      </w:r>
    </w:p>
    <w:p>
      <w:pPr>
        <w:spacing w:after="0" w:line="22"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24130</wp:posOffset>
            </wp:positionV>
            <wp:extent cx="226314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63140" cy="18859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39"/>
        </w:trPr>
        <w:tc>
          <w:tcPr>
            <w:tcW w:w="76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fows from operatng actvites</w:t>
            </w:r>
          </w:p>
        </w:tc>
        <w:tc>
          <w:tcPr>
            <w:tcW w:w="9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6"/>
              </w:rPr>
              <w:t>(78,779 )</w:t>
            </w:r>
          </w:p>
        </w:tc>
        <w:tc>
          <w:tcPr>
            <w:tcW w:w="5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(91,585 )</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operatng actvites:</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6"/>
                <w:szCs w:val="16"/>
                <w:color w:val="auto"/>
              </w:rPr>
              <w:t>Depreciaton and amortzaton</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269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277</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Stock-based compensaton</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14,301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11,660</w:t>
            </w:r>
          </w:p>
        </w:tc>
      </w:tr>
      <w:tr>
        <w:trPr>
          <w:trHeight w:val="203"/>
        </w:trPr>
        <w:tc>
          <w:tcPr>
            <w:tcW w:w="7680" w:type="dxa"/>
            <w:vAlign w:val="bottom"/>
          </w:tcPr>
          <w:p>
            <w:pPr>
              <w:ind w:left="200"/>
              <w:spacing w:after="0"/>
              <w:rPr>
                <w:sz w:val="20"/>
                <w:szCs w:val="20"/>
                <w:color w:val="auto"/>
              </w:rPr>
            </w:pPr>
            <w:r>
              <w:rPr>
                <w:rFonts w:ascii="Arial" w:cs="Arial" w:eastAsia="Arial" w:hAnsi="Arial"/>
                <w:sz w:val="16"/>
                <w:szCs w:val="16"/>
                <w:color w:val="auto"/>
              </w:rPr>
              <w:t>Issuance of PIK interest debt</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1,772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1,713</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interest on revenue interest fnancing liability</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10,550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2,657</w:t>
            </w:r>
          </w:p>
        </w:tc>
      </w:tr>
      <w:tr>
        <w:trPr>
          <w:trHeight w:val="203"/>
        </w:trPr>
        <w:tc>
          <w:tcPr>
            <w:tcW w:w="7680" w:type="dxa"/>
            <w:vAlign w:val="bottom"/>
          </w:tcPr>
          <w:p>
            <w:pPr>
              <w:ind w:left="200"/>
              <w:spacing w:after="0"/>
              <w:rPr>
                <w:sz w:val="20"/>
                <w:szCs w:val="20"/>
                <w:color w:val="auto"/>
              </w:rPr>
            </w:pPr>
            <w:r>
              <w:rPr>
                <w:rFonts w:ascii="Arial" w:cs="Arial" w:eastAsia="Arial" w:hAnsi="Arial"/>
                <w:sz w:val="16"/>
                <w:szCs w:val="16"/>
                <w:color w:val="auto"/>
              </w:rPr>
              <w:t>Amortzaton of debt discount</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769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1,049</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1,157</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874</w:t>
            </w:r>
          </w:p>
        </w:tc>
      </w:tr>
      <w:tr>
        <w:trPr>
          <w:trHeight w:val="203"/>
        </w:trPr>
        <w:tc>
          <w:tcPr>
            <w:tcW w:w="7680" w:type="dxa"/>
            <w:vAlign w:val="bottom"/>
          </w:tcPr>
          <w:p>
            <w:pPr>
              <w:ind w:left="200"/>
              <w:spacing w:after="0"/>
              <w:rPr>
                <w:sz w:val="20"/>
                <w:szCs w:val="20"/>
                <w:color w:val="auto"/>
              </w:rPr>
            </w:pPr>
            <w:r>
              <w:rPr>
                <w:rFonts w:ascii="Arial" w:cs="Arial" w:eastAsia="Arial" w:hAnsi="Arial"/>
                <w:sz w:val="16"/>
                <w:szCs w:val="16"/>
                <w:color w:val="auto"/>
              </w:rPr>
              <w:t>Changes in operatng assets and liabilites:</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(3,633 )</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1,402</w:t>
            </w:r>
          </w:p>
        </w:tc>
      </w:tr>
      <w:tr>
        <w:trPr>
          <w:trHeight w:val="188"/>
        </w:trPr>
        <w:tc>
          <w:tcPr>
            <w:tcW w:w="7680" w:type="dxa"/>
            <w:vAlign w:val="bottom"/>
          </w:tcPr>
          <w:p>
            <w:pPr>
              <w:ind w:left="380"/>
              <w:spacing w:after="0"/>
              <w:rPr>
                <w:sz w:val="20"/>
                <w:szCs w:val="20"/>
                <w:color w:val="auto"/>
              </w:rPr>
            </w:pPr>
            <w:r>
              <w:rPr>
                <w:rFonts w:ascii="Arial" w:cs="Arial" w:eastAsia="Arial" w:hAnsi="Arial"/>
                <w:sz w:val="16"/>
                <w:szCs w:val="16"/>
                <w:color w:val="auto"/>
                <w:w w:val="97"/>
              </w:rPr>
              <w:t>Accounts payable and accrued expenses (includes changes in related party amounts of $264 and $1,102,</w:t>
            </w: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6"/>
                <w:szCs w:val="16"/>
                <w:color w:val="auto"/>
              </w:rPr>
              <w:t>respectvely)</w:t>
            </w: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(8,447 )</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2,865</w:t>
            </w:r>
          </w:p>
        </w:tc>
      </w:tr>
      <w:tr>
        <w:trPr>
          <w:trHeight w:val="41"/>
        </w:trPr>
        <w:tc>
          <w:tcPr>
            <w:tcW w:w="7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Accrued clinical trial expenses</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(1,061 )</w:t>
            </w:r>
          </w:p>
        </w:tc>
      </w:tr>
      <w:tr>
        <w:trPr>
          <w:trHeight w:val="203"/>
        </w:trPr>
        <w:tc>
          <w:tcPr>
            <w:tcW w:w="768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88</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Operatng right-of-use assets and lease liabilites</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99</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(293 )</w:t>
            </w:r>
          </w:p>
        </w:tc>
      </w:tr>
      <w:tr>
        <w:trPr>
          <w:trHeight w:val="203"/>
        </w:trPr>
        <w:tc>
          <w:tcPr>
            <w:tcW w:w="768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4"/>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long-term assets</w:t>
            </w:r>
          </w:p>
        </w:tc>
        <w:tc>
          <w:tcPr>
            <w:tcW w:w="9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(119 )</w:t>
            </w:r>
          </w:p>
        </w:tc>
      </w:tr>
      <w:tr>
        <w:trPr>
          <w:trHeight w:val="19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used in operatng actvites</w:t>
            </w: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(61,869 )</w:t>
            </w:r>
          </w:p>
        </w:tc>
        <w:tc>
          <w:tcPr>
            <w:tcW w:w="2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(70,473 )</w:t>
            </w:r>
          </w:p>
        </w:tc>
      </w:tr>
      <w:tr>
        <w:trPr>
          <w:trHeight w:val="26"/>
        </w:trPr>
        <w:tc>
          <w:tcPr>
            <w:tcW w:w="7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fows from investng actvites</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for property, plant and equipment</w:t>
            </w:r>
          </w:p>
        </w:tc>
        <w:tc>
          <w:tcPr>
            <w:tcW w:w="9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(220 )</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(495 )</w:t>
            </w:r>
          </w:p>
        </w:tc>
      </w:tr>
      <w:tr>
        <w:trPr>
          <w:trHeight w:val="19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used in investng actvites</w:t>
            </w: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(220 )</w:t>
            </w:r>
          </w:p>
        </w:tc>
        <w:tc>
          <w:tcPr>
            <w:tcW w:w="2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(495 )</w:t>
            </w:r>
          </w:p>
        </w:tc>
      </w:tr>
      <w:tr>
        <w:trPr>
          <w:trHeight w:val="26"/>
        </w:trPr>
        <w:tc>
          <w:tcPr>
            <w:tcW w:w="7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fows from fnancing actvites</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from exercise of stock optons</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111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04"/>
        </w:trPr>
        <w:tc>
          <w:tcPr>
            <w:tcW w:w="7680" w:type="dxa"/>
            <w:vAlign w:val="bottom"/>
          </w:tcPr>
          <w:p>
            <w:pPr>
              <w:ind w:left="20"/>
              <w:spacing w:after="0"/>
              <w:rPr>
                <w:sz w:val="20"/>
                <w:szCs w:val="20"/>
                <w:color w:val="auto"/>
              </w:rPr>
            </w:pPr>
            <w:r>
              <w:rPr>
                <w:rFonts w:ascii="Arial" w:cs="Arial" w:eastAsia="Arial" w:hAnsi="Arial"/>
                <w:sz w:val="16"/>
                <w:szCs w:val="16"/>
                <w:color w:val="auto"/>
              </w:rPr>
              <w:t>Net proceeds from underwriten public ofering</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141,390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proceeds from revenue interest fnancing transacton</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95,446</w:t>
            </w:r>
          </w:p>
        </w:tc>
      </w:tr>
      <w:tr>
        <w:trPr>
          <w:trHeight w:val="204"/>
        </w:trPr>
        <w:tc>
          <w:tcPr>
            <w:tcW w:w="7680" w:type="dxa"/>
            <w:vAlign w:val="bottom"/>
          </w:tcPr>
          <w:p>
            <w:pPr>
              <w:ind w:left="20"/>
              <w:spacing w:after="0"/>
              <w:rPr>
                <w:sz w:val="20"/>
                <w:szCs w:val="20"/>
                <w:color w:val="auto"/>
              </w:rPr>
            </w:pPr>
            <w:r>
              <w:rPr>
                <w:rFonts w:ascii="Arial" w:cs="Arial" w:eastAsia="Arial" w:hAnsi="Arial"/>
                <w:sz w:val="16"/>
                <w:szCs w:val="16"/>
                <w:color w:val="auto"/>
              </w:rPr>
              <w:t>Net proceeds from issuance of common stock under ATM facility</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14,073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6"/>
        </w:trPr>
        <w:tc>
          <w:tcPr>
            <w:tcW w:w="7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fnancing actvites</w:t>
            </w:r>
          </w:p>
        </w:tc>
        <w:tc>
          <w:tcPr>
            <w:tcW w:w="9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155,574</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95,446</w:t>
            </w:r>
          </w:p>
        </w:tc>
      </w:tr>
      <w:tr>
        <w:trPr>
          <w:trHeight w:val="223"/>
        </w:trPr>
        <w:tc>
          <w:tcPr>
            <w:tcW w:w="768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93,485</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24,478</w:t>
            </w:r>
          </w:p>
        </w:tc>
      </w:tr>
      <w:tr>
        <w:trPr>
          <w:trHeight w:val="204"/>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 beginning of period</w:t>
            </w:r>
          </w:p>
        </w:tc>
        <w:tc>
          <w:tcPr>
            <w:tcW w:w="9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155,890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183,419</w:t>
            </w:r>
          </w:p>
        </w:tc>
      </w:tr>
      <w:tr>
        <w:trPr>
          <w:trHeight w:val="26"/>
        </w:trPr>
        <w:tc>
          <w:tcPr>
            <w:tcW w:w="7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 end of period</w:t>
            </w:r>
          </w:p>
        </w:tc>
        <w:tc>
          <w:tcPr>
            <w:tcW w:w="960" w:type="dxa"/>
            <w:vAlign w:val="bottom"/>
            <w:tcBorders>
              <w:bottom w:val="single" w:sz="8" w:color="CFF0FC"/>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249,375</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207,897</w:t>
            </w:r>
          </w:p>
        </w:tc>
      </w:tr>
      <w:tr>
        <w:trPr>
          <w:trHeight w:val="210"/>
        </w:trPr>
        <w:tc>
          <w:tcPr>
            <w:tcW w:w="76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fow informaton</w:t>
            </w:r>
          </w:p>
        </w:tc>
        <w:tc>
          <w:tcPr>
            <w:tcW w:w="9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5,310</w:t>
            </w:r>
          </w:p>
        </w:tc>
        <w:tc>
          <w:tcPr>
            <w:tcW w:w="5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2,920</w:t>
            </w:r>
          </w:p>
        </w:tc>
      </w:tr>
      <w:tr>
        <w:trPr>
          <w:trHeight w:val="26"/>
        </w:trPr>
        <w:tc>
          <w:tcPr>
            <w:tcW w:w="7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Supplemental disclosure of noncash investng and fnancing actvites</w:t>
            </w:r>
          </w:p>
        </w:tc>
        <w:tc>
          <w:tcPr>
            <w:tcW w:w="9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r>
      <w:tr>
        <w:trPr>
          <w:trHeight w:val="204"/>
        </w:trPr>
        <w:tc>
          <w:tcPr>
            <w:tcW w:w="7680" w:type="dxa"/>
            <w:vAlign w:val="bottom"/>
          </w:tcPr>
          <w:p>
            <w:pPr>
              <w:ind w:left="20"/>
              <w:spacing w:after="0"/>
              <w:rPr>
                <w:sz w:val="20"/>
                <w:szCs w:val="20"/>
                <w:color w:val="auto"/>
              </w:rPr>
            </w:pPr>
            <w:r>
              <w:rPr>
                <w:rFonts w:ascii="Arial" w:cs="Arial" w:eastAsia="Arial" w:hAnsi="Arial"/>
                <w:sz w:val="16"/>
                <w:szCs w:val="16"/>
                <w:color w:val="auto"/>
              </w:rPr>
              <w:t>Inventory purchases included in accounts payable and accrued expenses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3,561</w:t>
            </w:r>
          </w:p>
        </w:tc>
        <w:tc>
          <w:tcPr>
            <w:tcW w:w="5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and equipment purchases included in accounts payable and accrued expenses</w:t>
            </w:r>
          </w:p>
        </w:tc>
        <w:tc>
          <w:tcPr>
            <w:tcW w:w="960" w:type="dxa"/>
            <w:vAlign w:val="bottom"/>
            <w:tcBorders>
              <w:bottom w:val="single" w:sz="8" w:color="CFF0FC"/>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16</w:t>
            </w:r>
          </w:p>
        </w:tc>
      </w:tr>
      <w:tr>
        <w:trPr>
          <w:trHeight w:val="184"/>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Setlement of ESPP liability in common stock</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856</w:t>
            </w:r>
          </w:p>
        </w:tc>
        <w:tc>
          <w:tcPr>
            <w:tcW w:w="22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515</w:t>
            </w:r>
          </w:p>
        </w:tc>
      </w:tr>
      <w:tr>
        <w:trPr>
          <w:trHeight w:val="26"/>
        </w:trPr>
        <w:tc>
          <w:tcPr>
            <w:tcW w:w="7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Setlement of 401(k) liability in common stock</w:t>
            </w:r>
          </w:p>
        </w:tc>
        <w:tc>
          <w:tcPr>
            <w:tcW w:w="960" w:type="dxa"/>
            <w:vAlign w:val="bottom"/>
            <w:tcBorders>
              <w:bottom w:val="single" w:sz="8" w:color="CFF0FC"/>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456</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254</w:t>
            </w:r>
          </w:p>
        </w:tc>
      </w:tr>
      <w:tr>
        <w:trPr>
          <w:trHeight w:val="184"/>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Operatng lease liabilites arising from obtaining right-of-use assets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554</w:t>
            </w:r>
          </w:p>
        </w:tc>
      </w:tr>
      <w:tr>
        <w:trPr>
          <w:trHeight w:val="26"/>
        </w:trPr>
        <w:tc>
          <w:tcPr>
            <w:tcW w:w="7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-3883025</wp:posOffset>
            </wp:positionV>
            <wp:extent cx="13716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-3282315</wp:posOffset>
            </wp:positionV>
            <wp:extent cx="13716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625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-2091055</wp:posOffset>
            </wp:positionV>
            <wp:extent cx="13716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-1490980</wp:posOffset>
            </wp:positionV>
            <wp:extent cx="13716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-539750</wp:posOffset>
            </wp:positionV>
            <wp:extent cx="13716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9748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-196215</wp:posOffset>
            </wp:positionV>
            <wp:extent cx="13716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ind w:left="4260"/>
        <w:spacing w:after="0"/>
        <w:rPr>
          <w:sz w:val="20"/>
          <w:szCs w:val="20"/>
          <w:color w:val="auto"/>
        </w:rPr>
      </w:pPr>
      <w:r>
        <w:rPr>
          <w:rFonts w:ascii="Arial" w:cs="Arial" w:eastAsia="Arial" w:hAnsi="Arial"/>
          <w:sz w:val="18"/>
          <w:szCs w:val="18"/>
          <w:b w:val="1"/>
          <w:bCs w:val="1"/>
          <w:color w:val="auto"/>
        </w:rPr>
        <w:t>PHATHOM PHARMACEUTICALS, INC.</w:t>
      </w:r>
    </w:p>
    <w:p>
      <w:pPr>
        <w:spacing w:after="0" w:line="2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Organizaton, Basis of Presentaton and Summary of Signifcant Accountng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Organizaton and Basis of Presentaton</w:t>
      </w:r>
    </w:p>
    <w:p>
      <w:pPr>
        <w:spacing w:after="0" w:line="187" w:lineRule="exact"/>
        <w:rPr>
          <w:sz w:val="20"/>
          <w:szCs w:val="20"/>
          <w:color w:val="auto"/>
        </w:rPr>
      </w:pPr>
    </w:p>
    <w:p>
      <w:pPr>
        <w:ind w:right="620" w:firstLine="509"/>
        <w:spacing w:after="0" w:line="262" w:lineRule="auto"/>
        <w:rPr>
          <w:sz w:val="20"/>
          <w:szCs w:val="20"/>
          <w:color w:val="auto"/>
        </w:rPr>
      </w:pPr>
      <w:r>
        <w:rPr>
          <w:rFonts w:ascii="Arial" w:cs="Arial" w:eastAsia="Arial" w:hAnsi="Arial"/>
          <w:sz w:val="18"/>
          <w:szCs w:val="18"/>
          <w:color w:val="auto"/>
        </w:rPr>
        <w:t>Phathom Pharmaceutcals, Inc., or the Company or Phathom, was incorporated in the state of Delaware in January 2018. The Company is a biopharmaceutcal company focused on developing and commercializing novel treatments for gastrointestnal diseases. The Company’s fnancial statements are prepared in accordance with U.S. generally accepted accountng principles, or GAAP.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0"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From incepton to June 30, 2023, the Company has devoted substantally all of its eforts to organizing and stafng the Company, business planning, raising capital, in-licensing its inital product candidate, vonoprazan, meetng with regulatory authorites, managing the clinical trials of vonoprazan, preparing for commercializaton of its inital products containing vonoprazan, and providing other general and administratve support for these operatons. The Company has a limited operatng history, has never generated any revenue, and the sales and income potental of its business is unproven. The Company has incurred net losses and negatve cash fows from operatng actvites since its incepton and expects to contnue to incur additonal net losses in the future as it contnues to develop and prepares for commercializaton of vonoprazan. From incepton to June 30, 2023, the Company has funded its operatons through the issuance of convertble promissory notes, commercial bank debt, revenue interest fnancing debt, the sale of 10,997,630 shares of common stock for net proceeds of approximately $191.5 million in its 2019 IPO, the sale of 2,250,000 shares of common stock for net proceeds of approximately $88.6 million in its December 2020 follow-on public ofering, the sale of 3,929,116 shares of common stock for net proceeds of approximately $38.7 million in its issuances of common stock pursuant to the Open Market Sale Agreement</w:t>
      </w:r>
      <w:r>
        <w:rPr>
          <w:rFonts w:ascii="Arial" w:cs="Arial" w:eastAsia="Arial" w:hAnsi="Arial"/>
          <w:sz w:val="19"/>
          <w:szCs w:val="19"/>
          <w:color w:val="auto"/>
          <w:vertAlign w:val="superscript"/>
        </w:rPr>
        <w:t>SM</w:t>
      </w:r>
      <w:r>
        <w:rPr>
          <w:rFonts w:ascii="Arial" w:cs="Arial" w:eastAsia="Arial" w:hAnsi="Arial"/>
          <w:sz w:val="17"/>
          <w:szCs w:val="17"/>
          <w:color w:val="auto"/>
        </w:rPr>
        <w:t>, or the Sales Agreement, with Jeferies LLC, or the Sales Agent, under which the Company may, from tme to tme, sell shares of its common stock having an aggregate ofering price of up to $125.0 million, or the ATM Ofering, and the sale of 12,793,750 shares of common stock for net proceeds of approximately $141.4 million in its May 2023 public ofering.</w:t>
      </w:r>
    </w:p>
    <w:p>
      <w:pPr>
        <w:spacing w:after="0" w:line="144"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accompanying fnancial statements have been prepared assuming the Company will contnue as a going concern, which contemplates the realizaton of assets and the satsfacton of liabilites in the normal course of business, and do not include any adjustments to refect the possible future efects on the recoverability and classifcaton of assets or amounts and classifcaton of liabilites in accordance with GAAP. Management is required to perform a two-step analysis over the Company’s ability to contnue as a going concern. Management must frst evaluate whether there are conditons and events that raise substantal doubt about the Company’s ability to contnue as a going concern (Step 1). If management concludes that substantal doubt is raised, management is also required to consider whether its plans alleviate that doubt (Step 2).</w:t>
      </w:r>
    </w:p>
    <w:p>
      <w:pPr>
        <w:spacing w:after="0" w:line="156"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Management believes that it has sufcient working capital on hand to fund operatons through at least the next twelve months from the date these fnancial statements were issued. There can be no assurance that the Company will be successful in acquiring additonal funding, if needed, that the Company’s projectons of its future working capital needs will prove accurate, or that any additonal funding would be sufcient to contnue operatons in future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Estmates</w:t>
      </w:r>
    </w:p>
    <w:p>
      <w:pPr>
        <w:spacing w:after="0" w:line="18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preparaton of the Company’s fnancial statements requires it to make estmates and assumptons that impact the reported amounts of assets, liabilites and expenses and the disclosure of contngent assets and liabilites in the Company’s fnancial statements and accompanying notes. The most signifcant estmates in the Company’s fnancial statements relate to accruals for research and development expenses and the valuaton of various equity instruments. Although these estmates are based on the Company’s knowledge of current events and actons it may undertake in the future, actual results could difer materially from those estmates and assumptons.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7" w:lineRule="exact"/>
        <w:rPr>
          <w:sz w:val="20"/>
          <w:szCs w:val="20"/>
          <w:color w:val="auto"/>
        </w:rPr>
      </w:pPr>
    </w:p>
    <w:p>
      <w:pPr>
        <w:ind w:right="360" w:firstLine="509"/>
        <w:spacing w:after="0" w:line="262" w:lineRule="auto"/>
        <w:rPr>
          <w:sz w:val="20"/>
          <w:szCs w:val="20"/>
          <w:color w:val="auto"/>
        </w:rPr>
      </w:pPr>
      <w:r>
        <w:rPr>
          <w:rFonts w:ascii="Arial" w:cs="Arial" w:eastAsia="Arial" w:hAnsi="Arial"/>
          <w:sz w:val="18"/>
          <w:szCs w:val="18"/>
          <w:color w:val="auto"/>
        </w:rPr>
        <w:t>The accountng guidance defnes fair value, establishes a consistent framework for measuring fair value and expands disclosure for each major asset and liability category measured at fair value on either a recurring or non-recurring basis. Fair value is defned as an exit price, representng the amount that would be received to sell an asset or paid to transfer a liability in an orderly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spacing w:after="0" w:line="262" w:lineRule="auto"/>
        <w:rPr>
          <w:sz w:val="20"/>
          <w:szCs w:val="20"/>
          <w:color w:val="auto"/>
        </w:rPr>
      </w:pPr>
      <w:r>
        <w:rPr>
          <w:rFonts w:ascii="Arial" w:cs="Arial" w:eastAsia="Arial" w:hAnsi="Arial"/>
          <w:sz w:val="18"/>
          <w:szCs w:val="18"/>
          <w:color w:val="auto"/>
        </w:rPr>
        <w:t>transacton between market partcipants. As such, fair value is a market-based measurement that should be determined based on assumptons that market partcipants would use in pricing an asset or liability. As a basis for considering such assumptons, the accountng guidance establishes a three-ter fair value hierarchy, which prioritzes the inputs used in measuring fair value as follows: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actve markets.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actve markets that are observable either directly or indirectly.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Unobservable inputs in which there is litle or no market data, which require the reportng entty to develop its own assumptons.</w:t>
      </w:r>
    </w:p>
    <w:p>
      <w:pPr>
        <w:spacing w:after="0" w:line="198" w:lineRule="exact"/>
        <w:rPr>
          <w:sz w:val="20"/>
          <w:szCs w:val="20"/>
          <w:color w:val="auto"/>
        </w:rPr>
      </w:pPr>
    </w:p>
    <w:p>
      <w:pPr>
        <w:ind w:right="180" w:firstLine="509"/>
        <w:spacing w:after="0" w:line="337" w:lineRule="auto"/>
        <w:rPr>
          <w:sz w:val="20"/>
          <w:szCs w:val="20"/>
          <w:color w:val="auto"/>
        </w:rPr>
      </w:pPr>
      <w:r>
        <w:rPr>
          <w:rFonts w:ascii="Arial" w:cs="Arial" w:eastAsia="Arial" w:hAnsi="Arial"/>
          <w:sz w:val="16"/>
          <w:szCs w:val="16"/>
          <w:color w:val="auto"/>
        </w:rPr>
        <w:t>The carrying amounts of the Company’s fnancial instruments, including cash and cash equivalents, are classifed within the Level 1 designaton discussed above, while prepaid and other current assets, accounts payable, and accrued liabilites, approximate fair value due to their short maturites.</w:t>
      </w:r>
    </w:p>
    <w:p>
      <w:pPr>
        <w:spacing w:after="0" w:line="91" w:lineRule="exact"/>
        <w:rPr>
          <w:sz w:val="20"/>
          <w:szCs w:val="20"/>
          <w:color w:val="auto"/>
        </w:rPr>
      </w:pPr>
    </w:p>
    <w:p>
      <w:pPr>
        <w:ind w:right="420" w:firstLine="509"/>
        <w:spacing w:after="0" w:line="273" w:lineRule="auto"/>
        <w:rPr>
          <w:sz w:val="20"/>
          <w:szCs w:val="20"/>
          <w:color w:val="auto"/>
        </w:rPr>
      </w:pPr>
      <w:r>
        <w:rPr>
          <w:rFonts w:ascii="Arial" w:cs="Arial" w:eastAsia="Arial" w:hAnsi="Arial"/>
          <w:sz w:val="18"/>
          <w:szCs w:val="18"/>
          <w:color w:val="auto"/>
        </w:rPr>
        <w:t>The Company has no fnancial assets measured at fair value on a recurring basis. None of the Company’s non-fnancial assets or liabilites are recorded at fair value on a non-recurring basis. No transfers between levels have occurred during the periods presented.</w:t>
      </w:r>
    </w:p>
    <w:p>
      <w:pPr>
        <w:spacing w:after="0" w:line="137" w:lineRule="exact"/>
        <w:rPr>
          <w:sz w:val="20"/>
          <w:szCs w:val="20"/>
          <w:color w:val="auto"/>
        </w:rPr>
      </w:pPr>
    </w:p>
    <w:p>
      <w:pPr>
        <w:ind w:right="120" w:firstLine="509"/>
        <w:spacing w:after="0" w:line="262" w:lineRule="auto"/>
        <w:rPr>
          <w:sz w:val="20"/>
          <w:szCs w:val="20"/>
          <w:color w:val="auto"/>
        </w:rPr>
      </w:pPr>
      <w:r>
        <w:rPr>
          <w:rFonts w:ascii="Arial" w:cs="Arial" w:eastAsia="Arial" w:hAnsi="Arial"/>
          <w:sz w:val="18"/>
          <w:szCs w:val="18"/>
          <w:color w:val="auto"/>
        </w:rPr>
        <w:t>As of June 30, 2023, the estmated fair value of the Company’s long-term debt approximated the carrying amount given its foatng interest rate basis. The fair value of the Company’s long-term debt was estmated for disclosure purposes only and was determined based on quoted market data for valuaton, and thus categorized as Level 2 in the fair value hierarchy.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7" w:lineRule="exact"/>
        <w:rPr>
          <w:sz w:val="20"/>
          <w:szCs w:val="20"/>
          <w:color w:val="auto"/>
        </w:rPr>
      </w:pPr>
    </w:p>
    <w:p>
      <w:pPr>
        <w:ind w:right="40" w:firstLine="509"/>
        <w:spacing w:after="0" w:line="273" w:lineRule="auto"/>
        <w:rPr>
          <w:sz w:val="20"/>
          <w:szCs w:val="20"/>
          <w:color w:val="auto"/>
        </w:rPr>
      </w:pPr>
      <w:r>
        <w:rPr>
          <w:rFonts w:ascii="Arial" w:cs="Arial" w:eastAsia="Arial" w:hAnsi="Arial"/>
          <w:sz w:val="18"/>
          <w:szCs w:val="18"/>
          <w:color w:val="auto"/>
        </w:rPr>
        <w:t>The Company considers all highly liquid investments with original maturites of three months or less when purchased to be cash equivalents. Cash and cash equivalents include cash in readily available checking accounts and money market funds.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Concentratons of Credit Risk</w:t>
      </w:r>
    </w:p>
    <w:p>
      <w:pPr>
        <w:spacing w:after="0" w:line="200"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Financial instruments that potentally subject the Company to signifcant concentratons of credit risk consist primarily of cash and cash equivalents. The Company maintains deposits in federally insured fnancial insttutons in excess of federally insured limits. The Company has not experienced any losses in such accounts and management believes that the Company is not exposed to signifcant credit risk due to the fnancial positon of the depository insttutons in which those deposits are held.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87" w:lineRule="exact"/>
        <w:rPr>
          <w:sz w:val="20"/>
          <w:szCs w:val="20"/>
          <w:color w:val="auto"/>
        </w:rPr>
      </w:pPr>
    </w:p>
    <w:p>
      <w:pPr>
        <w:ind w:right="20" w:firstLine="509"/>
        <w:spacing w:after="0" w:line="274" w:lineRule="auto"/>
        <w:rPr>
          <w:sz w:val="20"/>
          <w:szCs w:val="20"/>
          <w:color w:val="auto"/>
        </w:rPr>
      </w:pPr>
      <w:r>
        <w:rPr>
          <w:rFonts w:ascii="Arial" w:cs="Arial" w:eastAsia="Arial" w:hAnsi="Arial"/>
          <w:sz w:val="17"/>
          <w:szCs w:val="17"/>
          <w:color w:val="auto"/>
        </w:rPr>
        <w:t>Property, plant and equipment are recorded at cost, less accumulated depreciaton. Depreciaton expense is recognized using the straight-line method over the useful life of the asset. Computer equipment and related sofware are depreciated over two to three years. Furniture and fxtures are depreciated over three years. Leasehold improvements are amortzed over the lesser of the lease term or the estmated useful lives of the related assets. Expenditures for repairs and maintenance of assets are charged to expense as incurred. Upon retrement or sale, the cost and related accumulated depreciaton of assets disposed of are removed from the accounts and any resultng gain or loss is included in loss from operatons.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87" w:lineRule="exact"/>
        <w:rPr>
          <w:sz w:val="20"/>
          <w:szCs w:val="20"/>
          <w:color w:val="auto"/>
        </w:rPr>
      </w:pPr>
    </w:p>
    <w:p>
      <w:pPr>
        <w:ind w:firstLine="550"/>
        <w:spacing w:after="0" w:line="256" w:lineRule="auto"/>
        <w:rPr>
          <w:sz w:val="20"/>
          <w:szCs w:val="20"/>
          <w:color w:val="auto"/>
        </w:rPr>
      </w:pPr>
      <w:r>
        <w:rPr>
          <w:rFonts w:ascii="Arial" w:cs="Arial" w:eastAsia="Arial" w:hAnsi="Arial"/>
          <w:sz w:val="18"/>
          <w:szCs w:val="18"/>
          <w:color w:val="auto"/>
        </w:rPr>
        <w:t>The Company capitalizes inventory costs related to products to be sold in the ordinary course of business. The Company makes a determinaton of capitalizing inventory costs for a product based on, among other factors, status of regulatory approval, informaton regarding safety, efcacy and expectatons relatng to commercial sales and recoverability of costs. Current inventory consists of bulk actve pharmaceutcal ingredient that will be used to manufacture vonoprazan tablets. Inventory related to indicatons prior to regulatory approval has been included in research and development expense in the period of purchase.</w:t>
      </w:r>
    </w:p>
    <w:p>
      <w:pPr>
        <w:spacing w:after="0" w:line="152" w:lineRule="exact"/>
        <w:rPr>
          <w:sz w:val="20"/>
          <w:szCs w:val="20"/>
          <w:color w:val="auto"/>
        </w:rPr>
      </w:pPr>
    </w:p>
    <w:p>
      <w:pPr>
        <w:ind w:right="20" w:firstLine="509"/>
        <w:spacing w:after="0" w:line="274" w:lineRule="auto"/>
        <w:rPr>
          <w:sz w:val="20"/>
          <w:szCs w:val="20"/>
          <w:color w:val="auto"/>
        </w:rPr>
      </w:pPr>
      <w:r>
        <w:rPr>
          <w:rFonts w:ascii="Arial" w:cs="Arial" w:eastAsia="Arial" w:hAnsi="Arial"/>
          <w:sz w:val="18"/>
          <w:szCs w:val="18"/>
          <w:color w:val="auto"/>
        </w:rPr>
        <w:t>The Company values its inventory at the lower of cost or net realizable value. The Company measures inventory approximatng actual cost under a frst-in, frst-out basis. The Company assesses recoverability of inventory each reportng period to determine any write down to net realizable value resultng from excess or obsolete inventories</w:t>
      </w:r>
      <w:r>
        <w:rPr>
          <w:rFonts w:ascii="Arial" w:cs="Arial" w:eastAsia="Arial" w:hAnsi="Arial"/>
          <w:sz w:val="18"/>
          <w:szCs w:val="18"/>
          <w:i w:val="1"/>
          <w:iCs w:val="1"/>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00" w:lineRule="exact"/>
        <w:rPr>
          <w:sz w:val="20"/>
          <w:szCs w:val="20"/>
          <w:color w:val="auto"/>
        </w:rPr>
      </w:pPr>
    </w:p>
    <w:p>
      <w:pPr>
        <w:ind w:right="360" w:firstLine="509"/>
        <w:spacing w:after="0" w:line="256"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estmated undiscounted future cash fows expected to result from the use of the asset and its eventual dispositon are less than the carrying amount. The impairment loss, if recognized, would be based on the excess of the carrying value of the impaired asset over its respectve fair value. No impairment losses have been recorded through June 30,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At the incepton of a contractual arrangement, the Company determines whether the contract contains a lease by assessing whether there is an identfed asset and whether the contract conveys the right to control the use of the identfed asset in exchange for consideraton over a period of tme.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additonally evaluates leases at their incepton to determine if they are to be accounted for as an operatng lease or a fnance lease. A lease is accounted for as a fnance lease if it meets one of the following fve criteria: the lease has a purchase opton that is reasonably certain of being exercised, the present value of the future cash fows is substantally all of the fair market value of the underlying asset, the lease term is for a signifcant porton of the remaining economic life of the underlying asset, the ttle to the underlying asset transfers at the end of the lease term, or if the underlying asset is of such a specialized nature that it is expected to have no alternatve uses to the lessor at the end of the term. Leases that do not meet the fnance lease criteria are accounted for as an operatng lease. Operatng lease assets represent a right to use an underlying asset for the lease term and operatng lease liabilites represent an obligaton to make lease payments arising from the lease. Operatng lease liabilites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inital direct costs paid or incentves received. As the Company’s leases do not typically provide an implicit rate, the Company utlizes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operatng expenses in the period in which the obligaton for those payments is incurred. Variable lease payments primarily include common area maintenance, utlites, real estate taxes, insurance, and other operatng costs that are passed on from the lessor in proporton to the space leased by the Company. The Company has elected the practcal expedient to not separate between lease and non-lease components.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Liability</w:t>
      </w:r>
    </w:p>
    <w:p>
      <w:pPr>
        <w:spacing w:after="0" w:line="187" w:lineRule="exact"/>
        <w:rPr>
          <w:sz w:val="20"/>
          <w:szCs w:val="20"/>
          <w:color w:val="auto"/>
        </w:rPr>
      </w:pPr>
    </w:p>
    <w:p>
      <w:pPr>
        <w:ind w:right="20" w:firstLine="509"/>
        <w:spacing w:after="0" w:line="292" w:lineRule="auto"/>
        <w:rPr>
          <w:sz w:val="20"/>
          <w:szCs w:val="20"/>
          <w:color w:val="auto"/>
        </w:rPr>
      </w:pPr>
      <w:r>
        <w:rPr>
          <w:rFonts w:ascii="Arial" w:cs="Arial" w:eastAsia="Arial" w:hAnsi="Arial"/>
          <w:sz w:val="16"/>
          <w:szCs w:val="16"/>
          <w:color w:val="auto"/>
        </w:rPr>
        <w:t>The Company entered into a revenue interest fnancing agreement, or the Revenue Interest Financing Agreement, with enttes managed or advised by NovaQuest Capital Management, or NQ, Sagard Holdings Manager LP, or Sagard, and Hercules Capital, Inc., or Hercules, together with NQ and Sagard, the Inital Investors, in which the Company received funds in return for royaltes on net sales of products containing vonoprazan. The net proceeds received under the transacton were recognized as short-term and long-term liabilites with interest expense based on an imputed efectve rate derived from the expected future payments. The Company recalculates the efectve interest rate each period based on the current carrying value and the revised estmated future payments. Changes in future payments from previous estmates are included in current and future fnancing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200"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All research and development costs are expensed in the period incurred and consist primarily of salaries, payroll taxes, employee benefts, stock-based compensaton charges for those individuals involved in research and development eforts, external research and development costs incurred under agreements with contract research organizatons, or CROs, and consultants to conduct and support the Company’s ongoing clinical trials of vonoprazan, and costs related to manufacturing vonoprazan for clinical trials.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 w:name="page10"/>
    <w:bookmarkEnd w:id="9"/>
    <w:p>
      <w:pPr>
        <w:ind w:right="80" w:firstLine="509"/>
        <w:spacing w:after="0" w:line="271" w:lineRule="auto"/>
        <w:rPr>
          <w:sz w:val="20"/>
          <w:szCs w:val="20"/>
          <w:color w:val="auto"/>
        </w:rPr>
      </w:pPr>
      <w:r>
        <w:rPr>
          <w:rFonts w:ascii="Arial" w:cs="Arial" w:eastAsia="Arial" w:hAnsi="Arial"/>
          <w:sz w:val="17"/>
          <w:szCs w:val="17"/>
          <w:color w:val="auto"/>
        </w:rPr>
        <w:t>The Company has entered into various research and development contracts with clinical research organizatons, clinical manufacturing organizatons and other companies. Payments for these actvites are based on the terms of the individual agreements, which may difer from the patern of costs incurred, and payments made in advance of or afer performance are refected in the accompanying balance sheets as prepaid expenses or accrued liabilites, respectvely. The Company records accruals for estmated costs incurred for ongoing research and development actvites. When evaluatng the adequacy of the accrued liabilites, the Company analyzes progress of the services, including the phase or completon of events, invoices received and contracted costs. Signifcant judgments and estmates may be made in determining the prepaid or accrued balances at the end of any reportng period. Actual results could difer from the Company’s estmates.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The Company evaluates whether acquired intangible assets are a business under applicable accountng standards. Additonally, the Company evaluates whether the acquired assets have a future alternatve use. Intangible assets that do not have future alternatve use are considered acquired in-process research and development. When the acquired in-process research and development assets are not part of a business combinaton, the value of the consideraton paid is expensed on the acquisiton date. Future costs to develop these assets are recorded to research and development expense as they are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Administratve Expenses</w:t>
      </w:r>
    </w:p>
    <w:p>
      <w:pPr>
        <w:spacing w:after="0" w:line="200" w:lineRule="exact"/>
        <w:rPr>
          <w:sz w:val="20"/>
          <w:szCs w:val="20"/>
          <w:color w:val="auto"/>
        </w:rPr>
      </w:pPr>
    </w:p>
    <w:p>
      <w:pPr>
        <w:ind w:right="80" w:firstLine="509"/>
        <w:spacing w:after="0" w:line="262" w:lineRule="auto"/>
        <w:rPr>
          <w:sz w:val="20"/>
          <w:szCs w:val="20"/>
          <w:color w:val="auto"/>
        </w:rPr>
      </w:pPr>
      <w:r>
        <w:rPr>
          <w:rFonts w:ascii="Arial" w:cs="Arial" w:eastAsia="Arial" w:hAnsi="Arial"/>
          <w:sz w:val="18"/>
          <w:szCs w:val="18"/>
          <w:color w:val="auto"/>
        </w:rPr>
        <w:t>General and administratve expenses consist of salaries, stock-based compensaton, facilites and third-party expenses. General and administratve expenses are associated with the actvites of the commercial, executve, fnance, accountng, informaton technology, legal, medical afairs and human resource functons.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Compensaton</w:t>
      </w:r>
    </w:p>
    <w:p>
      <w:pPr>
        <w:spacing w:after="0" w:line="187" w:lineRule="exact"/>
        <w:rPr>
          <w:sz w:val="20"/>
          <w:szCs w:val="20"/>
          <w:color w:val="auto"/>
        </w:rPr>
      </w:pPr>
    </w:p>
    <w:p>
      <w:pPr>
        <w:ind w:right="20" w:firstLine="509"/>
        <w:spacing w:after="0" w:line="273" w:lineRule="auto"/>
        <w:rPr>
          <w:sz w:val="20"/>
          <w:szCs w:val="20"/>
          <w:color w:val="auto"/>
        </w:rPr>
      </w:pPr>
      <w:r>
        <w:rPr>
          <w:rFonts w:ascii="Arial" w:cs="Arial" w:eastAsia="Arial" w:hAnsi="Arial"/>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w:t>
      </w:r>
    </w:p>
    <w:p>
      <w:pPr>
        <w:spacing w:after="0" w:line="150"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The Company also maintains an employee stock purchase program, or ESPP, under which it may issue shares. The Company estmates the fair value of shares that will be issued under the ESPP, and of stock optons using the Black-Scholes valuaton model, which requires the use of estmates. The Company recognizes stock-based compensaton cost for shares that it will issue under the ESPP on a straight-line basis over the requisite service period of the award.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recogniton of deferred tax assets and liabilites for the expected future tax consequences of events that have been included in the fnancial statements. Under this method, deferred tax assets and liabilites are determined on the basis of the diferences between the fnancial statements and tax basis of assets and liabilites using enacted tax rates in efect for the year in which the diferences are expected to reverse. The efect of a change in tax rates on deferred tax assets and liabilites is recognized in the statement of operatons in the period that includes the enactment date.</w:t>
      </w:r>
    </w:p>
    <w:p>
      <w:pPr>
        <w:spacing w:after="0" w:line="165"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determinaton, management considers all available positve and negatve evidence, including future reversals of existng taxable temporary diferences, projected future taxable income, tax-planning strategies, and results of recent operatons. If management determines that the Company would be able to realize its deferred tax assets in the future in excess of their net recorded amount, management would make an adjustment to the deferred tax asset valuaton allowance, which would reduce the provision for income taxes.</w:t>
      </w:r>
    </w:p>
    <w:p>
      <w:pPr>
        <w:spacing w:after="0" w:line="140"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The Company records uncertain tax positons on the basis of a two-step process whereby (i) management determines whether it is more likely than not that the tax positons will be sustained on the basis of the technical merits of the positon and (ii) for those tax positons that meet the more-likely-than-not recogniton threshold, management recognizes the largest amount of tax beneft that is more than 50 percent likely to be realized upon ultmate setlement with the related tax authority. The Company recognizes interest and penaltes related to unrecognized tax benefts within income tax expense. Any accrued interest and penaltes are included within the related tax liability.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ind w:right="20" w:firstLine="509"/>
        <w:spacing w:after="0" w:line="262" w:lineRule="auto"/>
        <w:rPr>
          <w:sz w:val="20"/>
          <w:szCs w:val="20"/>
          <w:color w:val="auto"/>
        </w:rPr>
      </w:pPr>
      <w:r>
        <w:rPr>
          <w:rFonts w:ascii="Arial" w:cs="Arial" w:eastAsia="Arial" w:hAnsi="Arial"/>
          <w:sz w:val="18"/>
          <w:szCs w:val="18"/>
          <w:color w:val="auto"/>
        </w:rPr>
        <w:t>Beginning in 2022, the Tax Cuts and Jobs Act, or TCJA, eliminates the opton to deduct research and development expenditures currently and requires taxpayers to amortze domestc and foreign research and development expenditures over 5 years and 15 years, respectvely. The requirement did not impact cash from operatons in the current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7" w:lineRule="exact"/>
        <w:rPr>
          <w:sz w:val="20"/>
          <w:szCs w:val="20"/>
          <w:color w:val="auto"/>
        </w:rPr>
      </w:pPr>
    </w:p>
    <w:p>
      <w:pPr>
        <w:ind w:right="540" w:firstLine="509"/>
        <w:spacing w:after="0" w:line="273" w:lineRule="auto"/>
        <w:rPr>
          <w:sz w:val="20"/>
          <w:szCs w:val="20"/>
          <w:color w:val="auto"/>
        </w:rPr>
      </w:pPr>
      <w:r>
        <w:rPr>
          <w:rFonts w:ascii="Arial" w:cs="Arial" w:eastAsia="Arial" w:hAnsi="Arial"/>
          <w:sz w:val="18"/>
          <w:szCs w:val="18"/>
          <w:color w:val="auto"/>
        </w:rPr>
        <w:t>Comprehensive loss is defned as a change in equity during a period from transactons and other events and circumstances from non-owner sources. The Company’s comprehensive loss was the same as its reported net loss for all periods presented.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Reportng</w:t>
      </w:r>
    </w:p>
    <w:p>
      <w:pPr>
        <w:spacing w:after="0" w:line="200" w:lineRule="exact"/>
        <w:rPr>
          <w:sz w:val="20"/>
          <w:szCs w:val="20"/>
          <w:color w:val="auto"/>
        </w:rPr>
      </w:pPr>
    </w:p>
    <w:p>
      <w:pPr>
        <w:jc w:val="both"/>
        <w:ind w:right="200" w:firstLine="509"/>
        <w:spacing w:after="0" w:line="262" w:lineRule="auto"/>
        <w:rPr>
          <w:sz w:val="20"/>
          <w:szCs w:val="20"/>
          <w:color w:val="auto"/>
        </w:rPr>
      </w:pPr>
      <w:r>
        <w:rPr>
          <w:rFonts w:ascii="Arial" w:cs="Arial" w:eastAsia="Arial" w:hAnsi="Arial"/>
          <w:sz w:val="18"/>
          <w:szCs w:val="18"/>
          <w:color w:val="auto"/>
        </w:rPr>
        <w:t>Operatng segments are identfed as components of an enterprise about which separate discrete fnancial informaton is available for evaluaton by the chief operatng decision maker in making decisions on how to allocate resources and assess performance. The Company views its operatons and manages its business as one operatng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without consideraton for potentally dilutve securites. For the three and six months ended June 30, 2023, the Company has excluded weighted-average unvested shares of 7,334 and 69,578, respectvely, from the weighted-average number of common shares outstanding, compared to 800,002 and 910,828, respectvely for the same periods in 2022. Diluted net loss per share is computed by dividing the net loss by the weighted-average number of common shares and dilutve common stock equivalents outstanding for the period determined using the treasury-stock and if-converted methods. Dilutve common stock equivalents are comprised of unvested common stock, optons and warrants. For the periods presented, there is no diference in the number of shares used to calculate basic and diluted shares outstanding as inclusion of the potentally dilutve securites (warrants, stock optons, and common shares subject to repurchase) would be antdilutve.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Accountng Standards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recently adopted accountng standards which would have a material impact on the Company's fnancial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Accountng Pronouncements</w:t>
      </w:r>
    </w:p>
    <w:p>
      <w:pPr>
        <w:spacing w:after="0" w:line="200"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The Company assesses the adopton impacts of recently issued accountng standards by the Financial Accountng Standards Board or other standard setng bodies on the Company's fnancial statements as well as material updates to previous assessments, if any, from the Company’s Annual Report on Form 10-K for the year ended December 31, 2022. There were no new material accountng standards issued in the second quarter of 2023 that impacted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3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spacing w:after="0"/>
              <w:rPr>
                <w:sz w:val="21"/>
                <w:szCs w:val="21"/>
                <w:color w:val="auto"/>
              </w:rPr>
            </w:pPr>
          </w:p>
        </w:tc>
      </w:tr>
      <w:tr>
        <w:trPr>
          <w:trHeight w:val="33"/>
        </w:trPr>
        <w:tc>
          <w:tcPr>
            <w:tcW w:w="11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1120" w:type="dxa"/>
            <w:vAlign w:val="bottom"/>
          </w:tcPr>
          <w:p>
            <w:pPr>
              <w:spacing w:after="0"/>
              <w:rPr>
                <w:sz w:val="20"/>
                <w:szCs w:val="20"/>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sofware</w:t>
            </w:r>
          </w:p>
        </w:tc>
        <w:tc>
          <w:tcPr>
            <w:tcW w:w="9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1,078</w:t>
            </w:r>
          </w:p>
        </w:tc>
        <w:tc>
          <w:tcPr>
            <w:tcW w:w="1120" w:type="dxa"/>
            <w:vAlign w:val="bottom"/>
          </w:tcPr>
          <w:p>
            <w:pPr>
              <w:spacing w:after="0"/>
              <w:rPr>
                <w:sz w:val="20"/>
                <w:szCs w:val="20"/>
                <w:color w:val="auto"/>
              </w:rPr>
            </w:pPr>
          </w:p>
        </w:tc>
      </w:tr>
      <w:tr>
        <w:trPr>
          <w:trHeight w:val="235"/>
        </w:trPr>
        <w:tc>
          <w:tcPr>
            <w:tcW w:w="11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Furniture and fxtures</w:t>
            </w: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1,089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1,086</w:t>
            </w:r>
          </w:p>
        </w:tc>
        <w:tc>
          <w:tcPr>
            <w:tcW w:w="1120" w:type="dxa"/>
            <w:vAlign w:val="bottom"/>
          </w:tcPr>
          <w:p>
            <w:pPr>
              <w:spacing w:after="0"/>
              <w:rPr>
                <w:sz w:val="20"/>
                <w:szCs w:val="20"/>
                <w:color w:val="auto"/>
              </w:rPr>
            </w:pPr>
          </w:p>
        </w:tc>
      </w:tr>
      <w:tr>
        <w:trPr>
          <w:trHeight w:val="251"/>
        </w:trPr>
        <w:tc>
          <w:tcPr>
            <w:tcW w:w="1120" w:type="dxa"/>
            <w:vAlign w:val="bottom"/>
          </w:tcPr>
          <w:p>
            <w:pPr>
              <w:spacing w:after="0"/>
              <w:rPr>
                <w:sz w:val="21"/>
                <w:szCs w:val="21"/>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c>
          <w:tcPr>
            <w:tcW w:w="1120" w:type="dxa"/>
            <w:vAlign w:val="bottom"/>
          </w:tcPr>
          <w:p>
            <w:pPr>
              <w:spacing w:after="0"/>
              <w:rPr>
                <w:sz w:val="21"/>
                <w:szCs w:val="21"/>
                <w:color w:val="auto"/>
              </w:rPr>
            </w:pPr>
          </w:p>
        </w:tc>
      </w:tr>
      <w:tr>
        <w:trPr>
          <w:trHeight w:val="236"/>
        </w:trPr>
        <w:tc>
          <w:tcPr>
            <w:tcW w:w="11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Constructon in process</w:t>
            </w:r>
          </w:p>
        </w:tc>
        <w:tc>
          <w:tcPr>
            <w:tcW w:w="9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w:t>
            </w:r>
          </w:p>
        </w:tc>
        <w:tc>
          <w:tcPr>
            <w:tcW w:w="1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property, plant and equipment, gross</w:t>
            </w:r>
          </w:p>
        </w:tc>
        <w:tc>
          <w:tcPr>
            <w:tcW w:w="9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2,898</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2,678</w:t>
            </w:r>
          </w:p>
        </w:tc>
        <w:tc>
          <w:tcPr>
            <w:tcW w:w="1120" w:type="dxa"/>
            <w:vAlign w:val="bottom"/>
          </w:tcPr>
          <w:p>
            <w:pPr>
              <w:spacing w:after="0"/>
              <w:rPr>
                <w:sz w:val="21"/>
                <w:szCs w:val="21"/>
                <w:color w:val="auto"/>
              </w:rPr>
            </w:pPr>
          </w:p>
        </w:tc>
      </w:tr>
      <w:tr>
        <w:trPr>
          <w:trHeight w:val="236"/>
        </w:trPr>
        <w:tc>
          <w:tcPr>
            <w:tcW w:w="11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Less: accumulated depreciaton</w:t>
            </w:r>
          </w:p>
        </w:tc>
        <w:tc>
          <w:tcPr>
            <w:tcW w:w="9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(1,740 )</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(1,471 )</w:t>
            </w:r>
          </w:p>
        </w:tc>
        <w:tc>
          <w:tcPr>
            <w:tcW w:w="1120" w:type="dxa"/>
            <w:vAlign w:val="bottom"/>
          </w:tcPr>
          <w:p>
            <w:pPr>
              <w:spacing w:after="0"/>
              <w:rPr>
                <w:sz w:val="20"/>
                <w:szCs w:val="20"/>
                <w:color w:val="auto"/>
              </w:rPr>
            </w:pPr>
          </w:p>
        </w:tc>
      </w:tr>
      <w:tr>
        <w:trPr>
          <w:trHeight w:val="277"/>
        </w:trPr>
        <w:tc>
          <w:tcPr>
            <w:tcW w:w="1120" w:type="dxa"/>
            <w:vAlign w:val="bottom"/>
          </w:tcPr>
          <w:p>
            <w:pPr>
              <w:spacing w:after="0"/>
              <w:rPr>
                <w:sz w:val="24"/>
                <w:szCs w:val="24"/>
                <w:color w:val="auto"/>
              </w:rPr>
            </w:pPr>
          </w:p>
        </w:tc>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plant and equipment, net</w:t>
            </w:r>
          </w:p>
        </w:tc>
        <w:tc>
          <w:tcPr>
            <w:tcW w:w="9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ind w:right="1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1,158</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1,207</w:t>
            </w:r>
          </w:p>
        </w:tc>
        <w:tc>
          <w:tcPr>
            <w:tcW w:w="1120" w:type="dxa"/>
            <w:vAlign w:val="bottom"/>
          </w:tcPr>
          <w:p>
            <w:pPr>
              <w:spacing w:after="0"/>
              <w:rPr>
                <w:sz w:val="24"/>
                <w:szCs w:val="24"/>
                <w:color w:val="auto"/>
              </w:rPr>
            </w:pPr>
          </w:p>
        </w:tc>
      </w:tr>
      <w:tr>
        <w:trPr>
          <w:trHeight w:val="635"/>
        </w:trPr>
        <w:tc>
          <w:tcPr>
            <w:tcW w:w="1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00" w:type="dxa"/>
            <w:vAlign w:val="bottom"/>
            <w:gridSpan w:val="2"/>
          </w:tcPr>
          <w:p>
            <w:pPr>
              <w:jc w:val="right"/>
              <w:ind w:right="1350"/>
              <w:spacing w:after="0"/>
              <w:rPr>
                <w:sz w:val="20"/>
                <w:szCs w:val="20"/>
                <w:color w:val="auto"/>
              </w:rPr>
            </w:pPr>
            <w:r>
              <w:rPr>
                <w:rFonts w:ascii="Arial" w:cs="Arial" w:eastAsia="Arial" w:hAnsi="Arial"/>
                <w:sz w:val="18"/>
                <w:szCs w:val="18"/>
                <w:color w:val="auto"/>
              </w:rPr>
              <w:t>F-9</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-522605</wp:posOffset>
            </wp:positionV>
            <wp:extent cx="111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-504825</wp:posOffset>
            </wp:positionV>
            <wp:extent cx="111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 w:name="page12"/>
    <w:bookmarkEnd w:id="11"/>
    <w:p>
      <w:pPr>
        <w:ind w:right="100" w:firstLine="509"/>
        <w:spacing w:after="0" w:line="288" w:lineRule="auto"/>
        <w:rPr>
          <w:sz w:val="20"/>
          <w:szCs w:val="20"/>
          <w:color w:val="auto"/>
        </w:rPr>
      </w:pPr>
      <w:r>
        <w:rPr>
          <w:rFonts w:ascii="Arial" w:cs="Arial" w:eastAsia="Arial" w:hAnsi="Arial"/>
          <w:sz w:val="16"/>
          <w:szCs w:val="16"/>
          <w:color w:val="auto"/>
        </w:rPr>
        <w:t>Depreciaton expense for each of the three months ended June 30, 2023 and 2022 was approximately $0.1 million. Depreciaton expense for each of the six months ended June 30, 2023 and 2022 was approximately $0.3 million. No property, plant or equipment was disposed of during the six months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20" w:type="dxa"/>
            <w:vAlign w:val="bottom"/>
            <w:gridSpan w:val="3"/>
          </w:tcPr>
          <w:p>
            <w:pPr>
              <w:spacing w:after="0"/>
              <w:rPr>
                <w:sz w:val="20"/>
                <w:szCs w:val="20"/>
                <w:color w:val="auto"/>
              </w:rPr>
            </w:pPr>
            <w:r>
              <w:rPr>
                <w:rFonts w:ascii="Arial" w:cs="Arial" w:eastAsia="Arial" w:hAnsi="Arial"/>
                <w:sz w:val="18"/>
                <w:szCs w:val="18"/>
                <w:color w:val="auto"/>
              </w:rPr>
              <w:t>ended June 30, 2023 or the year ended December 31, 2022.</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5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820" w:type="dxa"/>
            <w:vAlign w:val="bottom"/>
            <w:gridSpan w:val="3"/>
          </w:tcPr>
          <w:p>
            <w:pPr>
              <w:ind w:left="520"/>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3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ind w:left="56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1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vMerge w:val="continue"/>
          </w:tcPr>
          <w:p>
            <w:pPr>
              <w:spacing w:after="0"/>
              <w:rPr>
                <w:sz w:val="20"/>
                <w:szCs w:val="20"/>
                <w:color w:val="auto"/>
              </w:rPr>
            </w:pPr>
          </w:p>
        </w:tc>
        <w:tc>
          <w:tcPr>
            <w:tcW w:w="4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117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6,716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Accrued compensaton expenses</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6,531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3"/>
          </w:tcPr>
          <w:p>
            <w:pPr>
              <w:jc w:val="right"/>
              <w:ind w:right="140"/>
              <w:spacing w:after="0"/>
              <w:rPr>
                <w:sz w:val="20"/>
                <w:szCs w:val="20"/>
                <w:color w:val="auto"/>
              </w:rPr>
            </w:pPr>
            <w:r>
              <w:rPr>
                <w:rFonts w:ascii="Arial" w:cs="Arial" w:eastAsia="Arial" w:hAnsi="Arial"/>
                <w:sz w:val="18"/>
                <w:szCs w:val="18"/>
                <w:color w:val="auto"/>
              </w:rPr>
              <w:t>8,447</w:t>
            </w:r>
          </w:p>
        </w:tc>
        <w:tc>
          <w:tcPr>
            <w:tcW w:w="0" w:type="dxa"/>
            <w:vAlign w:val="bottom"/>
          </w:tcPr>
          <w:p>
            <w:pPr>
              <w:spacing w:after="0"/>
              <w:rPr>
                <w:sz w:val="1"/>
                <w:szCs w:val="1"/>
                <w:color w:val="auto"/>
              </w:rPr>
            </w:pPr>
          </w:p>
        </w:tc>
      </w:tr>
      <w:tr>
        <w:trPr>
          <w:trHeight w:val="251"/>
        </w:trPr>
        <w:tc>
          <w:tcPr>
            <w:tcW w:w="1120" w:type="dxa"/>
            <w:vAlign w:val="bottom"/>
          </w:tcPr>
          <w:p>
            <w:pPr>
              <w:spacing w:after="0"/>
              <w:rPr>
                <w:sz w:val="21"/>
                <w:szCs w:val="21"/>
                <w:color w:val="auto"/>
              </w:rPr>
            </w:pPr>
          </w:p>
        </w:tc>
        <w:tc>
          <w:tcPr>
            <w:tcW w:w="4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professional &amp; consultng expenses</w:t>
            </w:r>
          </w:p>
        </w:tc>
        <w:tc>
          <w:tcPr>
            <w:tcW w:w="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Accrued other</w:t>
            </w:r>
          </w:p>
        </w:tc>
        <w:tc>
          <w:tcPr>
            <w:tcW w:w="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7"/>
        </w:trPr>
        <w:tc>
          <w:tcPr>
            <w:tcW w:w="1120" w:type="dxa"/>
            <w:vAlign w:val="bottom"/>
          </w:tcPr>
          <w:p>
            <w:pPr>
              <w:spacing w:after="0"/>
              <w:rPr>
                <w:sz w:val="24"/>
                <w:szCs w:val="24"/>
                <w:color w:val="auto"/>
              </w:rPr>
            </w:pPr>
          </w:p>
        </w:tc>
        <w:tc>
          <w:tcPr>
            <w:tcW w:w="4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ind w:right="117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15,451</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14,678</w:t>
            </w:r>
          </w:p>
        </w:tc>
        <w:tc>
          <w:tcPr>
            <w:tcW w:w="0" w:type="dxa"/>
            <w:vAlign w:val="bottom"/>
          </w:tcPr>
          <w:p>
            <w:pPr>
              <w:spacing w:after="0"/>
              <w:rPr>
                <w:sz w:val="1"/>
                <w:szCs w:val="1"/>
                <w:color w:val="auto"/>
              </w:rPr>
            </w:pPr>
          </w:p>
        </w:tc>
      </w:tr>
      <w:tr>
        <w:trPr>
          <w:trHeight w:val="548"/>
        </w:trPr>
        <w:tc>
          <w:tcPr>
            <w:tcW w:w="5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820" w:type="dxa"/>
            <w:vAlign w:val="bottom"/>
            <w:gridSpan w:val="3"/>
          </w:tcPr>
          <w:p>
            <w:pPr>
              <w:ind w:left="520"/>
              <w:spacing w:after="0"/>
              <w:rPr>
                <w:sz w:val="20"/>
                <w:szCs w:val="20"/>
                <w:color w:val="auto"/>
              </w:rPr>
            </w:pPr>
            <w:r>
              <w:rPr>
                <w:rFonts w:ascii="Arial" w:cs="Arial" w:eastAsia="Arial" w:hAnsi="Arial"/>
                <w:sz w:val="18"/>
                <w:szCs w:val="18"/>
                <w:color w:val="auto"/>
              </w:rPr>
              <w:t>Inventory consist of the following (in thousands):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360" w:type="dxa"/>
            <w:vAlign w:val="bottom"/>
            <w:gridSpan w:val="2"/>
          </w:tcPr>
          <w:p>
            <w:pPr>
              <w:jc w:val="right"/>
              <w:ind w:right="158"/>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ind w:left="4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360" w:type="dxa"/>
            <w:vAlign w:val="bottom"/>
            <w:tcBorders>
              <w:bottom w:val="single" w:sz="8" w:color="auto"/>
            </w:tcBorders>
            <w:gridSpan w:val="2"/>
            <w:shd w:val="clear" w:color="auto" w:fill="CFF0FC"/>
          </w:tcPr>
          <w:p>
            <w:pPr>
              <w:jc w:val="right"/>
              <w:ind w:right="117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FF0FC"/>
            </w:tcBorders>
            <w:shd w:val="clear" w:color="auto" w:fill="CFF0FC"/>
          </w:tcPr>
          <w:p>
            <w:pPr>
              <w:ind w:left="13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inventory, current</w:t>
            </w:r>
          </w:p>
        </w:tc>
        <w:tc>
          <w:tcPr>
            <w:tcW w:w="1360" w:type="dxa"/>
            <w:vAlign w:val="bottom"/>
            <w:gridSpan w:val="2"/>
          </w:tcPr>
          <w:p>
            <w:pPr>
              <w:jc w:val="right"/>
              <w:ind w:right="117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 noncurrent</w:t>
            </w:r>
          </w:p>
        </w:tc>
        <w:tc>
          <w:tcPr>
            <w:tcW w:w="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ind w:left="13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360" w:type="dxa"/>
            <w:vAlign w:val="bottom"/>
            <w:gridSpan w:val="2"/>
          </w:tcPr>
          <w:p>
            <w:pPr>
              <w:jc w:val="right"/>
              <w:ind w:right="117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3,561</w:t>
            </w:r>
          </w:p>
        </w:tc>
        <w:tc>
          <w:tcPr>
            <w:tcW w:w="200" w:type="dxa"/>
            <w:vAlign w:val="bottom"/>
          </w:tcPr>
          <w:p>
            <w:pPr>
              <w:spacing w:after="0"/>
              <w:rPr>
                <w:sz w:val="20"/>
                <w:szCs w:val="20"/>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-1748155</wp:posOffset>
            </wp:positionV>
            <wp:extent cx="111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-1731010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-505460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8"/>
          <w:szCs w:val="18"/>
          <w:color w:val="auto"/>
        </w:rPr>
        <w:t>Raw materials consist of materials, including actve pharmaceutcal ingredients, to be consumed in the producton of inventory related to the FDA approved products. $3.5 million of raw materials are included within other long-term assets as of June 30, 2023.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Frazier is a principal stockholder of the Company with representaton on the Board of Directors. Frazier is compensated for their partcipaton 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as of June 30, 2023 and December 31, 2022, the Company had $27,000 and $15,000, respectvely, outstanding accounts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payable and accrued expenses related to these services. For the three months ended June 30, 2023 and 2022, the Company incurred $14,000 and $0,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respectvely, of expenses related to partcipaton on the Board of Directors. For the six months ended June 30, 2023 and 2022, the Company incurred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$31,000 and $0, respectvely of expenses related to partcipaton on the Board of Directors. Frazier is also a principal stockholder in PCI Pharma Services,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PCI. In the third quarter of 2019, the Company engaged PCI for clinical manufacturing services. As of June 30, 2023 and December 31, 2022,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had $1.3 million and $1.1 million, respectvely, outstanding accounts payable and accrued expenses related to these manufacturing services.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June 30, 2023 and 2022, the Company incurred $0.2 million and $0.1 million, respectvely, of expenses related to services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performed by PCI. For the six months ended June 30, 2023 and 2022, the Company incurred $0.3 million and $0.4 million, respectvely, of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related to services performed by PCI.</w:t>
      </w:r>
    </w:p>
    <w:p>
      <w:pPr>
        <w:spacing w:after="0" w:line="187"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Takeda became a common stockholder of the Company in connecton with the May 2019 license agreement (see Note 4). In conjuncton with this license, Takeda provides proprietary supplies for the Company’s ongoing clinical development of vonoprazan in additon to the exclusive license for the commercializaton of vonoprazan in the United States, Canada and Europe. On May 5, 2020, the Company entered into a Commercial Supply Agreement, or the Commercial Supply Agreement, with Takeda, pursuant to which Takeda will supply commercial quanttes of vonoprazan bulk drug product or drug substance. Pursuant to the Commercial Supply Agreement, Takeda has agreed to supply the Company with, and the Company has agreed to purchase from Takeda, certain quanttes of vonoprazan bulk drug product according to approved specifcatons at a fxed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frst commercial launch of vonoprazan in any jurisdicton in the licensed territory, provided that this two-year period will expire no later than December 31, 2023. The Commercial Supply Agreement will terminate immediately upon the terminaton of the Takeda License in accordance with its terms. In connecton with the Takeda License, the Company entered into 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p>
      <w:pPr>
        <w:ind w:right="140"/>
        <w:spacing w:after="0" w:line="291" w:lineRule="auto"/>
        <w:rPr>
          <w:sz w:val="20"/>
          <w:szCs w:val="20"/>
          <w:color w:val="auto"/>
        </w:rPr>
      </w:pPr>
      <w:r>
        <w:rPr>
          <w:rFonts w:ascii="Arial" w:cs="Arial" w:eastAsia="Arial" w:hAnsi="Arial"/>
          <w:sz w:val="16"/>
          <w:szCs w:val="16"/>
          <w:color w:val="auto"/>
        </w:rPr>
        <w:t>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terminaton of the Takeda License in accordance with its terms. As of June 30, 2023 and December 31, 2022, the Company had $1.5 million and $1.4 million, respectvely, in outstanding accounts payable and accrued expenses related to these agreements. For the three months ended June 30, 2023 and 2022, the Company incurred $0.1 million and $0.2 million, respectvely, of expenses related to these agreements. For the six months ended June 30, 2023 and 2022, the Company incurred $0.1 million and $1.3 million, respectvely, of expenses related to these agreements. The Company has no remaining minimum purchase obligaton related to these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8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conditons. The agreement will remain in efect, on a country-by-country and product-by-product basis, untl the later of (i) the expiraton of the last to expire valid patent claim covering vonoprazan fumarate alone or in combinaton with at least one other therapeutcally actve ingredient, (ii) the expiraton of the applicable regulatory exclusivity and (iii) 15 years from the date of frst commercial sale, unless earlier terminated. The Company may terminate the Takeda License upon six months’ writen notce. The Company and Takeda may terminate the Takeda License in the case of the other party’s insolvency or material uncured breach. Takeda may terminate the Takeda License if the Company challenges, or assists in challenging, licensed patents.</w:t>
      </w:r>
    </w:p>
    <w:p>
      <w:pPr>
        <w:spacing w:after="0" w:line="17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consideraton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inital fair value of $47.9 million, and (iv) issued a right to receive an additonal common stock warrant, or, the Takeda Warrant Right, should Takeda’s fully-diluted ownership of the Company represent less than a certain specifed percentage of the fully-diluted capitalizaton, including shares issuable upon conversion of then outstanding convertble promissory notes, calculated immediately before the closing of the Company’s IPO, with a nominal inital fair value due to the low probability of issuance. The Takeda Warrant Right expired without efect since no fair value had been allocated to it upon completon of the IPO, and no additonal warrant was issued. In additon, the Company is obligated to pay Takeda up to an aggregate of $250.0 million in sales milestones upon the achievement of specifed levels of product sales, and a low double-digit royalty rate on aggregate net sales of licensed products, subject to certain adjustments. The Takeda Warrant had an exercise price of $0.00004613 per share, and was to expire on May 7, 2029 and became exercisable upon the consummaton of the IPO. As of June 30, 2023, all Takeda Warrants have been exercised.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87" w:lineRule="exact"/>
        <w:rPr>
          <w:sz w:val="20"/>
          <w:szCs w:val="20"/>
          <w:color w:val="auto"/>
        </w:rPr>
      </w:pPr>
    </w:p>
    <w:p>
      <w:pPr>
        <w:ind w:right="260" w:firstLine="509"/>
        <w:spacing w:after="0" w:line="300" w:lineRule="auto"/>
        <w:rPr>
          <w:sz w:val="20"/>
          <w:szCs w:val="20"/>
          <w:color w:val="auto"/>
        </w:rPr>
      </w:pPr>
      <w:r>
        <w:rPr>
          <w:rFonts w:ascii="Arial" w:cs="Arial" w:eastAsia="Arial" w:hAnsi="Arial"/>
          <w:sz w:val="16"/>
          <w:szCs w:val="16"/>
          <w:color w:val="auto"/>
        </w:rPr>
        <w:t>In December 2020, the Company entered into a supply agreement with Sandoz pursuant to which Sandoz will supply commercial quanttes of amoxicillin capsules and clarithromycin tablets, package these antbiotcs with vonoprazan, and provide in fnished convenience packs. The supply agreement commits the Company to a minimum purchase obligaton of approximately $3.8 million in the frst 24-month period following the launch of the fnal product. The Company has not incurred any expenses under the agreement during the six months ended June 30, 2023 and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Contngencies</w:t>
      </w:r>
    </w:p>
    <w:p>
      <w:pPr>
        <w:spacing w:after="0" w:line="187" w:lineRule="exact"/>
        <w:rPr>
          <w:sz w:val="20"/>
          <w:szCs w:val="20"/>
          <w:color w:val="auto"/>
        </w:rPr>
      </w:pPr>
    </w:p>
    <w:p>
      <w:pPr>
        <w:ind w:right="260" w:firstLine="509"/>
        <w:spacing w:after="0" w:line="273"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maters when it is probable that future expenditures will be made and such expenditures can be reasonably estmated.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Commitments</w:t>
      </w:r>
    </w:p>
    <w:p>
      <w:pPr>
        <w:spacing w:after="0" w:line="200" w:lineRule="exact"/>
        <w:rPr>
          <w:sz w:val="20"/>
          <w:szCs w:val="20"/>
          <w:color w:val="auto"/>
        </w:rPr>
      </w:pPr>
    </w:p>
    <w:p>
      <w:pPr>
        <w:ind w:right="300" w:firstLine="509"/>
        <w:spacing w:after="0" w:line="258" w:lineRule="auto"/>
        <w:rPr>
          <w:sz w:val="20"/>
          <w:szCs w:val="20"/>
          <w:color w:val="auto"/>
        </w:rPr>
      </w:pPr>
      <w:r>
        <w:rPr>
          <w:rFonts w:ascii="Arial" w:cs="Arial" w:eastAsia="Arial" w:hAnsi="Arial"/>
          <w:sz w:val="18"/>
          <w:szCs w:val="18"/>
          <w:color w:val="auto"/>
        </w:rPr>
        <w:t>As of June 30, 2023, the Company had operatng leases for ofce space in both Bufalo Grove, Illinois and Florham Park, New Jersey, with remaining lease terms of 1.8 years and 2.2 years, respectvely. All operatng leases contain an opton to extend the term for one additonal fve year period, which was not considered in the determinaton of the right-of-use asset or lease liability as the Company did not consider it reasonably certain that it would exercise such optons.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 w:name="page14"/>
    <w:bookmarkEnd w:id="13"/>
    <w:p>
      <w:pPr>
        <w:ind w:right="60" w:firstLine="509"/>
        <w:spacing w:after="0" w:line="273" w:lineRule="auto"/>
        <w:rPr>
          <w:sz w:val="20"/>
          <w:szCs w:val="20"/>
          <w:color w:val="auto"/>
        </w:rPr>
      </w:pPr>
      <w:r>
        <w:rPr>
          <w:rFonts w:ascii="Arial" w:cs="Arial" w:eastAsia="Arial" w:hAnsi="Arial"/>
          <w:sz w:val="18"/>
          <w:szCs w:val="18"/>
          <w:color w:val="auto"/>
        </w:rPr>
        <w:t>The total rent expense for the three months ended June 30, 2023 and 2022 was $0.3 million and $0.2 million, respectvely. The total rent expense for the six months ended June 30, 2023 and 2022 was $0.6 million and $0.4 million, respectvely.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supplemental balance sheet informaton related to the operatng leases (in thousands):</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231"/>
        </w:trPr>
        <w:tc>
          <w:tcPr>
            <w:tcW w:w="5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December 31,</w:t>
            </w:r>
          </w:p>
        </w:tc>
      </w:tr>
      <w:tr>
        <w:trPr>
          <w:trHeight w:val="243"/>
        </w:trPr>
        <w:tc>
          <w:tcPr>
            <w:tcW w:w="54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33"/>
        </w:trPr>
        <w:tc>
          <w:tcPr>
            <w:tcW w:w="5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rPr>
              <w:t>Operatng lease right-of-use assets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1,886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2,287</w:t>
            </w:r>
          </w:p>
        </w:tc>
      </w:tr>
      <w:tr>
        <w:trPr>
          <w:trHeight w:val="276"/>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right-of-use assets</w:t>
            </w:r>
          </w:p>
        </w:tc>
        <w:tc>
          <w:tcPr>
            <w:tcW w:w="1140" w:type="dxa"/>
            <w:vAlign w:val="bottom"/>
            <w:tcBorders>
              <w:top w:val="single" w:sz="8" w:color="auto"/>
              <w:bottom w:val="single" w:sz="8" w:color="auto"/>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1,886</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2,287</w:t>
            </w:r>
          </w:p>
        </w:tc>
      </w:tr>
      <w:tr>
        <w:trPr>
          <w:trHeight w:val="230"/>
        </w:trPr>
        <w:tc>
          <w:tcPr>
            <w:tcW w:w="5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Liabilites:</w:t>
            </w: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r>
      <w:tr>
        <w:trPr>
          <w:trHeight w:val="235"/>
        </w:trPr>
        <w:tc>
          <w:tcPr>
            <w:tcW w:w="5400" w:type="dxa"/>
            <w:vAlign w:val="bottom"/>
          </w:tcPr>
          <w:p>
            <w:pPr>
              <w:ind w:left="200"/>
              <w:spacing w:after="0"/>
              <w:rPr>
                <w:sz w:val="20"/>
                <w:szCs w:val="20"/>
                <w:color w:val="auto"/>
              </w:rPr>
            </w:pPr>
            <w:r>
              <w:rPr>
                <w:rFonts w:ascii="Arial" w:cs="Arial" w:eastAsia="Arial" w:hAnsi="Arial"/>
                <w:sz w:val="18"/>
                <w:szCs w:val="18"/>
                <w:color w:val="auto"/>
              </w:rPr>
              <w:t>Operatng lease liabilites, current</w:t>
            </w:r>
          </w:p>
        </w:tc>
        <w:tc>
          <w:tcPr>
            <w:tcW w:w="11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708</w:t>
            </w:r>
          </w:p>
        </w:tc>
      </w:tr>
      <w:tr>
        <w:trPr>
          <w:trHeight w:val="245"/>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Operatng lease liabilites, non-current</w:t>
            </w:r>
          </w:p>
        </w:tc>
        <w:tc>
          <w:tcPr>
            <w:tcW w:w="1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789</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1,098</w:t>
            </w: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rPr>
              <w:t>Total operatng lease liabilites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1,506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1,806</w:t>
            </w:r>
          </w:p>
        </w:tc>
      </w:tr>
      <w:tr>
        <w:trPr>
          <w:trHeight w:val="20"/>
        </w:trPr>
        <w:tc>
          <w:tcPr>
            <w:tcW w:w="5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-831215</wp:posOffset>
            </wp:positionV>
            <wp:extent cx="9398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939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the future minimum annual lease payments under the operatng leases were as follows (in thousands):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243"/>
        </w:trPr>
        <w:tc>
          <w:tcPr>
            <w:tcW w:w="6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21"/>
                <w:szCs w:val="21"/>
                <w:color w:val="auto"/>
              </w:rPr>
            </w:pPr>
          </w:p>
        </w:tc>
      </w:tr>
      <w:tr>
        <w:trPr>
          <w:trHeight w:val="235"/>
        </w:trPr>
        <w:tc>
          <w:tcPr>
            <w:tcW w:w="6700" w:type="dxa"/>
            <w:vAlign w:val="bottom"/>
          </w:tcPr>
          <w:p>
            <w:pPr>
              <w:ind w:left="20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20"/>
                <w:szCs w:val="20"/>
                <w:color w:val="auto"/>
              </w:rPr>
            </w:pPr>
          </w:p>
        </w:tc>
      </w:tr>
      <w:tr>
        <w:trPr>
          <w:trHeight w:val="245"/>
        </w:trPr>
        <w:tc>
          <w:tcPr>
            <w:tcW w:w="6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2025</w:t>
            </w:r>
          </w:p>
        </w:tc>
        <w:tc>
          <w:tcPr>
            <w:tcW w:w="9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21"/>
                <w:szCs w:val="21"/>
                <w:color w:val="auto"/>
              </w:rPr>
            </w:pPr>
          </w:p>
        </w:tc>
      </w:tr>
      <w:tr>
        <w:trPr>
          <w:trHeight w:val="235"/>
        </w:trPr>
        <w:tc>
          <w:tcPr>
            <w:tcW w:w="670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9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20"/>
                <w:szCs w:val="20"/>
                <w:color w:val="auto"/>
              </w:rPr>
            </w:pPr>
          </w:p>
        </w:tc>
      </w:tr>
      <w:tr>
        <w:trPr>
          <w:trHeight w:val="245"/>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amount representng interest</w:t>
            </w:r>
          </w:p>
        </w:tc>
        <w:tc>
          <w:tcPr>
            <w:tcW w:w="9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(129 )</w:t>
            </w:r>
          </w:p>
        </w:tc>
        <w:tc>
          <w:tcPr>
            <w:tcW w:w="20" w:type="dxa"/>
            <w:vAlign w:val="bottom"/>
          </w:tcPr>
          <w:p>
            <w:pPr>
              <w:spacing w:after="0"/>
              <w:rPr>
                <w:sz w:val="21"/>
                <w:szCs w:val="21"/>
                <w:color w:val="auto"/>
              </w:rPr>
            </w:pPr>
          </w:p>
        </w:tc>
      </w:tr>
      <w:tr>
        <w:trPr>
          <w:trHeight w:val="235"/>
        </w:trPr>
        <w:tc>
          <w:tcPr>
            <w:tcW w:w="6700" w:type="dxa"/>
            <w:vAlign w:val="bottom"/>
          </w:tcPr>
          <w:p>
            <w:pPr>
              <w:ind w:left="20"/>
              <w:spacing w:after="0"/>
              <w:rPr>
                <w:sz w:val="20"/>
                <w:szCs w:val="20"/>
                <w:color w:val="auto"/>
              </w:rPr>
            </w:pPr>
            <w:r>
              <w:rPr>
                <w:rFonts w:ascii="Arial" w:cs="Arial" w:eastAsia="Arial" w:hAnsi="Arial"/>
                <w:sz w:val="18"/>
                <w:szCs w:val="18"/>
                <w:color w:val="auto"/>
              </w:rPr>
              <w:t>Present value of operatng lease liabilites</w:t>
            </w:r>
          </w:p>
        </w:tc>
        <w:tc>
          <w:tcPr>
            <w:tcW w:w="9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20"/>
                <w:szCs w:val="20"/>
                <w:color w:val="auto"/>
              </w:rPr>
            </w:pPr>
          </w:p>
        </w:tc>
      </w:tr>
      <w:tr>
        <w:trPr>
          <w:trHeight w:val="245"/>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operatng lease liabilites, current</w:t>
            </w:r>
          </w:p>
        </w:tc>
        <w:tc>
          <w:tcPr>
            <w:tcW w:w="9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(717 )</w:t>
            </w:r>
          </w:p>
        </w:tc>
        <w:tc>
          <w:tcPr>
            <w:tcW w:w="20" w:type="dxa"/>
            <w:vAlign w:val="bottom"/>
          </w:tcPr>
          <w:p>
            <w:pPr>
              <w:spacing w:after="0"/>
              <w:rPr>
                <w:sz w:val="21"/>
                <w:szCs w:val="2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Operatng lease liabilites</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67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7"/>
        </w:trPr>
        <w:tc>
          <w:tcPr>
            <w:tcW w:w="67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94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25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incremental borrowing rate</w:t>
            </w:r>
          </w:p>
        </w:tc>
        <w:tc>
          <w:tcPr>
            <w:tcW w:w="9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8.21 %</w:t>
            </w:r>
          </w:p>
        </w:tc>
        <w:tc>
          <w:tcPr>
            <w:tcW w:w="20" w:type="dxa"/>
            <w:vAlign w:val="bottom"/>
          </w:tcPr>
          <w:p>
            <w:pPr>
              <w:spacing w:after="0"/>
              <w:rPr>
                <w:sz w:val="22"/>
                <w:szCs w:val="22"/>
                <w:color w:val="auto"/>
              </w:rPr>
            </w:pPr>
          </w:p>
        </w:tc>
      </w:tr>
    </w:tbl>
    <w:p>
      <w:pPr>
        <w:spacing w:after="0" w:line="143" w:lineRule="exact"/>
        <w:rPr>
          <w:sz w:val="20"/>
          <w:szCs w:val="20"/>
          <w:color w:val="auto"/>
        </w:rPr>
      </w:pPr>
    </w:p>
    <w:p>
      <w:pPr>
        <w:ind w:right="40" w:firstLine="509"/>
        <w:spacing w:after="0" w:line="273" w:lineRule="auto"/>
        <w:rPr>
          <w:sz w:val="20"/>
          <w:szCs w:val="20"/>
          <w:color w:val="auto"/>
        </w:rPr>
      </w:pPr>
      <w:r>
        <w:rPr>
          <w:rFonts w:ascii="Arial" w:cs="Arial" w:eastAsia="Arial" w:hAnsi="Arial"/>
          <w:sz w:val="18"/>
          <w:szCs w:val="18"/>
          <w:color w:val="auto"/>
        </w:rPr>
        <w:t>Operatng cash fows for the six months ended June 30, 2023 and 2022 included cash payments for operatng leases of approximately $0.5 million and $0.7 million, respectvely.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20" w:type="dxa"/>
            <w:vAlign w:val="bottom"/>
            <w:gridSpan w:val="2"/>
          </w:tcPr>
          <w:p>
            <w:pPr>
              <w:spacing w:after="0"/>
              <w:rPr>
                <w:sz w:val="20"/>
                <w:szCs w:val="20"/>
                <w:color w:val="auto"/>
              </w:rPr>
            </w:pPr>
            <w:r>
              <w:rPr>
                <w:rFonts w:ascii="Arial" w:cs="Arial" w:eastAsia="Arial" w:hAnsi="Arial"/>
                <w:sz w:val="20"/>
                <w:szCs w:val="20"/>
                <w:b w:val="1"/>
                <w:bCs w:val="1"/>
                <w:color w:val="auto"/>
              </w:rPr>
              <w:t>6</w:t>
            </w:r>
            <w:r>
              <w:rPr>
                <w:rFonts w:ascii="Arial" w:cs="Arial" w:eastAsia="Arial" w:hAnsi="Arial"/>
                <w:sz w:val="17"/>
                <w:szCs w:val="17"/>
                <w:b w:val="1"/>
                <w:bCs w:val="1"/>
                <w:color w:val="auto"/>
              </w:rPr>
              <w:t>. Debt</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Total debt consists of the following (in thousands):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2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1"/>
        </w:trPr>
        <w:tc>
          <w:tcPr>
            <w:tcW w:w="22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3"/>
        </w:trPr>
        <w:tc>
          <w:tcPr>
            <w:tcW w:w="224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vMerge w:val="continue"/>
          </w:tcPr>
          <w:p>
            <w:pPr>
              <w:spacing w:after="0"/>
              <w:rPr>
                <w:sz w:val="20"/>
                <w:szCs w:val="20"/>
                <w:color w:val="auto"/>
              </w:rPr>
            </w:pPr>
          </w:p>
        </w:tc>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current porton</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Long-term debt, non-current porton</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106,246</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Unamortzed debt discount</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(8,440 )</w:t>
            </w: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Total debt, net of debt discount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97,806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On September 17, 2021, or the Closing Date, the Company entered into a Loan and Security Agreement, or, the Loan Agreement, with Hercules Capital, Inc., in its capacity as administratve agent and collateral agent and as a lender, or, in such capacity, the Agent or Hercules, and the other fnancial insttutons that from tme to tme become partes to the Loan Agreement as lenders, or, collectvely, the Lenders.</w:t>
      </w:r>
    </w:p>
    <w:p>
      <w:pPr>
        <w:spacing w:after="0" w:line="143" w:lineRule="exact"/>
        <w:rPr>
          <w:sz w:val="20"/>
          <w:szCs w:val="20"/>
          <w:color w:val="auto"/>
        </w:rPr>
      </w:pPr>
    </w:p>
    <w:p>
      <w:pPr>
        <w:jc w:val="both"/>
        <w:ind w:right="160" w:firstLine="509"/>
        <w:spacing w:after="0" w:line="262"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will remain available to the Company has been moved untl May 15, 2023, rather than December 15, 2022.</w:t>
      </w:r>
    </w:p>
    <w:p>
      <w:pPr>
        <w:spacing w:after="0" w:line="146" w:lineRule="exact"/>
        <w:rPr>
          <w:sz w:val="20"/>
          <w:szCs w:val="20"/>
          <w:color w:val="auto"/>
        </w:rPr>
      </w:pPr>
    </w:p>
    <w:p>
      <w:pPr>
        <w:ind w:right="40" w:firstLine="509"/>
        <w:spacing w:after="0" w:line="262" w:lineRule="auto"/>
        <w:rPr>
          <w:sz w:val="20"/>
          <w:szCs w:val="20"/>
          <w:color w:val="auto"/>
        </w:rPr>
      </w:pPr>
      <w:r>
        <w:rPr>
          <w:rFonts w:ascii="Arial" w:cs="Arial" w:eastAsia="Arial" w:hAnsi="Arial"/>
          <w:sz w:val="18"/>
          <w:szCs w:val="18"/>
          <w:color w:val="auto"/>
        </w:rPr>
        <w:t>On May 9, 2023, the Company entered into the Third Amendment to Loan and Security Agreement, or the Third Loan Amendment, with the lenders thereunder and Hercules Capital, Inc., in its capacity as administratve agent and collateral agent and as a lender (in such capacity, the “Agent” or “Hercules”), pursuant to which, among other things, (i) the second tranche availability</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6" w:right="41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color w:val="auto"/>
        </w:rPr>
        <w:t>was extended from May 15, 2023, to December 15, 2023, and will become will become available upon the earliest to occur of (a) October 1, 2023, (b) the FDA’s approval of Company’s new drug applicaton (or supplemental new drug applicaton) for vonoprazan for an indicaton relatng to the healing and maintenance of healing of erosive esophagits with an approved indicaton on the label that is generally consistent with that sought in Company’s new drug applicaton submission (or Company’s supplemental new drug applicaton submission, or the EE Milestone, and (c) upon the determinaton by the Agent’s investment commitee in its sole and unfetered discreton, (ii) the third tranche availability was extended from September 30, 2023, to December 15, 2023, to become available upon the earliest to occur of (a) October 1, 2023, (b) the EE Milestone, and (c) upon the determinaton by the Agent’s investment commitee in its sole and unfetered discreton, (iii) the efectve date of the Performance Covenants was amended to provide an opton to extend the covenant trigger date to May 15, 2024, subject to the achievement of the EE Milestone prior to February 15, 2024, and (iv) the warrant agreement with Hercules was amended as described below. In connecton with the Third Loan Amendment, a tranche extension amendment fee of $150,000 and a covenant extension amendment fee of $100,000 was paid to the Agent.</w:t>
      </w:r>
    </w:p>
    <w:p>
      <w:pPr>
        <w:spacing w:after="0" w:line="158"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Loan Agreement provides for term loans in an aggregate principal amount of up to $200.0 million, or the Term Loan, under multple tranches. The tranches consist of (i) a frst tranche consistng of term loans in an aggregate principal amount of $100.0 million, all of which was funded to the Company on the Closing Date, or First Advance, (ii) a second tranche consistng of up to an additonal $50.0 million, available in minimum of $25.0 million per draw, which will become available to the Company through December 15, 2023, upon the earliest to occur of (a) October 1, 2023, (b) the EE Milestone, and (c) upon the determinaton by the Agent’s investment commitee in its sole and unfetered discreton, (iii) a third tranche consistng of an additonal $25.0 million, which will become available to the Company through December 15, 2023, upon the earliest to occur of (a) October 1, 2023, (b) the EE Milestone, and (c) upon the determinaton by the Agent’s investment commitee in its sole and unfetered discreton, and (iv) a fourth tranche consistng of up to an additonal $25.0 million, which will be available, if specifed conditons are met, through March 31, 2024, upon achievement of (a) FDA approval of the Company's NDA for vonoprazan and amoxicillin, or its NDA for vonoprazan, amoxicillin and clarithromycin, in each case for an indicaton relatng to the treatment of H. pylori with an approved indicaton on the claim that is generally consistent with that sought in the Company's NDA submission; and (b) fling of an NDA or supplemental NDA for vonoprazan for indicatons relatng to the healing and maintenance of healing of erosive GERD (milestones (a) and (b), or, together, the Second Performance Milestone). The fourth tranche is currently available as the Second Perfomance Milestone has been achieved.</w:t>
      </w:r>
    </w:p>
    <w:p>
      <w:pPr>
        <w:spacing w:after="0" w:line="141" w:lineRule="exact"/>
        <w:rPr>
          <w:sz w:val="20"/>
          <w:szCs w:val="20"/>
          <w:color w:val="auto"/>
        </w:rPr>
      </w:pPr>
    </w:p>
    <w:p>
      <w:pPr>
        <w:ind w:right="640" w:firstLine="509"/>
        <w:spacing w:after="0" w:line="273" w:lineRule="auto"/>
        <w:rPr>
          <w:sz w:val="20"/>
          <w:szCs w:val="20"/>
          <w:color w:val="auto"/>
        </w:rPr>
      </w:pPr>
      <w:r>
        <w:rPr>
          <w:rFonts w:ascii="Arial" w:cs="Arial" w:eastAsia="Arial" w:hAnsi="Arial"/>
          <w:sz w:val="18"/>
          <w:szCs w:val="18"/>
          <w:color w:val="auto"/>
        </w:rPr>
        <w:t>The Company paid a $1.25 million facility charge in connecton with the closing of the Loan Agreement and would need to pay 0.5% of any advances made under the third and fourth tranches.</w:t>
      </w:r>
    </w:p>
    <w:p>
      <w:pPr>
        <w:spacing w:after="0" w:line="13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was extended to October 1, 2025, upon the achievement of the Second Performance Milestone in May 2022 and met the conditon that no default or event of default exists, and which is further extendable to October 1, 2026, subject to FDA approval of the Company’s NDA (or supplemental NDA) for vonoprazan for an indicaton relatng to the healing and maintenance of healing of erosive esophagits with an approved indicaton on the label that is generally consistent with that sought in the Company’s NDA submission (or supplemental NDA submission), or the Third Performance Milestone, on or prior to September 30, 2025 and no default or event of default exists, or the interest only period. Afer the interest-only period, the principal balance and related interest will be required to be repaid in equal monthly installments and contnuing untl the Maturity Date.</w:t>
      </w:r>
    </w:p>
    <w:p>
      <w:pPr>
        <w:spacing w:after="0" w:line="154" w:lineRule="exact"/>
        <w:rPr>
          <w:sz w:val="20"/>
          <w:szCs w:val="20"/>
          <w:color w:val="auto"/>
        </w:rPr>
      </w:pPr>
    </w:p>
    <w:p>
      <w:pPr>
        <w:ind w:right="40" w:firstLine="509"/>
        <w:spacing w:after="0" w:line="262" w:lineRule="auto"/>
        <w:rPr>
          <w:sz w:val="20"/>
          <w:szCs w:val="20"/>
          <w:color w:val="auto"/>
        </w:rPr>
      </w:pPr>
      <w:r>
        <w:rPr>
          <w:rFonts w:ascii="Arial" w:cs="Arial" w:eastAsia="Arial" w:hAnsi="Arial"/>
          <w:sz w:val="18"/>
          <w:szCs w:val="18"/>
          <w:color w:val="auto"/>
        </w:rPr>
        <w:t>In additon, the Company is obligated to pay a fnal payment fee of 7.50% of the original principal amount of amounts actually advanced under the Term Loan, or, each a Term Loan Advance and together, the Term Loan Advances. As of June 30, 2023, the aggregate fnal payment fee for the frst Term Loan Advance of $7.5 million has been recorded as an other long-term liability.</w:t>
      </w:r>
    </w:p>
    <w:p>
      <w:pPr>
        <w:spacing w:after="0" w:line="146" w:lineRule="exact"/>
        <w:rPr>
          <w:sz w:val="20"/>
          <w:szCs w:val="20"/>
          <w:color w:val="auto"/>
        </w:rPr>
      </w:pPr>
    </w:p>
    <w:p>
      <w:pPr>
        <w:ind w:right="120" w:firstLine="509"/>
        <w:spacing w:after="0" w:line="303" w:lineRule="auto"/>
        <w:rPr>
          <w:sz w:val="20"/>
          <w:szCs w:val="20"/>
          <w:color w:val="auto"/>
        </w:rPr>
      </w:pPr>
      <w:r>
        <w:rPr>
          <w:rFonts w:ascii="Arial" w:cs="Arial" w:eastAsia="Arial" w:hAnsi="Arial"/>
          <w:sz w:val="17"/>
          <w:szCs w:val="17"/>
          <w:color w:val="auto"/>
        </w:rPr>
        <w:t>The Company may elect to prepay all or a porton of the Term Loan Advances prior to maturity, subject to a prepayment fee of up to 1.25% of the then outstanding principal balance of the Term Loan Advances being prepaid. Afer repayment, no Term Loan amounts may be borrowed again.</w:t>
      </w:r>
    </w:p>
    <w:p>
      <w:pPr>
        <w:spacing w:after="0" w:line="114" w:lineRule="exact"/>
        <w:rPr>
          <w:sz w:val="20"/>
          <w:szCs w:val="20"/>
          <w:color w:val="auto"/>
        </w:rPr>
      </w:pPr>
    </w:p>
    <w:p>
      <w:pPr>
        <w:ind w:right="140" w:firstLine="509"/>
        <w:spacing w:after="0" w:line="273" w:lineRule="auto"/>
        <w:rPr>
          <w:sz w:val="20"/>
          <w:szCs w:val="20"/>
          <w:color w:val="auto"/>
        </w:rPr>
      </w:pPr>
      <w:r>
        <w:rPr>
          <w:rFonts w:ascii="Arial" w:cs="Arial" w:eastAsia="Arial" w:hAnsi="Arial"/>
          <w:sz w:val="18"/>
          <w:szCs w:val="18"/>
          <w:color w:val="auto"/>
        </w:rPr>
        <w:t>As collateral for the obligatons, the Company has granted Hercules a senior security interest in all of the Company’s right, ttle, and interest in, to and under substantally all of Company’s property, inclusive of intellectual property.</w:t>
      </w:r>
    </w:p>
    <w:p>
      <w:pPr>
        <w:spacing w:after="0" w:line="150" w:lineRule="exact"/>
        <w:rPr>
          <w:sz w:val="20"/>
          <w:szCs w:val="20"/>
          <w:color w:val="auto"/>
        </w:rPr>
      </w:pPr>
    </w:p>
    <w:p>
      <w:pPr>
        <w:ind w:right="260" w:firstLine="509"/>
        <w:spacing w:after="0" w:line="262"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representatons, warrantes and covenants, including a fnancial covenant requiring the Company to maintain certain levels of cash subject to a control agreement in favor of the Agent (minus accounts payable not paid within 120 days of invoice), or Qualifed Cash,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7"/>
          <w:szCs w:val="17"/>
          <w:color w:val="auto"/>
        </w:rPr>
        <w:t xml:space="preserve">commencing on November 15, 2023, </w:t>
      </w:r>
      <w:r>
        <w:rPr>
          <w:rFonts w:ascii="Arial" w:cs="Arial" w:eastAsia="Arial" w:hAnsi="Arial"/>
          <w:sz w:val="18"/>
          <w:szCs w:val="18"/>
          <w:color w:val="auto"/>
        </w:rPr>
        <w:t>if the outstanding loan amount is greater than $100.0 million,</w:t>
      </w:r>
      <w:r>
        <w:rPr>
          <w:rFonts w:ascii="Arial" w:cs="Arial" w:eastAsia="Arial" w:hAnsi="Arial"/>
          <w:sz w:val="17"/>
          <w:szCs w:val="17"/>
          <w:color w:val="auto"/>
        </w:rPr>
        <w:t xml:space="preserve"> trailing three-month net product revenue from the sale of vonoprazan and products containing vonoprazan. The revenue covenant will be waived at any tme in which the Company maintains Qualifed Cash equal to at least 65.0% (prior to the Third Performance Milestone), and 45% (following the Third Performance Milestone) of the total outstanding Term Loan principal amount, or the Company’s market capitalizaton is at least $900.0 million. Upon the occurrence of an event of default, subject to any specifed cure periods, all amounts owed by the Company may be declared immediately due and payable by Hercules, as collateral agent. As of June 30, 2023, the Company was in compliance with all applicable covenants under the Loan Agreement.</w:t>
      </w:r>
    </w:p>
    <w:p>
      <w:pPr>
        <w:spacing w:after="0" w:line="151" w:lineRule="exact"/>
        <w:rPr>
          <w:sz w:val="20"/>
          <w:szCs w:val="20"/>
          <w:color w:val="auto"/>
        </w:rPr>
      </w:pPr>
    </w:p>
    <w:p>
      <w:pPr>
        <w:ind w:right="200" w:firstLine="509"/>
        <w:spacing w:after="0" w:line="273" w:lineRule="auto"/>
        <w:rPr>
          <w:sz w:val="20"/>
          <w:szCs w:val="20"/>
          <w:color w:val="auto"/>
        </w:rPr>
      </w:pPr>
      <w:r>
        <w:rPr>
          <w:rFonts w:ascii="Arial" w:cs="Arial" w:eastAsia="Arial" w:hAnsi="Arial"/>
          <w:sz w:val="18"/>
          <w:szCs w:val="18"/>
          <w:color w:val="auto"/>
        </w:rPr>
        <w:t>Pursuant to the Third Loan Amendment, the efectve date of the Performance Covenants will be extended from November 15, 2023, to May 15, 2024, if the Company achieves the EE Milestone prior to February 15, 2024.</w:t>
      </w:r>
    </w:p>
    <w:p>
      <w:pPr>
        <w:spacing w:after="0" w:line="13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connecton with the entry into the Loan Agreement, the Company issued to Hercules a warrant, or, the Warrant, to purchase a number of shares of the Company’s common stock equal to 2.5% of the aggregate amount of the Term Loan advances funded, and will issue to Hercules additonal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tme untl September 17, 2028 and had an inital fair value of approximately $1.3 million.</w:t>
      </w:r>
    </w:p>
    <w:p>
      <w:pPr>
        <w:spacing w:after="0" w:line="152" w:lineRule="exact"/>
        <w:rPr>
          <w:sz w:val="20"/>
          <w:szCs w:val="20"/>
          <w:color w:val="auto"/>
        </w:rPr>
      </w:pPr>
    </w:p>
    <w:p>
      <w:pPr>
        <w:ind w:right="40" w:firstLine="509"/>
        <w:spacing w:after="0" w:line="292" w:lineRule="auto"/>
        <w:rPr>
          <w:sz w:val="20"/>
          <w:szCs w:val="20"/>
          <w:color w:val="auto"/>
        </w:rPr>
      </w:pPr>
      <w:r>
        <w:rPr>
          <w:rFonts w:ascii="Arial" w:cs="Arial" w:eastAsia="Arial" w:hAnsi="Arial"/>
          <w:sz w:val="16"/>
          <w:szCs w:val="16"/>
          <w:color w:val="auto"/>
        </w:rPr>
        <w:t>In connecton with the entry into the Third Loan Amendment, the Company amended the form of warrant agreement, the Revised Warrant Agreement, to purchase shares of the Company’s common stock, par value $0.0001 per share, the Common Stock, to be issued upon drawdowns of future tranches under the Term Loan. The exercise price under the Revised Warrant Agreement shall be equal to the lesser of (i) $11.6783, which was the trailing ten-day volume-weighted average price, or VWAP, prior to entering into the Third Loan Amendment, and (ii) the trailing ten-day VWAP preceding the date on which the Company drawdown future tranches. The number of shares of Common Stock shall contnue to be equal to 2.5% of the amount of the Term Loan advances funded, as such amounts are funded. The warrants shall be exercisable for a period of seven years from the date of issuance.</w:t>
      </w:r>
    </w:p>
    <w:p>
      <w:pPr>
        <w:spacing w:after="0" w:line="142" w:lineRule="exact"/>
        <w:rPr>
          <w:sz w:val="20"/>
          <w:szCs w:val="20"/>
          <w:color w:val="auto"/>
        </w:rPr>
      </w:pPr>
    </w:p>
    <w:p>
      <w:pPr>
        <w:ind w:right="80" w:firstLine="509"/>
        <w:spacing w:after="0" w:line="284" w:lineRule="auto"/>
        <w:rPr>
          <w:sz w:val="20"/>
          <w:szCs w:val="20"/>
          <w:color w:val="auto"/>
        </w:rPr>
      </w:pPr>
      <w:r>
        <w:rPr>
          <w:rFonts w:ascii="Arial" w:cs="Arial" w:eastAsia="Arial" w:hAnsi="Arial"/>
          <w:sz w:val="17"/>
          <w:szCs w:val="17"/>
          <w:color w:val="auto"/>
        </w:rPr>
        <w:t>The exercise price and terms of the outstanding warrants to purchase 74,783 shares of our Common Stock previously issued to Hercules remain unchanged. The Company entered into the First Amendment to Warrant, or the Warrant Amendment, to make technical changes to the defned terms to provide that the outstanding warrant only covers the inital $100.0 million advance already drawn under the Term Loan.</w:t>
      </w:r>
    </w:p>
    <w:p>
      <w:pPr>
        <w:spacing w:after="0" w:line="130" w:lineRule="exact"/>
        <w:rPr>
          <w:sz w:val="20"/>
          <w:szCs w:val="20"/>
          <w:color w:val="auto"/>
        </w:rPr>
      </w:pPr>
    </w:p>
    <w:p>
      <w:pPr>
        <w:ind w:right="460" w:firstLine="509"/>
        <w:spacing w:after="0" w:line="303" w:lineRule="auto"/>
        <w:rPr>
          <w:sz w:val="20"/>
          <w:szCs w:val="20"/>
          <w:color w:val="auto"/>
        </w:rPr>
      </w:pPr>
      <w:r>
        <w:rPr>
          <w:rFonts w:ascii="Arial" w:cs="Arial" w:eastAsia="Arial" w:hAnsi="Arial"/>
          <w:sz w:val="17"/>
          <w:szCs w:val="17"/>
          <w:color w:val="auto"/>
        </w:rPr>
        <w:t>The inital $1.3 million fair value of the Warrant, the $7.5 million fnal interest payment fee and $3.1 million of debt issuance costs have been recorded as debt discount and are being amortzed to interest expense using the efectve interest method over the term of the Term Loan.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Future minimum principal payments under the Term Loan, including the fnal payment fee, as of June 30, 2023 are as follows (in thousands):</w:t>
      </w:r>
    </w:p>
    <w:p>
      <w:pPr>
        <w:spacing w:after="0" w:line="257" w:lineRule="exact"/>
        <w:rPr>
          <w:sz w:val="20"/>
          <w:szCs w:val="20"/>
          <w:color w:val="auto"/>
        </w:rPr>
      </w:pPr>
    </w:p>
    <w:tbl>
      <w:tblPr>
        <w:tblLayout w:type="fixed"/>
        <w:tblInd w:w="2240" w:type="dxa"/>
        <w:tblCellMar>
          <w:top w:w="0" w:type="dxa"/>
          <w:left w:w="0" w:type="dxa"/>
          <w:bottom w:w="0" w:type="dxa"/>
          <w:right w:w="0" w:type="dxa"/>
        </w:tblCellMar>
      </w:tblP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5"/>
        </w:trPr>
        <w:tc>
          <w:tcPr>
            <w:tcW w:w="5080" w:type="dxa"/>
            <w:vAlign w:val="bottom"/>
          </w:tcPr>
          <w:p>
            <w:pPr>
              <w:jc w:val="right"/>
              <w:ind w:right="441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1"/>
        </w:trPr>
        <w:tc>
          <w:tcPr>
            <w:tcW w:w="5080" w:type="dxa"/>
            <w:vAlign w:val="bottom"/>
            <w:shd w:val="clear" w:color="auto" w:fill="CFF0FC"/>
          </w:tcPr>
          <w:p>
            <w:pPr>
              <w:jc w:val="right"/>
              <w:ind w:right="441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5"/>
        </w:trPr>
        <w:tc>
          <w:tcPr>
            <w:tcW w:w="5080" w:type="dxa"/>
            <w:vAlign w:val="bottom"/>
          </w:tcPr>
          <w:p>
            <w:pPr>
              <w:jc w:val="right"/>
              <w:ind w:right="441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29,707</w:t>
            </w:r>
          </w:p>
        </w:tc>
      </w:tr>
      <w:tr>
        <w:trPr>
          <w:trHeight w:val="245"/>
        </w:trPr>
        <w:tc>
          <w:tcPr>
            <w:tcW w:w="5080" w:type="dxa"/>
            <w:vAlign w:val="bottom"/>
            <w:tcBorders>
              <w:bottom w:val="single" w:sz="8" w:color="CFF0FC"/>
            </w:tcBorders>
            <w:shd w:val="clear" w:color="auto" w:fill="CFF0FC"/>
          </w:tcPr>
          <w:p>
            <w:pPr>
              <w:jc w:val="right"/>
              <w:ind w:right="4410"/>
              <w:spacing w:after="0"/>
              <w:rPr>
                <w:sz w:val="20"/>
                <w:szCs w:val="20"/>
                <w:color w:val="auto"/>
              </w:rPr>
            </w:pPr>
            <w:r>
              <w:rPr>
                <w:rFonts w:ascii="Arial" w:cs="Arial" w:eastAsia="Arial" w:hAnsi="Arial"/>
                <w:sz w:val="18"/>
                <w:szCs w:val="18"/>
                <w:color w:val="auto"/>
              </w:rPr>
              <w:t>2026</w:t>
            </w: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94,764</w:t>
            </w:r>
          </w:p>
        </w:tc>
      </w:tr>
      <w:tr>
        <w:trPr>
          <w:trHeight w:val="235"/>
        </w:trPr>
        <w:tc>
          <w:tcPr>
            <w:tcW w:w="5080" w:type="dxa"/>
            <w:vAlign w:val="bottom"/>
          </w:tcPr>
          <w:p>
            <w:pPr>
              <w:ind w:left="20"/>
              <w:spacing w:after="0"/>
              <w:rPr>
                <w:sz w:val="20"/>
                <w:szCs w:val="20"/>
                <w:color w:val="auto"/>
              </w:rPr>
            </w:pPr>
            <w:r>
              <w:rPr>
                <w:rFonts w:ascii="Arial" w:cs="Arial" w:eastAsia="Arial" w:hAnsi="Arial"/>
                <w:sz w:val="18"/>
                <w:szCs w:val="18"/>
                <w:color w:val="auto"/>
              </w:rPr>
              <w:t>Total principal and interest payments</w:t>
            </w:r>
          </w:p>
        </w:tc>
        <w:tc>
          <w:tcPr>
            <w:tcW w:w="5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124,471</w:t>
            </w:r>
          </w:p>
        </w:tc>
      </w:tr>
      <w:tr>
        <w:trPr>
          <w:trHeight w:val="245"/>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payment-in-kind and fnal payment fee</w:t>
            </w: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(24,471 )</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Total term loan borrowings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100,000</w:t>
            </w:r>
          </w:p>
        </w:tc>
      </w:tr>
      <w:tr>
        <w:trPr>
          <w:trHeight w:val="20"/>
        </w:trPr>
        <w:tc>
          <w:tcPr>
            <w:tcW w:w="5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120" w:firstLine="509"/>
        <w:spacing w:after="0" w:line="300" w:lineRule="auto"/>
        <w:rPr>
          <w:sz w:val="20"/>
          <w:szCs w:val="20"/>
          <w:color w:val="auto"/>
        </w:rPr>
      </w:pPr>
      <w:r>
        <w:rPr>
          <w:rFonts w:ascii="Arial" w:cs="Arial" w:eastAsia="Arial" w:hAnsi="Arial"/>
          <w:sz w:val="16"/>
          <w:szCs w:val="16"/>
          <w:color w:val="auto"/>
        </w:rPr>
        <w:t>During the three months ended June 30, 2023 and 2022, the Company recognized $4.2 million and $3.0 million, respectvely, of interest expense, including amortzaton of the debt discount, in connecton with the Hercules Loan Agreement. During the six months ended June 30, 2023 and 2022, the Company recognized $8.2 million and $5.8 million, respectvely, of interest expense, including amortzaton of the debt discount, in connecton with the Hercules Loan Agreement. As of June 30, 2023, the Company had an outstanding loan balance of $106.2 million and accrued interest of $0.9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Revenue Interest Financing Liability</w:t>
      </w:r>
    </w:p>
    <w:p>
      <w:pPr>
        <w:spacing w:after="0" w:line="18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On May 3, 2022, Phathom entered into a Revenue Interest Financing Agreement with Inital Investors NQ, Sagard, and Hercules pursuant to which the Company will receive up to $260 million in funding from the Inital Investors. Under the terms of the Revenue Interest Financing Agreement, the Company received $100 million at the inital closing and can receive an additonal $160 million upon FDA approval of vonoprazan for treatment of Erosive GERD on or before March 31, 2024. At any tme prior to December 31, 2022, the Company also had the right to obtain a writen commitment from a third party for up to $15 million of funding upon FDA approval of vonoprazan for Erosive GERD. In additon, the Company has the right at any tme prior to June 30, 2024, to obtain a writen commitment from a third party for up to $25 million of funding upon achievement of a sales milestone. The Inital Investors have a right of frst ofer if the Company seeks to obtain such additonal funding. The total amount funded by the Inital Investors and any subsequent investors is referred to herein as the Investment Amount.</w:t>
      </w:r>
    </w:p>
    <w:p>
      <w:pPr>
        <w:spacing w:after="0" w:line="158" w:lineRule="exact"/>
        <w:rPr>
          <w:sz w:val="20"/>
          <w:szCs w:val="20"/>
          <w:color w:val="auto"/>
        </w:rPr>
      </w:pPr>
    </w:p>
    <w:p>
      <w:pPr>
        <w:ind w:right="260" w:firstLine="509"/>
        <w:spacing w:after="0" w:line="258" w:lineRule="auto"/>
        <w:rPr>
          <w:sz w:val="20"/>
          <w:szCs w:val="20"/>
          <w:color w:val="auto"/>
        </w:rPr>
      </w:pPr>
      <w:r>
        <w:rPr>
          <w:rFonts w:ascii="Arial" w:cs="Arial" w:eastAsia="Arial" w:hAnsi="Arial"/>
          <w:sz w:val="18"/>
          <w:szCs w:val="18"/>
          <w:color w:val="auto"/>
        </w:rPr>
        <w:t>On October 31, 2022, the Company entered into a Joinder Agreement with the Inital Investors and CO Finance LVS XXXVII LLC, or the Additonal Investor, and Hercules Capital, Inc. Under the terms of the Joinder Agreement, the Inital Investors waived their rights of frst ofer regarding the Additonal Investor Funding and the Additonal Investor joined the Revenue Interest Financing Agreement to extend commitments for the Additonal Investor Funding.</w:t>
      </w:r>
    </w:p>
    <w:p>
      <w:pPr>
        <w:spacing w:after="0" w:line="149"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Under the Revenue Interest Financing Agreement, the investors are enttled to receive a 10% royalty on net sales of products containing vonoprazan. The royalty rate is subject to a step-down on net sales exceeding certain annual thresholds and if the Company receives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the Company has the right to make a cap payment equal to 200% of the Investment Amount less any royaltes already paid, at which tme the agreement will terminate.</w:t>
      </w:r>
    </w:p>
    <w:p>
      <w:pPr>
        <w:spacing w:after="0" w:line="142" w:lineRule="exact"/>
        <w:rPr>
          <w:sz w:val="20"/>
          <w:szCs w:val="20"/>
          <w:color w:val="auto"/>
        </w:rPr>
      </w:pPr>
    </w:p>
    <w:p>
      <w:pPr>
        <w:jc w:val="both"/>
        <w:ind w:right="80" w:firstLine="509"/>
        <w:spacing w:after="0" w:line="262"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sufcient to gross the investors up to the applicable Minimum Amount.</w:t>
      </w:r>
    </w:p>
    <w:p>
      <w:pPr>
        <w:spacing w:after="0" w:line="159" w:lineRule="exact"/>
        <w:rPr>
          <w:sz w:val="20"/>
          <w:szCs w:val="20"/>
          <w:color w:val="auto"/>
        </w:rPr>
      </w:pPr>
    </w:p>
    <w:p>
      <w:pPr>
        <w:ind w:right="40" w:firstLine="509"/>
        <w:spacing w:after="0" w:line="262" w:lineRule="auto"/>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afer April 1, 2028, the Company is obligated to pay 1.30 tmes Investment Amount, 1.65 tmes Investment Amount, and 2.0 tmes investment amount, respectvely, less any amounts the Company previously paid pursuant to the agreement.</w:t>
      </w:r>
    </w:p>
    <w:p>
      <w:pPr>
        <w:spacing w:after="0" w:line="146"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Upon the occurrence of a change in control event taking place prior to the earlier of April 1, 2024, or FDA approval of vonoprazan for Erosive GERD, the Company is obligated to pay 200% of the Investment Amount plus either 15% of the Investment Amount if occurrence prior to May 3, 2023, or plus 30% of the Investment Amount if occurrence thereafer.</w:t>
      </w:r>
    </w:p>
    <w:p>
      <w:pPr>
        <w:spacing w:after="0" w:line="146" w:lineRule="exact"/>
        <w:rPr>
          <w:sz w:val="20"/>
          <w:szCs w:val="20"/>
          <w:color w:val="auto"/>
        </w:rPr>
      </w:pPr>
    </w:p>
    <w:p>
      <w:pPr>
        <w:ind w:right="380" w:firstLine="509"/>
        <w:spacing w:after="0" w:line="273" w:lineRule="auto"/>
        <w:rPr>
          <w:sz w:val="20"/>
          <w:szCs w:val="20"/>
          <w:color w:val="auto"/>
        </w:rPr>
      </w:pPr>
      <w:r>
        <w:rPr>
          <w:rFonts w:ascii="Arial" w:cs="Arial" w:eastAsia="Arial" w:hAnsi="Arial"/>
          <w:sz w:val="18"/>
          <w:szCs w:val="18"/>
          <w:color w:val="auto"/>
        </w:rPr>
        <w:t>During the year ended December 31, 2022, the Company received gross proceeds of $100.0 million before deductng transacton costs of $4.6 million, which resulted in net proceeds of $95.4 million.</w:t>
      </w:r>
    </w:p>
    <w:p>
      <w:pPr>
        <w:spacing w:after="0" w:line="15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transacton as a debt obligaton with interest expense based on an imputed efectve rate derived from the inital carrying value of the obligaton and the expected future payments. The Company recalculates the efectve interest rate each period based on the current carrying value and the revised estmated future payments. Changes in future payments from previous estmates are included in the current and future fnancing expense. The carrying value of the revenue interest fnancing liability was $120.1 million as of June 30,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gridSpan w:val="2"/>
          </w:tcPr>
          <w:p>
            <w:pPr>
              <w:ind w:left="520"/>
              <w:spacing w:after="0"/>
              <w:rPr>
                <w:sz w:val="20"/>
                <w:szCs w:val="20"/>
                <w:color w:val="auto"/>
              </w:rPr>
            </w:pPr>
            <w:r>
              <w:rPr>
                <w:rFonts w:ascii="Arial" w:cs="Arial" w:eastAsia="Arial" w:hAnsi="Arial"/>
                <w:sz w:val="18"/>
                <w:szCs w:val="18"/>
                <w:color w:val="auto"/>
              </w:rPr>
              <w:t>Total revenue interest fnancing liability consists of the following (in thousands):</w:t>
            </w: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9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9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693"/>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20" w:type="dxa"/>
            <w:vAlign w:val="bottom"/>
            <w:vMerge w:val="continue"/>
          </w:tcPr>
          <w:p>
            <w:pPr>
              <w:spacing w:after="0"/>
              <w:rPr>
                <w:sz w:val="20"/>
                <w:szCs w:val="20"/>
                <w:color w:val="auto"/>
              </w:rPr>
            </w:pPr>
          </w:p>
        </w:tc>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Revenue Interest Financing Agreement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Less: transacton costs</w:t>
            </w:r>
          </w:p>
        </w:tc>
        <w:tc>
          <w:tcPr>
            <w:tcW w:w="38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(4,554 )</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920" w:type="dxa"/>
            <w:vAlign w:val="bottom"/>
          </w:tcPr>
          <w:p>
            <w:pPr>
              <w:spacing w:after="0"/>
              <w:rPr>
                <w:sz w:val="21"/>
                <w:szCs w:val="21"/>
                <w:color w:val="auto"/>
              </w:rPr>
            </w:pPr>
          </w:p>
        </w:tc>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royalty payments and payables</w:t>
            </w:r>
          </w:p>
        </w:tc>
        <w:tc>
          <w:tcPr>
            <w:tcW w:w="3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Plus: interest expense</w:t>
            </w: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24,629</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920" w:type="dxa"/>
            <w:vAlign w:val="bottom"/>
          </w:tcPr>
          <w:p>
            <w:pPr>
              <w:spacing w:after="0"/>
              <w:rPr>
                <w:sz w:val="24"/>
                <w:szCs w:val="24"/>
                <w:color w:val="auto"/>
              </w:rPr>
            </w:pPr>
          </w:p>
        </w:tc>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liability balance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120,075</w:t>
            </w:r>
          </w:p>
        </w:tc>
        <w:tc>
          <w:tcPr>
            <w:tcW w:w="120" w:type="dxa"/>
            <w:vAlign w:val="bottom"/>
            <w:tcBorders>
              <w:bottom w:val="single" w:sz="8" w:color="CFF0FC"/>
            </w:tcBorders>
            <w:shd w:val="clear" w:color="auto" w:fill="CFF0FC"/>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920" w:type="dxa"/>
            <w:vAlign w:val="bottom"/>
          </w:tcPr>
          <w:p>
            <w:pPr>
              <w:spacing w:after="0"/>
              <w:rPr>
                <w:sz w:val="24"/>
                <w:szCs w:val="24"/>
                <w:color w:val="auto"/>
              </w:rPr>
            </w:pPr>
          </w:p>
        </w:tc>
        <w:tc>
          <w:tcPr>
            <w:tcW w:w="5380" w:type="dxa"/>
            <w:vAlign w:val="bottom"/>
          </w:tcPr>
          <w:p>
            <w:pPr>
              <w:ind w:left="3540"/>
              <w:spacing w:after="0"/>
              <w:rPr>
                <w:sz w:val="20"/>
                <w:szCs w:val="20"/>
                <w:color w:val="auto"/>
              </w:rPr>
            </w:pPr>
            <w:r>
              <w:rPr>
                <w:rFonts w:ascii="Arial" w:cs="Arial" w:eastAsia="Arial" w:hAnsi="Arial"/>
                <w:sz w:val="18"/>
                <w:szCs w:val="18"/>
                <w:color w:val="auto"/>
              </w:rPr>
              <w:t>F-15</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-522605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-504825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7" w:name="page18"/>
    <w:bookmarkEnd w:id="17"/>
    <w:p>
      <w:pPr>
        <w:ind w:right="120" w:firstLine="509"/>
        <w:spacing w:after="0" w:line="273" w:lineRule="auto"/>
        <w:rPr>
          <w:sz w:val="20"/>
          <w:szCs w:val="20"/>
          <w:color w:val="auto"/>
        </w:rPr>
      </w:pPr>
      <w:r>
        <w:rPr>
          <w:rFonts w:ascii="Arial" w:cs="Arial" w:eastAsia="Arial" w:hAnsi="Arial"/>
          <w:sz w:val="18"/>
          <w:szCs w:val="18"/>
          <w:color w:val="auto"/>
        </w:rPr>
        <w:t>During the three and six months ended June 30, 2023, the Company recognized $5.4 million and $10.6 million, respectvely, of interest expense in connecton with the revenue interest fnancing liability.</w:t>
      </w:r>
    </w:p>
    <w:p>
      <w:pPr>
        <w:spacing w:after="0" w:line="15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Company will record liabilites associated with additonal funding upon FDA approval of vonoprazan for Erosive GERD and achievement of the sales milestone when such contngent events occur. To determine the accreton of the liability related to the Revenue Interest Financing Agreement, the Company is required to estmate the total amount of future royalty payments and estmated tming of such payments based on the Company’s revenue projectons. As royalty payments are made, the balance of the debt obligaton will be efectvely repaid. Based on the Company’s periodic review, the exact tming of repayment is likely to be diferent in each reportng period as compared to those estmated in the Company’s inital revenue projectons. A signifcant increase or decrease in actual net sales of vonoprazan compared to the Company’s revenue projectons could impact the interest expense associated with the revenue interest fnancing liability. Also, the Company’s total obligaton can vary depending on change in control or default events and the achievement of FDA approval of vonoprazan for Erosive GERD and achievement of the sales milestone.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March 2019, the founders granted the Company a repurchase right for the 3,373,408 shares of common stock originally purchased in 2018. The Company has the right, but not the obligaton, to repurchase unvested shares in the event the founder’s relatonship with the Company is terminated, subject to certain limitatons,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compensaton expense on a straight-line basis over the vestng period. As of June 30, 2023, no shares of common stock were subject to repurchase by the Company and there is no associated repurchase liability. The amount of recognized and unrecognized stock-based compensaton related to the founder stock was immaterial for all periods presented.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connecton with the Takeda License.</w:t>
      </w:r>
    </w:p>
    <w:p>
      <w:pPr>
        <w:spacing w:after="0" w:line="198" w:lineRule="exact"/>
        <w:rPr>
          <w:sz w:val="20"/>
          <w:szCs w:val="20"/>
          <w:color w:val="auto"/>
        </w:rPr>
      </w:pPr>
    </w:p>
    <w:p>
      <w:pPr>
        <w:ind w:firstLine="509"/>
        <w:spacing w:after="0" w:line="292" w:lineRule="auto"/>
        <w:rPr>
          <w:sz w:val="20"/>
          <w:szCs w:val="20"/>
          <w:color w:val="auto"/>
        </w:rPr>
      </w:pPr>
      <w:r>
        <w:rPr>
          <w:rFonts w:ascii="Arial" w:cs="Arial" w:eastAsia="Arial" w:hAnsi="Arial"/>
          <w:sz w:val="16"/>
          <w:szCs w:val="16"/>
          <w:color w:val="auto"/>
        </w:rPr>
        <w:t>For the period from January 1, 2019 to May 6, 2019, the Company issued 2,524,852 shares of common stock to various employees and consultants of the Company for aggregate proceeds of approximately $1,000. Upon issuance, these shares were subject to a repurchase opton by the Company at the original purchase price of the shares. The repurchase rights generally lapse as to 25% of the shares on the frst anniversary of the vestng commencement date, and the repurchase right lapses as to 1/48th of the shares each one-month period thereafer, subject to the purchaser remaining contnuously an employee, consultant or director of the Company. In November 2019, the Company repurchased 17,560 shares at the original purchase price for an aggregate purchase price of $5.20. As of June 30, 2023, no shares remain available for repurchase by the Company.</w:t>
      </w:r>
    </w:p>
    <w:p>
      <w:pPr>
        <w:spacing w:after="0" w:line="128" w:lineRule="exact"/>
        <w:rPr>
          <w:sz w:val="20"/>
          <w:szCs w:val="20"/>
          <w:color w:val="auto"/>
        </w:rPr>
      </w:pPr>
    </w:p>
    <w:p>
      <w:pPr>
        <w:ind w:right="260" w:firstLine="509"/>
        <w:spacing w:after="0" w:line="262" w:lineRule="auto"/>
        <w:rPr>
          <w:sz w:val="20"/>
          <w:szCs w:val="20"/>
          <w:color w:val="auto"/>
        </w:rPr>
      </w:pPr>
      <w:r>
        <w:rPr>
          <w:rFonts w:ascii="Arial" w:cs="Arial" w:eastAsia="Arial" w:hAnsi="Arial"/>
          <w:sz w:val="18"/>
          <w:szCs w:val="18"/>
          <w:color w:val="auto"/>
        </w:rPr>
        <w:t>On October 29, 2019, upon completon of the IPO, the Company sold 10,997,630 shares of common stock, which included the exercise in full by the underwriters of their opton to purchase 1,434,473 additonal shares at a public ofering price of $19.00 per share. The net proceeds were approximately $191.5 million, afer deductng underwritng discounts, commissions and ofering costs.</w:t>
      </w:r>
    </w:p>
    <w:p>
      <w:pPr>
        <w:spacing w:after="0" w:line="146" w:lineRule="exact"/>
        <w:rPr>
          <w:sz w:val="20"/>
          <w:szCs w:val="20"/>
          <w:color w:val="auto"/>
        </w:rPr>
      </w:pPr>
    </w:p>
    <w:p>
      <w:pPr>
        <w:ind w:right="80" w:firstLine="509"/>
        <w:spacing w:after="0" w:line="295" w:lineRule="auto"/>
        <w:rPr>
          <w:sz w:val="20"/>
          <w:szCs w:val="20"/>
          <w:color w:val="auto"/>
        </w:rPr>
      </w:pPr>
      <w:r>
        <w:rPr>
          <w:rFonts w:ascii="Arial" w:cs="Arial" w:eastAsia="Arial" w:hAnsi="Arial"/>
          <w:sz w:val="16"/>
          <w:szCs w:val="16"/>
          <w:color w:val="auto"/>
        </w:rPr>
        <w:t>In November 2020, the Company entered into the Sales Agreement, pursuant to which, the Company will pay the Sales Agent a commission for its services in actng as an agent in the sale of common stock in an amount equal to 3% of the gross sales price per share sold. In September 2022, the Company sold 2,414,897 shares for net proceeds of approximately $24.6 million under the ATM Ofering afer deductng $0.8 million of issuance costs. In February 2023, the Company sold 1,514,219 shares for net proceeds of approximately $14.1 million under the ATM Ofering afer deductng $0.4 million of issuance costs. As of June 30, 2023, the Company has utlized $39.9 million of the available $125.0 million under the ATM Ofering.</w:t>
      </w:r>
    </w:p>
    <w:p>
      <w:pPr>
        <w:spacing w:after="0" w:line="138"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On December 16, 2020, the Company completed an underwriten public ofering, in which it sold 2,250,000 shares of its common stock at a price of $42.00 per share for total gross proceeds of $94.5 million. The net purchase price afer deductng underwritng discounts and commissions was $39.48 per share, which generated net proceeds of $88.8 million. The Company incurred an additonal $0.2 million of ofering expenses in connecton with this public ofering.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8" w:name="page19"/>
    <w:bookmarkEnd w:id="18"/>
    <w:p>
      <w:pPr>
        <w:ind w:right="20" w:firstLine="509"/>
        <w:spacing w:after="0" w:line="278" w:lineRule="auto"/>
        <w:rPr>
          <w:sz w:val="20"/>
          <w:szCs w:val="20"/>
          <w:color w:val="auto"/>
        </w:rPr>
      </w:pPr>
      <w:r>
        <w:rPr>
          <w:rFonts w:ascii="Arial" w:cs="Arial" w:eastAsia="Arial" w:hAnsi="Arial"/>
          <w:sz w:val="17"/>
          <w:szCs w:val="17"/>
          <w:color w:val="auto"/>
        </w:rPr>
        <w:t>On May 23, 2023, the Company completed an underwriten public ofering, in which it sold 12,793,750 shares of its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The Company incurred an additonal $0.4 million of ofering expenses in connecton with this public ofering.</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27"/>
        </w:trPr>
        <w:tc>
          <w:tcPr>
            <w:tcW w:w="7380" w:type="dxa"/>
            <w:vAlign w:val="bottom"/>
            <w:gridSpan w:val="4"/>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100" w:type="dxa"/>
            <w:vAlign w:val="bottom"/>
          </w:tcPr>
          <w:p>
            <w:pPr>
              <w:spacing w:after="0"/>
              <w:rPr>
                <w:sz w:val="19"/>
                <w:szCs w:val="19"/>
                <w:color w:val="auto"/>
              </w:rPr>
            </w:pPr>
          </w:p>
        </w:tc>
      </w:tr>
      <w:tr>
        <w:trPr>
          <w:trHeight w:val="224"/>
        </w:trPr>
        <w:tc>
          <w:tcPr>
            <w:tcW w:w="17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1720" w:type="dxa"/>
            <w:vAlign w:val="bottom"/>
          </w:tcPr>
          <w:p>
            <w:pPr>
              <w:spacing w:after="0"/>
              <w:rPr>
                <w:sz w:val="21"/>
                <w:szCs w:val="21"/>
                <w:color w:val="auto"/>
              </w:rPr>
            </w:pPr>
          </w:p>
        </w:tc>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254,437</w:t>
            </w:r>
          </w:p>
        </w:tc>
      </w:tr>
      <w:tr>
        <w:trPr>
          <w:trHeight w:val="237"/>
        </w:trPr>
        <w:tc>
          <w:tcPr>
            <w:tcW w:w="1720" w:type="dxa"/>
            <w:vAlign w:val="bottom"/>
          </w:tcPr>
          <w:p>
            <w:pPr>
              <w:spacing w:after="0"/>
              <w:rPr>
                <w:sz w:val="20"/>
                <w:szCs w:val="20"/>
                <w:color w:val="auto"/>
              </w:rPr>
            </w:pPr>
          </w:p>
        </w:tc>
        <w:tc>
          <w:tcPr>
            <w:tcW w:w="5660" w:type="dxa"/>
            <w:vAlign w:val="bottom"/>
            <w:gridSpan w:val="3"/>
          </w:tcPr>
          <w:p>
            <w:pPr>
              <w:ind w:left="200"/>
              <w:spacing w:after="0"/>
              <w:rPr>
                <w:sz w:val="20"/>
                <w:szCs w:val="20"/>
                <w:color w:val="auto"/>
              </w:rPr>
            </w:pPr>
            <w:r>
              <w:rPr>
                <w:rFonts w:ascii="Arial" w:cs="Arial" w:eastAsia="Arial" w:hAnsi="Arial"/>
                <w:sz w:val="18"/>
                <w:szCs w:val="18"/>
                <w:color w:val="auto"/>
              </w:rPr>
              <w:t>Share vestng</w:t>
            </w:r>
          </w:p>
        </w:tc>
        <w:tc>
          <w:tcPr>
            <w:tcW w:w="1100" w:type="dxa"/>
            <w:vAlign w:val="bottom"/>
          </w:tcPr>
          <w:p>
            <w:pPr>
              <w:jc w:val="right"/>
              <w:spacing w:after="0"/>
              <w:rPr>
                <w:sz w:val="20"/>
                <w:szCs w:val="20"/>
                <w:color w:val="auto"/>
              </w:rPr>
            </w:pPr>
            <w:r>
              <w:rPr>
                <w:rFonts w:ascii="Arial" w:cs="Arial" w:eastAsia="Arial" w:hAnsi="Arial"/>
                <w:sz w:val="18"/>
                <w:szCs w:val="18"/>
                <w:color w:val="auto"/>
              </w:rPr>
              <w:t>(254,437 )</w:t>
            </w:r>
          </w:p>
        </w:tc>
      </w:tr>
      <w:tr>
        <w:trPr>
          <w:trHeight w:val="276"/>
        </w:trPr>
        <w:tc>
          <w:tcPr>
            <w:tcW w:w="1720" w:type="dxa"/>
            <w:vAlign w:val="bottom"/>
          </w:tcPr>
          <w:p>
            <w:pPr>
              <w:spacing w:after="0"/>
              <w:rPr>
                <w:sz w:val="24"/>
                <w:szCs w:val="24"/>
                <w:color w:val="auto"/>
              </w:rPr>
            </w:pPr>
          </w:p>
        </w:tc>
        <w:tc>
          <w:tcPr>
            <w:tcW w:w="5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357"/>
        </w:trPr>
        <w:tc>
          <w:tcPr>
            <w:tcW w:w="7380" w:type="dxa"/>
            <w:vAlign w:val="bottom"/>
            <w:gridSpan w:val="4"/>
          </w:tcPr>
          <w:p>
            <w:pPr>
              <w:spacing w:after="0"/>
              <w:rPr>
                <w:sz w:val="20"/>
                <w:szCs w:val="20"/>
                <w:color w:val="auto"/>
              </w:rPr>
            </w:pPr>
            <w:r>
              <w:rPr>
                <w:rFonts w:ascii="Arial" w:cs="Arial" w:eastAsia="Arial" w:hAnsi="Arial"/>
                <w:sz w:val="18"/>
                <w:szCs w:val="18"/>
                <w:color w:val="auto"/>
                <w:w w:val="91"/>
              </w:rPr>
              <w:t>For accountng purposes, unvested awards are considered issued, but not outstanding untl they vest.</w:t>
            </w:r>
          </w:p>
        </w:tc>
        <w:tc>
          <w:tcPr>
            <w:tcW w:w="1100" w:type="dxa"/>
            <w:vAlign w:val="bottom"/>
          </w:tcPr>
          <w:p>
            <w:pPr>
              <w:spacing w:after="0"/>
              <w:rPr>
                <w:sz w:val="24"/>
                <w:szCs w:val="24"/>
                <w:color w:val="auto"/>
              </w:rPr>
            </w:pPr>
          </w:p>
        </w:tc>
      </w:tr>
      <w:tr>
        <w:trPr>
          <w:trHeight w:val="405"/>
        </w:trPr>
        <w:tc>
          <w:tcPr>
            <w:tcW w:w="7380" w:type="dxa"/>
            <w:vAlign w:val="bottom"/>
            <w:gridSpan w:val="4"/>
          </w:tcPr>
          <w:p>
            <w:pPr>
              <w:spacing w:after="0"/>
              <w:rPr>
                <w:sz w:val="20"/>
                <w:szCs w:val="20"/>
                <w:color w:val="auto"/>
              </w:rPr>
            </w:pPr>
            <w:r>
              <w:rPr>
                <w:rFonts w:ascii="Arial" w:cs="Arial" w:eastAsia="Arial" w:hAnsi="Arial"/>
                <w:sz w:val="18"/>
                <w:szCs w:val="18"/>
                <w:color w:val="auto"/>
              </w:rPr>
              <w:t>Common stock reserved for future issuance consists of the following:</w:t>
            </w:r>
          </w:p>
        </w:tc>
        <w:tc>
          <w:tcPr>
            <w:tcW w:w="1100" w:type="dxa"/>
            <w:vAlign w:val="bottom"/>
          </w:tcPr>
          <w:p>
            <w:pPr>
              <w:spacing w:after="0"/>
              <w:rPr>
                <w:sz w:val="24"/>
                <w:szCs w:val="24"/>
                <w:color w:val="auto"/>
              </w:rPr>
            </w:pPr>
          </w:p>
        </w:tc>
      </w:tr>
      <w:tr>
        <w:trPr>
          <w:trHeight w:val="419"/>
        </w:trPr>
        <w:tc>
          <w:tcPr>
            <w:tcW w:w="17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w w:val="83"/>
              </w:rPr>
              <w:t>June 30,</w:t>
            </w:r>
          </w:p>
        </w:tc>
      </w:tr>
      <w:tr>
        <w:trPr>
          <w:trHeight w:val="231"/>
        </w:trPr>
        <w:tc>
          <w:tcPr>
            <w:tcW w:w="17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33"/>
        </w:trPr>
        <w:tc>
          <w:tcPr>
            <w:tcW w:w="17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spacing w:after="0"/>
              <w:rPr>
                <w:sz w:val="20"/>
                <w:szCs w:val="20"/>
                <w:color w:val="auto"/>
              </w:rPr>
            </w:pPr>
          </w:p>
        </w:tc>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warrants</w:t>
            </w:r>
          </w:p>
        </w:tc>
        <w:tc>
          <w:tcPr>
            <w:tcW w:w="360" w:type="dxa"/>
            <w:vAlign w:val="bottom"/>
            <w:gridSpan w:val="2"/>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91,228</w:t>
            </w:r>
          </w:p>
        </w:tc>
      </w:tr>
      <w:tr>
        <w:trPr>
          <w:trHeight w:val="235"/>
        </w:trPr>
        <w:tc>
          <w:tcPr>
            <w:tcW w:w="1720" w:type="dxa"/>
            <w:vAlign w:val="bottom"/>
          </w:tcPr>
          <w:p>
            <w:pPr>
              <w:spacing w:after="0"/>
              <w:rPr>
                <w:sz w:val="20"/>
                <w:szCs w:val="20"/>
                <w:color w:val="auto"/>
              </w:rPr>
            </w:pPr>
          </w:p>
        </w:tc>
        <w:tc>
          <w:tcPr>
            <w:tcW w:w="5660" w:type="dxa"/>
            <w:vAlign w:val="bottom"/>
            <w:gridSpan w:val="3"/>
          </w:tcPr>
          <w:p>
            <w:pPr>
              <w:ind w:left="20"/>
              <w:spacing w:after="0"/>
              <w:rPr>
                <w:sz w:val="20"/>
                <w:szCs w:val="20"/>
                <w:color w:val="auto"/>
              </w:rPr>
            </w:pPr>
            <w:r>
              <w:rPr>
                <w:rFonts w:ascii="Arial" w:cs="Arial" w:eastAsia="Arial" w:hAnsi="Arial"/>
                <w:sz w:val="18"/>
                <w:szCs w:val="18"/>
                <w:color w:val="auto"/>
              </w:rPr>
              <w:t>Stock optons and performance-based awards outstanding</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8,965,607</w:t>
            </w:r>
          </w:p>
        </w:tc>
      </w:tr>
      <w:tr>
        <w:trPr>
          <w:trHeight w:val="251"/>
        </w:trPr>
        <w:tc>
          <w:tcPr>
            <w:tcW w:w="1720" w:type="dxa"/>
            <w:vAlign w:val="bottom"/>
          </w:tcPr>
          <w:p>
            <w:pPr>
              <w:spacing w:after="0"/>
              <w:rPr>
                <w:sz w:val="21"/>
                <w:szCs w:val="21"/>
                <w:color w:val="auto"/>
              </w:rPr>
            </w:pPr>
          </w:p>
        </w:tc>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Shares available for issuance under the 2019 Incentve Plan</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520,803</w:t>
            </w:r>
          </w:p>
        </w:tc>
      </w:tr>
      <w:tr>
        <w:trPr>
          <w:trHeight w:val="237"/>
        </w:trPr>
        <w:tc>
          <w:tcPr>
            <w:tcW w:w="1720" w:type="dxa"/>
            <w:vAlign w:val="bottom"/>
          </w:tcPr>
          <w:p>
            <w:pPr>
              <w:spacing w:after="0"/>
              <w:rPr>
                <w:sz w:val="20"/>
                <w:szCs w:val="20"/>
                <w:color w:val="auto"/>
              </w:rPr>
            </w:pPr>
          </w:p>
        </w:tc>
        <w:tc>
          <w:tcPr>
            <w:tcW w:w="5660" w:type="dxa"/>
            <w:vAlign w:val="bottom"/>
            <w:gridSpan w:val="3"/>
          </w:tcPr>
          <w:p>
            <w:pPr>
              <w:ind w:left="20"/>
              <w:spacing w:after="0"/>
              <w:rPr>
                <w:sz w:val="20"/>
                <w:szCs w:val="20"/>
                <w:color w:val="auto"/>
              </w:rPr>
            </w:pPr>
            <w:r>
              <w:rPr>
                <w:rFonts w:ascii="Arial" w:cs="Arial" w:eastAsia="Arial" w:hAnsi="Arial"/>
                <w:sz w:val="18"/>
                <w:szCs w:val="18"/>
                <w:color w:val="auto"/>
              </w:rPr>
              <w:t>Shares available for issuance under the ESPP Plan</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1,048,370</w:t>
            </w:r>
          </w:p>
        </w:tc>
      </w:tr>
      <w:tr>
        <w:trPr>
          <w:trHeight w:val="277"/>
        </w:trPr>
        <w:tc>
          <w:tcPr>
            <w:tcW w:w="1720" w:type="dxa"/>
            <w:vAlign w:val="bottom"/>
          </w:tcPr>
          <w:p>
            <w:pPr>
              <w:spacing w:after="0"/>
              <w:rPr>
                <w:sz w:val="24"/>
                <w:szCs w:val="24"/>
                <w:color w:val="auto"/>
              </w:rPr>
            </w:pPr>
          </w:p>
        </w:tc>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360" w:type="dxa"/>
            <w:vAlign w:val="bottom"/>
            <w:tcBorders>
              <w:top w:val="single" w:sz="8" w:color="auto"/>
              <w:bottom w:val="single" w:sz="8" w:color="auto"/>
            </w:tcBorders>
            <w:gridSpan w:val="2"/>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10,626,008</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00" w:lineRule="exact"/>
        <w:rPr>
          <w:sz w:val="20"/>
          <w:szCs w:val="20"/>
          <w:color w:val="auto"/>
        </w:rPr>
      </w:pPr>
    </w:p>
    <w:p>
      <w:pPr>
        <w:ind w:right="180" w:firstLine="509"/>
        <w:spacing w:after="0" w:line="273" w:lineRule="auto"/>
        <w:rPr>
          <w:sz w:val="20"/>
          <w:szCs w:val="20"/>
          <w:color w:val="auto"/>
        </w:rPr>
      </w:pPr>
      <w:r>
        <w:rPr>
          <w:rFonts w:ascii="Arial" w:cs="Arial" w:eastAsia="Arial" w:hAnsi="Arial"/>
          <w:sz w:val="18"/>
          <w:szCs w:val="18"/>
          <w:color w:val="auto"/>
        </w:rPr>
        <w:t>The Company is authorized to issue up to 40 million shares of preferred stock. As of June 30, 2023 and December 31, 2022, there were no shares of preferred stock issued or outstanding.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Incentve Plan</w:t>
      </w:r>
    </w:p>
    <w:p>
      <w:pPr>
        <w:spacing w:after="0" w:line="187" w:lineRule="exact"/>
        <w:rPr>
          <w:sz w:val="20"/>
          <w:szCs w:val="20"/>
          <w:color w:val="auto"/>
        </w:rPr>
      </w:pPr>
    </w:p>
    <w:p>
      <w:pPr>
        <w:ind w:firstLine="509"/>
        <w:spacing w:after="0" w:line="274" w:lineRule="auto"/>
        <w:rPr>
          <w:sz w:val="20"/>
          <w:szCs w:val="20"/>
          <w:color w:val="auto"/>
        </w:rPr>
      </w:pPr>
      <w:r>
        <w:rPr>
          <w:rFonts w:ascii="Arial" w:cs="Arial" w:eastAsia="Arial" w:hAnsi="Arial"/>
          <w:sz w:val="17"/>
          <w:szCs w:val="17"/>
          <w:color w:val="auto"/>
        </w:rPr>
        <w:t>The Company’s 2019 Equity Incentve Plan, or the Existng Incentve Plan, provides for the grant of incentve stock optons, non-statutory stock optons, stock appreciaton rights, restricted stock awards, restricted stock unit awards, and other stock awards to eligible recipients, including employees, directors or consultants of the Company. The Company had 2,231,739 shares of common stock authorized for issuance under the Existng Incentve Plan, of which, 1,400,528 stock optons and 16,260 restricted stock awards were granted. As a result of the adopton of the 2019 Incentve Award Plan, or the 2019 Plan, in October 2019, no further shares are available for issuance under the Existng Incentve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Incentve Award Plan</w:t>
      </w:r>
    </w:p>
    <w:p>
      <w:pPr>
        <w:spacing w:after="0" w:line="18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October 2019, the board of directors adopted, and the Company’s stockholders approved, the 2019 Plan, which became efectve in connecton with the IPO. Under the 2019 Plan, the Company may grant stock optons, stock appreciaton rights, restricted stock, restricted stock units and other awards to individuals who are then employees, ofcers, non-employee directors or consultants of the Company or its subsidiaries. The number of shares initally available for issuance will be increased by (i) the number of shares subject to stock optons or similar awards granted under the Existng Incentve Plan that expire or otherwise terminate without having been exercised in full afer the efectve date of the 2019 Plan and unvested shares issued pursuant to awards granted under the Existng Incentve Plan that are forfeited to or repurchased by the Company afer the efectve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fnal day of the immediately preceding calendar year and (b) such smaller number of shares as determined by the board of directors. As of June 30, 2023, 520,803 shares remain available for issuance, which refects 2,559,070 of stock opton, performance-based unit, or PSU, and restricted stock unit, or RSU, awards granted, and 35,823 of awards cancelled or forfeited, during the six months ended June 30, 2023 as well as an annual increase of 2,086,165 shares authorized on January 1, 2023.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200" w:lineRule="exact"/>
        <w:rPr>
          <w:sz w:val="20"/>
          <w:szCs w:val="20"/>
          <w:color w:val="auto"/>
        </w:rPr>
      </w:pPr>
    </w:p>
    <w:p>
      <w:pPr>
        <w:ind w:right="80" w:firstLine="509"/>
        <w:spacing w:after="0" w:line="278" w:lineRule="auto"/>
        <w:rPr>
          <w:sz w:val="20"/>
          <w:szCs w:val="20"/>
          <w:color w:val="auto"/>
        </w:rPr>
      </w:pPr>
      <w:r>
        <w:rPr>
          <w:rFonts w:ascii="Arial" w:cs="Arial" w:eastAsia="Arial" w:hAnsi="Arial"/>
          <w:sz w:val="17"/>
          <w:szCs w:val="17"/>
          <w:color w:val="auto"/>
        </w:rPr>
        <w:t xml:space="preserve">During 2020, the Company granted the inital PSUs whereby vestng depends upon the approval by the FDA of vonoprazan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then, or concurrent with, Erosive GERD. In 2022, the Company granted an additonal 37,500 PSUs to employees. In 2023, the Company granted an additonal 597,650 PSUs to employees. As of June 30, 2023, the PSU milestones had not been achieved and no related compensaton cost had been recognized. The following table summarizes PSU actvity under the 2019 Incentve Award Plan during the six months ended June 30, 2023.</w:t>
      </w:r>
    </w:p>
    <w:p>
      <w:pPr>
        <w:spacing w:after="0" w:line="172"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Weighted-</w:t>
            </w:r>
          </w:p>
        </w:tc>
      </w:tr>
      <w:tr>
        <w:trPr>
          <w:trHeight w:val="216"/>
        </w:trPr>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 Grant</w:t>
            </w:r>
          </w:p>
        </w:tc>
      </w:tr>
      <w:tr>
        <w:trPr>
          <w:trHeight w:val="216"/>
        </w:trPr>
        <w:tc>
          <w:tcPr>
            <w:tcW w:w="4660" w:type="dxa"/>
            <w:vAlign w:val="bottom"/>
          </w:tcPr>
          <w:p>
            <w:pPr>
              <w:spacing w:after="0"/>
              <w:rPr>
                <w:sz w:val="18"/>
                <w:szCs w:val="18"/>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Date Fair Value</w:t>
            </w:r>
          </w:p>
        </w:tc>
      </w:tr>
      <w:tr>
        <w:trPr>
          <w:trHeight w:val="231"/>
        </w:trPr>
        <w:tc>
          <w:tcPr>
            <w:tcW w:w="4660" w:type="dxa"/>
            <w:vAlign w:val="bottom"/>
          </w:tcPr>
          <w:p>
            <w:pPr>
              <w:spacing w:after="0"/>
              <w:rPr>
                <w:sz w:val="20"/>
                <w:szCs w:val="20"/>
                <w:color w:val="auto"/>
              </w:rPr>
            </w:pPr>
          </w:p>
        </w:tc>
        <w:tc>
          <w:tcPr>
            <w:tcW w:w="170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 Units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Per Share</w:t>
            </w:r>
          </w:p>
        </w:tc>
      </w:tr>
      <w:tr>
        <w:trPr>
          <w:trHeight w:val="33"/>
        </w:trPr>
        <w:tc>
          <w:tcPr>
            <w:tcW w:w="46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December 31, 2022</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412,300</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30.97</w:t>
            </w:r>
          </w:p>
        </w:tc>
      </w:tr>
      <w:tr>
        <w:trPr>
          <w:trHeight w:val="235"/>
        </w:trPr>
        <w:tc>
          <w:tcPr>
            <w:tcW w:w="46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597,650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10.89</w:t>
            </w:r>
          </w:p>
        </w:tc>
      </w:tr>
      <w:tr>
        <w:trPr>
          <w:trHeight w:val="251"/>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46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June 30, 2023</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1,009,950</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-7620</wp:posOffset>
            </wp:positionV>
            <wp:extent cx="93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right="360" w:firstLine="509"/>
        <w:spacing w:after="0" w:line="273" w:lineRule="auto"/>
        <w:rPr>
          <w:sz w:val="20"/>
          <w:szCs w:val="20"/>
          <w:color w:val="auto"/>
        </w:rPr>
      </w:pPr>
      <w:r>
        <w:rPr>
          <w:rFonts w:ascii="Arial" w:cs="Arial" w:eastAsia="Arial" w:hAnsi="Arial"/>
          <w:sz w:val="18"/>
          <w:szCs w:val="18"/>
          <w:color w:val="auto"/>
        </w:rPr>
        <w:t>As of June 30, 2023, there was approximately $19.3 million of related unrecognized stock-based compensaton expense, which will begin to be recognized upon vestng.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actvity under the 2019 Incentve Award Plan during the six months ended June 30, 2023.</w:t>
      </w:r>
    </w:p>
    <w:p>
      <w:pPr>
        <w:spacing w:after="0" w:line="223"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Average Grant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Date 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Stock Units</w:t>
            </w: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Unvested balance at December 31, 2022</w:t>
            </w: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640" w:type="dxa"/>
            <w:vAlign w:val="bottom"/>
            <w:vMerge w:val="continue"/>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877,467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812,760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200"/>
              <w:spacing w:after="0"/>
              <w:rPr>
                <w:sz w:val="20"/>
                <w:szCs w:val="20"/>
                <w:color w:val="auto"/>
              </w:rPr>
            </w:pPr>
            <w:r>
              <w:rPr>
                <w:rFonts w:ascii="Arial" w:cs="Arial" w:eastAsia="Arial" w:hAnsi="Arial"/>
                <w:sz w:val="18"/>
                <w:szCs w:val="18"/>
                <w:color w:val="auto"/>
              </w:rPr>
              <w:t>Vested</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(418,877 )</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(2,817 )</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balance at June 30, 2023</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1,268,533</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-170815</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7" w:lineRule="exact"/>
        <w:rPr>
          <w:sz w:val="20"/>
          <w:szCs w:val="20"/>
          <w:color w:val="auto"/>
        </w:rPr>
      </w:pPr>
    </w:p>
    <w:p>
      <w:pPr>
        <w:ind w:right="100" w:firstLine="509"/>
        <w:spacing w:after="0" w:line="273" w:lineRule="auto"/>
        <w:rPr>
          <w:sz w:val="20"/>
          <w:szCs w:val="20"/>
          <w:color w:val="auto"/>
        </w:rPr>
      </w:pPr>
      <w:r>
        <w:rPr>
          <w:rFonts w:ascii="Arial" w:cs="Arial" w:eastAsia="Arial" w:hAnsi="Arial"/>
          <w:sz w:val="18"/>
          <w:szCs w:val="18"/>
          <w:color w:val="auto"/>
        </w:rPr>
        <w:t>As of June 30, 2023, the Company had $10.3 million of unrecognized stock-based compensaton expense, which is expected to be recognized over a weighted-average period of 2.1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October 2019, the board of directors adopted, and the Company’s stockholders approved, the Employee Stock Purchase Plan, or the ESPP, which became efectve in connecton with the IPO. The ESPP permits partcipants to purchase common stock through payroll deductons of up to 20% of their eligible compensaton, which includes a partcipant’s gross base compensaton for services to the Company, including overtme payments and excluding sales commissions, incentve compensaton, bonuses, expense reimbursements, fringe benefts and other special payments. A total of 270,000 shares of common stock were initally reserved for issuance under the ESPP. In additon, the number of shares available for issuance under the ESPP will be annually increased on January 1 of each calendar year beginning in 2020 and ending in 2029, by an amount equal to the lesser of: (i) 1% of the shares outstanding on the fnal day of the immediately preceding calendar year and (ii) such smaller number of shares as is determined by the board of directors. As of June 30, 2023, 1,048,370 shares of common stock remain available for issuance, which includes the 121,801 shares sold to employees during the six months ended June 30, 2023 as well as an annual increase of 417,233 shares authorized on January 1, 2023.</w:t>
      </w:r>
    </w:p>
    <w:p>
      <w:pPr>
        <w:spacing w:after="0" w:line="146" w:lineRule="exact"/>
        <w:rPr>
          <w:sz w:val="20"/>
          <w:szCs w:val="20"/>
          <w:color w:val="auto"/>
        </w:rPr>
      </w:pPr>
    </w:p>
    <w:p>
      <w:pPr>
        <w:jc w:val="both"/>
        <w:ind w:right="260" w:firstLine="509"/>
        <w:spacing w:after="0" w:line="309" w:lineRule="auto"/>
        <w:rPr>
          <w:sz w:val="20"/>
          <w:szCs w:val="20"/>
          <w:color w:val="auto"/>
        </w:rPr>
      </w:pPr>
      <w:r>
        <w:rPr>
          <w:rFonts w:ascii="Arial" w:cs="Arial" w:eastAsia="Arial" w:hAnsi="Arial"/>
          <w:sz w:val="16"/>
          <w:szCs w:val="16"/>
          <w:color w:val="auto"/>
        </w:rPr>
        <w:t>The ESPP is considered a compensatory plan, and for the three and six month period ended June 30, 2023 the Company recorded related stock-based compensaton of $0.2 million and $0.3 million respectvely, compared to $0.1 million and $0.1 million respectvely, for the same periods in 2022. The weighted-average assumptons used to estmate the fair value of ESPP awards using the Black-Scholes opton valuaton model were as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0" w:name="page21"/>
    <w:bookmarkEnd w:id="20"/>
    <w:tbl>
      <w:tblPr>
        <w:tblLayout w:type="fixed"/>
        <w:tblInd w:w="170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Six Months Ended</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June 30,</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4700"/>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jc w:val="right"/>
              <w:ind w:right="750"/>
              <w:spacing w:after="0"/>
              <w:rPr>
                <w:sz w:val="20"/>
                <w:szCs w:val="20"/>
                <w:color w:val="auto"/>
              </w:rPr>
            </w:pPr>
            <w:r>
              <w:rPr>
                <w:rFonts w:ascii="Arial" w:cs="Arial" w:eastAsia="Arial" w:hAnsi="Arial"/>
                <w:sz w:val="18"/>
                <w:szCs w:val="18"/>
                <w:b w:val="1"/>
                <w:bCs w:val="1"/>
                <w:color w:val="auto"/>
                <w:w w:val="94"/>
              </w:rPr>
              <w:t>2022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Assumptons:</w:t>
            </w:r>
          </w:p>
        </w:tc>
        <w:tc>
          <w:tcPr>
            <w:tcW w:w="1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Expected term (in years)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Expected volatlity</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69.10 %</w:t>
            </w:r>
          </w:p>
        </w:tc>
        <w:tc>
          <w:tcPr>
            <w:tcW w:w="6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72.41 %</w:t>
            </w:r>
          </w:p>
        </w:tc>
        <w:tc>
          <w:tcPr>
            <w:tcW w:w="0" w:type="dxa"/>
            <w:vAlign w:val="bottom"/>
          </w:tcPr>
          <w:p>
            <w:pPr>
              <w:spacing w:after="0"/>
              <w:rPr>
                <w:sz w:val="1"/>
                <w:szCs w:val="1"/>
                <w:color w:val="auto"/>
              </w:rPr>
            </w:pPr>
          </w:p>
        </w:tc>
      </w:tr>
      <w:tr>
        <w:trPr>
          <w:trHeight w:val="240"/>
        </w:trPr>
        <w:tc>
          <w:tcPr>
            <w:tcW w:w="5140" w:type="dxa"/>
            <w:vAlign w:val="bottom"/>
            <w:gridSpan w:val="2"/>
          </w:tcPr>
          <w:p>
            <w:pPr>
              <w:ind w:left="180"/>
              <w:spacing w:after="0"/>
              <w:rPr>
                <w:sz w:val="20"/>
                <w:szCs w:val="20"/>
                <w:color w:val="auto"/>
              </w:rPr>
            </w:pPr>
            <w:r>
              <w:rPr>
                <w:rFonts w:ascii="Arial" w:cs="Arial" w:eastAsia="Arial" w:hAnsi="Arial"/>
                <w:sz w:val="18"/>
                <w:szCs w:val="18"/>
                <w:color w:val="auto"/>
              </w:rPr>
              <w:t>Risk free interest rate</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4.77 %</w:t>
            </w:r>
          </w:p>
        </w:tc>
        <w:tc>
          <w:tcPr>
            <w:tcW w:w="6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0.37 %</w:t>
            </w:r>
          </w:p>
        </w:tc>
        <w:tc>
          <w:tcPr>
            <w:tcW w:w="0" w:type="dxa"/>
            <w:vAlign w:val="bottom"/>
          </w:tcPr>
          <w:p>
            <w:pPr>
              <w:spacing w:after="0"/>
              <w:rPr>
                <w:sz w:val="1"/>
                <w:szCs w:val="1"/>
                <w:color w:val="auto"/>
              </w:rPr>
            </w:pPr>
          </w:p>
        </w:tc>
      </w:tr>
      <w:tr>
        <w:trPr>
          <w:trHeight w:val="35"/>
        </w:trPr>
        <w:tc>
          <w:tcPr>
            <w:tcW w:w="5140" w:type="dxa"/>
            <w:vAlign w:val="bottom"/>
            <w:gridSpan w:val="2"/>
          </w:tcPr>
          <w:p>
            <w:pPr>
              <w:spacing w:after="0"/>
              <w:rPr>
                <w:sz w:val="3"/>
                <w:szCs w:val="3"/>
                <w:color w:val="auto"/>
              </w:rPr>
            </w:pPr>
          </w:p>
        </w:tc>
        <w:tc>
          <w:tcPr>
            <w:tcW w:w="1480" w:type="dxa"/>
            <w:vAlign w:val="bottom"/>
            <w:gridSpan w:val="3"/>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Dividend yield</w:t>
            </w:r>
          </w:p>
        </w:tc>
        <w:tc>
          <w:tcPr>
            <w:tcW w:w="1480" w:type="dxa"/>
            <w:vAlign w:val="bottom"/>
            <w:gridSpan w:val="3"/>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23"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 estmated weighted-average fair value of ESPP awards for the six months ended June 30, 2023 and 2022, were $2.87 and $5.31, respectvely. As of June 30, 2023, the total unrecognized compensaton expense related to the ESPP was less than $0.1 million, which is expected to be recognized over a weighted-average period of approximately 0.1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8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 established a 401(k) savings plan during the year ended December 31, 2020. The Company’s contributons to the plan are discretonary. During the three and six months ended June 30, 2023, the Company incurred $0.4 million and $1.2 million, respectvely, of expense related to estmated employer contributon liabilites, which was based on a 75% match of employees’ contributons during the periods, compared to $0.3 million and $0.9 million, respectvely, for the same periods in 2022. In August 2021, the Board of Directors approved a semi-annual discretonary match for 2021, which was setled by contributng 18,394 shares. In January 2022, the Board of Directors approved a second semi-annual discretonary match for 2021, which was setled by contributng 16,756 shares. In July 2022, the Board of Directors approved a semi-annual match for 2022, which was setled by contributng 84,784 shares. In January 2023, the Board of Directors approved a semi-annual match for 2022, which was setled by contributon 52,130 shares. In July 2023, the Board of Directors approved a semi-annual match for 2023, which was setled by contributng 83,826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Optons</w:t>
      </w:r>
    </w:p>
    <w:p>
      <w:pPr>
        <w:spacing w:after="0" w:line="200"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fair value of each employee and non-employee stock opton grant is estmated on the date of grant using the Black-Scholes opton-pricing model. The Company, prior to the IPO on October 29, 2019, was a private company and lacked company-specifc historical and implied volatlity informaton. Therefore, it estmated its expected volatlity based on the historical volatlity of a publicly traded set of peer companies. Due to the lack of historical exercise history, the expected term of the Company’s stock optons for employees was determined utlizing the “simplifed” method for awards. The expected term of stock optons granted to non-employees was equal to the contractual term of the opton award. The risk-free interest rate was determined by reference to the U.S. Treasury yield curve in efect at the tme of grant of the award for tme periods approximately equal to the expected term of the award. Expected dividend yield was zero based on the fact that the Company has never paid cash dividends and does not expect to pay any cash dividends in the foreseeable future.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opton actvity and related informaton is as follows: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Weighted-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3"/>
              </w:rPr>
              <w:t>Aggregate</w:t>
            </w: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4"/>
              </w:rPr>
              <w:t>Average</w:t>
            </w:r>
          </w:p>
        </w:tc>
        <w:tc>
          <w:tcPr>
            <w:tcW w:w="16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Intrinsic</w:t>
            </w:r>
          </w:p>
        </w:tc>
      </w:tr>
      <w:tr>
        <w:trPr>
          <w:trHeight w:val="216"/>
        </w:trPr>
        <w:tc>
          <w:tcPr>
            <w:tcW w:w="446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Optons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0"/>
              </w:rPr>
              <w:t>Exercise</w:t>
            </w:r>
          </w:p>
        </w:tc>
        <w:tc>
          <w:tcPr>
            <w:tcW w:w="16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Contractual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Value (in</w:t>
            </w:r>
          </w:p>
        </w:tc>
      </w:tr>
      <w:tr>
        <w:trPr>
          <w:trHeight w:val="231"/>
        </w:trPr>
        <w:tc>
          <w:tcPr>
            <w:tcW w:w="446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Outstanding</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Price</w:t>
            </w:r>
          </w:p>
        </w:tc>
        <w:tc>
          <w:tcPr>
            <w:tcW w:w="16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Term</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4"/>
              </w:rPr>
              <w:t>thousands)</w:t>
            </w:r>
          </w:p>
        </w:tc>
      </w:tr>
      <w:tr>
        <w:trPr>
          <w:trHeight w:val="33"/>
        </w:trPr>
        <w:tc>
          <w:tcPr>
            <w:tcW w:w="4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5,586,470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4,476</w:t>
            </w:r>
          </w:p>
        </w:tc>
      </w:tr>
      <w:tr>
        <w:trPr>
          <w:trHeight w:val="235"/>
        </w:trPr>
        <w:tc>
          <w:tcPr>
            <w:tcW w:w="4460" w:type="dxa"/>
            <w:vAlign w:val="bottom"/>
          </w:tcPr>
          <w:p>
            <w:pPr>
              <w:ind w:left="180"/>
              <w:spacing w:after="0"/>
              <w:rPr>
                <w:sz w:val="20"/>
                <w:szCs w:val="20"/>
                <w:color w:val="auto"/>
              </w:rPr>
            </w:pPr>
            <w:r>
              <w:rPr>
                <w:rFonts w:ascii="Arial" w:cs="Arial" w:eastAsia="Arial" w:hAnsi="Arial"/>
                <w:sz w:val="18"/>
                <w:szCs w:val="18"/>
                <w:color w:val="auto"/>
              </w:rPr>
              <w:t>Optons 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1,148,660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1"/>
        </w:trPr>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Optons exercised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Optons cancelled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(33,006 )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34.28</w:t>
            </w:r>
          </w:p>
        </w:tc>
        <w:tc>
          <w:tcPr>
            <w:tcW w:w="1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6"/>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2023</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6,687,124</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20.85</w:t>
            </w: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7.79</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14,936</w:t>
            </w:r>
          </w:p>
        </w:tc>
      </w:tr>
      <w:tr>
        <w:trPr>
          <w:trHeight w:val="227"/>
        </w:trPr>
        <w:tc>
          <w:tcPr>
            <w:tcW w:w="4460" w:type="dxa"/>
            <w:vAlign w:val="bottom"/>
          </w:tcPr>
          <w:p>
            <w:pPr>
              <w:ind w:left="180"/>
              <w:spacing w:after="0"/>
              <w:rPr>
                <w:sz w:val="20"/>
                <w:szCs w:val="20"/>
                <w:color w:val="auto"/>
              </w:rPr>
            </w:pPr>
            <w:r>
              <w:rPr>
                <w:rFonts w:ascii="Arial" w:cs="Arial" w:eastAsia="Arial" w:hAnsi="Arial"/>
                <w:sz w:val="18"/>
                <w:szCs w:val="18"/>
                <w:color w:val="auto"/>
              </w:rPr>
              <w:t>Optons exercisable as of June 30, 2023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3,441,791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23.53</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-151765</wp:posOffset>
            </wp:positionV>
            <wp:extent cx="10287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-151765</wp:posOffset>
            </wp:positionV>
            <wp:extent cx="939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-151765</wp:posOffset>
            </wp:positionV>
            <wp:extent cx="939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53" w:lineRule="exact"/>
        <w:rPr>
          <w:sz w:val="20"/>
          <w:szCs w:val="20"/>
          <w:color w:val="auto"/>
        </w:rPr>
      </w:pPr>
    </w:p>
    <w:p>
      <w:pPr>
        <w:jc w:val="both"/>
        <w:ind w:right="100" w:firstLine="509"/>
        <w:spacing w:after="0" w:line="262" w:lineRule="auto"/>
        <w:rPr>
          <w:sz w:val="20"/>
          <w:szCs w:val="20"/>
          <w:color w:val="auto"/>
        </w:rPr>
      </w:pPr>
      <w:r>
        <w:rPr>
          <w:rFonts w:ascii="Arial" w:cs="Arial" w:eastAsia="Arial" w:hAnsi="Arial"/>
          <w:sz w:val="18"/>
          <w:szCs w:val="18"/>
          <w:color w:val="auto"/>
        </w:rPr>
        <w:t>The estmated weighted-average fair value of employee and nonemployee director stock optons granted during 2023 was $5.31 per opton. As of June 30, 2023, the Company had $33.2 million of unrecognized stock-based compensaton expense, which is expected to be recognized over a weighted-average period of 1.9 years.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9" w:right="359" w:bottom="1440" w:gutter="0" w:footer="0" w:header="0"/>
        </w:sectPr>
      </w:pPr>
    </w:p>
    <w:bookmarkStart w:id="21" w:name="page22"/>
    <w:bookmarkEnd w:id="21"/>
    <w:p>
      <w:pPr>
        <w:ind w:left="520"/>
        <w:spacing w:after="0"/>
        <w:rPr>
          <w:sz w:val="20"/>
          <w:szCs w:val="20"/>
          <w:color w:val="auto"/>
        </w:rPr>
      </w:pPr>
      <w:r>
        <w:rPr>
          <w:rFonts w:ascii="Arial" w:cs="Arial" w:eastAsia="Arial" w:hAnsi="Arial"/>
          <w:sz w:val="16"/>
          <w:szCs w:val="16"/>
          <w:color w:val="auto"/>
        </w:rPr>
        <w:t>The weighted-average assumptons used to estmate the fair value of stock optons using the Black-Scholes opton valuaton model were as follows:</w:t>
      </w:r>
    </w:p>
    <w:p>
      <w:pPr>
        <w:spacing w:after="0" w:line="26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Six Months Ended</w:t>
            </w: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June 30,</w:t>
            </w: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vMerge w:val="restart"/>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Assumptons:</w:t>
            </w:r>
          </w:p>
        </w:tc>
        <w:tc>
          <w:tcPr>
            <w:tcW w:w="1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Expected term (in years)</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Expected volatlity</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64.02 %</w:t>
            </w:r>
          </w:p>
        </w:tc>
        <w:tc>
          <w:tcPr>
            <w:tcW w:w="7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66.04 %</w:t>
            </w:r>
          </w:p>
        </w:tc>
        <w:tc>
          <w:tcPr>
            <w:tcW w:w="0" w:type="dxa"/>
            <w:vAlign w:val="bottom"/>
          </w:tcPr>
          <w:p>
            <w:pPr>
              <w:spacing w:after="0"/>
              <w:rPr>
                <w:sz w:val="1"/>
                <w:szCs w:val="1"/>
                <w:color w:val="auto"/>
              </w:rPr>
            </w:pPr>
          </w:p>
        </w:tc>
      </w:tr>
      <w:tr>
        <w:trPr>
          <w:trHeight w:val="24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Risk free interest rate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3.48 %</w:t>
            </w:r>
          </w:p>
        </w:tc>
        <w:tc>
          <w:tcPr>
            <w:tcW w:w="7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35"/>
        </w:trPr>
        <w:tc>
          <w:tcPr>
            <w:tcW w:w="4700" w:type="dxa"/>
            <w:vAlign w:val="bottom"/>
            <w:gridSpan w:val="2"/>
          </w:tcPr>
          <w:p>
            <w:pPr>
              <w:spacing w:after="0"/>
              <w:rPr>
                <w:sz w:val="3"/>
                <w:szCs w:val="3"/>
                <w:color w:val="auto"/>
              </w:rPr>
            </w:pPr>
          </w:p>
        </w:tc>
        <w:tc>
          <w:tcPr>
            <w:tcW w:w="1640" w:type="dxa"/>
            <w:vAlign w:val="bottom"/>
            <w:gridSpan w:val="3"/>
          </w:tcPr>
          <w:p>
            <w:pPr>
              <w:spacing w:after="0"/>
              <w:rPr>
                <w:sz w:val="3"/>
                <w:szCs w:val="3"/>
                <w:color w:val="auto"/>
              </w:rPr>
            </w:pPr>
          </w:p>
        </w:tc>
        <w:tc>
          <w:tcPr>
            <w:tcW w:w="152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Dividend yield</w:t>
            </w:r>
          </w:p>
        </w:tc>
        <w:tc>
          <w:tcPr>
            <w:tcW w:w="1640" w:type="dxa"/>
            <w:vAlign w:val="bottom"/>
            <w:gridSpan w:val="3"/>
            <w:shd w:val="clear" w:color="auto" w:fill="CFF0FC"/>
          </w:tcPr>
          <w:p>
            <w:pPr>
              <w:jc w:val="right"/>
              <w:ind w:right="10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Compensaton Expense</w:t>
      </w:r>
    </w:p>
    <w:p>
      <w:pPr>
        <w:spacing w:after="0" w:line="187" w:lineRule="exact"/>
        <w:rPr>
          <w:sz w:val="20"/>
          <w:szCs w:val="20"/>
          <w:color w:val="auto"/>
        </w:rPr>
      </w:pPr>
    </w:p>
    <w:p>
      <w:pPr>
        <w:ind w:right="220" w:firstLine="509"/>
        <w:spacing w:after="0" w:line="273" w:lineRule="auto"/>
        <w:rPr>
          <w:sz w:val="20"/>
          <w:szCs w:val="20"/>
          <w:color w:val="auto"/>
        </w:rPr>
      </w:pPr>
      <w:r>
        <w:rPr>
          <w:rFonts w:ascii="Arial" w:cs="Arial" w:eastAsia="Arial" w:hAnsi="Arial"/>
          <w:sz w:val="18"/>
          <w:szCs w:val="18"/>
          <w:color w:val="auto"/>
        </w:rPr>
        <w:t>Stock-based compensaton expense recognized for all equity awards, including founder stock, has been reported in the statements of operatons and comprehensive loss as follows (in thousands):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6"/>
              </w:rPr>
              <w:t>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2"/>
              </w:rPr>
              <w:t>Six Months Ended</w:t>
            </w:r>
          </w:p>
        </w:tc>
      </w:tr>
      <w:tr>
        <w:trPr>
          <w:trHeight w:val="231"/>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r>
      <w:tr>
        <w:trPr>
          <w:trHeight w:val="243"/>
        </w:trPr>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2022</w:t>
            </w:r>
          </w:p>
        </w:tc>
      </w:tr>
      <w:tr>
        <w:trPr>
          <w:trHeight w:val="33"/>
        </w:trPr>
        <w:tc>
          <w:tcPr>
            <w:tcW w:w="4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1,803</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1,319</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3,580</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2,458</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General and administratve expense</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4,566</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10,721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9,202</w:t>
            </w:r>
          </w:p>
        </w:tc>
      </w:tr>
      <w:tr>
        <w:trPr>
          <w:trHeight w:val="277"/>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7,253</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14,301</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-25400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00"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On July 14, 2023, the Company completed a voluntary, one-tme stock opton exchange program, or the Opton Exchange, pursuant to which eligible employees were able to exchange certain outstanding stock optons granted under Phathom’s 2019 Incentve Award Plan, or the 2019 Plan, for a lesser amount of new restricted stock units issued under the 2019 Plan. Partcipants in the Opton Exchange received one restricted stock unit for every two shares of Phathom common stock underlying the eligible optons surrendered. This exchange rato was applied on a grant by grant basis. The Opton Exchange resulted in 2,406,622 optons being exchanged for 1,203,341 restricted stock units. The Company is evaluatng the accountng impact of the Opton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Conditon and Results of Operatons</w:t>
      </w:r>
    </w:p>
    <w:p>
      <w:pPr>
        <w:spacing w:after="0" w:line="200" w:lineRule="exact"/>
        <w:rPr>
          <w:sz w:val="20"/>
          <w:szCs w:val="20"/>
          <w:color w:val="auto"/>
        </w:rPr>
      </w:pPr>
    </w:p>
    <w:p>
      <w:pPr>
        <w:jc w:val="both"/>
        <w:ind w:right="40" w:firstLine="509"/>
        <w:spacing w:after="0" w:line="278" w:lineRule="auto"/>
        <w:rPr>
          <w:sz w:val="20"/>
          <w:szCs w:val="20"/>
          <w:color w:val="auto"/>
        </w:rPr>
      </w:pPr>
      <w:r>
        <w:rPr>
          <w:rFonts w:ascii="Arial" w:cs="Arial" w:eastAsia="Arial" w:hAnsi="Arial"/>
          <w:sz w:val="17"/>
          <w:szCs w:val="17"/>
          <w:i w:val="1"/>
          <w:iCs w:val="1"/>
          <w:color w:val="auto"/>
        </w:rPr>
        <w:t>You should read the following discussion and analysis of our fnancial conditon and results of operatons in conjuncton with the unaudited interim fnancial statements and notes thereto included in this Quarterly Report on Form 10-Q and with our audited fnancial statements and notes thereto for the year ended December 31, 2022 and the related Management’s Discussion and Analysis of Financial Conditon and Results of Operatons, both of which are contained in our Annual Report on Form 10-K for the year ended December 31, 2022, or the 2022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following discussion and other parts of this quarterly report contain forward-looking statements within the meaning of Secton 21E of the Securites Exchange Act of 1934, as amended, or the Exchange Act. All statements other than statements of historical facts contained in this quarterly report, including statements regarding our future results of operatons and fnancial positon, business strategy, research and development plans and costs, the impact of COVID-19, the tming and likelihood of regulatory flings and approvals, commercializaton plans, pricing and reimbursement, the potental to develop future product candidates, the tming and likelihood of success of the plans and objectves of management for future operatons, and future results of antcipated product development eforts, are forward-looking statements. These statements are ofen identfed by the use of words such as “may,” “will,” “expect,” “believe,” “antcipate,” “intend,” “could,” “should,” “estmate,” or “contnue,” and similar expressions or variatons. The forward-looking statements in this quarterly report are only predictons. We have based these forward-looking statements largely on our current expectatons and projectons about future events and fnancial trends that we believe may afect our fnancial conditon, operatng results, business strategy, short-term and long-term business operatons and objectves. These forward-looking statements speak only as of the date of this quarterly report and are subject to a number of risks, uncertaintes and assumptons, including those described in the Part II, Item 1A under the heading “Risk Factors.” The events and circumstances refected in our forward-looking statements may not be achieved or occur and actual results could difer materially from those projected in the forward-looking statements. Except as required by applicable law, we do not plan to publicly update or revise any forward-looking statements contained herein, whether as a result of any new informaton, future events, changed circumstances or otherwise.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 xml:space="preserve">We are a biopharmaceutcal company focused on developing and commercializing novel treatments for gastrointestnal, or GI, diseases. Our inital approved products, VOQUEZNA TRIPLE PAK and VOQUEZNA DUAL PAK, as well as our current product candidate, VOQUEZNA, contain vonoprazan, an oral small molecule potassium-compettve acid blocker, or PCAB. PCABs are a novel class of medicines that block acid secreton in the stomach. Vonoprazan has shown rapid, potent, and durable ant-secretory efects and has demonstrated clinical benefts over the current standard of care as a single agent in the treatment of erosive gastroesophageal refux disease, or Erosive GERD, and in combinaton with antbiotcs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infecton. Takeda developed vonoprazan and has received marketng approval in numerous countries in Asia and Latn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44"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 xml:space="preserve">In 2021 we reported positve topline data from two pivotal Phase 3 clinical trials for vonoprazan: one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infecton, or PHALCON-HP, and a second for the treatment of Erosive GERD, PHALCON-EE. In April 2021, we reported positve topline data from PHALCON-HP, and in October 2021, we reported positve topline data from PHALCON-EE. These data are supplemented by the extensive existng clinical data generated by Takeda as part of their development program for vonoprazan in Japan and other markets. In September 2021, we submited two new drug applicatons, or NDAs, for combinaton packs that contain vonoprazan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infecton in adults, one in combinaton with amoxicillin and clarithromycin (vonoprazan triple therapy) and the other in combinaton with amoxicillin alone (vonoprazan dual therapy). In May 2022, the FDA approved the NDAs for vonoprazan triple therapy, under the brand name VOQUEZNA TRIPLE PAK, and vonoprazan dual therapy, under the brand name VOQUEZNA DUAL PAK. Prior to approval, in May 2021, we received qualifed infectous disease product, or QIDP, designatons for VOQUEZNA TRIPLE PAK and VOQUEZNA DUAL PAK, which, upon approval of these products, added fve years of regulatory exclusivity to the fve years of new chemical entty, or NCE, exclusivity for vonoprazan. These inital approved products beneft from, and future products we develop containing vonoprazan will beneft from, this extended NCE exclusivity for vonoprazan.</w:t>
      </w:r>
    </w:p>
    <w:p>
      <w:pPr>
        <w:spacing w:after="0" w:line="155" w:lineRule="exact"/>
        <w:rPr>
          <w:sz w:val="20"/>
          <w:szCs w:val="20"/>
          <w:color w:val="auto"/>
        </w:rPr>
      </w:pPr>
    </w:p>
    <w:p>
      <w:pPr>
        <w:ind w:right="440" w:firstLine="509"/>
        <w:spacing w:after="0" w:line="262" w:lineRule="auto"/>
        <w:rPr>
          <w:sz w:val="20"/>
          <w:szCs w:val="20"/>
          <w:color w:val="auto"/>
        </w:rPr>
      </w:pPr>
      <w:r>
        <w:rPr>
          <w:rFonts w:ascii="Arial" w:cs="Arial" w:eastAsia="Arial" w:hAnsi="Arial"/>
          <w:sz w:val="18"/>
          <w:szCs w:val="18"/>
          <w:color w:val="auto"/>
        </w:rPr>
        <w:t>In March 2022, we submited an NDA for vonoprazan as a treatment for adults for the healing of all grades of Erosive GERD, maintenance of healing of all grades of Erosive GERD, and relief of heartburn associated with Erosive GERD. If approved, we expect to market the product under the brand name VOQUEZNA. In August 2022, we announced that, consistent with current FDA</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3" w:name="page24"/>
    <w:bookmarkEnd w:id="23"/>
    <w:p>
      <w:pPr>
        <w:ind w:right="120"/>
        <w:spacing w:after="0" w:line="268" w:lineRule="auto"/>
        <w:rPr>
          <w:sz w:val="20"/>
          <w:szCs w:val="20"/>
          <w:color w:val="auto"/>
        </w:rPr>
      </w:pPr>
      <w:r>
        <w:rPr>
          <w:rFonts w:ascii="Arial" w:cs="Arial" w:eastAsia="Arial" w:hAnsi="Arial"/>
          <w:sz w:val="17"/>
          <w:szCs w:val="17"/>
          <w:color w:val="auto"/>
        </w:rPr>
        <w:t xml:space="preserve">recommendatons for all chemically synthesized drug compounds, we previously initated post-approval testng to determine whether nitrosamine impurites were present in our inital commercial drug product for VOQUEZNA TRIPLE PAK and VOQUEZNA DUAL PAK. These tests revealed trace levels of a nitrosamine impurity, </w:t>
      </w:r>
      <w:r>
        <w:rPr>
          <w:rFonts w:ascii="Arial" w:cs="Arial" w:eastAsia="Arial" w:hAnsi="Arial"/>
          <w:sz w:val="17"/>
          <w:szCs w:val="17"/>
          <w:i w:val="1"/>
          <w:iCs w:val="1"/>
          <w:color w:val="auto"/>
        </w:rPr>
        <w:t>N</w:t>
      </w:r>
      <w:r>
        <w:rPr>
          <w:rFonts w:ascii="Arial" w:cs="Arial" w:eastAsia="Arial" w:hAnsi="Arial"/>
          <w:sz w:val="17"/>
          <w:szCs w:val="17"/>
          <w:color w:val="auto"/>
        </w:rPr>
        <w:t xml:space="preserve">-nitroso-vonoprazan, or NVP, that is not described within the FDA guidance document enttled “Control of Nitrosamine Impurites in Human Drugs – Guidance for Industry.” In February 2023, we received complete response leters from the FDA relatng both to our Erosive GERD NDA and post approval supplements relatng to our approved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NDAs, both of which formalized the FDA’s prior request that we provide additonal stability data to demonstrate that levels of NVP will remain at or below 96 ng/day, the acceptable daily intake level (AI) for NVP established by the FDA, throughout the proposed shelf life of the product. No additonal defciencies were cited by the FDA in either leter. In May 2023, we resubmited our Erosive GERD NDA to the FDA, and in June 2023 we submited new prior approval supplements to our approved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NDAs. These submissions have been assigned PDUFA target acton dates of November 17, 2023, for Erosive GERD and, if fled, October 30, 2023, for our HP combinaton packs. Based on these dates, we antcipate commercial launch of vonoprazan for both the Erosive GERD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indicatons in the fourth quarter of 2023, subject to FDA approval. However, if we are unable to demonstrate to the FDA that we will be able to maintain NVP levels at or below the AI throughout the proposed shelf life of our products, launches of VOQUEZNA TRIPLE PAK and VOQUEZNA DUAL PAK will be further delayed and approval of our Erosive GERD NDA will contnue to be delayed, which could substantally increase our costs and delay or put at risk our ability to generate revenue and adversely afect our commercial prospects.</w:t>
      </w:r>
    </w:p>
    <w:p>
      <w:pPr>
        <w:spacing w:after="0" w:line="157"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We are also contnuing to develop vonoprazan as a treatment for symptomatc Non-Erosive GERD. In January 2023, we reported positve topline results from PHALCON-NERD-301, a Phase 3 study evaluatng the safety and efcacy of vonoprazan for the daily treatment of adults with Non-Erosive GERD. Moreover, in August 2023, we announced successful completon of the 20-week extension period of PHALCON-NERD-301. Based on the results from this study, we plan to seek FDA approval of vonoprazan as a once-daily treatment for Non-Erosive GERD in the second half of 2023. In additon, we are in discussions with the FDA regarding the design of a Phase 3 trial to evaluate the novel dosing regimen of vonoprazan as an as needed treatment for episodic heartburn relief in patents with Non-Erosive GERD, a dosing regimen not approved in the U.S. for PPIs. This trial would consttute our fourth Phase 3 trial for vonoprazan. In February 2022, we reported positve topline results from PHALCON-NERD-201, a Phase 2 proof-of-concept study evaluatng this novel dosing regimen.</w:t>
      </w:r>
    </w:p>
    <w:p>
      <w:pPr>
        <w:spacing w:after="0" w:line="144"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We plan to independently commercialize VOQUEZNA TRIPLE PAK, VOQUEZNA DUAL PAK and, if approved, VOQUEZNA, in the United States. We plan to seek commercial partnerships for vonoprazan in Europe and Canada, expand development of vonoprazan into other indicatons, dosing regimens and alternatve formulatons and packaging, and in-license or acquire additonal clinical or commercial stage product candidates for the treatment of GI diseases in a capital efcient manner.</w:t>
      </w:r>
    </w:p>
    <w:p>
      <w:pPr>
        <w:spacing w:after="0" w:line="149"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We commenced our operatons in 2018 and have devoted substantally all of our resources to date to organizing and stafng our company, business planning, raising capital, in-licensing our inital product candidate, vonoprazan, meetng with regulatory authorites, conductng our clinical trials of vonoprazan, preparing applicatons for regulatory approval for vonoprazan and preparing for commercial launch. Our operatons to date have been funded primarily through the issuance of convertble promissory notes, commercial bank debt, the proceeds from our inital public ofering, our follow-on public ofering, our ATM Ofering and our Revenue Interest Financing Agreement. From our incepton through June 30, 2023, we have raised aggregate gross proceeds of $90.3 million from the issuance of convertble promissory notes, $100.0 million of debt, net proceeds from our inital public ofering of $191.5 million from the sale of 10,997,630 shares of common stock, which included the exercise in full by the underwriters of their opton to purchase 1,434,473 additonal shares at a public ofering price of $19.00 per share, afer deductng underwritng discounts, commissions and ofering costs, net proceeds of $88.6 million from the sale of 2,250,000 shares of common stock at a public ofering price of $39.48 per share afer deductng underwritng discounts and commissions, and an additonal $0.2 million in ofering costs, net proceeds of $95.4 million from the Revenue Interest Financing Agreement, net proceeds of $38.7 million from the sale of 3,929,116 shares under the ATM Ofering and net proceeds of $141.4 million from the sale of 12,793,750 shares of common stock, which included the exercise in full by the underwriters of their opton to purchase 1,668,750 shares, at a price of $11.75 per share, afer deductng underwritng discounts and commissions. As of June 30, 2023, we had cash and cash equivalents of $248.8 million. 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together with antcipated product revenues, will be sufcient to fund our operatons through the end of 2025.</w:t>
      </w:r>
    </w:p>
    <w:p>
      <w:pPr>
        <w:spacing w:after="0" w:line="164"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We have not initated commercial launch of any products and have incurred net losses since our incepton. Our net losses for the six month periods ended June 30, 2023 and 2022 were $78.8 million and $91.6 million, respectvely. As of June 30, 2023, we had an accumulated defcit of $805.9 million. Our net losses may fuctuate signifcantly from quarter-to-quarter and year-to-year, depending on the tming of our clinical development actvites, other research and development actvites and pre-commercializaton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4" w:name="page25"/>
    <w:bookmarkEnd w:id="24"/>
    <w:p>
      <w:pPr>
        <w:spacing w:after="0" w:line="256" w:lineRule="auto"/>
        <w:rPr>
          <w:sz w:val="20"/>
          <w:szCs w:val="20"/>
          <w:color w:val="auto"/>
        </w:rPr>
      </w:pPr>
      <w:r>
        <w:rPr>
          <w:rFonts w:ascii="Arial" w:cs="Arial" w:eastAsia="Arial" w:hAnsi="Arial"/>
          <w:sz w:val="18"/>
          <w:szCs w:val="18"/>
          <w:color w:val="auto"/>
        </w:rPr>
        <w:t>actvites. We expect our expenses and operatng losses will increase as we contnue to advance vonoprazan through clinical trials, seek additonal regulatory approvals for vonoprazan, expand our quality, regulatory, manufacturing and commercializaton capabilites, incur signifcant commercializaton expenses for marketng, sales, manufacturing and distributon if we obtain marketng approval for VOQUEZNA for Erosive GERD in the U.S., protect our intellectual property, expand our general and administratve support functons, including hiring additonal personnel, and incur additonal costs associated with operatng as a public company.</w:t>
      </w:r>
    </w:p>
    <w:p>
      <w:pPr>
        <w:spacing w:after="0" w:line="16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have never generated any revenue and do not expect to generate any revenues from product sales unless and untl we obtain regulatory approval for VOQUEZNA, or approval of our post-approval supplements for VOQUEZNA TRIPLE PAK and VOQUEZNA DUAL PAK, in the U.S. Accordingly, untl such tme as we can generate signifcant revenue from sales of products containing vonoprazan, if ever, we expect to fnance our cash needs through equity oferings, our Loan Agreement, our Revenue Interest Financing Agreement, additonal debt fnancings or other capital sources, including potental collaboratons, licenses and other similar arrangements. However, we may be unable to raise additonal funds or enter into such other arrangements when needed on favorable terms or at all, and this risk could be exacerbated by the impact of the ongoing hostlites in the Ukraine on global economic conditons. Our failure to raise capital or enter into such other arrangements when needed would have a negatve impact on our fnancial conditon and could force us to delay, limit, reduce or terminate our product development or future commercializaton eforts or grant rights to develop and market product candidates that we would otherwise prefer to develop and market ourselves.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7"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color w:val="auto"/>
        </w:rPr>
        <w:t>On May 7, 2019, we and Takeda entered into an exclusive license, or the Takeda License, pursuant to which we in-licensed the U.S., European, and Canadian rights to vonoprazan fumarate. 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vonoprazan products. We are required to use commercially reasonable eforts to develop and commercialize the vonoprazan products in our licensed territory.</w:t>
      </w:r>
    </w:p>
    <w:p>
      <w:pPr>
        <w:spacing w:after="0" w:line="153" w:lineRule="exact"/>
        <w:rPr>
          <w:sz w:val="20"/>
          <w:szCs w:val="20"/>
          <w:color w:val="auto"/>
        </w:rPr>
      </w:pPr>
    </w:p>
    <w:p>
      <w:pPr>
        <w:jc w:val="both"/>
        <w:ind w:right="340" w:firstLine="509"/>
        <w:spacing w:after="0" w:line="262" w:lineRule="auto"/>
        <w:rPr>
          <w:sz w:val="20"/>
          <w:szCs w:val="20"/>
          <w:color w:val="auto"/>
        </w:rPr>
      </w:pPr>
      <w:r>
        <w:rPr>
          <w:rFonts w:ascii="Arial" w:cs="Arial" w:eastAsia="Arial" w:hAnsi="Arial"/>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w:t>
      </w:r>
    </w:p>
    <w:p>
      <w:pPr>
        <w:spacing w:after="0" w:line="146"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We paid Takeda upfront consideraton consistng of a cash fee of $25.0 million, 1,084,000 shares of our common stock, a warrant to purchase 7,588,000 shares of our common stock at an exercise price of $0.00004613 per share, or the Takeda Warrant, and issued Takeda a right to receive an additonal common stock warrant, or the Takeda Warrant Right, if Takeda’s fully-diluted ownership of the Company represented less than a certain specifed percentage of the fully-diluted capitalizaton, including shares issuable upon conversion of then outstanding convertble promissory notes, calculated immediately prior to the closing of our IPO. The Takeda Warrant Right expired without efect since no fair value had been allocated to it upon completon of our IPO, and no additonal warrant was issued. We agreed to make milestone payments to Takeda upon achieving certain tered aggregate annual net sales of licensed products in the United States, Europe, and Canada up to a total maximum milestone amount of $250.0 million. We also agreed to make tered royalty payments at percentages in the low double digits on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7" w:lineRule="exact"/>
        <w:rPr>
          <w:sz w:val="20"/>
          <w:szCs w:val="20"/>
          <w:color w:val="auto"/>
        </w:rPr>
      </w:pPr>
    </w:p>
    <w:p>
      <w:pPr>
        <w:ind w:right="420" w:firstLine="509"/>
        <w:spacing w:after="0" w:line="262"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untl the goods or services are received.</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5" w:name="page26"/>
    <w:bookmarkEnd w:id="25"/>
    <w:p>
      <w:pPr>
        <w:ind w:left="900" w:right="40" w:hanging="383"/>
        <w:spacing w:after="0" w:line="27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salaries, payroll taxes, employee benefts, and stock-based compensaton charges for those individuals involved in research and development eforts;</w:t>
      </w:r>
    </w:p>
    <w:p>
      <w:pPr>
        <w:spacing w:after="0" w:line="163" w:lineRule="exact"/>
        <w:rPr>
          <w:rFonts w:ascii="Arial" w:cs="Arial" w:eastAsia="Arial" w:hAnsi="Arial"/>
          <w:sz w:val="18"/>
          <w:szCs w:val="18"/>
          <w:color w:val="auto"/>
        </w:rPr>
      </w:pPr>
    </w:p>
    <w:p>
      <w:pPr>
        <w:ind w:left="900" w:right="260" w:hanging="383"/>
        <w:spacing w:after="0" w:line="27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and consultants to conduct and support our ongoing clinical trials of vonoprazan; and</w:t>
      </w:r>
    </w:p>
    <w:p>
      <w:pPr>
        <w:spacing w:after="0" w:line="15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185"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plan to contnue to invest in our research and development expenses for the foreseeable future as we contnue the development of vonoprazan. We cannot determine with certainty the tming of initaton, the duraton or the completon costs of current or future clinical trials and nonclinical studies of vonoprazan or any future product candidates due to the inherently unpredictable nature of clinical and preclinical development. Clinical and preclinical development tmelines, the probability of success and development costs can difer materially from expectatons. In additon, we cannot forecast which product candidates may be subject to future collaboratons, when such arrangements will be secured, if at all, and to what degree such arrangements would afect our development plans and capital requirements.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signifcantly based on factors such as:</w:t>
      </w:r>
    </w:p>
    <w:p>
      <w:pPr>
        <w:spacing w:after="0" w:line="198" w:lineRule="exact"/>
        <w:rPr>
          <w:sz w:val="20"/>
          <w:szCs w:val="20"/>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patent trial costs;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length of tme required to enroll eligible patents;</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patents that partcipate in the trials;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drop-out or discontnuaton rates of patents;</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potental additonal safety monitoring requested by regulatory agencies;</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duraton of patent partcipaton in the trials and follow-up;</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phase of development of the product candidate; and</w:t>
      </w:r>
    </w:p>
    <w:p>
      <w:pPr>
        <w:spacing w:after="0" w:line="21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efcacy and safety profle of the product candidate.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Administratve</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General and administratve expenses consist of salaries and employee-related costs, including stock-based compensaton, for personnel in commercial, executve, fnance, accountng, legal, human resources and other administratve functons, legal fees relatng to intellectual property and corporate maters, and professional fees for accountng and consultng services. We antcipate that our general and administratve expenses will increase in the future to support our contnued research and development actvites, pre-commercial preparaton actvites for vonoprazan and, if any future product candidate receives marketng approval, commercializaton actvites. We also antcipate increased expenses related to audit, legal, regulatory, and tax-related services associated with maintaining compliance with exchange listng and SEC requirements, director and ofcer insurance premiums, and investor relatons costs associated with operatng as a public company.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7"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Beginning on May 3, 2022, interest expense includes interest on the Revenue Interest Financing Agreement, which is based on the imputed efectve rate derived from expected future payments and the carrying value of the obligaton. The Company recalculates the efectve interest rate each period based on the current carrying value and the revised estmated future payments. Changes in future payments from previous estmates are included in current and future fnancing expense.</w:t>
      </w:r>
    </w:p>
    <w:p>
      <w:pPr>
        <w:spacing w:after="0" w:line="163"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Beginning on September 17, 2021, interest expense consists of (i) cash interest at a variable annual rate equal to the greater of (a) 5.50% and (b) the Prime Rate (as reported in the Wall Street Journal) plus 2.25%, or the Interest Rate, (ii) payment-in-kind interest at a per annum rate of interest equal to 3.35%, and (iii) amortzaton of the Hercules Loan Agreement debt discount recorded in connecton with the fair value of warrants issued to the lenders, the debt issuance costs incurred, and the obligaton to make a fnal payment.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operatons for the six months ended June 30, 2023 and 2022 (in thousands):</w:t>
      </w:r>
    </w:p>
    <w:p>
      <w:pPr>
        <w:spacing w:after="0" w:line="22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Operatng expenses: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46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24,242</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36,475</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(12,233 )</w:t>
            </w:r>
          </w:p>
        </w:tc>
      </w:tr>
      <w:tr>
        <w:trPr>
          <w:trHeight w:val="243"/>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administratve</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37,536</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(9,259 )</w:t>
            </w:r>
          </w:p>
        </w:tc>
      </w:tr>
      <w:tr>
        <w:trPr>
          <w:trHeight w:val="22"/>
        </w:trPr>
        <w:tc>
          <w:tcPr>
            <w:tcW w:w="4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operatng expenses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61,778</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83,270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(21,492 )</w:t>
            </w:r>
          </w:p>
        </w:tc>
      </w:tr>
      <w:tr>
        <w:trPr>
          <w:trHeight w:val="237"/>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operatons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(61,778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(83,270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FF0FC"/>
          </w:tcPr>
          <w:p>
            <w:pPr>
              <w:spacing w:after="0"/>
              <w:rPr>
                <w:sz w:val="21"/>
                <w:szCs w:val="21"/>
                <w:color w:val="auto"/>
              </w:rPr>
            </w:pPr>
          </w:p>
        </w:tc>
      </w:tr>
      <w:tr>
        <w:trPr>
          <w:trHeight w:val="235"/>
        </w:trPr>
        <w:tc>
          <w:tcPr>
            <w:tcW w:w="4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(18,832 )</w:t>
            </w:r>
          </w:p>
        </w:tc>
        <w:tc>
          <w:tcPr>
            <w:tcW w:w="4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(8,426 )</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(10,406 )</w:t>
            </w:r>
          </w:p>
        </w:tc>
      </w:tr>
      <w:tr>
        <w:trPr>
          <w:trHeight w:val="243"/>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(8 )</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1"/>
                <w:szCs w:val="21"/>
                <w:color w:val="auto"/>
              </w:rPr>
            </w:pPr>
          </w:p>
        </w:tc>
      </w:tr>
      <w:tr>
        <w:trPr>
          <w:trHeight w:val="22"/>
        </w:trPr>
        <w:tc>
          <w:tcPr>
            <w:tcW w:w="4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300" w:type="dxa"/>
            <w:vAlign w:val="bottom"/>
          </w:tcPr>
          <w:p>
            <w:pPr>
              <w:spacing w:after="0"/>
              <w:rPr>
                <w:sz w:val="20"/>
                <w:szCs w:val="20"/>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(17,001 )</w:t>
            </w:r>
          </w:p>
        </w:tc>
        <w:tc>
          <w:tcPr>
            <w:tcW w:w="4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(8,315 )</w:t>
            </w: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(8,686 )</w:t>
            </w:r>
          </w:p>
        </w:tc>
      </w:tr>
      <w:tr>
        <w:trPr>
          <w:trHeight w:val="277"/>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(78,779</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-1302385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-1302385</wp:posOffset>
            </wp:positionV>
            <wp:extent cx="7683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-1302385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-976630</wp:posOffset>
            </wp:positionV>
            <wp:extent cx="6858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-976630</wp:posOffset>
            </wp:positionV>
            <wp:extent cx="7683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-976630</wp:posOffset>
            </wp:positionV>
            <wp:extent cx="685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-351155</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-351155</wp:posOffset>
            </wp:positionV>
            <wp:extent cx="768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-351155</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$24.3 million and $36.5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and 2022, respectvely. The decrease of $12.2 million consisted of a $11.5 million reducton of clinical trial costs related to the conclusion of the PHALCON-NERD-301 trial, $1.1 million of chemistry manufacturing and controls, or CMC, costs related to vonoprazan, and $0.5 million of consultng and other expense partally ofset by an increase of $0.9 million of personnel-related expenses.</w:t>
      </w:r>
    </w:p>
    <w:p>
      <w:pPr>
        <w:spacing w:after="0" w:line="163" w:lineRule="exact"/>
        <w:rPr>
          <w:sz w:val="20"/>
          <w:szCs w:val="20"/>
          <w:color w:val="auto"/>
        </w:rPr>
      </w:pPr>
    </w:p>
    <w:p>
      <w:pPr>
        <w:ind w:firstLine="509"/>
        <w:spacing w:after="0" w:line="300" w:lineRule="auto"/>
        <w:rPr>
          <w:sz w:val="20"/>
          <w:szCs w:val="20"/>
          <w:color w:val="auto"/>
        </w:rPr>
      </w:pPr>
      <w:r>
        <w:rPr>
          <w:rFonts w:ascii="Arial" w:cs="Arial" w:eastAsia="Arial" w:hAnsi="Arial"/>
          <w:sz w:val="16"/>
          <w:szCs w:val="16"/>
          <w:i w:val="1"/>
          <w:iCs w:val="1"/>
          <w:color w:val="auto"/>
        </w:rPr>
        <w:t xml:space="preserve">General and Administratve Expenses. </w:t>
      </w:r>
      <w:r>
        <w:rPr>
          <w:rFonts w:ascii="Arial" w:cs="Arial" w:eastAsia="Arial" w:hAnsi="Arial"/>
          <w:sz w:val="16"/>
          <w:szCs w:val="16"/>
          <w:color w:val="auto"/>
        </w:rPr>
        <w:t>General and administratve expenses were $37.5 million and $46.8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and 2022, respectvely. The decrease of $9.3 million was due to decreases of $14.0 million in professional services expenses for commercial, medical afairs and other services and $0.6 million of insurance expense, partally ofset by a $5.3 million increase in personnel related expense. Due to the planned contnued buildout of administratve and commercial functons we expect general and administratve expenses to increase in future periods.</w:t>
      </w:r>
    </w:p>
    <w:p>
      <w:pPr>
        <w:spacing w:after="0" w:line="120" w:lineRule="exact"/>
        <w:rPr>
          <w:sz w:val="20"/>
          <w:szCs w:val="20"/>
          <w:color w:val="auto"/>
        </w:rPr>
      </w:pPr>
    </w:p>
    <w:p>
      <w:pPr>
        <w:ind w:right="100" w:firstLine="509"/>
        <w:spacing w:after="0" w:line="278"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expense of $17.0 million for the six months ended June 30, 2023 consisted of $18.8 million of interest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Hercules Loan Agreement and Revenue Interest Financing Agreement, partally ofset by $1.8 million of interest income related to cash held in money market funds. Other expense of $8.3 million for the six months ended June 30, 2022 consisted of $8.4 million of interest expense under the Hercules Loan Agreement and Revenue Interest Financing Agreement, partally ofset by $0.1 million of interest income.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operatons for the three months ended June 30, 2023 and 2022 (in thousands):</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3"/>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Operatng expenses: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4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4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(6,051 )</w:t>
            </w: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General and administratve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18,937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26,548</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(7,611 )</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operatng expenses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31,701</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45,363</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Loss from operatons</w:t>
            </w:r>
          </w:p>
        </w:tc>
        <w:tc>
          <w:tcPr>
            <w:tcW w:w="28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(31,701 )</w:t>
            </w:r>
          </w:p>
        </w:tc>
        <w:tc>
          <w:tcPr>
            <w:tcW w:w="28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(45,363 )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(9,615 )</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(5,667 )</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(3,948 )</w:t>
            </w: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(9,264</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(40,965 )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(50,920 )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-1139190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-1139190</wp:posOffset>
            </wp:positionV>
            <wp:extent cx="7747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-1139190</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7747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-187960</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3"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$12.8 million and $18.8 million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2023 and 2022, respectvely. The decrease of $6.0 million consisted of a $7.7 million reducton of clinical trial costs related to the conclusion of the PHALCON-NERD-301 trial and $0.3 million of consultng and other expense partally ofset by increases of $1.6 million of chemistry manufacturing and controls, or CMC, costs related to vonoprazan, and $0.4 million of personnel-related expenses.</w:t>
      </w:r>
    </w:p>
    <w:p>
      <w:pPr>
        <w:spacing w:after="0" w:line="163"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i w:val="1"/>
          <w:iCs w:val="1"/>
          <w:color w:val="auto"/>
        </w:rPr>
        <w:t xml:space="preserve">General and Administratve Expenses. </w:t>
      </w:r>
      <w:r>
        <w:rPr>
          <w:rFonts w:ascii="Arial" w:cs="Arial" w:eastAsia="Arial" w:hAnsi="Arial"/>
          <w:sz w:val="18"/>
          <w:szCs w:val="18"/>
          <w:color w:val="auto"/>
        </w:rPr>
        <w:t>General and administratve expenses were $18.9 million and $26.5 million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2023 and 2022, respectvely. The decrease of $7.6 million was due to decreases of $9.6 million in professional services expenses for commercial, medical afairs and other services, $0.5 million of legal expenses and $0.2 million of insurance expense, partally ofset by an increase of $2.1 million in personnel and $0.6 million of consultng related expense. Due to the planned contnued buildout of administratve and commercial functons we expect general and administratve expenses to increase in future periods.</w:t>
      </w:r>
    </w:p>
    <w:p>
      <w:pPr>
        <w:spacing w:after="0" w:line="152" w:lineRule="exact"/>
        <w:rPr>
          <w:sz w:val="20"/>
          <w:szCs w:val="20"/>
          <w:color w:val="auto"/>
        </w:rPr>
      </w:pPr>
    </w:p>
    <w:p>
      <w:pPr>
        <w:ind w:right="80" w:firstLine="509"/>
        <w:spacing w:after="0" w:line="278"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expense of $9.3 million for the three months ended June 30, 2023 consisted of $9.6 million of interest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Hercules Loan Agreement and Revenue Interest Financing Agreement, partally ofset by $0.3 million of interest income related to cash held in money market funds. Other expense of $5.6 million for the three months ended June 30, 2022 consisted of $5.7 million of interest expense under the Hercules Loan Agreement and Revenue Interest Financing Agreement, partally ofset by $0.1 million of interest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ind w:firstLine="509"/>
        <w:spacing w:after="0" w:line="273" w:lineRule="auto"/>
        <w:rPr>
          <w:sz w:val="20"/>
          <w:szCs w:val="20"/>
          <w:color w:val="auto"/>
        </w:rPr>
      </w:pPr>
      <w:r>
        <w:rPr>
          <w:rFonts w:ascii="Arial" w:cs="Arial" w:eastAsia="Arial" w:hAnsi="Arial"/>
          <w:sz w:val="18"/>
          <w:szCs w:val="18"/>
          <w:color w:val="auto"/>
        </w:rPr>
        <w:t>We have incurred net losses and negatve cash fows from operatons since our incepton and antcipate we will contnue to incur net losses for the foreseeable future. As of June 30, 2023, we had cash and cash equivalents of $248.8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87" w:lineRule="exact"/>
        <w:rPr>
          <w:sz w:val="20"/>
          <w:szCs w:val="20"/>
          <w:color w:val="auto"/>
        </w:rPr>
      </w:pPr>
    </w:p>
    <w:p>
      <w:pPr>
        <w:ind w:right="20" w:firstLine="509"/>
        <w:spacing w:after="0" w:line="284" w:lineRule="auto"/>
        <w:rPr>
          <w:sz w:val="20"/>
          <w:szCs w:val="20"/>
          <w:color w:val="auto"/>
        </w:rPr>
      </w:pPr>
      <w:r>
        <w:rPr>
          <w:rFonts w:ascii="Arial" w:cs="Arial" w:eastAsia="Arial" w:hAnsi="Arial"/>
          <w:sz w:val="17"/>
          <w:szCs w:val="17"/>
          <w:color w:val="auto"/>
        </w:rPr>
        <w:t>On September 17, 2021, or the Closing Date, we entered into a Loan and Security Agreement, as amended by the Third Loan Amendment, the Loan Agreement, with Hercules Capital, Inc. (in such capacity, the “Agent” or “Hercules”), as administratve agent and collateral agent and as a lender and the other fnancial insttutons that from tme to tme become partes to the Loan Agreement as lenders (collectvely, the “Lenders”).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May 9, 2023, we entered into an amendment to the Loan Agreement, or the Third Loan Amendment, pursuant to which, among other things,</w:t>
      </w:r>
    </w:p>
    <w:p>
      <w:pPr>
        <w:spacing w:after="0" w:line="43" w:lineRule="exact"/>
        <w:rPr>
          <w:sz w:val="20"/>
          <w:szCs w:val="20"/>
          <w:color w:val="auto"/>
        </w:rPr>
      </w:pPr>
    </w:p>
    <w:p>
      <w:pPr>
        <w:ind w:firstLine="8"/>
        <w:spacing w:after="0" w:line="253" w:lineRule="auto"/>
        <w:tabs>
          <w:tab w:leader="none" w:pos="19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second tranche availability was extended from May 15, 2023, to December 15, 2023, to become available upon the earliest to occur of (a) October 1, 2023, (b) the FDA’s approval of Company’s new drug applicaton (or supplemental new drug applicaton) for vonoprazan for an indicaton relatng to the healing and maintenance of healing of erosive esophagits with an approved indicaton on the label that is generally consistent with that sought in Company’s new drug applicaton submission (or Company’s supplemental new drug applicaton submission, or the EE Milestone, and (c) upon the determinaton by the Agent’s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4" w:right="379" w:bottom="1440" w:gutter="0" w:footer="0" w:header="0"/>
        </w:sectPr>
      </w:pPr>
    </w:p>
    <w:bookmarkStart w:id="28" w:name="page29"/>
    <w:bookmarkEnd w:id="28"/>
    <w:p>
      <w:pPr>
        <w:ind w:right="20"/>
        <w:spacing w:after="0" w:line="292" w:lineRule="auto"/>
        <w:rPr>
          <w:sz w:val="20"/>
          <w:szCs w:val="20"/>
          <w:color w:val="auto"/>
        </w:rPr>
      </w:pPr>
      <w:r>
        <w:rPr>
          <w:rFonts w:ascii="Arial" w:cs="Arial" w:eastAsia="Arial" w:hAnsi="Arial"/>
          <w:sz w:val="16"/>
          <w:szCs w:val="16"/>
          <w:color w:val="auto"/>
        </w:rPr>
        <w:t xml:space="preserve">investment commitee in its sole and unfetered discreton, (ii) the third tranche availability was extended from September 30, 2023, to December 15, 2023, to become available upon the earliest to occur of (a) October 1, 2023, (b) the EE Milestone, and (c) upon the determinaton by the Agent’s investment commitee in its sole and unfetered discreton, (iii) the efectve date of the Performance Covenants (as defned below) was amended to provide an opton to extend the covenant trigger date </w:t>
      </w:r>
      <w:r>
        <w:rPr>
          <w:rFonts w:ascii="Arial" w:cs="Arial" w:eastAsia="Arial" w:hAnsi="Arial"/>
          <w:sz w:val="17"/>
          <w:szCs w:val="17"/>
          <w:color w:val="auto"/>
        </w:rPr>
        <w:t>to</w:t>
      </w:r>
      <w:r>
        <w:rPr>
          <w:rFonts w:ascii="Arial" w:cs="Arial" w:eastAsia="Arial" w:hAnsi="Arial"/>
          <w:sz w:val="16"/>
          <w:szCs w:val="16"/>
          <w:color w:val="auto"/>
        </w:rPr>
        <w:t xml:space="preserve"> May 15, 2024, subject to the EE Milestone prior to February 15, 2024, and (iv) the form of warrants to purchase shares of our common stock to be issued upon drawdowns of future tranches was amended such that the exercise price of such warrants shall be equal to the lesser (i) of $11.6783, which is the trailing ten-day volume-weighted average price, or VWAP, prior to entering into the Third Loan Amendment and (ii) the trailing ten-day VWAP preceding the date on which we drawdown future tranches. In connecton with the Third Loan Amendment, a tranche extension amendment fee of $150,000 and a covenant extension amendment fee of $100,000 was paid to the Agent.</w:t>
      </w:r>
    </w:p>
    <w:p>
      <w:pPr>
        <w:spacing w:after="0" w:line="139"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Loan Agreement provides for term loans in an aggregate principal amount of up to $200.0 million, or the Term Loan, under multple tranches. The tranches consist of (i) a frst tranche consistng of term loans in an aggregate principal amount of $100.0 million, all of which was funded on the Closing Date, or the First Advance, (ii) a second tranche consistng of up to an additonal $50.0 million, available in minimum of $25.0 million per draw, which will become available to us through December 15, 2023, upon the earliest to occur of (a) October 1, 2023, (b) the EE Milestone, and (c) upon the determinaton by the Agent’s investment commitee in its sole and unfetered discreton, (iii) a third tranche consistng of an additonal $25.0 million, which will become available to us through December 15, 2023, upon the earliest to occur of (a) October 1, 2023, (b) the EE Milestone, and (c) upon the determinaton by the Agent’s investment commitee in its sole and unfetered discreton, and (iv) a fourth tranche consistng of up to an additonal $25.0 million, which will be available, if specifed conditons are met, through March 31, 2024, upon achievement of (a) FDA approval of our NDA for vonoprazan and amoxicillin, or its NDA for vonoprazan, amoxicillin and clarithromycin, in each case for an indicaton relatng to the treatment of H. pylori with an approved indicaton on the claim that is generally consistent with that sought in our NDA submission; and (b) fling of an NDA or supplemental NDA for vonoprazan for indicatons relatng to the healing and maintenance of healing of erosive GERD (milestones (a) and (b), or, together, the Second Performance Milestone). The fourth tranche is currently available as the Second Perfomance Milestone has been achieved. We intend to use the proceeds of the Term Loan advances for working capital and general corporate purposes.</w:t>
      </w:r>
    </w:p>
    <w:p>
      <w:pPr>
        <w:spacing w:after="0" w:line="14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may be extended to October 1, 2025, upon the achievement of the Second Performance Milestone on or prior to September 30, 2024 and the conditon that no default or event of default exists, and which is further extendable to October 1, 2026, subject to FDA approval of our NDA (or supplemental NDA) for vonoprazan for an indicaton relatng to the healing and maintenance of healing of erosive esophagits with an approved indicaton on the label that is generally consistent with that sought in our NDA submission (or supplemental NDA submission), and subject to the achievement of the EE Milestone, on or prior to September 30, 2025 and no default or event of default exists, or the interest only period. Afer the interest-only period, the principal balance and related interest will be required to be repaid in equal monthly installments and contnuing untl the Maturity Date.</w:t>
      </w:r>
    </w:p>
    <w:p>
      <w:pPr>
        <w:spacing w:after="0" w:line="14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Loan Agreement contains customary closing fees, prepayment fees and provisions, events of default, and representatons, warrantes and covenants, including a fnancial covenant requiring us to maintain certain levels of cash subject to a control agreement in favor of the Agent (minus accounts payable not paid within 120 days of invoice) (“Qualifed Cash”), and commencing on November 15, 2023, if the outstanding loan amount is greater than $100.0 million, comply with either (a) at all tmes (i) maintain Qualifed Cash in an amount greater than or equal to (x) the outstanding principal amount of the term loans, multplied by (y)(i) at all tmes prior to the Second Performance Milestone and the EE Milestone (together, the Approval Milestone), 65% and (ii) at all tmes afer the Approval Milestone, 45%, (ii) meet market capitalizaton of at least $900.0 million, or (b) meet trailing three-month net product revenue from the sale of vonoprazan and products containing vonoprazan equal to or greater than the least of (x) 50% of projectons, (y) the outstanding loan amount divided by 2.75, and (z) $65,000,000 (both (a) and (b), collectvely, the Performance Covenants). Pursuant to the Third Loan Amendment, the efectve date of the Performance Covenants will be extended from November 15, 2023, to May 15, 2024, if we achieve the EE Milestone prior to February 15, 2024.</w:t>
      </w:r>
    </w:p>
    <w:p>
      <w:pPr>
        <w:spacing w:after="0" w:line="158" w:lineRule="exact"/>
        <w:rPr>
          <w:sz w:val="20"/>
          <w:szCs w:val="20"/>
          <w:color w:val="auto"/>
        </w:rPr>
      </w:pPr>
    </w:p>
    <w:p>
      <w:pPr>
        <w:ind w:right="80" w:firstLine="509"/>
        <w:spacing w:after="0" w:line="273" w:lineRule="auto"/>
        <w:rPr>
          <w:sz w:val="20"/>
          <w:szCs w:val="20"/>
          <w:color w:val="auto"/>
        </w:rPr>
      </w:pPr>
      <w:r>
        <w:rPr>
          <w:rFonts w:ascii="Arial" w:cs="Arial" w:eastAsia="Arial" w:hAnsi="Arial"/>
          <w:sz w:val="18"/>
          <w:szCs w:val="18"/>
          <w:color w:val="auto"/>
        </w:rPr>
        <w:t>As collateral for the obligatons, we granted Hercules a senior security interest in all of our right, ttle, and interest in, to and under substantally all of our property, inclusive of intellectual property.</w:t>
      </w:r>
    </w:p>
    <w:p>
      <w:pPr>
        <w:spacing w:after="0" w:line="137" w:lineRule="exact"/>
        <w:rPr>
          <w:sz w:val="20"/>
          <w:szCs w:val="20"/>
          <w:color w:val="auto"/>
        </w:rPr>
      </w:pPr>
    </w:p>
    <w:p>
      <w:pPr>
        <w:jc w:val="both"/>
        <w:ind w:right="320" w:firstLine="509"/>
        <w:spacing w:after="0" w:line="262" w:lineRule="auto"/>
        <w:rPr>
          <w:sz w:val="20"/>
          <w:szCs w:val="20"/>
          <w:color w:val="auto"/>
        </w:rPr>
      </w:pPr>
      <w:r>
        <w:rPr>
          <w:rFonts w:ascii="Arial" w:cs="Arial" w:eastAsia="Arial" w:hAnsi="Arial"/>
          <w:sz w:val="18"/>
          <w:szCs w:val="18"/>
          <w:color w:val="auto"/>
        </w:rPr>
        <w:t>In connecton with the entry into the Loan Agreement, we issued to Hercules a warrant, or the Warrant, to purchase a number of shares of our common stock equal to 2.5% of the aggregate amount of the Term Loan advances funded, and will issue to Hercules additonal warrants when future Term Loan advances are funded. On the Closing Date, we issued a Warrant for 74,782 shares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9" w:name="page30"/>
    <w:bookmarkEnd w:id="29"/>
    <w:p>
      <w:pPr>
        <w:ind w:right="80"/>
        <w:spacing w:after="0" w:line="274" w:lineRule="auto"/>
        <w:rPr>
          <w:sz w:val="20"/>
          <w:szCs w:val="20"/>
          <w:color w:val="auto"/>
        </w:rPr>
      </w:pPr>
      <w:r>
        <w:rPr>
          <w:rFonts w:ascii="Arial" w:cs="Arial" w:eastAsia="Arial" w:hAnsi="Arial"/>
          <w:sz w:val="17"/>
          <w:szCs w:val="17"/>
          <w:color w:val="auto"/>
        </w:rPr>
        <w:t>common stock. The Warrant is exercisable for a period of seven years from the date of issuance at a per-share exercise price equal to $33.43, which was the closing price of our common stock on September 16, 2021. In connecton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The exercise price and terms of the outstanding Warrant remain unchanged.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8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On May 3, 2022, we entered into a Revenue Interest Financing Agreement, or the Revenue Interest Financing Agreement, with enttes managed or advised by NovaQuest Capital Management, or NQ, Sagard Holdings Manager LP, or Sagard, and Hercules Capital, Inc., or Hercules, together with NQ and Sagard, the “Inital Investors” pursuant to which we can receive up to $260 million in funding from the Inital Investors. Under the terms of the Revenue Interest Financing Agreement, we received $100 million at the inital closing and can receive an additonal $160 million upon FDA approval of vonoprazan for treatment of Erosive GERD on or before March 31, 2024. In additon, we had the right to obtain a writen commitment from a third party for up to (i) at any tme prior to December 31, 2022, $15,000,000 in additonal funding upon FDA approval of vonoprazan for Erosive GERD, or Approval Additonal Funding, and (ii) at any tme prior to June 30, 2024, $25,000,000 in additonal funding for achievement of a sales milestone, or Milestone Additonal Funding, and, together with the Approval Additonal Funding, or the Additonal Investor Funding. The Inital Investors had a right of frst ofer for any Additonal Investor Funding.</w:t>
      </w:r>
    </w:p>
    <w:p>
      <w:pPr>
        <w:spacing w:after="0" w:line="15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On October 31, 2022, we entered into a Joinder and Waiver Agreement with the Inital Investors and CO Finance LVS XXXVII LLC, or the Additonal Investor, and Hercules Capital, Inc. in its capacity as administratve agent and collateral agent for itself and the lenders under that certain Loan Agreement, or the Joinder Agreement, in respect of the Revenue Interest Financing Agreement. Under the terms of the Joinder Agreement, the Inital Investors waived their rights of frst ofer regarding the Additonal Investor Funding and the Additonal Investor joined the Revenue Interest Financing Agreement to extend commitments for the Additonal Investor Funding. The total amount funded by the Inital Investors and any subsequent investors is referred to herein as the “Investment Amount.”</w:t>
      </w:r>
    </w:p>
    <w:p>
      <w:pPr>
        <w:spacing w:after="0" w:line="16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Under the Revenue Interest Financing Agreement, the Inital Investors, and subsequent to the payment of the Approval Additonal Funding, the Additonal Investor, are enttled to receive a 10% royalty on net sales of products containing vonoprazan. The royalty rate is subject to a step-down on net sales exceeding certain annual thresholds and if we receive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we have the right to make a cap payment equal to 200% of the Investment Amount less any royaltes already paid, at which tme the agreement will terminate.</w:t>
      </w:r>
    </w:p>
    <w:p>
      <w:pPr>
        <w:spacing w:after="0" w:line="154" w:lineRule="exact"/>
        <w:rPr>
          <w:sz w:val="20"/>
          <w:szCs w:val="20"/>
          <w:color w:val="auto"/>
        </w:rPr>
      </w:pPr>
    </w:p>
    <w:p>
      <w:pPr>
        <w:ind w:right="60" w:firstLine="509"/>
        <w:spacing w:after="0" w:line="262" w:lineRule="auto"/>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46"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afer April 1, 2028, we are obligated to pay 1.30 tmes Investment Amount, 1.65 tmes Investment Amount, and 2.0 tmes investment amount, respectvely, less any amounts the Company previously paid pursuant to the agreement. Upon the occurrence of a change in control event taking place prior to the earlier of April 1, 2024, or FDA approval of vonoprazan for Erosive GERD,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0" w:name="page31"/>
    <w:bookmarkEnd w:id="30"/>
    <w:p>
      <w:pPr>
        <w:ind w:right="300"/>
        <w:spacing w:after="0" w:line="273" w:lineRule="auto"/>
        <w:rPr>
          <w:sz w:val="20"/>
          <w:szCs w:val="20"/>
          <w:color w:val="auto"/>
        </w:rPr>
      </w:pPr>
      <w:r>
        <w:rPr>
          <w:rFonts w:ascii="Arial" w:cs="Arial" w:eastAsia="Arial" w:hAnsi="Arial"/>
          <w:sz w:val="18"/>
          <w:szCs w:val="18"/>
          <w:color w:val="auto"/>
        </w:rPr>
        <w:t>are obligated to pay 200% of the Investment Amount plus either 15% of the Investment Amount if occurrence prior to May 3, 2023, or plus 30% of the Investment Amount if occurrence thereafer.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At-the-Market-Ofering</w:t>
      </w:r>
    </w:p>
    <w:p>
      <w:pPr>
        <w:spacing w:after="0" w:line="206"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On November 10, 2020, we entered into an Open Market Sale Agreement</w:t>
      </w:r>
      <w:r>
        <w:rPr>
          <w:rFonts w:ascii="Arial" w:cs="Arial" w:eastAsia="Arial" w:hAnsi="Arial"/>
          <w:sz w:val="20"/>
          <w:szCs w:val="20"/>
          <w:color w:val="auto"/>
          <w:vertAlign w:val="superscript"/>
        </w:rPr>
        <w:t>SM</w:t>
      </w:r>
      <w:r>
        <w:rPr>
          <w:rFonts w:ascii="Arial" w:cs="Arial" w:eastAsia="Arial" w:hAnsi="Arial"/>
          <w:sz w:val="18"/>
          <w:szCs w:val="18"/>
          <w:color w:val="auto"/>
        </w:rPr>
        <w:t>, or the Sales Agreement, with Jeferies LLC, or the Sales Agent, under which we may, from tme to tme, sell shares of our common stock having an aggregate ofering price of up to $125.0 million through the Sales Agent, or the ATM Ofering. Sales of our common stock made pursuant to the Sales Agreement, if any, will be made under our shelf registraton statement on Form S-3 which was fled on November 10, 2020 and declared efectve by the SEC on November 16, 2020. We are not obligated to, and we cannot provide any assurances that we will, make any sales of the shares under the Sales Agreement. The Sales Agreement may be terminated by the Sales Agent or us at any tme. For the year ended December 31, 2022, we sold 2,414,897 shares of our common stock under the ATM Ofering for net proceeds of approximately $24.6 million afer deductng $0.8 million of issuance costs. For the six months ended June 30, 2023 we sold 1,514,219 shares for net proceeds of approximately $14.1 million afer deductng $0.4 million of issuance costs. As of June 30, 2023, we utlized $39.9 million of the available $125.0 million under the ATM Ofering.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Underwriten Public Oferings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December 16, 2020, we completed an underwriten public ofering, in which we sold 2,250,000 shares of our common stock at a price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$42.00 per share for total gross proceeds of $94.5 million. The net purchase price afer deductng underwritng discounts and commissions was $39.48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 share, which generated net proceeds of $88.8 million. We incurred an additonal $0.2 million of ofering expenses in connecton with the public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ofering.</w:t>
      </w:r>
    </w:p>
    <w:p>
      <w:pPr>
        <w:spacing w:after="0" w:line="174"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On May 23, 2023, we completed an underwriten public ofering, in which we sold 12,793,750 shares of our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We incurred an additonal $0.4 million of ofering expenses in connecton with this public ofering.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together with antcipated product revenues, will be sufcient to fund our operatons through the end of 2025. We expect such amounts will allow us to complete our ongoing Phase 3 clinical trial studying vonoprazan for Non-Erosive GERD (daily dosing), and, if our post-complete response leter submissions concerning NVP are approved by FDA, launch vonoprazan for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pylori </w:t>
      </w:r>
      <w:r>
        <w:rPr>
          <w:rFonts w:ascii="Arial" w:cs="Arial" w:eastAsia="Arial" w:hAnsi="Arial"/>
          <w:sz w:val="17"/>
          <w:szCs w:val="17"/>
          <w:color w:val="auto"/>
        </w:rPr>
        <w:t>and Erosive GERD. However, our forecast of the period of tme through which our fnancial resources will be adequate to support our operatons is a</w:t>
      </w:r>
      <w:r>
        <w:rPr>
          <w:rFonts w:ascii="Arial" w:cs="Arial" w:eastAsia="Arial" w:hAnsi="Arial"/>
          <w:sz w:val="17"/>
          <w:szCs w:val="17"/>
          <w:i w:val="1"/>
          <w:iCs w:val="1"/>
          <w:color w:val="auto"/>
        </w:rPr>
        <w:t xml:space="preserve"> </w:t>
      </w:r>
      <w:r>
        <w:rPr>
          <w:rFonts w:ascii="Arial" w:cs="Arial" w:eastAsia="Arial" w:hAnsi="Arial"/>
          <w:sz w:val="17"/>
          <w:szCs w:val="17"/>
          <w:color w:val="auto"/>
        </w:rPr>
        <w:t>forward-looking statement that involves risks and uncertaintes and actual results could vary materially. We have based this estmate on assumptons that may prove to be wrong, and we could deplete our capital resources sooner than we expect. Additonally, the process of testng product candidates in clinical trials is costly, and the tming of progress and expenses in these trials is uncertain.</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20" w:right="320" w:hanging="503"/>
        <w:spacing w:after="0" w:line="30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59" w:lineRule="exact"/>
        <w:rPr>
          <w:rFonts w:ascii="Arial" w:cs="Arial" w:eastAsia="Arial" w:hAnsi="Arial"/>
          <w:sz w:val="17"/>
          <w:szCs w:val="17"/>
          <w:color w:val="auto"/>
        </w:rPr>
      </w:pPr>
    </w:p>
    <w:p>
      <w:pPr>
        <w:ind w:left="1020" w:right="260" w:hanging="503"/>
        <w:spacing w:after="0" w:line="27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tming of manufacturing for vonoprazan or any future product candidates, including commercial scale manufacturing if any product candidate is approved;</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tming and outcome of regulatory review of vonoprazan or any future product candidates;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30" w:lineRule="exact"/>
        <w:rPr>
          <w:rFonts w:ascii="Arial" w:cs="Arial" w:eastAsia="Arial" w:hAnsi="Arial"/>
          <w:sz w:val="18"/>
          <w:szCs w:val="18"/>
          <w:color w:val="auto"/>
        </w:rPr>
      </w:pPr>
    </w:p>
    <w:p>
      <w:pPr>
        <w:ind w:left="1020" w:right="60" w:hanging="503"/>
        <w:spacing w:after="0" w:line="27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eforts to enhance operatonal systems and hire additonal personnel to satsfy our obligatons as a public company, including enhanced internal controls over fnancial reportng;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1" w:name="page32"/>
    <w:bookmarkEnd w:id="31"/>
    <w:p>
      <w:pPr>
        <w:ind w:left="1020" w:right="400" w:hanging="503"/>
        <w:spacing w:after="0" w:line="27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hiring additonal personnel and consultants as our business grows, including additonal executve ofcers and clinical development personnel;</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tming and amount of the milestone or other payments we must make to Takeda and any future licensors;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tming of establishing or securing sales and marketng capabilites for vonoprazan or any future product candidate;</w:t>
      </w:r>
    </w:p>
    <w:p>
      <w:pPr>
        <w:spacing w:after="0" w:line="130" w:lineRule="exact"/>
        <w:rPr>
          <w:rFonts w:ascii="Arial" w:cs="Arial" w:eastAsia="Arial" w:hAnsi="Arial"/>
          <w:sz w:val="18"/>
          <w:szCs w:val="18"/>
          <w:color w:val="auto"/>
        </w:rPr>
      </w:pPr>
    </w:p>
    <w:p>
      <w:pPr>
        <w:ind w:left="1020" w:right="220" w:hanging="503"/>
        <w:spacing w:after="0" w:line="27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sufcient market acceptance, coverage and adequate reimbursement from third-party payers and adequate market share and revenue for any approved products;</w:t>
      </w:r>
    </w:p>
    <w:p>
      <w:pPr>
        <w:spacing w:after="0" w:line="82" w:lineRule="exact"/>
        <w:rPr>
          <w:rFonts w:ascii="Arial" w:cs="Arial" w:eastAsia="Arial" w:hAnsi="Arial"/>
          <w:sz w:val="18"/>
          <w:szCs w:val="18"/>
          <w:color w:val="auto"/>
        </w:rPr>
      </w:pPr>
    </w:p>
    <w:p>
      <w:pPr>
        <w:ind w:left="1020" w:right="400" w:hanging="503"/>
        <w:spacing w:after="0" w:line="27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patents’ willingness to pay out-of-pocket for any approved products in the absence of coverage and/or adequate reimbursement from third-party payers;</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tming of establishing and maintaining collaboratons, licenses and other similar arrangements; and</w:t>
      </w:r>
    </w:p>
    <w:p>
      <w:pPr>
        <w:spacing w:after="0" w:line="198"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98"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Untl such tme, if ever, as we can generate substantal product revenues to support our cost structure, we expect to fnance our cash needs through equity oferings, the Loan Agreement, the Revenue Interest Financing Agreement, debt fnancings, or other capital sources, including potental collaboratons, licenses and other similar arrangements. To the extent that we raise additonal capital through the sale of equity or convertble debt securites, the ownership interest of our stockholders will be or could be diluted, and the terms of these securites may include liquidaton or other preferences that adversely afect the rights of our common stockholders. Debt fnancing and equity fnancing, if available, may involve agreements that include covenants limitng or restrictng our ability to take specifc actons, such as incurring additonal debt, making capital expenditures or declaring dividends. If we raise funds through collaboratons, or other similar arrangements with third partes, we may have to relinquish valuable rights to our technologies, future revenue streams, research programs or product candidates or grant licenses on terms that may not be favorable to us and/or may reduce the value of our common stock. If we are unable to raise additonal funds through equity or debt fnancings when needed, we may be required to delay, limit, reduce or terminate our product development or future commercializaton eforts or grant rights to develop and market our product candidates even if we would otherwise prefer to develop and market such product candidates ourselves.</w:t>
      </w:r>
    </w:p>
    <w:p>
      <w:pPr>
        <w:spacing w:after="0" w:line="14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Including our existng cash and cash equivalents, we believe that we have sufcient working capital on hand to fund operatons such that there is no substantal doubt as to our ability to contnue as a going concern at the date the fnancial statements were issued. There can be no assurance that we will be successful in acquiring additonal funding, that our projectons of future working capital needs will prove accurate, or that any additonal funding would be sufcient to contnue operatons in future years. 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together with antcipated product revenues, will be sufcient to fund our operatons through the end of 2025.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fow actvity for each of the periods indicated (in thousands):</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1"/>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3"/>
        </w:trPr>
        <w:tc>
          <w:tcPr>
            <w:tcW w:w="5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 Change</w:t>
            </w:r>
          </w:p>
        </w:tc>
      </w:tr>
      <w:tr>
        <w:trPr>
          <w:trHeight w:val="33"/>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35"/>
        </w:trPr>
        <w:tc>
          <w:tcPr>
            <w:tcW w:w="5180" w:type="dxa"/>
            <w:vAlign w:val="bottom"/>
          </w:tcPr>
          <w:p>
            <w:pPr>
              <w:ind w:left="200"/>
              <w:spacing w:after="0"/>
              <w:rPr>
                <w:sz w:val="20"/>
                <w:szCs w:val="20"/>
                <w:color w:val="auto"/>
              </w:rPr>
            </w:pPr>
            <w:r>
              <w:rPr>
                <w:rFonts w:ascii="Arial" w:cs="Arial" w:eastAsia="Arial" w:hAnsi="Arial"/>
                <w:sz w:val="18"/>
                <w:szCs w:val="18"/>
                <w:color w:val="auto"/>
              </w:rPr>
              <w:t>Operatng actvites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(61,869 )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(70,473 )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8,604</w:t>
            </w:r>
          </w:p>
        </w:tc>
      </w:tr>
      <w:tr>
        <w:trPr>
          <w:trHeight w:val="251"/>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Investng actvites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(220 )</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w:t>
            </w:r>
          </w:p>
        </w:tc>
      </w:tr>
      <w:tr>
        <w:trPr>
          <w:trHeight w:val="237"/>
        </w:trPr>
        <w:tc>
          <w:tcPr>
            <w:tcW w:w="5180" w:type="dxa"/>
            <w:vAlign w:val="bottom"/>
          </w:tcPr>
          <w:p>
            <w:pPr>
              <w:ind w:left="200"/>
              <w:spacing w:after="0"/>
              <w:rPr>
                <w:sz w:val="20"/>
                <w:szCs w:val="20"/>
                <w:color w:val="auto"/>
              </w:rPr>
            </w:pPr>
            <w:r>
              <w:rPr>
                <w:rFonts w:ascii="Arial" w:cs="Arial" w:eastAsia="Arial" w:hAnsi="Arial"/>
                <w:sz w:val="18"/>
                <w:szCs w:val="18"/>
                <w:color w:val="auto"/>
              </w:rPr>
              <w:t>Financing actvites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155,574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95,446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60,128</w:t>
            </w:r>
          </w:p>
        </w:tc>
      </w:tr>
      <w:tr>
        <w:trPr>
          <w:trHeight w:val="276"/>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in 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93,485</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24,478</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-24765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Operatng Actvites</w:t>
      </w:r>
    </w:p>
    <w:p>
      <w:pPr>
        <w:spacing w:after="0" w:line="200" w:lineRule="exact"/>
        <w:rPr>
          <w:sz w:val="20"/>
          <w:szCs w:val="20"/>
          <w:color w:val="auto"/>
        </w:rPr>
      </w:pPr>
    </w:p>
    <w:p>
      <w:pPr>
        <w:ind w:right="220" w:firstLine="509"/>
        <w:spacing w:after="0" w:line="262" w:lineRule="auto"/>
        <w:rPr>
          <w:sz w:val="20"/>
          <w:szCs w:val="20"/>
          <w:color w:val="auto"/>
        </w:rPr>
      </w:pPr>
      <w:r>
        <w:rPr>
          <w:rFonts w:ascii="Arial" w:cs="Arial" w:eastAsia="Arial" w:hAnsi="Arial"/>
          <w:sz w:val="18"/>
          <w:szCs w:val="18"/>
          <w:color w:val="auto"/>
        </w:rPr>
        <w:t>Net cash used in operatng actvites was approximately $61.9 million and $70.5 million for the six months ended June 30, 2023 and 2022, respectvely. The net cash used in operatng actvites for the six months ended June 30, 2023 was due to approximately $50.0 million spent on ongoing research and development and general and administratve actvites and a $11.9</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2" w:name="page33"/>
    <w:bookmarkEnd w:id="32"/>
    <w:p>
      <w:pPr>
        <w:ind w:right="160"/>
        <w:spacing w:after="0" w:line="292" w:lineRule="auto"/>
        <w:rPr>
          <w:sz w:val="20"/>
          <w:szCs w:val="20"/>
          <w:color w:val="auto"/>
        </w:rPr>
      </w:pPr>
      <w:r>
        <w:rPr>
          <w:rFonts w:ascii="Arial" w:cs="Arial" w:eastAsia="Arial" w:hAnsi="Arial"/>
          <w:sz w:val="16"/>
          <w:szCs w:val="16"/>
          <w:color w:val="auto"/>
        </w:rPr>
        <w:t>million net change in operatng assets and liabilites. The net change in operatng assets and liabilites primarily related to a $8.4 million decrease in accounts payable and accrued expenses (including interest and clinical trial expenses), and a $3.5 million increase in prepaid assets and other current assets and other long-term assets. The net cash used in operatng actvites for the six months ended June 30, 2022 was due to approximately $73.3 million spent on ongoing research and development and general and administratve actvites ofset by a $2.9 million net change in operatng assets and liabilites. The net change in operatng assets and liabilites primarily related to a $1.9 million increase in accounts payable and accrued expenses (including interest and clinical trial expenses), and a $1.0 million increase in prepaid assets and other current assets and other long-term assets.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Investng Actvites</w:t>
      </w:r>
    </w:p>
    <w:p>
      <w:pPr>
        <w:spacing w:after="0" w:line="187" w:lineRule="exact"/>
        <w:rPr>
          <w:sz w:val="20"/>
          <w:szCs w:val="20"/>
          <w:color w:val="auto"/>
        </w:rPr>
      </w:pPr>
    </w:p>
    <w:p>
      <w:pPr>
        <w:ind w:right="680" w:firstLine="509"/>
        <w:spacing w:after="0" w:line="273" w:lineRule="auto"/>
        <w:rPr>
          <w:sz w:val="20"/>
          <w:szCs w:val="20"/>
          <w:color w:val="auto"/>
        </w:rPr>
      </w:pPr>
      <w:r>
        <w:rPr>
          <w:rFonts w:ascii="Arial" w:cs="Arial" w:eastAsia="Arial" w:hAnsi="Arial"/>
          <w:sz w:val="18"/>
          <w:szCs w:val="18"/>
          <w:color w:val="auto"/>
        </w:rPr>
        <w:t>Net cash used in investng actvites for the six months ended June 30, 2023 and 2022, was primarily due to the cash we paid for acquiring 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Actvites</w:t>
      </w:r>
    </w:p>
    <w:p>
      <w:pPr>
        <w:spacing w:after="0" w:line="227" w:lineRule="exact"/>
        <w:rPr>
          <w:sz w:val="20"/>
          <w:szCs w:val="20"/>
          <w:color w:val="auto"/>
        </w:rPr>
      </w:pPr>
    </w:p>
    <w:p>
      <w:pPr>
        <w:ind w:firstLine="562"/>
        <w:spacing w:after="0" w:line="262" w:lineRule="auto"/>
        <w:rPr>
          <w:sz w:val="20"/>
          <w:szCs w:val="20"/>
          <w:color w:val="auto"/>
        </w:rPr>
      </w:pPr>
      <w:r>
        <w:rPr>
          <w:rFonts w:ascii="Arial" w:cs="Arial" w:eastAsia="Arial" w:hAnsi="Arial"/>
          <w:sz w:val="18"/>
          <w:szCs w:val="18"/>
          <w:color w:val="auto"/>
        </w:rPr>
        <w:t>Net cash provided by fnancing actvites for the six months ended June 30, 2023 was $155.6 million due to the proceeds from the sale of common stock. Net cash provided by fnancing actvites for the six months ended June 30, 2022 was $95.4 million due to the net proceeds from the revenue interest fnancing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Obligatons and Commitments</w:t>
      </w:r>
    </w:p>
    <w:p>
      <w:pPr>
        <w:spacing w:after="0" w:line="187" w:lineRule="exact"/>
        <w:rPr>
          <w:sz w:val="20"/>
          <w:szCs w:val="20"/>
          <w:color w:val="auto"/>
        </w:rPr>
      </w:pPr>
    </w:p>
    <w:p>
      <w:pPr>
        <w:jc w:val="both"/>
        <w:ind w:right="340" w:firstLine="509"/>
        <w:spacing w:after="0" w:line="262"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six months ended June 30, 2023 to the informaton regarding our contractual obligatons that was disclosed in Management’s Discussion and Analysis of Financial Conditon and Results of Operatons contained in our 2022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Critcal Accountng Policies and Signifcant Judgments and Estmates</w:t>
      </w:r>
    </w:p>
    <w:p>
      <w:pPr>
        <w:spacing w:after="0" w:line="20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management’s discussion and analysis of our fnancial conditon and results of operatons is based on our fnancial statements, which have been prepared in accordance with generally accepted accountng principles in the United States, or GAAP. The preparaton of our fnancial statements requires us to make estmates and assumptons that afect the reported amounts of assets, liabilites and expenses and the disclosure of contngent assets and liabilites in our fnancial statements and accompanying notes. We evaluate these estmates and judgments on an ongoing basis. We base our estmates on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w:t>
      </w:r>
    </w:p>
    <w:p>
      <w:pPr>
        <w:spacing w:after="0" w:line="154" w:lineRule="exact"/>
        <w:rPr>
          <w:sz w:val="20"/>
          <w:szCs w:val="20"/>
          <w:color w:val="auto"/>
        </w:rPr>
      </w:pPr>
    </w:p>
    <w:p>
      <w:pPr>
        <w:ind w:right="40" w:firstLine="509"/>
        <w:spacing w:after="0" w:line="284" w:lineRule="auto"/>
        <w:rPr>
          <w:sz w:val="20"/>
          <w:szCs w:val="20"/>
          <w:color w:val="auto"/>
        </w:rPr>
      </w:pPr>
      <w:r>
        <w:rPr>
          <w:rFonts w:ascii="Arial" w:cs="Arial" w:eastAsia="Arial" w:hAnsi="Arial"/>
          <w:sz w:val="17"/>
          <w:szCs w:val="17"/>
          <w:color w:val="auto"/>
        </w:rPr>
        <w:t>For a descripton of our critcal accountng policies, please see the secton enttled “Management’s Discussion and Analysis of Financial Conditon and Results of Operatons — Critcal Accountng Policies and Signifcant Judgments and Estmates” contained in our 2022 Form 10-K. There have not been any material changes to the critcal accountng policies discussed therein during the six months ended June 30,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8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transiton period for complying with new or revised accountng standards. This allows an emerging growth company to delay the adopton of certain accountng standards untl those standards would otherwise apply to private companies. We have irrevocably elected not to avail ourselves of this exempton and, therefore, we will be subject to the same new or revised accountng standards as other public companies that are not emerging growth companies. We intend to rely on other exemptons provided by the JOBS Act, including without limitaton, not being required to comply with the auditor atestaton requirements of Secton 404(b) of Sarbanes-Oxley.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3" w:name="page34"/>
    <w:bookmarkEnd w:id="33"/>
    <w:p>
      <w:pPr>
        <w:ind w:right="160" w:firstLine="509"/>
        <w:spacing w:after="0" w:line="274" w:lineRule="auto"/>
        <w:rPr>
          <w:sz w:val="20"/>
          <w:szCs w:val="20"/>
          <w:color w:val="auto"/>
        </w:rPr>
      </w:pPr>
      <w:r>
        <w:rPr>
          <w:rFonts w:ascii="Arial" w:cs="Arial" w:eastAsia="Arial" w:hAnsi="Arial"/>
          <w:sz w:val="17"/>
          <w:szCs w:val="17"/>
          <w:color w:val="auto"/>
        </w:rPr>
        <w:t>We will remain an emerging growth company untl the earliest of (i) the last day of the fscal year following the ffh anniversary of the consummaton of our IPO, (ii) the last day of the fscal year in which we have total annual gross revenue of at least $1.235 billion, (iii) the last day of the fscal year in which we are deemed to be a “large accelerated fler” as defned in Rule 12b-2 under the Exchange Act, which would occur if the market value of our common stock held by non-afliates exceeded $700.0 million as of the last business day of the second fscal quarter of such year, or (iv) the date on which we have issued more than $1.0 billion in non-convertble debt securites during the prior three-year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Accountng Pronouncements</w:t>
      </w:r>
    </w:p>
    <w:p>
      <w:pPr>
        <w:spacing w:after="0" w:line="187" w:lineRule="exact"/>
        <w:rPr>
          <w:sz w:val="20"/>
          <w:szCs w:val="20"/>
          <w:color w:val="auto"/>
        </w:rPr>
      </w:pPr>
    </w:p>
    <w:p>
      <w:pPr>
        <w:ind w:right="340" w:firstLine="509"/>
        <w:spacing w:after="0" w:line="273" w:lineRule="auto"/>
        <w:rPr>
          <w:sz w:val="20"/>
          <w:szCs w:val="20"/>
          <w:color w:val="auto"/>
        </w:rPr>
      </w:pPr>
      <w:r>
        <w:rPr>
          <w:rFonts w:ascii="Arial" w:cs="Arial" w:eastAsia="Arial" w:hAnsi="Arial"/>
          <w:sz w:val="18"/>
          <w:szCs w:val="18"/>
          <w:color w:val="auto"/>
        </w:rPr>
        <w:t>The informaton required by this item is included in Note 1, Organizaton, Basis of Presentaton and Summary of Signifcant Accountng Policies included in Part 1, Item 1 of this quarterly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Of-Balance Sheet Arrangements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presented we did not have, nor do we currently have, any of-balance sheet arrangements as defned under SEC rules.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Quanttatve and Qualitatve Disclosures About Market Risk</w:t>
      </w:r>
    </w:p>
    <w:p>
      <w:pPr>
        <w:spacing w:after="0" w:line="187"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8"/>
          <w:szCs w:val="18"/>
          <w:color w:val="auto"/>
        </w:rPr>
        <w:t>As of June 30, 2023, there have been no material changes surrounding our market risk, including interest rate risk, foreign currency exchange risk, and infaton risk, from the discussion provided in “Management’s Discussion and Analysis of Financial Conditon and Results of Operatons – Quanttatve and Qualitatve Disclosures About Market Risk” of our 2022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Efectveness of Disclosure Controls and Procedures</w:t>
      </w:r>
    </w:p>
    <w:p>
      <w:pPr>
        <w:spacing w:after="0" w:line="187"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We maintain disclosure controls and procedures that are designed to ensure that informaton required to be disclosed in our periodic and current reports that we fle with the SEC is recorded, processed, summarized and reported within the tme periods specifed in the SEC’s rules and forms, and that such informaton is accumulated and communicated to our management, including our principal executve ofcer and principal fnancial ofcer, as appropriate, to allow tmely decisions regarding required disclosure. In designing and evaluatng the disclosure controls and procedures, management recognized that any controls and procedures, no mater how well designed and operated, can provide only reasonable and not absolute assurance of achieving the desired control objectves. In reaching a reasonable level of assurance, management necessarily was required to apply its judgment in evaluatng the cost-beneft relatonship of possible controls and procedures. In additon, the design of any system of controls also is based in part upon certain assumptons about the likelihood of future events, and there can be no assurance that any design will succeed in achieving its stated goals under all potental future conditons; over tme, control may become inadequate because of changes in conditons, or the degree of compliance with policies or procedures may deteriorate. Because of the inherent limitatons in a cost-efectve control system, misstatements due to error or fraud may occur and not be detected.</w:t>
      </w:r>
    </w:p>
    <w:p>
      <w:pPr>
        <w:spacing w:after="0" w:line="174" w:lineRule="exact"/>
        <w:rPr>
          <w:sz w:val="20"/>
          <w:szCs w:val="20"/>
          <w:color w:val="auto"/>
        </w:rPr>
      </w:pPr>
    </w:p>
    <w:p>
      <w:pPr>
        <w:ind w:right="360" w:firstLine="509"/>
        <w:spacing w:after="0" w:line="258" w:lineRule="auto"/>
        <w:rPr>
          <w:sz w:val="20"/>
          <w:szCs w:val="20"/>
          <w:color w:val="auto"/>
        </w:rPr>
      </w:pPr>
      <w:r>
        <w:rPr>
          <w:rFonts w:ascii="Arial" w:cs="Arial" w:eastAsia="Arial" w:hAnsi="Arial"/>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quarterly report. Based on such evaluaton, our principal executve ofcer and principal fnancial ofcer have concluded that as of such date, our disclosure controls and procedures were efectve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Reportng</w:t>
      </w:r>
    </w:p>
    <w:p>
      <w:pPr>
        <w:spacing w:after="0" w:line="187" w:lineRule="exact"/>
        <w:rPr>
          <w:sz w:val="20"/>
          <w:szCs w:val="20"/>
          <w:color w:val="auto"/>
        </w:rPr>
      </w:pPr>
    </w:p>
    <w:p>
      <w:pPr>
        <w:ind w:right="560" w:firstLine="509"/>
        <w:spacing w:after="0" w:line="273" w:lineRule="auto"/>
        <w:rPr>
          <w:sz w:val="20"/>
          <w:szCs w:val="20"/>
          <w:color w:val="auto"/>
        </w:rPr>
      </w:pPr>
      <w:r>
        <w:rPr>
          <w:rFonts w:ascii="Arial" w:cs="Arial" w:eastAsia="Arial" w:hAnsi="Arial"/>
          <w:sz w:val="18"/>
          <w:szCs w:val="18"/>
          <w:color w:val="auto"/>
        </w:rPr>
        <w:t>There have been no changes in our internal control over fnancial reportng during the six months ended June 30, 2023 that have materially afected, or are reasonably likely to materially afect, our internal control over fnancial reportng.</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We are not currently subject to any material legal proceedings. From tme to tme, we may be involved in legal proceedings or subject to claims incident to the ordinary course of business. Regardless of the outcome, such proceedings or claims can have an adverse impact on us because of defense and setlement costs, diversion of resources and other factors, and there can be no assurances that favorable outcomes will be obtained.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the risk factors disclosed in Part I, Item 1A, “Risk Factors” of our 2022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8"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80" w:type="dxa"/>
            <w:vAlign w:val="bottom"/>
            <w:gridSpan w:val="4"/>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158"/>
        </w:trPr>
        <w:tc>
          <w:tcPr>
            <w:tcW w:w="1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gridSpan w:val="19"/>
          </w:tcPr>
          <w:p>
            <w:pPr>
              <w:ind w:left="240"/>
              <w:spacing w:after="0"/>
              <w:rPr>
                <w:sz w:val="20"/>
                <w:szCs w:val="20"/>
                <w:color w:val="auto"/>
              </w:rPr>
            </w:pPr>
            <w:r>
              <w:rPr>
                <w:rFonts w:ascii="Arial" w:cs="Arial" w:eastAsia="Arial" w:hAnsi="Arial"/>
                <w:sz w:val="14"/>
                <w:szCs w:val="14"/>
                <w:b w:val="1"/>
                <w:bCs w:val="1"/>
                <w:color w:val="auto"/>
              </w:rPr>
              <w:t>Exhibit Descripton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16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
        </w:trPr>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60" w:type="dxa"/>
            <w:vAlign w:val="bottom"/>
          </w:tcPr>
          <w:p>
            <w:pPr>
              <w:spacing w:after="0"/>
              <w:rPr>
                <w:sz w:val="24"/>
                <w:szCs w:val="24"/>
                <w:color w:val="auto"/>
              </w:rPr>
            </w:pPr>
          </w:p>
        </w:tc>
        <w:tc>
          <w:tcPr>
            <w:tcW w:w="2980" w:type="dxa"/>
            <w:vAlign w:val="bottom"/>
            <w:tcBorders>
              <w:bottom w:val="single" w:sz="8" w:color="0000FF"/>
            </w:tcBorders>
            <w:gridSpan w:val="7"/>
          </w:tcPr>
          <w:p>
            <w:pPr>
              <w:spacing w:after="0"/>
              <w:rPr>
                <w:rFonts w:ascii="Arial" w:cs="Arial" w:eastAsia="Arial" w:hAnsi="Arial"/>
                <w:sz w:val="14"/>
                <w:szCs w:val="14"/>
                <w:color w:val="0000FF"/>
                <w:w w:val="96"/>
              </w:rPr>
            </w:pPr>
            <w:hyperlink r:id="rId160">
              <w:r>
                <w:rPr>
                  <w:rFonts w:ascii="Arial" w:cs="Arial" w:eastAsia="Arial" w:hAnsi="Arial"/>
                  <w:sz w:val="14"/>
                  <w:szCs w:val="14"/>
                  <w:color w:val="0000FF"/>
                  <w:w w:val="96"/>
                </w:rPr>
                <w:t>Amended and Restated Certfcate of Incorporaton</w:t>
              </w:r>
            </w:hyperlink>
          </w:p>
        </w:tc>
        <w:tc>
          <w:tcPr>
            <w:tcW w:w="2800" w:type="dxa"/>
            <w:vAlign w:val="bottom"/>
            <w:gridSpan w:val="18"/>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8-K</w:t>
            </w:r>
          </w:p>
        </w:tc>
        <w:tc>
          <w:tcPr>
            <w:tcW w:w="12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10/29/19</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3.1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60" w:type="dxa"/>
            <w:vAlign w:val="bottom"/>
          </w:tcPr>
          <w:p>
            <w:pPr>
              <w:spacing w:after="0"/>
              <w:rPr>
                <w:sz w:val="24"/>
                <w:szCs w:val="24"/>
                <w:color w:val="auto"/>
              </w:rPr>
            </w:pPr>
          </w:p>
        </w:tc>
        <w:tc>
          <w:tcPr>
            <w:tcW w:w="5480" w:type="dxa"/>
            <w:vAlign w:val="bottom"/>
            <w:tcBorders>
              <w:bottom w:val="single" w:sz="8" w:color="0000FF"/>
            </w:tcBorders>
            <w:gridSpan w:val="20"/>
          </w:tcPr>
          <w:p>
            <w:pPr>
              <w:spacing w:after="0"/>
              <w:rPr>
                <w:rFonts w:ascii="Arial" w:cs="Arial" w:eastAsia="Arial" w:hAnsi="Arial"/>
                <w:sz w:val="14"/>
                <w:szCs w:val="14"/>
                <w:color w:val="0000FF"/>
                <w:w w:val="98"/>
              </w:rPr>
            </w:pPr>
            <w:hyperlink r:id="rId161">
              <w:r>
                <w:rPr>
                  <w:rFonts w:ascii="Arial" w:cs="Arial" w:eastAsia="Arial" w:hAnsi="Arial"/>
                  <w:sz w:val="14"/>
                  <w:szCs w:val="14"/>
                  <w:color w:val="0000FF"/>
                  <w:w w:val="98"/>
                </w:rPr>
                <w:t>Certfcate of Amendment to Amended and Restated Certfcate of Incorporaton, as fled with</w:t>
              </w:r>
            </w:hyperlink>
          </w:p>
        </w:tc>
        <w:tc>
          <w:tcPr>
            <w:tcW w:w="30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8-K</w:t>
            </w:r>
          </w:p>
        </w:tc>
        <w:tc>
          <w:tcPr>
            <w:tcW w:w="1200" w:type="dxa"/>
            <w:vAlign w:val="bottom"/>
            <w:gridSpan w:val="2"/>
          </w:tcPr>
          <w:p>
            <w:pPr>
              <w:jc w:val="center"/>
              <w:ind w:left="88"/>
              <w:spacing w:after="0"/>
              <w:rPr>
                <w:sz w:val="20"/>
                <w:szCs w:val="20"/>
                <w:color w:val="auto"/>
              </w:rPr>
            </w:pPr>
            <w:r>
              <w:rPr>
                <w:rFonts w:ascii="Arial" w:cs="Arial" w:eastAsia="Arial" w:hAnsi="Arial"/>
                <w:sz w:val="14"/>
                <w:szCs w:val="14"/>
                <w:color w:val="auto"/>
              </w:rPr>
              <w:t>5/30/23</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3.1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40" w:type="dxa"/>
            <w:vAlign w:val="bottom"/>
            <w:tcBorders>
              <w:bottom w:val="single" w:sz="8" w:color="0000FF"/>
            </w:tcBorders>
            <w:gridSpan w:val="8"/>
          </w:tcPr>
          <w:p>
            <w:pPr>
              <w:spacing w:after="0" w:line="155" w:lineRule="exact"/>
              <w:rPr>
                <w:rFonts w:ascii="Arial" w:cs="Arial" w:eastAsia="Arial" w:hAnsi="Arial"/>
                <w:sz w:val="14"/>
                <w:szCs w:val="14"/>
                <w:color w:val="0000FF"/>
                <w:w w:val="93"/>
              </w:rPr>
            </w:pPr>
            <w:hyperlink r:id="rId161">
              <w:r>
                <w:rPr>
                  <w:rFonts w:ascii="Arial" w:cs="Arial" w:eastAsia="Arial" w:hAnsi="Arial"/>
                  <w:sz w:val="14"/>
                  <w:szCs w:val="14"/>
                  <w:color w:val="0000FF"/>
                  <w:w w:val="93"/>
                </w:rPr>
                <w:t>the Secretary of the State of Delaware on May 26, 2023</w:t>
              </w:r>
            </w:hyperlink>
          </w:p>
        </w:tc>
        <w:tc>
          <w:tcPr>
            <w:tcW w:w="2540" w:type="dxa"/>
            <w:vAlign w:val="bottom"/>
            <w:gridSpan w:val="17"/>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60" w:type="dxa"/>
            <w:vAlign w:val="bottom"/>
          </w:tcPr>
          <w:p>
            <w:pPr>
              <w:spacing w:after="0"/>
              <w:rPr>
                <w:sz w:val="24"/>
                <w:szCs w:val="24"/>
                <w:color w:val="auto"/>
              </w:rPr>
            </w:pPr>
          </w:p>
        </w:tc>
        <w:tc>
          <w:tcPr>
            <w:tcW w:w="1800" w:type="dxa"/>
            <w:vAlign w:val="bottom"/>
            <w:tcBorders>
              <w:bottom w:val="single" w:sz="8" w:color="0000FF"/>
            </w:tcBorders>
            <w:gridSpan w:val="3"/>
          </w:tcPr>
          <w:p>
            <w:pPr>
              <w:spacing w:after="0"/>
              <w:rPr>
                <w:rFonts w:ascii="Arial" w:cs="Arial" w:eastAsia="Arial" w:hAnsi="Arial"/>
                <w:sz w:val="14"/>
                <w:szCs w:val="14"/>
                <w:color w:val="0000FF"/>
                <w:w w:val="91"/>
              </w:rPr>
            </w:pPr>
            <w:hyperlink r:id="rId162">
              <w:r>
                <w:rPr>
                  <w:rFonts w:ascii="Arial" w:cs="Arial" w:eastAsia="Arial" w:hAnsi="Arial"/>
                  <w:sz w:val="14"/>
                  <w:szCs w:val="14"/>
                  <w:color w:val="0000FF"/>
                  <w:w w:val="91"/>
                </w:rPr>
                <w:t>Amended and Restated Bylaws</w:t>
              </w:r>
            </w:hyperlink>
          </w:p>
        </w:tc>
        <w:tc>
          <w:tcPr>
            <w:tcW w:w="20" w:type="dxa"/>
            <w:vAlign w:val="bottom"/>
            <w:tcBorders>
              <w:bottom w:val="single" w:sz="8" w:color="0000EE"/>
            </w:tcBorders>
          </w:tcPr>
          <w:p>
            <w:pPr>
              <w:spacing w:after="0"/>
              <w:rPr>
                <w:sz w:val="24"/>
                <w:szCs w:val="24"/>
                <w:color w:val="auto"/>
              </w:rPr>
            </w:pPr>
          </w:p>
        </w:tc>
        <w:tc>
          <w:tcPr>
            <w:tcW w:w="3960" w:type="dxa"/>
            <w:vAlign w:val="bottom"/>
            <w:gridSpan w:val="21"/>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8-K</w:t>
            </w:r>
          </w:p>
        </w:tc>
        <w:tc>
          <w:tcPr>
            <w:tcW w:w="1200" w:type="dxa"/>
            <w:vAlign w:val="bottom"/>
            <w:gridSpan w:val="2"/>
          </w:tcPr>
          <w:p>
            <w:pPr>
              <w:jc w:val="center"/>
              <w:ind w:left="88"/>
              <w:spacing w:after="0"/>
              <w:rPr>
                <w:sz w:val="20"/>
                <w:szCs w:val="20"/>
                <w:color w:val="auto"/>
              </w:rPr>
            </w:pPr>
            <w:r>
              <w:rPr>
                <w:rFonts w:ascii="Arial" w:cs="Arial" w:eastAsia="Arial" w:hAnsi="Arial"/>
                <w:sz w:val="14"/>
                <w:szCs w:val="14"/>
                <w:color w:val="auto"/>
              </w:rPr>
              <w:t>9/25/20</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3.1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60" w:type="dxa"/>
            <w:vAlign w:val="bottom"/>
          </w:tcPr>
          <w:p>
            <w:pPr>
              <w:spacing w:after="0"/>
              <w:rPr>
                <w:sz w:val="24"/>
                <w:szCs w:val="24"/>
                <w:color w:val="auto"/>
              </w:rPr>
            </w:pPr>
          </w:p>
        </w:tc>
        <w:tc>
          <w:tcPr>
            <w:tcW w:w="2020" w:type="dxa"/>
            <w:vAlign w:val="bottom"/>
            <w:tcBorders>
              <w:bottom w:val="single" w:sz="8" w:color="0000FF"/>
            </w:tcBorders>
            <w:gridSpan w:val="6"/>
          </w:tcPr>
          <w:p>
            <w:pPr>
              <w:spacing w:after="0"/>
              <w:rPr>
                <w:rFonts w:ascii="Arial" w:cs="Arial" w:eastAsia="Arial" w:hAnsi="Arial"/>
                <w:sz w:val="14"/>
                <w:szCs w:val="14"/>
                <w:color w:val="0000FF"/>
                <w:w w:val="95"/>
              </w:rPr>
            </w:pPr>
            <w:hyperlink r:id="rId163">
              <w:r>
                <w:rPr>
                  <w:rFonts w:ascii="Arial" w:cs="Arial" w:eastAsia="Arial" w:hAnsi="Arial"/>
                  <w:sz w:val="14"/>
                  <w:szCs w:val="14"/>
                  <w:color w:val="0000FF"/>
                  <w:w w:val="95"/>
                </w:rPr>
                <w:t>Form of Common Stock Certfcate</w:t>
              </w:r>
            </w:hyperlink>
          </w:p>
        </w:tc>
        <w:tc>
          <w:tcPr>
            <w:tcW w:w="3760" w:type="dxa"/>
            <w:vAlign w:val="bottom"/>
            <w:gridSpan w:val="19"/>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S-1/A</w:t>
            </w:r>
          </w:p>
        </w:tc>
        <w:tc>
          <w:tcPr>
            <w:tcW w:w="12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10/15/19</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4.1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60" w:type="dxa"/>
            <w:vAlign w:val="bottom"/>
          </w:tcPr>
          <w:p>
            <w:pPr>
              <w:spacing w:after="0"/>
              <w:rPr>
                <w:sz w:val="24"/>
                <w:szCs w:val="24"/>
                <w:color w:val="auto"/>
              </w:rPr>
            </w:pPr>
          </w:p>
        </w:tc>
        <w:tc>
          <w:tcPr>
            <w:tcW w:w="4440" w:type="dxa"/>
            <w:vAlign w:val="bottom"/>
            <w:tcBorders>
              <w:bottom w:val="single" w:sz="8" w:color="0000FF"/>
            </w:tcBorders>
            <w:gridSpan w:val="12"/>
          </w:tcPr>
          <w:p>
            <w:pPr>
              <w:spacing w:after="0"/>
              <w:rPr>
                <w:rFonts w:ascii="Arial" w:cs="Arial" w:eastAsia="Arial" w:hAnsi="Arial"/>
                <w:sz w:val="14"/>
                <w:szCs w:val="14"/>
                <w:color w:val="0000FF"/>
                <w:w w:val="92"/>
              </w:rPr>
            </w:pPr>
            <w:hyperlink r:id="rId164">
              <w:r>
                <w:rPr>
                  <w:rFonts w:ascii="Arial" w:cs="Arial" w:eastAsia="Arial" w:hAnsi="Arial"/>
                  <w:sz w:val="14"/>
                  <w:szCs w:val="14"/>
                  <w:color w:val="0000FF"/>
                  <w:w w:val="92"/>
                </w:rPr>
                <w:t>Warrant to purchase stock issued to Silicon Valley Bank, dated May 14, 2019</w:t>
              </w:r>
            </w:hyperlink>
          </w:p>
        </w:tc>
        <w:tc>
          <w:tcPr>
            <w:tcW w:w="20" w:type="dxa"/>
            <w:vAlign w:val="bottom"/>
            <w:tcBorders>
              <w:bottom w:val="single" w:sz="8" w:color="0000EE"/>
            </w:tcBorders>
          </w:tcPr>
          <w:p>
            <w:pPr>
              <w:spacing w:after="0"/>
              <w:rPr>
                <w:sz w:val="24"/>
                <w:szCs w:val="24"/>
                <w:color w:val="auto"/>
              </w:rPr>
            </w:pPr>
          </w:p>
        </w:tc>
        <w:tc>
          <w:tcPr>
            <w:tcW w:w="1320" w:type="dxa"/>
            <w:vAlign w:val="bottom"/>
            <w:gridSpan w:val="12"/>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2"/>
              </w:rPr>
              <w:t>S-1</w:t>
            </w:r>
          </w:p>
        </w:tc>
        <w:tc>
          <w:tcPr>
            <w:tcW w:w="1200" w:type="dxa"/>
            <w:vAlign w:val="bottom"/>
            <w:gridSpan w:val="2"/>
          </w:tcPr>
          <w:p>
            <w:pPr>
              <w:jc w:val="center"/>
              <w:ind w:left="88"/>
              <w:spacing w:after="0"/>
              <w:rPr>
                <w:sz w:val="20"/>
                <w:szCs w:val="20"/>
                <w:color w:val="auto"/>
              </w:rPr>
            </w:pPr>
            <w:r>
              <w:rPr>
                <w:rFonts w:ascii="Arial" w:cs="Arial" w:eastAsia="Arial" w:hAnsi="Arial"/>
                <w:sz w:val="14"/>
                <w:szCs w:val="14"/>
                <w:color w:val="auto"/>
              </w:rPr>
              <w:t>9/30/19</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4.3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60" w:type="dxa"/>
            <w:vAlign w:val="bottom"/>
          </w:tcPr>
          <w:p>
            <w:pPr>
              <w:spacing w:after="0"/>
              <w:rPr>
                <w:sz w:val="24"/>
                <w:szCs w:val="24"/>
                <w:color w:val="auto"/>
              </w:rPr>
            </w:pPr>
          </w:p>
        </w:tc>
        <w:tc>
          <w:tcPr>
            <w:tcW w:w="5620" w:type="dxa"/>
            <w:vAlign w:val="bottom"/>
            <w:tcBorders>
              <w:bottom w:val="single" w:sz="8" w:color="0000FF"/>
            </w:tcBorders>
            <w:gridSpan w:val="22"/>
          </w:tcPr>
          <w:p>
            <w:pPr>
              <w:spacing w:after="0"/>
              <w:rPr>
                <w:rFonts w:ascii="Arial" w:cs="Arial" w:eastAsia="Arial" w:hAnsi="Arial"/>
                <w:sz w:val="14"/>
                <w:szCs w:val="14"/>
                <w:color w:val="0000FF"/>
                <w:w w:val="93"/>
              </w:rPr>
            </w:pPr>
            <w:hyperlink r:id="rId165">
              <w:r>
                <w:rPr>
                  <w:rFonts w:ascii="Arial" w:cs="Arial" w:eastAsia="Arial" w:hAnsi="Arial"/>
                  <w:sz w:val="14"/>
                  <w:szCs w:val="14"/>
                  <w:color w:val="0000FF"/>
                  <w:w w:val="93"/>
                </w:rPr>
                <w:t>Warrant to purchase stock issued to WestRiver Innovaton Lending Fund VIII, L.P., dated May 14,</w:t>
              </w:r>
            </w:hyperlink>
          </w:p>
        </w:tc>
        <w:tc>
          <w:tcPr>
            <w:tcW w:w="160" w:type="dxa"/>
            <w:vAlign w:val="bottom"/>
            <w:gridSpan w:val="3"/>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2"/>
              </w:rPr>
              <w:t>S-1</w:t>
            </w:r>
          </w:p>
        </w:tc>
        <w:tc>
          <w:tcPr>
            <w:tcW w:w="1200" w:type="dxa"/>
            <w:vAlign w:val="bottom"/>
            <w:gridSpan w:val="2"/>
          </w:tcPr>
          <w:p>
            <w:pPr>
              <w:jc w:val="center"/>
              <w:ind w:left="88"/>
              <w:spacing w:after="0"/>
              <w:rPr>
                <w:sz w:val="20"/>
                <w:szCs w:val="20"/>
                <w:color w:val="auto"/>
              </w:rPr>
            </w:pPr>
            <w:r>
              <w:rPr>
                <w:rFonts w:ascii="Arial" w:cs="Arial" w:eastAsia="Arial" w:hAnsi="Arial"/>
                <w:sz w:val="14"/>
                <w:szCs w:val="14"/>
                <w:color w:val="auto"/>
              </w:rPr>
              <w:t>9/30/19</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4.4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0000FF"/>
            </w:tcBorders>
          </w:tcPr>
          <w:p>
            <w:pPr>
              <w:spacing w:after="0" w:line="155" w:lineRule="exact"/>
              <w:rPr>
                <w:rFonts w:ascii="Arial" w:cs="Arial" w:eastAsia="Arial" w:hAnsi="Arial"/>
                <w:sz w:val="14"/>
                <w:szCs w:val="14"/>
                <w:color w:val="0000FF"/>
                <w:w w:val="89"/>
              </w:rPr>
            </w:pPr>
            <w:hyperlink r:id="rId165">
              <w:r>
                <w:rPr>
                  <w:rFonts w:ascii="Arial" w:cs="Arial" w:eastAsia="Arial" w:hAnsi="Arial"/>
                  <w:sz w:val="14"/>
                  <w:szCs w:val="14"/>
                  <w:color w:val="0000FF"/>
                  <w:w w:val="89"/>
                </w:rPr>
                <w:t>2019</w:t>
              </w:r>
            </w:hyperlink>
          </w:p>
        </w:tc>
        <w:tc>
          <w:tcPr>
            <w:tcW w:w="20" w:type="dxa"/>
            <w:vAlign w:val="bottom"/>
            <w:tcBorders>
              <w:bottom w:val="single" w:sz="8" w:color="0000EE"/>
            </w:tcBorders>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60" w:type="dxa"/>
            <w:vAlign w:val="bottom"/>
          </w:tcPr>
          <w:p>
            <w:pPr>
              <w:spacing w:after="0"/>
              <w:rPr>
                <w:sz w:val="24"/>
                <w:szCs w:val="24"/>
                <w:color w:val="auto"/>
              </w:rPr>
            </w:pPr>
          </w:p>
        </w:tc>
        <w:tc>
          <w:tcPr>
            <w:tcW w:w="5780" w:type="dxa"/>
            <w:vAlign w:val="bottom"/>
            <w:gridSpan w:val="25"/>
          </w:tcPr>
          <w:p>
            <w:pPr>
              <w:spacing w:after="0"/>
              <w:rPr>
                <w:rFonts w:ascii="Arial" w:cs="Arial" w:eastAsia="Arial" w:hAnsi="Arial"/>
                <w:sz w:val="14"/>
                <w:szCs w:val="14"/>
                <w:color w:val="0000FF"/>
              </w:rPr>
            </w:pPr>
            <w:hyperlink r:id="rId166">
              <w:r>
                <w:rPr>
                  <w:rFonts w:ascii="Arial" w:cs="Arial" w:eastAsia="Arial" w:hAnsi="Arial"/>
                  <w:sz w:val="14"/>
                  <w:szCs w:val="14"/>
                  <w:color w:val="0000FF"/>
                </w:rPr>
                <w:t>Warrant to purchase stock issued to Hercules Capital, dated September 17, 2021</w:t>
              </w:r>
            </w:hyperlink>
          </w:p>
        </w:tc>
        <w:tc>
          <w:tcPr>
            <w:tcW w:w="70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200" w:type="dxa"/>
            <w:vAlign w:val="bottom"/>
            <w:gridSpan w:val="2"/>
          </w:tcPr>
          <w:p>
            <w:pPr>
              <w:jc w:val="center"/>
              <w:ind w:left="88"/>
              <w:spacing w:after="0"/>
              <w:rPr>
                <w:sz w:val="20"/>
                <w:szCs w:val="20"/>
                <w:color w:val="auto"/>
              </w:rPr>
            </w:pPr>
            <w:r>
              <w:rPr>
                <w:rFonts w:ascii="Arial" w:cs="Arial" w:eastAsia="Arial" w:hAnsi="Arial"/>
                <w:sz w:val="14"/>
                <w:szCs w:val="14"/>
                <w:color w:val="auto"/>
              </w:rPr>
              <w:t>11/8/21</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10.2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60" w:type="dxa"/>
            <w:vAlign w:val="bottom"/>
          </w:tcPr>
          <w:p>
            <w:pPr>
              <w:spacing w:after="0"/>
              <w:rPr>
                <w:sz w:val="24"/>
                <w:szCs w:val="24"/>
                <w:color w:val="auto"/>
              </w:rPr>
            </w:pPr>
          </w:p>
        </w:tc>
        <w:tc>
          <w:tcPr>
            <w:tcW w:w="5440" w:type="dxa"/>
            <w:vAlign w:val="bottom"/>
            <w:tcBorders>
              <w:bottom w:val="single" w:sz="8" w:color="0000FF"/>
            </w:tcBorders>
            <w:gridSpan w:val="19"/>
          </w:tcPr>
          <w:p>
            <w:pPr>
              <w:spacing w:after="0"/>
              <w:rPr>
                <w:rFonts w:ascii="Arial" w:cs="Arial" w:eastAsia="Arial" w:hAnsi="Arial"/>
                <w:sz w:val="14"/>
                <w:szCs w:val="14"/>
                <w:color w:val="0000FF"/>
                <w:w w:val="93"/>
              </w:rPr>
            </w:pPr>
            <w:hyperlink r:id="rId167">
              <w:r>
                <w:rPr>
                  <w:rFonts w:ascii="Arial" w:cs="Arial" w:eastAsia="Arial" w:hAnsi="Arial"/>
                  <w:sz w:val="14"/>
                  <w:szCs w:val="14"/>
                  <w:color w:val="0000FF"/>
                  <w:w w:val="93"/>
                </w:rPr>
                <w:t>First Amendment to Warrant to purchase stock issued to Hercules Capital, dated May 9, 2023</w:t>
              </w:r>
            </w:hyperlink>
          </w:p>
        </w:tc>
        <w:tc>
          <w:tcPr>
            <w:tcW w:w="340" w:type="dxa"/>
            <w:vAlign w:val="bottom"/>
            <w:gridSpan w:val="6"/>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200" w:type="dxa"/>
            <w:vAlign w:val="bottom"/>
            <w:gridSpan w:val="2"/>
          </w:tcPr>
          <w:p>
            <w:pPr>
              <w:jc w:val="center"/>
              <w:ind w:left="88"/>
              <w:spacing w:after="0"/>
              <w:rPr>
                <w:sz w:val="20"/>
                <w:szCs w:val="20"/>
                <w:color w:val="auto"/>
              </w:rPr>
            </w:pPr>
            <w:r>
              <w:rPr>
                <w:rFonts w:ascii="Arial" w:cs="Arial" w:eastAsia="Arial" w:hAnsi="Arial"/>
                <w:sz w:val="14"/>
                <w:szCs w:val="14"/>
                <w:color w:val="auto"/>
              </w:rPr>
              <w:t>5/10/23</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4.5</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60" w:type="dxa"/>
            <w:vAlign w:val="bottom"/>
          </w:tcPr>
          <w:p>
            <w:pPr>
              <w:spacing w:after="0"/>
              <w:rPr>
                <w:sz w:val="24"/>
                <w:szCs w:val="24"/>
                <w:color w:val="auto"/>
              </w:rPr>
            </w:pPr>
          </w:p>
        </w:tc>
        <w:tc>
          <w:tcPr>
            <w:tcW w:w="5440" w:type="dxa"/>
            <w:vAlign w:val="bottom"/>
            <w:tcBorders>
              <w:bottom w:val="single" w:sz="8" w:color="0000FF"/>
            </w:tcBorders>
            <w:gridSpan w:val="19"/>
          </w:tcPr>
          <w:p>
            <w:pPr>
              <w:spacing w:after="0"/>
              <w:rPr>
                <w:rFonts w:ascii="Arial" w:cs="Arial" w:eastAsia="Arial" w:hAnsi="Arial"/>
                <w:sz w:val="14"/>
                <w:szCs w:val="14"/>
                <w:color w:val="0000FF"/>
                <w:w w:val="93"/>
              </w:rPr>
            </w:pPr>
            <w:hyperlink r:id="rId168">
              <w:r>
                <w:rPr>
                  <w:rFonts w:ascii="Arial" w:cs="Arial" w:eastAsia="Arial" w:hAnsi="Arial"/>
                  <w:sz w:val="14"/>
                  <w:szCs w:val="14"/>
                  <w:color w:val="0000FF"/>
                  <w:w w:val="93"/>
                </w:rPr>
                <w:t>Form of Warrant to purchase stock issuable pursuant to the Loan and Security Agreement, as</w:t>
              </w:r>
            </w:hyperlink>
          </w:p>
        </w:tc>
        <w:tc>
          <w:tcPr>
            <w:tcW w:w="340" w:type="dxa"/>
            <w:vAlign w:val="bottom"/>
            <w:gridSpan w:val="6"/>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200" w:type="dxa"/>
            <w:vAlign w:val="bottom"/>
            <w:gridSpan w:val="2"/>
          </w:tcPr>
          <w:p>
            <w:pPr>
              <w:jc w:val="center"/>
              <w:ind w:left="88"/>
              <w:spacing w:after="0"/>
              <w:rPr>
                <w:sz w:val="20"/>
                <w:szCs w:val="20"/>
                <w:color w:val="auto"/>
              </w:rPr>
            </w:pPr>
            <w:r>
              <w:rPr>
                <w:rFonts w:ascii="Arial" w:cs="Arial" w:eastAsia="Arial" w:hAnsi="Arial"/>
                <w:sz w:val="14"/>
                <w:szCs w:val="14"/>
                <w:color w:val="auto"/>
              </w:rPr>
              <w:t>5/10/23</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4.6</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20" w:type="dxa"/>
            <w:vAlign w:val="bottom"/>
            <w:tcBorders>
              <w:bottom w:val="single" w:sz="8" w:color="0000FF"/>
            </w:tcBorders>
            <w:gridSpan w:val="10"/>
          </w:tcPr>
          <w:p>
            <w:pPr>
              <w:spacing w:after="0" w:line="155" w:lineRule="exact"/>
              <w:rPr>
                <w:rFonts w:ascii="Arial" w:cs="Arial" w:eastAsia="Arial" w:hAnsi="Arial"/>
                <w:sz w:val="14"/>
                <w:szCs w:val="14"/>
                <w:color w:val="0000FF"/>
                <w:w w:val="92"/>
              </w:rPr>
            </w:pPr>
            <w:hyperlink r:id="rId168">
              <w:r>
                <w:rPr>
                  <w:rFonts w:ascii="Arial" w:cs="Arial" w:eastAsia="Arial" w:hAnsi="Arial"/>
                  <w:sz w:val="14"/>
                  <w:szCs w:val="14"/>
                  <w:color w:val="0000FF"/>
                  <w:w w:val="92"/>
                </w:rPr>
                <w:t>amended, by and between the Registrant and Hercules Capital, Inc.</w:t>
              </w:r>
            </w:hyperlink>
          </w:p>
        </w:tc>
        <w:tc>
          <w:tcPr>
            <w:tcW w:w="1860" w:type="dxa"/>
            <w:vAlign w:val="bottom"/>
            <w:gridSpan w:val="15"/>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60" w:type="dxa"/>
            <w:vAlign w:val="bottom"/>
          </w:tcPr>
          <w:p>
            <w:pPr>
              <w:spacing w:after="0"/>
              <w:rPr>
                <w:sz w:val="24"/>
                <w:szCs w:val="24"/>
                <w:color w:val="auto"/>
              </w:rPr>
            </w:pPr>
          </w:p>
        </w:tc>
        <w:tc>
          <w:tcPr>
            <w:tcW w:w="5300" w:type="dxa"/>
            <w:vAlign w:val="bottom"/>
            <w:tcBorders>
              <w:bottom w:val="single" w:sz="8" w:color="0000FF"/>
            </w:tcBorders>
            <w:gridSpan w:val="15"/>
          </w:tcPr>
          <w:p>
            <w:pPr>
              <w:spacing w:after="0"/>
              <w:rPr>
                <w:rFonts w:ascii="Arial" w:cs="Arial" w:eastAsia="Arial" w:hAnsi="Arial"/>
                <w:sz w:val="14"/>
                <w:szCs w:val="14"/>
                <w:color w:val="0000FF"/>
                <w:w w:val="93"/>
              </w:rPr>
            </w:pPr>
            <w:hyperlink r:id="rId169">
              <w:r>
                <w:rPr>
                  <w:rFonts w:ascii="Arial" w:cs="Arial" w:eastAsia="Arial" w:hAnsi="Arial"/>
                  <w:sz w:val="14"/>
                  <w:szCs w:val="14"/>
                  <w:color w:val="0000FF"/>
                  <w:w w:val="93"/>
                </w:rPr>
                <w:t>Note Purchase Agreement, dated May 7, 2019, by and among the Registrant and the other</w:t>
              </w:r>
            </w:hyperlink>
          </w:p>
        </w:tc>
        <w:tc>
          <w:tcPr>
            <w:tcW w:w="480" w:type="dxa"/>
            <w:vAlign w:val="bottom"/>
            <w:gridSpan w:val="10"/>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S-1/A</w:t>
            </w:r>
          </w:p>
        </w:tc>
        <w:tc>
          <w:tcPr>
            <w:tcW w:w="12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10/15/19</w:t>
            </w:r>
          </w:p>
        </w:tc>
        <w:tc>
          <w:tcPr>
            <w:tcW w:w="11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4.5</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Borders>
              <w:bottom w:val="single" w:sz="8" w:color="0000FF"/>
            </w:tcBorders>
            <w:gridSpan w:val="5"/>
          </w:tcPr>
          <w:p>
            <w:pPr>
              <w:spacing w:after="0" w:line="155" w:lineRule="exact"/>
              <w:rPr>
                <w:rFonts w:ascii="Arial" w:cs="Arial" w:eastAsia="Arial" w:hAnsi="Arial"/>
                <w:sz w:val="14"/>
                <w:szCs w:val="14"/>
                <w:color w:val="0000FF"/>
                <w:w w:val="95"/>
              </w:rPr>
            </w:pPr>
            <w:hyperlink r:id="rId169">
              <w:r>
                <w:rPr>
                  <w:rFonts w:ascii="Arial" w:cs="Arial" w:eastAsia="Arial" w:hAnsi="Arial"/>
                  <w:sz w:val="14"/>
                  <w:szCs w:val="14"/>
                  <w:color w:val="0000FF"/>
                  <w:w w:val="95"/>
                </w:rPr>
                <w:t>partes party thereto, as amended</w:t>
              </w:r>
            </w:hyperlink>
          </w:p>
        </w:tc>
        <w:tc>
          <w:tcPr>
            <w:tcW w:w="3780" w:type="dxa"/>
            <w:vAlign w:val="bottom"/>
            <w:gridSpan w:val="20"/>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24"/>
                <w:szCs w:val="24"/>
                <w:color w:val="auto"/>
              </w:rPr>
            </w:pPr>
          </w:p>
        </w:tc>
        <w:tc>
          <w:tcPr>
            <w:tcW w:w="374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w w:val="93"/>
              </w:rPr>
              <w:t>First Amendment to Vonoprazan Commercial Supply Agreement</w:t>
            </w:r>
          </w:p>
        </w:tc>
        <w:tc>
          <w:tcPr>
            <w:tcW w:w="204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60" w:type="dxa"/>
            <w:vAlign w:val="bottom"/>
          </w:tcPr>
          <w:p>
            <w:pPr>
              <w:spacing w:after="0"/>
              <w:rPr>
                <w:sz w:val="24"/>
                <w:szCs w:val="24"/>
                <w:color w:val="auto"/>
              </w:rPr>
            </w:pPr>
          </w:p>
        </w:tc>
        <w:tc>
          <w:tcPr>
            <w:tcW w:w="43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3"/>
              </w:rPr>
              <w:t>Amendment and Restated Non-Employee Director Compensaton Program</w:t>
            </w:r>
          </w:p>
        </w:tc>
        <w:tc>
          <w:tcPr>
            <w:tcW w:w="1440" w:type="dxa"/>
            <w:vAlign w:val="bottom"/>
            <w:gridSpan w:val="14"/>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3"/>
        </w:trPr>
        <w:tc>
          <w:tcPr>
            <w:tcW w:w="1040" w:type="dxa"/>
            <w:vAlign w:val="bottom"/>
          </w:tcPr>
          <w:p>
            <w:pPr>
              <w:jc w:val="center"/>
              <w:spacing w:after="0"/>
              <w:rPr>
                <w:sz w:val="20"/>
                <w:szCs w:val="20"/>
                <w:color w:val="auto"/>
              </w:rPr>
            </w:pPr>
            <w:r>
              <w:rPr>
                <w:rFonts w:ascii="Arial" w:cs="Arial" w:eastAsia="Arial" w:hAnsi="Arial"/>
                <w:sz w:val="14"/>
                <w:szCs w:val="14"/>
                <w:color w:val="auto"/>
                <w:w w:val="95"/>
              </w:rPr>
              <w:t>31.1</w:t>
            </w:r>
          </w:p>
        </w:tc>
        <w:tc>
          <w:tcPr>
            <w:tcW w:w="160" w:type="dxa"/>
            <w:vAlign w:val="bottom"/>
          </w:tcPr>
          <w:p>
            <w:pPr>
              <w:spacing w:after="0"/>
              <w:rPr>
                <w:sz w:val="15"/>
                <w:szCs w:val="15"/>
                <w:color w:val="auto"/>
              </w:rPr>
            </w:pPr>
          </w:p>
        </w:tc>
        <w:tc>
          <w:tcPr>
            <w:tcW w:w="542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7"/>
              </w:rPr>
              <w:t>Certfcaton of Chief Executve Ofcer of Phathom Pharmaceutcals, Inc., as required by Rule</w:t>
            </w:r>
          </w:p>
        </w:tc>
        <w:tc>
          <w:tcPr>
            <w:tcW w:w="36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80" w:type="dxa"/>
            <w:vAlign w:val="bottom"/>
            <w:tcBorders>
              <w:bottom w:val="single" w:sz="8" w:color="0000FF"/>
            </w:tcBorders>
            <w:gridSpan w:val="20"/>
          </w:tcPr>
          <w:p>
            <w:pPr>
              <w:spacing w:after="0" w:line="155" w:lineRule="exact"/>
              <w:rPr>
                <w:sz w:val="20"/>
                <w:szCs w:val="20"/>
                <w:color w:val="auto"/>
              </w:rPr>
            </w:pPr>
            <w:r>
              <w:rPr>
                <w:rFonts w:ascii="Arial" w:cs="Arial" w:eastAsia="Arial" w:hAnsi="Arial"/>
                <w:sz w:val="14"/>
                <w:szCs w:val="14"/>
                <w:color w:val="0000FF"/>
                <w:w w:val="93"/>
              </w:rPr>
              <w:t>13a-14(a) or Rule 15d-14(a), as adopted pursuant to Secton 302 of the Sarbanes-Oxley Act of</w:t>
            </w:r>
          </w:p>
        </w:tc>
        <w:tc>
          <w:tcPr>
            <w:tcW w:w="30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w w:val="85"/>
              </w:rPr>
              <w:t>2002.</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60" w:type="dxa"/>
            <w:vAlign w:val="bottom"/>
          </w:tcPr>
          <w:p>
            <w:pPr>
              <w:spacing w:after="0"/>
              <w:rPr>
                <w:sz w:val="24"/>
                <w:szCs w:val="24"/>
                <w:color w:val="auto"/>
              </w:rPr>
            </w:pPr>
          </w:p>
        </w:tc>
        <w:tc>
          <w:tcPr>
            <w:tcW w:w="5640" w:type="dxa"/>
            <w:vAlign w:val="bottom"/>
            <w:tcBorders>
              <w:bottom w:val="single" w:sz="8" w:color="0000FF"/>
            </w:tcBorders>
            <w:gridSpan w:val="23"/>
          </w:tcPr>
          <w:p>
            <w:pPr>
              <w:spacing w:after="0"/>
              <w:rPr>
                <w:sz w:val="20"/>
                <w:szCs w:val="20"/>
                <w:color w:val="auto"/>
              </w:rPr>
            </w:pPr>
            <w:r>
              <w:rPr>
                <w:rFonts w:ascii="Arial" w:cs="Arial" w:eastAsia="Arial" w:hAnsi="Arial"/>
                <w:sz w:val="14"/>
                <w:szCs w:val="14"/>
                <w:color w:val="0000FF"/>
                <w:w w:val="95"/>
              </w:rPr>
              <w:t>Certfcaton of Chief Financial Ofcer of Phathom Pharmaceutcals, Inc., as required by Rule 13a-</w:t>
            </w:r>
          </w:p>
        </w:tc>
        <w:tc>
          <w:tcPr>
            <w:tcW w:w="14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780" w:type="dxa"/>
            <w:vAlign w:val="bottom"/>
            <w:gridSpan w:val="25"/>
          </w:tcPr>
          <w:p>
            <w:pPr>
              <w:spacing w:after="0" w:line="155" w:lineRule="exact"/>
              <w:rPr>
                <w:sz w:val="20"/>
                <w:szCs w:val="20"/>
                <w:color w:val="auto"/>
              </w:rPr>
            </w:pPr>
            <w:r>
              <w:rPr>
                <w:rFonts w:ascii="Arial" w:cs="Arial" w:eastAsia="Arial" w:hAnsi="Arial"/>
                <w:sz w:val="14"/>
                <w:szCs w:val="14"/>
                <w:color w:val="0000FF"/>
                <w:w w:val="97"/>
              </w:rPr>
              <w:t>14(a) or Rule 15d-14(a), as adopted pursuant to Secton 302 of the Sarbanes-Oxley Act of 2002.</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24"/>
                <w:szCs w:val="24"/>
                <w:color w:val="auto"/>
              </w:rPr>
            </w:pPr>
          </w:p>
        </w:tc>
        <w:tc>
          <w:tcPr>
            <w:tcW w:w="536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4"/>
                <w:szCs w:val="14"/>
                <w:color w:val="0000FF"/>
                <w:w w:val="97"/>
              </w:rPr>
              <w:t>Certfcaton of Chief Executve Ofcer pursuant to Secton 906 of the Sarbanes-Oxley Act of</w:t>
            </w:r>
          </w:p>
        </w:tc>
        <w:tc>
          <w:tcPr>
            <w:tcW w:w="180" w:type="dxa"/>
            <w:vAlign w:val="bottom"/>
            <w:tcBorders>
              <w:top w:val="single" w:sz="8" w:color="0000FF"/>
            </w:tcBorders>
            <w:gridSpan w:val="4"/>
          </w:tcPr>
          <w:p>
            <w:pPr>
              <w:spacing w:after="0"/>
              <w:rPr>
                <w:sz w:val="24"/>
                <w:szCs w:val="24"/>
                <w:color w:val="auto"/>
              </w:rPr>
            </w:pPr>
          </w:p>
        </w:tc>
        <w:tc>
          <w:tcPr>
            <w:tcW w:w="24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w w:val="85"/>
              </w:rPr>
              <w:t>2002.</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24"/>
                <w:szCs w:val="24"/>
                <w:color w:val="auto"/>
              </w:rPr>
            </w:pPr>
          </w:p>
        </w:tc>
        <w:tc>
          <w:tcPr>
            <w:tcW w:w="532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w w:val="97"/>
              </w:rPr>
              <w:t>Certfcaton of Chief Financial Ofcer pursuant to Secton 906 of the Sarbanes-Oxley Act of</w:t>
            </w:r>
          </w:p>
        </w:tc>
        <w:tc>
          <w:tcPr>
            <w:tcW w:w="46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w w:val="85"/>
              </w:rPr>
              <w:t>2002.</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040" w:type="dxa"/>
            <w:vAlign w:val="bottom"/>
          </w:tcPr>
          <w:p>
            <w:pPr>
              <w:jc w:val="center"/>
              <w:spacing w:after="0"/>
              <w:rPr>
                <w:sz w:val="20"/>
                <w:szCs w:val="20"/>
                <w:color w:val="auto"/>
              </w:rPr>
            </w:pPr>
            <w:r>
              <w:rPr>
                <w:rFonts w:ascii="Arial" w:cs="Arial" w:eastAsia="Arial" w:hAnsi="Arial"/>
                <w:sz w:val="14"/>
                <w:szCs w:val="14"/>
                <w:color w:val="auto"/>
                <w:w w:val="90"/>
              </w:rPr>
              <w:t>101.INS</w:t>
            </w:r>
          </w:p>
        </w:tc>
        <w:tc>
          <w:tcPr>
            <w:tcW w:w="160" w:type="dxa"/>
            <w:vAlign w:val="bottom"/>
          </w:tcPr>
          <w:p>
            <w:pPr>
              <w:spacing w:after="0"/>
              <w:rPr>
                <w:sz w:val="24"/>
                <w:szCs w:val="24"/>
                <w:color w:val="auto"/>
              </w:rPr>
            </w:pPr>
          </w:p>
        </w:tc>
        <w:tc>
          <w:tcPr>
            <w:tcW w:w="5780" w:type="dxa"/>
            <w:vAlign w:val="bottom"/>
            <w:gridSpan w:val="25"/>
          </w:tcPr>
          <w:p>
            <w:pPr>
              <w:spacing w:after="0"/>
              <w:rPr>
                <w:sz w:val="20"/>
                <w:szCs w:val="20"/>
                <w:color w:val="auto"/>
              </w:rPr>
            </w:pPr>
            <w:r>
              <w:rPr>
                <w:rFonts w:ascii="Arial" w:cs="Arial" w:eastAsia="Arial" w:hAnsi="Arial"/>
                <w:sz w:val="14"/>
                <w:szCs w:val="14"/>
                <w:color w:val="auto"/>
                <w:w w:val="96"/>
              </w:rPr>
              <w:t>Inline XBRL Instance Document – the instance document does not appear in the Interactve Data</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780" w:type="dxa"/>
            <w:vAlign w:val="bottom"/>
            <w:gridSpan w:val="25"/>
          </w:tcPr>
          <w:p>
            <w:pPr>
              <w:spacing w:after="0"/>
              <w:rPr>
                <w:sz w:val="20"/>
                <w:szCs w:val="20"/>
                <w:color w:val="auto"/>
              </w:rPr>
            </w:pPr>
            <w:r>
              <w:rPr>
                <w:rFonts w:ascii="Arial" w:cs="Arial" w:eastAsia="Arial" w:hAnsi="Arial"/>
                <w:sz w:val="14"/>
                <w:szCs w:val="14"/>
                <w:color w:val="auto"/>
              </w:rPr>
              <w:t>File because XBRL tags are embedded within the Inline XBRL document.</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40" w:type="dxa"/>
            <w:vAlign w:val="bottom"/>
          </w:tcPr>
          <w:p>
            <w:pPr>
              <w:jc w:val="center"/>
              <w:spacing w:after="0"/>
              <w:rPr>
                <w:sz w:val="20"/>
                <w:szCs w:val="20"/>
                <w:color w:val="auto"/>
              </w:rPr>
            </w:pPr>
            <w:r>
              <w:rPr>
                <w:rFonts w:ascii="Arial" w:cs="Arial" w:eastAsia="Arial" w:hAnsi="Arial"/>
                <w:sz w:val="14"/>
                <w:szCs w:val="14"/>
                <w:color w:val="auto"/>
                <w:w w:val="87"/>
              </w:rPr>
              <w:t>101.SCH</w:t>
            </w:r>
          </w:p>
        </w:tc>
        <w:tc>
          <w:tcPr>
            <w:tcW w:w="160" w:type="dxa"/>
            <w:vAlign w:val="bottom"/>
          </w:tcPr>
          <w:p>
            <w:pPr>
              <w:spacing w:after="0"/>
              <w:rPr>
                <w:sz w:val="24"/>
                <w:szCs w:val="24"/>
                <w:color w:val="auto"/>
              </w:rPr>
            </w:pPr>
          </w:p>
        </w:tc>
        <w:tc>
          <w:tcPr>
            <w:tcW w:w="5780" w:type="dxa"/>
            <w:vAlign w:val="bottom"/>
            <w:gridSpan w:val="25"/>
          </w:tcPr>
          <w:p>
            <w:pPr>
              <w:spacing w:after="0"/>
              <w:rPr>
                <w:sz w:val="20"/>
                <w:szCs w:val="20"/>
                <w:color w:val="auto"/>
              </w:rPr>
            </w:pPr>
            <w:r>
              <w:rPr>
                <w:rFonts w:ascii="Arial" w:cs="Arial" w:eastAsia="Arial" w:hAnsi="Arial"/>
                <w:sz w:val="14"/>
                <w:szCs w:val="14"/>
                <w:color w:val="auto"/>
              </w:rPr>
              <w:t>Inline XBRL Taxonomy Extension Schema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40" w:type="dxa"/>
            <w:vAlign w:val="bottom"/>
          </w:tcPr>
          <w:p>
            <w:pPr>
              <w:jc w:val="center"/>
              <w:spacing w:after="0"/>
              <w:rPr>
                <w:sz w:val="20"/>
                <w:szCs w:val="20"/>
                <w:color w:val="auto"/>
              </w:rPr>
            </w:pPr>
            <w:r>
              <w:rPr>
                <w:rFonts w:ascii="Arial" w:cs="Arial" w:eastAsia="Arial" w:hAnsi="Arial"/>
                <w:sz w:val="14"/>
                <w:szCs w:val="14"/>
                <w:color w:val="auto"/>
                <w:w w:val="84"/>
              </w:rPr>
              <w:t>101.CAL</w:t>
            </w:r>
          </w:p>
        </w:tc>
        <w:tc>
          <w:tcPr>
            <w:tcW w:w="160" w:type="dxa"/>
            <w:vAlign w:val="bottom"/>
          </w:tcPr>
          <w:p>
            <w:pPr>
              <w:spacing w:after="0"/>
              <w:rPr>
                <w:sz w:val="24"/>
                <w:szCs w:val="24"/>
                <w:color w:val="auto"/>
              </w:rPr>
            </w:pPr>
          </w:p>
        </w:tc>
        <w:tc>
          <w:tcPr>
            <w:tcW w:w="5780" w:type="dxa"/>
            <w:vAlign w:val="bottom"/>
            <w:gridSpan w:val="25"/>
          </w:tcPr>
          <w:p>
            <w:pPr>
              <w:spacing w:after="0"/>
              <w:rPr>
                <w:sz w:val="20"/>
                <w:szCs w:val="20"/>
                <w:color w:val="auto"/>
              </w:rPr>
            </w:pPr>
            <w:r>
              <w:rPr>
                <w:rFonts w:ascii="Arial" w:cs="Arial" w:eastAsia="Arial" w:hAnsi="Arial"/>
                <w:sz w:val="14"/>
                <w:szCs w:val="14"/>
                <w:color w:val="auto"/>
              </w:rPr>
              <w:t>Inline XBRL Taxonomy Calculaton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40" w:type="dxa"/>
            <w:vAlign w:val="bottom"/>
          </w:tcPr>
          <w:p>
            <w:pPr>
              <w:jc w:val="center"/>
              <w:spacing w:after="0"/>
              <w:rPr>
                <w:sz w:val="20"/>
                <w:szCs w:val="20"/>
                <w:color w:val="auto"/>
              </w:rPr>
            </w:pPr>
            <w:r>
              <w:rPr>
                <w:rFonts w:ascii="Arial" w:cs="Arial" w:eastAsia="Arial" w:hAnsi="Arial"/>
                <w:sz w:val="14"/>
                <w:szCs w:val="14"/>
                <w:color w:val="auto"/>
                <w:w w:val="89"/>
              </w:rPr>
              <w:t>101.LAB</w:t>
            </w:r>
          </w:p>
        </w:tc>
        <w:tc>
          <w:tcPr>
            <w:tcW w:w="160" w:type="dxa"/>
            <w:vAlign w:val="bottom"/>
          </w:tcPr>
          <w:p>
            <w:pPr>
              <w:spacing w:after="0"/>
              <w:rPr>
                <w:sz w:val="24"/>
                <w:szCs w:val="24"/>
                <w:color w:val="auto"/>
              </w:rPr>
            </w:pPr>
          </w:p>
        </w:tc>
        <w:tc>
          <w:tcPr>
            <w:tcW w:w="5780" w:type="dxa"/>
            <w:vAlign w:val="bottom"/>
            <w:gridSpan w:val="25"/>
          </w:tcPr>
          <w:p>
            <w:pPr>
              <w:spacing w:after="0"/>
              <w:rPr>
                <w:sz w:val="20"/>
                <w:szCs w:val="20"/>
                <w:color w:val="auto"/>
              </w:rPr>
            </w:pPr>
            <w:r>
              <w:rPr>
                <w:rFonts w:ascii="Arial" w:cs="Arial" w:eastAsia="Arial" w:hAnsi="Arial"/>
                <w:sz w:val="14"/>
                <w:szCs w:val="14"/>
                <w:color w:val="auto"/>
              </w:rPr>
              <w:t>Inline XBRL Taxonomy Label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40" w:type="dxa"/>
            <w:vAlign w:val="bottom"/>
          </w:tcPr>
          <w:p>
            <w:pPr>
              <w:jc w:val="center"/>
              <w:spacing w:after="0"/>
              <w:rPr>
                <w:sz w:val="20"/>
                <w:szCs w:val="20"/>
                <w:color w:val="auto"/>
              </w:rPr>
            </w:pPr>
            <w:r>
              <w:rPr>
                <w:rFonts w:ascii="Arial" w:cs="Arial" w:eastAsia="Arial" w:hAnsi="Arial"/>
                <w:sz w:val="14"/>
                <w:szCs w:val="14"/>
                <w:color w:val="auto"/>
                <w:w w:val="85"/>
              </w:rPr>
              <w:t>101.PRE</w:t>
            </w:r>
          </w:p>
        </w:tc>
        <w:tc>
          <w:tcPr>
            <w:tcW w:w="160" w:type="dxa"/>
            <w:vAlign w:val="bottom"/>
          </w:tcPr>
          <w:p>
            <w:pPr>
              <w:spacing w:after="0"/>
              <w:rPr>
                <w:sz w:val="24"/>
                <w:szCs w:val="24"/>
                <w:color w:val="auto"/>
              </w:rPr>
            </w:pPr>
          </w:p>
        </w:tc>
        <w:tc>
          <w:tcPr>
            <w:tcW w:w="5780" w:type="dxa"/>
            <w:vAlign w:val="bottom"/>
            <w:gridSpan w:val="25"/>
          </w:tcPr>
          <w:p>
            <w:pPr>
              <w:spacing w:after="0"/>
              <w:rPr>
                <w:sz w:val="20"/>
                <w:szCs w:val="20"/>
                <w:color w:val="auto"/>
              </w:rPr>
            </w:pPr>
            <w:r>
              <w:rPr>
                <w:rFonts w:ascii="Arial" w:cs="Arial" w:eastAsia="Arial" w:hAnsi="Arial"/>
                <w:sz w:val="14"/>
                <w:szCs w:val="14"/>
                <w:color w:val="auto"/>
              </w:rPr>
              <w:t>Inline XBRL Presentaton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05"/>
        </w:trPr>
        <w:tc>
          <w:tcPr>
            <w:tcW w:w="1040" w:type="dxa"/>
            <w:vAlign w:val="bottom"/>
          </w:tcPr>
          <w:p>
            <w:pPr>
              <w:jc w:val="center"/>
              <w:spacing w:after="0"/>
              <w:rPr>
                <w:sz w:val="20"/>
                <w:szCs w:val="20"/>
                <w:color w:val="auto"/>
              </w:rPr>
            </w:pPr>
            <w:r>
              <w:rPr>
                <w:rFonts w:ascii="Arial" w:cs="Arial" w:eastAsia="Arial" w:hAnsi="Arial"/>
                <w:sz w:val="14"/>
                <w:szCs w:val="14"/>
                <w:color w:val="auto"/>
                <w:w w:val="86"/>
              </w:rPr>
              <w:t>101.DEF</w:t>
            </w:r>
          </w:p>
        </w:tc>
        <w:tc>
          <w:tcPr>
            <w:tcW w:w="160" w:type="dxa"/>
            <w:vAlign w:val="bottom"/>
          </w:tcPr>
          <w:p>
            <w:pPr>
              <w:spacing w:after="0"/>
              <w:rPr>
                <w:sz w:val="24"/>
                <w:szCs w:val="24"/>
                <w:color w:val="auto"/>
              </w:rPr>
            </w:pPr>
          </w:p>
        </w:tc>
        <w:tc>
          <w:tcPr>
            <w:tcW w:w="5780" w:type="dxa"/>
            <w:vAlign w:val="bottom"/>
            <w:gridSpan w:val="25"/>
          </w:tcPr>
          <w:p>
            <w:pPr>
              <w:spacing w:after="0"/>
              <w:rPr>
                <w:sz w:val="20"/>
                <w:szCs w:val="20"/>
                <w:color w:val="auto"/>
              </w:rPr>
            </w:pPr>
            <w:r>
              <w:rPr>
                <w:rFonts w:ascii="Arial" w:cs="Arial" w:eastAsia="Arial" w:hAnsi="Arial"/>
                <w:sz w:val="14"/>
                <w:szCs w:val="14"/>
                <w:color w:val="auto"/>
              </w:rPr>
              <w:t>Inline XBRL Taxonomy Extension Defniton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0" w:hanging="782"/>
        <w:spacing w:after="0"/>
        <w:tabs>
          <w:tab w:leader="none" w:pos="1200" w:val="left"/>
        </w:tabs>
        <w:numPr>
          <w:ilvl w:val="1"/>
          <w:numId w:val="8"/>
        </w:numPr>
        <w:rPr>
          <w:rFonts w:ascii="Arial" w:cs="Arial" w:eastAsia="Arial" w:hAnsi="Arial"/>
          <w:sz w:val="14"/>
          <w:szCs w:val="14"/>
          <w:color w:val="auto"/>
        </w:rPr>
      </w:pPr>
      <w:r>
        <w:rPr>
          <w:rFonts w:ascii="Arial" w:cs="Arial" w:eastAsia="Arial" w:hAnsi="Arial"/>
          <w:sz w:val="14"/>
          <w:szCs w:val="14"/>
          <w:color w:val="auto"/>
        </w:rPr>
        <w:t>Cover Page Interactve Data File (embedded within the Inline XBRL document)</w:t>
      </w:r>
    </w:p>
    <w:p>
      <w:pPr>
        <w:spacing w:after="0" w:line="28" w:lineRule="exact"/>
        <w:rPr>
          <w:rFonts w:ascii="Arial" w:cs="Arial" w:eastAsia="Arial" w:hAnsi="Arial"/>
          <w:sz w:val="14"/>
          <w:szCs w:val="14"/>
          <w:color w:val="auto"/>
        </w:rPr>
      </w:pPr>
    </w:p>
    <w:p>
      <w:pPr>
        <w:ind w:left="120" w:hanging="112"/>
        <w:spacing w:after="0"/>
        <w:tabs>
          <w:tab w:leader="none" w:pos="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1" w:lineRule="exact"/>
        <w:rPr>
          <w:sz w:val="20"/>
          <w:szCs w:val="20"/>
          <w:color w:val="auto"/>
        </w:rPr>
      </w:pPr>
    </w:p>
    <w:p>
      <w:pPr>
        <w:ind w:right="180" w:firstLine="8"/>
        <w:spacing w:after="0" w:line="261" w:lineRule="auto"/>
        <w:tabs>
          <w:tab w:leader="none" w:pos="10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certfcaton is deemed not fled for purpose of secton 18 of the Exchange Act or otherwise subject to the liability of that secton, nor shall it be deemed incorporated by reference into any fling under the Securites Act or the Exchange Act.</w:t>
      </w:r>
    </w:p>
    <w:p>
      <w:pPr>
        <w:ind w:right="240"/>
        <w:spacing w:after="0" w:line="283" w:lineRule="auto"/>
        <w:rPr>
          <w:rFonts w:ascii="Arial" w:cs="Arial" w:eastAsia="Arial" w:hAnsi="Arial"/>
          <w:sz w:val="14"/>
          <w:szCs w:val="14"/>
          <w:color w:val="auto"/>
        </w:rPr>
      </w:pPr>
      <w:r>
        <w:rPr>
          <w:rFonts w:ascii="Arial" w:cs="Arial" w:eastAsia="Arial" w:hAnsi="Arial"/>
          <w:sz w:val="14"/>
          <w:szCs w:val="14"/>
          <w:color w:val="auto"/>
        </w:rPr>
        <w:t>^Certain exhibits and schedules have been omited pursuant to Item 601(a)(5) of Regulaton S-K. The registrant hereby undertakes to furnish supplementally a copy of any omited exhibit or schedule upon request by the SEC.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right="240" w:firstLine="509"/>
        <w:spacing w:after="0" w:line="273" w:lineRule="auto"/>
        <w:rPr>
          <w:sz w:val="20"/>
          <w:szCs w:val="20"/>
          <w:color w:val="auto"/>
        </w:rPr>
      </w:pPr>
      <w:r>
        <w:rPr>
          <w:rFonts w:ascii="Arial" w:cs="Arial" w:eastAsia="Arial" w:hAnsi="Arial"/>
          <w:sz w:val="18"/>
          <w:szCs w:val="18"/>
          <w:color w:val="auto"/>
        </w:rPr>
        <w:t>Pursuant to the requirements of the Securites Exchange Act of 1934, the Registrant has duly caused this report to be signed on its behalf by the undersigned, thereunto duly authorized.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280" w:type="dxa"/>
            <w:vAlign w:val="bottom"/>
            <w:gridSpan w:val="2"/>
          </w:tcPr>
          <w:p>
            <w:pPr>
              <w:ind w:left="2060"/>
              <w:spacing w:after="0"/>
              <w:rPr>
                <w:sz w:val="20"/>
                <w:szCs w:val="20"/>
                <w:color w:val="auto"/>
              </w:rPr>
            </w:pPr>
            <w:r>
              <w:rPr>
                <w:rFonts w:ascii="Arial" w:cs="Arial" w:eastAsia="Arial" w:hAnsi="Arial"/>
                <w:sz w:val="18"/>
                <w:szCs w:val="18"/>
                <w:color w:val="auto"/>
              </w:rPr>
              <w:t>PHATHOM PHARMACEUTICALS, INC.</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160"/>
              <w:spacing w:after="0"/>
              <w:rPr>
                <w:sz w:val="20"/>
                <w:szCs w:val="20"/>
                <w:color w:val="auto"/>
              </w:rPr>
            </w:pPr>
            <w:r>
              <w:rPr>
                <w:rFonts w:ascii="Arial" w:cs="Arial" w:eastAsia="Arial" w:hAnsi="Arial"/>
                <w:sz w:val="18"/>
                <w:szCs w:val="18"/>
                <w:color w:val="auto"/>
              </w:rPr>
              <w:t>August 10, 2023</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4740" w:type="dxa"/>
            <w:vAlign w:val="bottom"/>
          </w:tcPr>
          <w:p>
            <w:pPr>
              <w:ind w:left="20"/>
              <w:spacing w:after="0"/>
              <w:rPr>
                <w:sz w:val="20"/>
                <w:szCs w:val="20"/>
                <w:color w:val="auto"/>
              </w:rPr>
            </w:pPr>
            <w:r>
              <w:rPr>
                <w:rFonts w:ascii="Arial" w:cs="Arial" w:eastAsia="Arial" w:hAnsi="Arial"/>
                <w:sz w:val="18"/>
                <w:szCs w:val="18"/>
                <w:color w:val="auto"/>
              </w:rPr>
              <w:t>/s/ Terrie Curran</w:t>
            </w:r>
          </w:p>
        </w:tc>
      </w:tr>
      <w:tr>
        <w:trPr>
          <w:trHeight w:val="35"/>
        </w:trPr>
        <w:tc>
          <w:tcPr>
            <w:tcW w:w="5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r>
      <w:tr>
        <w:trPr>
          <w:trHeight w:val="218"/>
        </w:trPr>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Terrie Curran</w:t>
            </w:r>
          </w:p>
        </w:tc>
      </w:tr>
      <w:tr>
        <w:trPr>
          <w:trHeight w:val="227"/>
        </w:trPr>
        <w:tc>
          <w:tcPr>
            <w:tcW w:w="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Chief Executve Ofcer and Director</w:t>
            </w:r>
          </w:p>
        </w:tc>
      </w:tr>
      <w:tr>
        <w:trPr>
          <w:trHeight w:val="243"/>
        </w:trPr>
        <w:tc>
          <w:tcPr>
            <w:tcW w:w="5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(Principal Executve Ofcer)</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160"/>
              <w:spacing w:after="0"/>
              <w:rPr>
                <w:sz w:val="20"/>
                <w:szCs w:val="20"/>
                <w:color w:val="auto"/>
              </w:rPr>
            </w:pPr>
            <w:r>
              <w:rPr>
                <w:rFonts w:ascii="Arial" w:cs="Arial" w:eastAsia="Arial" w:hAnsi="Arial"/>
                <w:sz w:val="18"/>
                <w:szCs w:val="18"/>
                <w:color w:val="auto"/>
              </w:rPr>
              <w:t>August 10, 2023</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4740" w:type="dxa"/>
            <w:vAlign w:val="bottom"/>
          </w:tcPr>
          <w:p>
            <w:pPr>
              <w:ind w:left="20"/>
              <w:spacing w:after="0"/>
              <w:rPr>
                <w:sz w:val="20"/>
                <w:szCs w:val="20"/>
                <w:color w:val="auto"/>
              </w:rPr>
            </w:pPr>
            <w:r>
              <w:rPr>
                <w:rFonts w:ascii="Arial" w:cs="Arial" w:eastAsia="Arial" w:hAnsi="Arial"/>
                <w:sz w:val="18"/>
                <w:szCs w:val="18"/>
                <w:color w:val="auto"/>
              </w:rPr>
              <w:t>/s/ Molly Henderson</w:t>
            </w:r>
          </w:p>
        </w:tc>
      </w:tr>
      <w:tr>
        <w:trPr>
          <w:trHeight w:val="35"/>
        </w:trPr>
        <w:tc>
          <w:tcPr>
            <w:tcW w:w="5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r>
      <w:tr>
        <w:trPr>
          <w:trHeight w:val="220"/>
        </w:trPr>
        <w:tc>
          <w:tcPr>
            <w:tcW w:w="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Molly Henderson</w:t>
            </w:r>
          </w:p>
        </w:tc>
      </w:tr>
    </w:tbl>
    <w:p>
      <w:pPr>
        <w:ind w:left="6520"/>
        <w:spacing w:after="0"/>
        <w:rPr>
          <w:sz w:val="20"/>
          <w:szCs w:val="20"/>
          <w:color w:val="auto"/>
        </w:rPr>
      </w:pPr>
      <w:r>
        <w:rPr>
          <w:rFonts w:ascii="Arial" w:cs="Arial" w:eastAsia="Arial" w:hAnsi="Arial"/>
          <w:sz w:val="18"/>
          <w:szCs w:val="18"/>
          <w:color w:val="auto"/>
        </w:rPr>
        <w:t>Chief Financial and Business Ofcer</w:t>
      </w:r>
    </w:p>
    <w:p>
      <w:pPr>
        <w:spacing w:after="0" w:line="3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and Accountng Ofcer)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10300"/>
        <w:spacing w:after="0"/>
        <w:rPr>
          <w:sz w:val="20"/>
          <w:szCs w:val="20"/>
          <w:color w:val="auto"/>
        </w:rPr>
      </w:pPr>
      <w:r>
        <w:rPr>
          <w:rFonts w:ascii="Arial" w:cs="Arial" w:eastAsia="Arial" w:hAnsi="Arial"/>
          <w:sz w:val="17"/>
          <w:szCs w:val="17"/>
          <w:color w:val="auto"/>
        </w:rPr>
        <w:t>Exhibit 10.1</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CERTAIN IDENTIFIED INFORMATION HAS BEEN EXCLUDED FROM THIS EXHIBIT BECAUSE IT IS NOT MATERIAL AND WOULD LIKELY CAUSE COMPETITIVE HARM TO THE REGISTRANT IF PUBLICLY DISCLOSED. THE OMISSIONS HAVE BEEN INDICATED BY “[***].”</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VONOPRAZAN COMMERCIAL SUPPLY AGREEMENT</w:t>
      </w:r>
    </w:p>
    <w:p>
      <w:pPr>
        <w:spacing w:after="0" w:line="21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THIS AMENDMENT NO. 1 TO THE VONOPRAZAN COMMERCIAL SUPPLY AGREEMENT is dated as of May 1, 2023 (“Amendment No. 1”), and is made by and between Phathom Pharmaceuticals, Inc, located at 100 Campus Drive, Suite 102, Florham Park, NJ 07932, USA (“Purchaser”), Evonik Operations GmbH, a limited liability company located at Rodenbacher Chaussee 4, 63457 Hanau (Wolfgang), Germany (“Evonik GmbH”) and Evonik Corporation, an Alabama corporation with offices located at 2 Turner Place, Piscataway, NJ 08854 (“Evonik US”).</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WHEREAS, Purchaser and Evonik GmbH entered into a commercial supply agreement for the manufacture and supply of Product effective August 1, 2022 (the “Agreement”);</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WHEREAS, Purchaser and Evonik GmbH wish to amend the Agreement in accordance with 15.7 thereof, in order to add Evonik US as a Party to the Agreement and agree upon certain additional terms set forth in this Amendment No. 1.</w:t>
      </w:r>
    </w:p>
    <w:p>
      <w:pPr>
        <w:spacing w:after="0" w:line="165" w:lineRule="exact"/>
        <w:rPr>
          <w:sz w:val="20"/>
          <w:szCs w:val="20"/>
          <w:color w:val="auto"/>
        </w:rPr>
      </w:pPr>
    </w:p>
    <w:p>
      <w:pPr>
        <w:jc w:val="both"/>
        <w:ind w:firstLine="523"/>
        <w:spacing w:after="0" w:line="241" w:lineRule="auto"/>
        <w:rPr>
          <w:sz w:val="20"/>
          <w:szCs w:val="20"/>
          <w:color w:val="auto"/>
        </w:rPr>
      </w:pPr>
      <w:r>
        <w:rPr>
          <w:rFonts w:ascii="Arial" w:cs="Arial" w:eastAsia="Arial" w:hAnsi="Arial"/>
          <w:sz w:val="20"/>
          <w:szCs w:val="20"/>
          <w:color w:val="auto"/>
        </w:rPr>
        <w:t>NOW</w:t>
      </w:r>
      <w:r>
        <w:rPr>
          <w:rFonts w:ascii="Arial" w:cs="Arial" w:eastAsia="Arial" w:hAnsi="Arial"/>
          <w:sz w:val="20"/>
          <w:szCs w:val="20"/>
          <w:b w:val="1"/>
          <w:bCs w:val="1"/>
          <w:color w:val="auto"/>
        </w:rPr>
        <w:t>,</w:t>
      </w:r>
      <w:r>
        <w:rPr>
          <w:rFonts w:ascii="Arial" w:cs="Arial" w:eastAsia="Arial" w:hAnsi="Arial"/>
          <w:sz w:val="20"/>
          <w:szCs w:val="20"/>
          <w:color w:val="auto"/>
        </w:rPr>
        <w:t xml:space="preserve"> THEREFORE, in consideration of the mutual covenants herein contained and other good and valuable consideration, the receipt and sufficiency of which is hereby acknowledged, Purchaser, Evonik GmbH, and Evonik US agree as follows:</w:t>
      </w:r>
    </w:p>
    <w:p>
      <w:pPr>
        <w:spacing w:after="0" w:line="171" w:lineRule="exact"/>
        <w:rPr>
          <w:sz w:val="20"/>
          <w:szCs w:val="20"/>
          <w:color w:val="auto"/>
        </w:rPr>
      </w:pPr>
    </w:p>
    <w:p>
      <w:pPr>
        <w:ind w:left="760" w:hanging="378"/>
        <w:spacing w:after="0" w:line="257" w:lineRule="auto"/>
        <w:tabs>
          <w:tab w:leader="none" w:pos="760" w:val="left"/>
        </w:tabs>
        <w:numPr>
          <w:ilvl w:val="0"/>
          <w:numId w:val="10"/>
        </w:numPr>
        <w:rPr>
          <w:rFonts w:ascii="Arial" w:cs="Arial" w:eastAsia="Arial" w:hAnsi="Arial"/>
          <w:sz w:val="20"/>
          <w:szCs w:val="20"/>
          <w:color w:val="auto"/>
        </w:rPr>
      </w:pPr>
      <w:r>
        <w:rPr>
          <w:rFonts w:ascii="Arial" w:cs="Arial" w:eastAsia="Arial" w:hAnsi="Arial"/>
          <w:sz w:val="20"/>
          <w:szCs w:val="20"/>
          <w:b w:val="1"/>
          <w:bCs w:val="1"/>
          <w:u w:val="single" w:color="auto"/>
          <w:color w:val="auto"/>
        </w:rPr>
        <w:t>Capitalized Terms</w:t>
      </w:r>
      <w:r>
        <w:rPr>
          <w:rFonts w:ascii="Arial" w:cs="Arial" w:eastAsia="Arial" w:hAnsi="Arial"/>
          <w:sz w:val="20"/>
          <w:szCs w:val="20"/>
          <w:color w:val="auto"/>
        </w:rPr>
        <w:t>. Capitalized terms used herein and not otherwise defined shall have the respective meanings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Agreement.</w:t>
      </w:r>
    </w:p>
    <w:p>
      <w:pPr>
        <w:spacing w:after="0" w:line="155" w:lineRule="exact"/>
        <w:rPr>
          <w:sz w:val="20"/>
          <w:szCs w:val="20"/>
          <w:color w:val="auto"/>
        </w:rPr>
      </w:pPr>
    </w:p>
    <w:p>
      <w:pPr>
        <w:ind w:left="760" w:hanging="378"/>
        <w:spacing w:after="0" w:line="257" w:lineRule="auto"/>
        <w:tabs>
          <w:tab w:leader="none" w:pos="760" w:val="left"/>
        </w:tabs>
        <w:numPr>
          <w:ilvl w:val="0"/>
          <w:numId w:val="11"/>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amendments set forth below shall be effective beginning on the date first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above (the “Amendment Effective Date”):</w:t>
      </w:r>
    </w:p>
    <w:p>
      <w:pPr>
        <w:spacing w:after="0" w:line="165" w:lineRule="exact"/>
        <w:rPr>
          <w:rFonts w:ascii="Arial" w:cs="Arial" w:eastAsia="Arial" w:hAnsi="Arial"/>
          <w:sz w:val="20"/>
          <w:szCs w:val="20"/>
          <w:color w:val="auto"/>
        </w:rPr>
      </w:pPr>
    </w:p>
    <w:p>
      <w:pPr>
        <w:jc w:val="both"/>
        <w:ind w:left="1500" w:hanging="369"/>
        <w:spacing w:after="0" w:line="229" w:lineRule="auto"/>
        <w:tabs>
          <w:tab w:leader="none" w:pos="1500" w:val="left"/>
        </w:tabs>
        <w:numPr>
          <w:ilvl w:val="1"/>
          <w:numId w:val="11"/>
        </w:numPr>
        <w:rPr>
          <w:rFonts w:ascii="Arial" w:cs="Arial" w:eastAsia="Arial" w:hAnsi="Arial"/>
          <w:sz w:val="20"/>
          <w:szCs w:val="20"/>
          <w:color w:val="auto"/>
        </w:rPr>
      </w:pPr>
      <w:r>
        <w:rPr>
          <w:rFonts w:ascii="Arial" w:cs="Arial" w:eastAsia="Arial" w:hAnsi="Arial"/>
          <w:sz w:val="20"/>
          <w:szCs w:val="20"/>
          <w:u w:val="single" w:color="auto"/>
          <w:color w:val="auto"/>
        </w:rPr>
        <w:t>Parties</w:t>
      </w:r>
      <w:r>
        <w:rPr>
          <w:rFonts w:ascii="Arial" w:cs="Arial" w:eastAsia="Arial" w:hAnsi="Arial"/>
          <w:sz w:val="20"/>
          <w:szCs w:val="20"/>
          <w:color w:val="auto"/>
        </w:rPr>
        <w:t>. Evonik US is hereby added as a party to the Agreement. The Parties agree and acknowledge that with respect to any Product purchased by Purchaser from Evonik US, Evonik US shall have the same rights and obligations as are applicable to Evonik GmbH with respect to such Product sold, and Purchaser shall have the same rights and obligations as are applicable with respect to Product purchased from or sold by Evonik GmbH. As such, the term “Supplier” as used throughout the Agreement, shall be deemed to refer to the entity manufacturing and selling Product (either Evonik GmbH or Evonik, whichever is applicable) for purchase by Purchaser. Evonik GmbH, Evonik US and Purchaser shall each individually be considered a “Party” and collectively as the “Parties” as such terms are used throughout the Agreement.</w:t>
      </w:r>
    </w:p>
    <w:p>
      <w:pPr>
        <w:spacing w:after="0" w:line="188" w:lineRule="exact"/>
        <w:rPr>
          <w:rFonts w:ascii="Arial" w:cs="Arial" w:eastAsia="Arial" w:hAnsi="Arial"/>
          <w:sz w:val="20"/>
          <w:szCs w:val="20"/>
          <w:color w:val="auto"/>
        </w:rPr>
      </w:pPr>
    </w:p>
    <w:p>
      <w:pPr>
        <w:ind w:left="1500" w:right="360" w:hanging="369"/>
        <w:spacing w:after="0" w:line="247" w:lineRule="auto"/>
        <w:tabs>
          <w:tab w:leader="none" w:pos="1500" w:val="left"/>
        </w:tabs>
        <w:numPr>
          <w:ilvl w:val="1"/>
          <w:numId w:val="11"/>
        </w:numPr>
        <w:rPr>
          <w:rFonts w:ascii="Arial" w:cs="Arial" w:eastAsia="Arial" w:hAnsi="Arial"/>
          <w:sz w:val="20"/>
          <w:szCs w:val="20"/>
          <w:color w:val="auto"/>
        </w:rPr>
      </w:pPr>
      <w:r>
        <w:rPr>
          <w:rFonts w:ascii="Arial" w:cs="Arial" w:eastAsia="Arial" w:hAnsi="Arial"/>
          <w:sz w:val="20"/>
          <w:szCs w:val="20"/>
          <w:u w:val="single" w:color="auto"/>
          <w:color w:val="auto"/>
        </w:rPr>
        <w:t>Section 4.3.6 Currency</w:t>
      </w:r>
      <w:r>
        <w:rPr>
          <w:rFonts w:ascii="Arial" w:cs="Arial" w:eastAsia="Arial" w:hAnsi="Arial"/>
          <w:sz w:val="20"/>
          <w:szCs w:val="20"/>
          <w:color w:val="auto"/>
        </w:rPr>
        <w:t>. Section 4.3.6 of the Agreement shall be deleted in its entirety and replaced with the following:</w:t>
      </w:r>
    </w:p>
    <w:p>
      <w:pPr>
        <w:spacing w:after="0" w:line="169" w:lineRule="exact"/>
        <w:rPr>
          <w:sz w:val="20"/>
          <w:szCs w:val="20"/>
          <w:color w:val="auto"/>
        </w:rPr>
      </w:pPr>
    </w:p>
    <w:p>
      <w:pPr>
        <w:ind w:left="2260" w:right="1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Payments shall be made in Euros to Evonik GmbH. Payments shall be made in US Dollars to Evonik</w:t>
      </w:r>
      <w:r>
        <w:rPr>
          <w:rFonts w:ascii="Arial" w:cs="Arial" w:eastAsia="Arial" w:hAnsi="Arial"/>
          <w:sz w:val="20"/>
          <w:szCs w:val="20"/>
          <w:color w:val="auto"/>
        </w:rPr>
        <w:t xml:space="preserve"> </w:t>
      </w:r>
      <w:r>
        <w:rPr>
          <w:rFonts w:ascii="Arial" w:cs="Arial" w:eastAsia="Arial" w:hAnsi="Arial"/>
          <w:sz w:val="20"/>
          <w:szCs w:val="20"/>
          <w:i w:val="1"/>
          <w:iCs w:val="1"/>
          <w:color w:val="auto"/>
        </w:rPr>
        <w:t>US</w:t>
      </w:r>
      <w:r>
        <w:rPr>
          <w:rFonts w:ascii="Arial" w:cs="Arial" w:eastAsia="Arial" w:hAnsi="Arial"/>
          <w:sz w:val="20"/>
          <w:szCs w:val="20"/>
          <w:color w:val="auto"/>
        </w:rPr>
        <w:t>.”</w:t>
      </w:r>
    </w:p>
    <w:p>
      <w:pPr>
        <w:spacing w:after="0" w:line="169" w:lineRule="exact"/>
        <w:rPr>
          <w:sz w:val="20"/>
          <w:szCs w:val="20"/>
          <w:color w:val="auto"/>
        </w:rPr>
      </w:pPr>
    </w:p>
    <w:p>
      <w:pPr>
        <w:ind w:left="1500" w:hanging="369"/>
        <w:spacing w:after="0"/>
        <w:tabs>
          <w:tab w:leader="none" w:pos="150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Section 7.4 Export Compliance</w:t>
      </w:r>
      <w:r>
        <w:rPr>
          <w:rFonts w:ascii="Arial" w:cs="Arial" w:eastAsia="Arial" w:hAnsi="Arial"/>
          <w:sz w:val="20"/>
          <w:szCs w:val="20"/>
          <w:color w:val="auto"/>
        </w:rPr>
        <w:t>. Section 7.4 of the Agreement is amended as follows:</w:t>
      </w:r>
    </w:p>
    <w:p>
      <w:pPr>
        <w:ind w:left="2340" w:right="140" w:hanging="281"/>
        <w:spacing w:after="0" w:line="236" w:lineRule="auto"/>
        <w:tabs>
          <w:tab w:leader="none" w:pos="23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by adding “</w:t>
      </w:r>
      <w:r>
        <w:rPr>
          <w:rFonts w:ascii="Arial" w:cs="Arial" w:eastAsia="Arial" w:hAnsi="Arial"/>
          <w:sz w:val="20"/>
          <w:szCs w:val="20"/>
          <w:i w:val="1"/>
          <w:iCs w:val="1"/>
          <w:color w:val="auto"/>
        </w:rPr>
        <w:t>and the United States, as applicable</w:t>
      </w:r>
      <w:r>
        <w:rPr>
          <w:rFonts w:ascii="Arial" w:cs="Arial" w:eastAsia="Arial" w:hAnsi="Arial"/>
          <w:sz w:val="20"/>
          <w:szCs w:val="20"/>
          <w:color w:val="auto"/>
        </w:rPr>
        <w:t>” after “Germany” in the first sentence of the Section;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ind w:left="1220" w:hanging="281"/>
        <w:spacing w:after="0"/>
        <w:tabs>
          <w:tab w:leader="none" w:pos="12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By adding “</w:t>
      </w:r>
      <w:r>
        <w:rPr>
          <w:rFonts w:ascii="Arial" w:cs="Arial" w:eastAsia="Arial" w:hAnsi="Arial"/>
          <w:sz w:val="20"/>
          <w:szCs w:val="20"/>
          <w:i w:val="1"/>
          <w:iCs w:val="1"/>
          <w:color w:val="auto"/>
        </w:rPr>
        <w:t>or the United States, as applicable</w:t>
      </w:r>
      <w:r>
        <w:rPr>
          <w:rFonts w:ascii="Arial" w:cs="Arial" w:eastAsia="Arial" w:hAnsi="Arial"/>
          <w:sz w:val="20"/>
          <w:szCs w:val="20"/>
          <w:color w:val="auto"/>
        </w:rPr>
        <w:t>” after “Germany” in the last sentence of the Section.</w:t>
      </w:r>
    </w:p>
    <w:p>
      <w:pPr>
        <w:spacing w:after="0" w:line="208" w:lineRule="exact"/>
        <w:rPr>
          <w:rFonts w:ascii="Arial" w:cs="Arial" w:eastAsia="Arial" w:hAnsi="Arial"/>
          <w:sz w:val="20"/>
          <w:szCs w:val="20"/>
          <w:color w:val="auto"/>
        </w:rPr>
      </w:pPr>
    </w:p>
    <w:p>
      <w:pPr>
        <w:ind w:left="380" w:hanging="369"/>
        <w:spacing w:after="0"/>
        <w:tabs>
          <w:tab w:leader="none" w:pos="38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Article 10, Liability</w:t>
      </w:r>
      <w:r>
        <w:rPr>
          <w:rFonts w:ascii="Arial" w:cs="Arial" w:eastAsia="Arial" w:hAnsi="Arial"/>
          <w:sz w:val="20"/>
          <w:szCs w:val="20"/>
          <w:color w:val="auto"/>
        </w:rPr>
        <w:t>. Article 10 of the Agreement is amended by adding the following as new Section 10.4:</w:t>
      </w:r>
    </w:p>
    <w:p>
      <w:pPr>
        <w:spacing w:after="0" w:line="196" w:lineRule="exact"/>
        <w:rPr>
          <w:sz w:val="20"/>
          <w:szCs w:val="20"/>
          <w:color w:val="auto"/>
        </w:rPr>
      </w:pPr>
    </w:p>
    <w:p>
      <w:pPr>
        <w:jc w:val="both"/>
        <w:ind w:left="114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For the avoidance of doubt, Evonik GmbH and Evonik US shall not be jointly and severally liable to</w:t>
      </w:r>
      <w:r>
        <w:rPr>
          <w:rFonts w:ascii="Arial" w:cs="Arial" w:eastAsia="Arial" w:hAnsi="Arial"/>
          <w:sz w:val="20"/>
          <w:szCs w:val="20"/>
          <w:color w:val="auto"/>
        </w:rPr>
        <w:t xml:space="preserve"> </w:t>
      </w:r>
      <w:r>
        <w:rPr>
          <w:rFonts w:ascii="Arial" w:cs="Arial" w:eastAsia="Arial" w:hAnsi="Arial"/>
          <w:sz w:val="20"/>
          <w:szCs w:val="20"/>
          <w:i w:val="1"/>
          <w:iCs w:val="1"/>
          <w:color w:val="auto"/>
        </w:rPr>
        <w:t>Purchaser or Purchaser’s Affiliates. In the event Purchaser issues a purchase order and Supplier issues an Acknowledgment accepting such purchase order, such purchase order shall only create obligations between the specific Supplier issuing the Acknowledgment and Purchaser. The liability caps set forth in Article 10.2.2 and 10.2.3 shall be the aggregate liability of Evonik US and Evonik GmbH together.</w:t>
      </w:r>
      <w:r>
        <w:rPr>
          <w:rFonts w:ascii="Arial" w:cs="Arial" w:eastAsia="Arial" w:hAnsi="Arial"/>
          <w:sz w:val="20"/>
          <w:szCs w:val="20"/>
          <w:color w:val="auto"/>
        </w:rPr>
        <w:t>”</w:t>
      </w:r>
    </w:p>
    <w:p>
      <w:pPr>
        <w:spacing w:after="0" w:line="184" w:lineRule="exact"/>
        <w:rPr>
          <w:sz w:val="20"/>
          <w:szCs w:val="20"/>
          <w:color w:val="auto"/>
        </w:rPr>
      </w:pPr>
    </w:p>
    <w:p>
      <w:pPr>
        <w:ind w:left="380" w:right="220" w:hanging="369"/>
        <w:spacing w:after="0" w:line="247" w:lineRule="auto"/>
        <w:tabs>
          <w:tab w:leader="none" w:pos="38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Section 14.1, Governing Law</w:t>
      </w:r>
      <w:r>
        <w:rPr>
          <w:rFonts w:ascii="Arial" w:cs="Arial" w:eastAsia="Arial" w:hAnsi="Arial"/>
          <w:sz w:val="20"/>
          <w:szCs w:val="20"/>
          <w:color w:val="auto"/>
        </w:rPr>
        <w:t>. Section 14.1 of the Agreement shall be deleted in its entirety and replaced with the following:</w:t>
      </w:r>
    </w:p>
    <w:p>
      <w:pPr>
        <w:spacing w:after="0" w:line="169" w:lineRule="exact"/>
        <w:rPr>
          <w:sz w:val="20"/>
          <w:szCs w:val="20"/>
          <w:color w:val="auto"/>
        </w:rPr>
      </w:pPr>
    </w:p>
    <w:p>
      <w:pPr>
        <w:jc w:val="both"/>
        <w:ind w:left="114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This Agreement and the legal relations between the Parties in connection herewith shall be governed</w:t>
      </w:r>
      <w:r>
        <w:rPr>
          <w:rFonts w:ascii="Arial" w:cs="Arial" w:eastAsia="Arial" w:hAnsi="Arial"/>
          <w:sz w:val="20"/>
          <w:szCs w:val="20"/>
          <w:color w:val="auto"/>
        </w:rPr>
        <w:t xml:space="preserve"> </w:t>
      </w:r>
      <w:r>
        <w:rPr>
          <w:rFonts w:ascii="Arial" w:cs="Arial" w:eastAsia="Arial" w:hAnsi="Arial"/>
          <w:sz w:val="20"/>
          <w:szCs w:val="20"/>
          <w:i w:val="1"/>
          <w:iCs w:val="1"/>
          <w:color w:val="auto"/>
        </w:rPr>
        <w:t>by, and construed in accordance with, the laws of the State of New Jersey, U.S.A. excluding the provisions of the United Nations Convention on Contracts for the International Sale of Goods and any conflict of law provisions that would require application of another choice of law</w:t>
      </w:r>
      <w:r>
        <w:rPr>
          <w:rFonts w:ascii="Arial" w:cs="Arial" w:eastAsia="Arial" w:hAnsi="Arial"/>
          <w:sz w:val="20"/>
          <w:szCs w:val="20"/>
          <w:color w:val="auto"/>
        </w:rPr>
        <w:t>.”</w:t>
      </w:r>
    </w:p>
    <w:p>
      <w:pPr>
        <w:spacing w:after="0" w:line="181" w:lineRule="exact"/>
        <w:rPr>
          <w:sz w:val="20"/>
          <w:szCs w:val="20"/>
          <w:color w:val="auto"/>
        </w:rPr>
      </w:pPr>
    </w:p>
    <w:p>
      <w:pPr>
        <w:ind w:left="380" w:right="220" w:hanging="369"/>
        <w:spacing w:after="0" w:line="247" w:lineRule="auto"/>
        <w:tabs>
          <w:tab w:leader="none" w:pos="38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Section 14.2, Jurisdiction</w:t>
      </w:r>
      <w:r>
        <w:rPr>
          <w:rFonts w:ascii="Arial" w:cs="Arial" w:eastAsia="Arial" w:hAnsi="Arial"/>
          <w:sz w:val="20"/>
          <w:szCs w:val="20"/>
          <w:color w:val="auto"/>
        </w:rPr>
        <w:t>. Section 14.2 of the Agreement shall be deleted in its entirety and replaced with the following:</w:t>
      </w:r>
    </w:p>
    <w:p>
      <w:pPr>
        <w:spacing w:after="0" w:line="169" w:lineRule="exact"/>
        <w:rPr>
          <w:sz w:val="20"/>
          <w:szCs w:val="20"/>
          <w:color w:val="auto"/>
        </w:rPr>
      </w:pPr>
    </w:p>
    <w:p>
      <w:pPr>
        <w:jc w:val="both"/>
        <w:ind w:left="114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Any dispute, controversy or claim arising out of or in connection with this Agreement, or the breach,</w:t>
      </w:r>
      <w:r>
        <w:rPr>
          <w:rFonts w:ascii="Arial" w:cs="Arial" w:eastAsia="Arial" w:hAnsi="Arial"/>
          <w:sz w:val="20"/>
          <w:szCs w:val="20"/>
          <w:color w:val="auto"/>
        </w:rPr>
        <w:t xml:space="preserve"> </w:t>
      </w:r>
      <w:r>
        <w:rPr>
          <w:rFonts w:ascii="Arial" w:cs="Arial" w:eastAsia="Arial" w:hAnsi="Arial"/>
          <w:sz w:val="20"/>
          <w:szCs w:val="20"/>
          <w:i w:val="1"/>
          <w:iCs w:val="1"/>
          <w:color w:val="auto"/>
        </w:rPr>
        <w:t>termination, or invalidity thereof, that cannot be solved by both Parties in an amicable manner shall be finally settled by arbitration in accordance with the ICC Rules of Arbitration in force on the date when the notice of arbitration is submitted. The number of arbitrators will be three (3). The arbitrators shall have the power to grant any remedy or relief that they deem just and equitable, including but not limited to equitable and injunctive relief, whether provisional or final in nature, and any such equitable or injunctive measures ordered by the arbitrators may be enforced by any court of competent jurisdiction. Notwithstanding the foregoing, nothing in this Agreement shall prevent either Party from seeking any provisional/preliminary equitable relief (including, but not limited to, preliminary injunctions, attachments or other such orders in aid of arbitration) from any state or federal courts located in the State of New Jersey (the “New Jersey courts”), and any such application to a New Jersey court for provisional/preliminary relief shall not be deemed incompatible with the agreement to arbitrate or a waiver of the right to arbitrate. In the event that either Party seeks provisional/preliminary relief in the New Jersey courts in accordance with the last sentence, each of the Parties hereby (a) agrees that the New Jersey courts shall have exclusive jurisdiction to grant such judicial relief and (b) waives any claim or defense that the jurisdiction or venue of the New Jersey courts is improper. The arbitrators shall have no authority to award punitive damages or other damages not measured by the prevailing Party’s actual damages, and may not, in any event, make any ruling, finding or award that does not conform to the provisions of this</w:t>
      </w: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205740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9" w:right="339" w:bottom="1440" w:gutter="0" w:footer="0" w:header="0"/>
        </w:sectPr>
      </w:pPr>
    </w:p>
    <w:bookmarkStart w:id="40" w:name="page41"/>
    <w:bookmarkEnd w:id="40"/>
    <w:p>
      <w:pPr>
        <w:jc w:val="both"/>
        <w:ind w:left="1880"/>
        <w:spacing w:after="0" w:line="230" w:lineRule="auto"/>
        <w:rPr>
          <w:sz w:val="20"/>
          <w:szCs w:val="20"/>
          <w:color w:val="auto"/>
        </w:rPr>
      </w:pPr>
      <w:r>
        <w:rPr>
          <w:rFonts w:ascii="Arial" w:cs="Arial" w:eastAsia="Arial" w:hAnsi="Arial"/>
          <w:sz w:val="20"/>
          <w:szCs w:val="20"/>
          <w:i w:val="1"/>
          <w:iCs w:val="1"/>
          <w:color w:val="auto"/>
        </w:rPr>
        <w:t>Agreement. The award of the arbitrators in writing shall be final and binding upon the Parties. Should any Party fail to appear or be represented at the arbitration proceedings after due notice in accordance with the applicable rules, then the arbitrator may nevertheless render a decision in the absence of such Party and such decision shall have the same force and effect as if the absent Party had been present, whether or not it shall be adverse to the interests of such Party. The arbitration is to be conducted in the City of New York, County of New York. The arbitral proceedings will be conducted in English. Each Party shall submit to any court of competent jurisdiction for purposes of the enforcement of any award, order or judgment pursuant to arbitration, and such award, order or judgment shall be final and may be entered and enforced in any court of competent jurisdiction.</w:t>
      </w:r>
      <w:r>
        <w:rPr>
          <w:rFonts w:ascii="Arial" w:cs="Arial" w:eastAsia="Arial" w:hAnsi="Arial"/>
          <w:sz w:val="20"/>
          <w:szCs w:val="20"/>
          <w:color w:val="auto"/>
        </w:rPr>
        <w:t>”</w:t>
      </w:r>
    </w:p>
    <w:p>
      <w:pPr>
        <w:spacing w:after="0" w:line="398" w:lineRule="exact"/>
        <w:rPr>
          <w:sz w:val="20"/>
          <w:szCs w:val="20"/>
          <w:color w:val="auto"/>
        </w:rPr>
      </w:pPr>
    </w:p>
    <w:p>
      <w:pPr>
        <w:ind w:left="1120" w:hanging="369"/>
        <w:spacing w:after="0" w:line="247" w:lineRule="auto"/>
        <w:tabs>
          <w:tab w:leader="none" w:pos="112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Section 15.1, Notice</w:t>
      </w:r>
      <w:r>
        <w:rPr>
          <w:rFonts w:ascii="Arial" w:cs="Arial" w:eastAsia="Arial" w:hAnsi="Arial"/>
          <w:sz w:val="20"/>
          <w:szCs w:val="20"/>
          <w:color w:val="auto"/>
        </w:rPr>
        <w:t>. Section 15.1 of the Agreement shall be amended to add the following notice information for Supplier:</w:t>
      </w:r>
    </w:p>
    <w:p>
      <w:pPr>
        <w:spacing w:after="0" w:line="169" w:lineRule="exact"/>
        <w:rPr>
          <w:sz w:val="20"/>
          <w:szCs w:val="20"/>
          <w:color w:val="auto"/>
        </w:rPr>
      </w:pPr>
    </w:p>
    <w:p>
      <w:pPr>
        <w:ind w:left="1880"/>
        <w:spacing w:after="0"/>
        <w:tabs>
          <w:tab w:leader="none" w:pos="3180" w:val="left"/>
        </w:tabs>
        <w:rPr>
          <w:sz w:val="20"/>
          <w:szCs w:val="20"/>
          <w:color w:val="auto"/>
        </w:rPr>
      </w:pPr>
      <w:r>
        <w:rPr>
          <w:rFonts w:ascii="Arial" w:cs="Arial" w:eastAsia="Arial" w:hAnsi="Arial"/>
          <w:sz w:val="20"/>
          <w:szCs w:val="20"/>
          <w:i w:val="1"/>
          <w:iCs w:val="1"/>
          <w:color w:val="auto"/>
        </w:rPr>
        <w:t>Evonik US:</w:t>
      </w:r>
      <w:r>
        <w:rPr>
          <w:sz w:val="20"/>
          <w:szCs w:val="20"/>
          <w:color w:val="auto"/>
        </w:rPr>
        <w:tab/>
      </w:r>
      <w:r>
        <w:rPr>
          <w:rFonts w:ascii="Arial" w:cs="Arial" w:eastAsia="Arial" w:hAnsi="Arial"/>
          <w:sz w:val="19"/>
          <w:szCs w:val="19"/>
          <w:i w:val="1"/>
          <w:iCs w:val="1"/>
          <w:color w:val="auto"/>
        </w:rPr>
        <w:t>Evonik Corporation</w:t>
      </w:r>
    </w:p>
    <w:p>
      <w:pPr>
        <w:ind w:left="2760"/>
        <w:spacing w:after="0" w:line="231" w:lineRule="auto"/>
        <w:rPr>
          <w:sz w:val="20"/>
          <w:szCs w:val="20"/>
          <w:color w:val="auto"/>
        </w:rPr>
      </w:pPr>
      <w:r>
        <w:rPr>
          <w:rFonts w:ascii="Arial" w:cs="Arial" w:eastAsia="Arial" w:hAnsi="Arial"/>
          <w:sz w:val="20"/>
          <w:szCs w:val="20"/>
          <w:i w:val="1"/>
          <w:iCs w:val="1"/>
          <w:color w:val="auto"/>
        </w:rPr>
        <w:t>Attn: [***]</w:t>
      </w:r>
    </w:p>
    <w:p>
      <w:pPr>
        <w:ind w:left="3380"/>
        <w:spacing w:after="0" w:line="226" w:lineRule="auto"/>
        <w:rPr>
          <w:sz w:val="20"/>
          <w:szCs w:val="20"/>
          <w:color w:val="auto"/>
        </w:rPr>
      </w:pPr>
      <w:r>
        <w:rPr>
          <w:rFonts w:ascii="Arial" w:cs="Arial" w:eastAsia="Arial" w:hAnsi="Arial"/>
          <w:sz w:val="20"/>
          <w:szCs w:val="20"/>
          <w:i w:val="1"/>
          <w:iCs w:val="1"/>
          <w:color w:val="auto"/>
        </w:rPr>
        <w:t>1650 Lilly Road</w:t>
      </w:r>
    </w:p>
    <w:p>
      <w:pPr>
        <w:ind w:left="3380"/>
        <w:spacing w:after="0" w:line="225" w:lineRule="auto"/>
        <w:rPr>
          <w:sz w:val="20"/>
          <w:szCs w:val="20"/>
          <w:color w:val="auto"/>
        </w:rPr>
      </w:pPr>
      <w:r>
        <w:rPr>
          <w:rFonts w:ascii="Arial" w:cs="Arial" w:eastAsia="Arial" w:hAnsi="Arial"/>
          <w:sz w:val="20"/>
          <w:szCs w:val="20"/>
          <w:i w:val="1"/>
          <w:iCs w:val="1"/>
          <w:color w:val="auto"/>
        </w:rPr>
        <w:t>Lafayette, IN 47909</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20"/>
          <w:szCs w:val="20"/>
          <w:i w:val="1"/>
          <w:iCs w:val="1"/>
          <w:color w:val="auto"/>
        </w:rPr>
        <w:t>[***]</w:t>
      </w:r>
    </w:p>
    <w:p>
      <w:pPr>
        <w:spacing w:after="0" w:line="182" w:lineRule="exact"/>
        <w:rPr>
          <w:sz w:val="20"/>
          <w:szCs w:val="20"/>
          <w:color w:val="auto"/>
        </w:rPr>
      </w:pPr>
    </w:p>
    <w:p>
      <w:pPr>
        <w:ind w:left="2760"/>
        <w:spacing w:after="0"/>
        <w:rPr>
          <w:sz w:val="20"/>
          <w:szCs w:val="20"/>
          <w:color w:val="auto"/>
        </w:rPr>
      </w:pPr>
      <w:r>
        <w:rPr>
          <w:rFonts w:ascii="Arial" w:cs="Arial" w:eastAsia="Arial" w:hAnsi="Arial"/>
          <w:sz w:val="20"/>
          <w:szCs w:val="20"/>
          <w:i w:val="1"/>
          <w:iCs w:val="1"/>
          <w:color w:val="auto"/>
        </w:rPr>
        <w:t>With a copy to:</w:t>
      </w:r>
    </w:p>
    <w:p>
      <w:pPr>
        <w:ind w:left="3380"/>
        <w:spacing w:after="0" w:line="231" w:lineRule="auto"/>
        <w:rPr>
          <w:sz w:val="20"/>
          <w:szCs w:val="20"/>
          <w:color w:val="auto"/>
        </w:rPr>
      </w:pPr>
      <w:r>
        <w:rPr>
          <w:rFonts w:ascii="Arial" w:cs="Arial" w:eastAsia="Arial" w:hAnsi="Arial"/>
          <w:sz w:val="20"/>
          <w:szCs w:val="20"/>
          <w:i w:val="1"/>
          <w:iCs w:val="1"/>
          <w:color w:val="auto"/>
        </w:rPr>
        <w:t>Evonik Corporation, Legal Department</w:t>
      </w:r>
    </w:p>
    <w:p>
      <w:pPr>
        <w:ind w:left="2760"/>
        <w:spacing w:after="0" w:line="226" w:lineRule="auto"/>
        <w:rPr>
          <w:sz w:val="20"/>
          <w:szCs w:val="20"/>
          <w:color w:val="auto"/>
        </w:rPr>
      </w:pPr>
      <w:r>
        <w:rPr>
          <w:rFonts w:ascii="Arial" w:cs="Arial" w:eastAsia="Arial" w:hAnsi="Arial"/>
          <w:sz w:val="20"/>
          <w:szCs w:val="20"/>
          <w:i w:val="1"/>
          <w:iCs w:val="1"/>
          <w:color w:val="auto"/>
        </w:rPr>
        <w:t>2 Turner Place</w:t>
      </w:r>
    </w:p>
    <w:p>
      <w:pPr>
        <w:ind w:left="2760"/>
        <w:spacing w:after="0"/>
        <w:rPr>
          <w:sz w:val="20"/>
          <w:szCs w:val="20"/>
          <w:color w:val="auto"/>
        </w:rPr>
      </w:pPr>
      <w:r>
        <w:rPr>
          <w:rFonts w:ascii="Arial" w:cs="Arial" w:eastAsia="Arial" w:hAnsi="Arial"/>
          <w:sz w:val="20"/>
          <w:szCs w:val="20"/>
          <w:i w:val="1"/>
          <w:iCs w:val="1"/>
          <w:color w:val="auto"/>
        </w:rPr>
        <w:t>Piscataway, NJ 08854</w:t>
      </w:r>
    </w:p>
    <w:p>
      <w:pPr>
        <w:spacing w:after="0" w:line="394" w:lineRule="exact"/>
        <w:rPr>
          <w:sz w:val="20"/>
          <w:szCs w:val="20"/>
          <w:color w:val="auto"/>
        </w:rPr>
      </w:pPr>
    </w:p>
    <w:p>
      <w:pPr>
        <w:jc w:val="both"/>
        <w:ind w:left="380" w:hanging="378"/>
        <w:spacing w:after="0" w:line="230" w:lineRule="auto"/>
        <w:tabs>
          <w:tab w:leader="none" w:pos="380" w:val="left"/>
        </w:tabs>
        <w:numPr>
          <w:ilvl w:val="0"/>
          <w:numId w:val="18"/>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 on the Agreement</w:t>
      </w:r>
      <w:r>
        <w:rPr>
          <w:rFonts w:ascii="Arial" w:cs="Arial" w:eastAsia="Arial" w:hAnsi="Arial"/>
          <w:sz w:val="20"/>
          <w:szCs w:val="20"/>
          <w:color w:val="auto"/>
        </w:rPr>
        <w:t>. The Agreement shall continue in full force and effect as amended by this Amendment No. 1.</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No. 1, together with the Agreement, constitutes the entire agreement of the Parties with respect to the matters set forth herein and there are no other agreements, commitments, or understandings among the Parties with respect to the matters set forth herein. In the event of any conflict or inconsistency between the provisions of this Amendment No. 1, and the provisions of the Agreement, the provisions of this Amendment No. 1 shall govern and control. Each and every other term, condition, covenant, representation, warranty and provision set forth in the Agreement shall remain in full force and effect in accordance with the terms of the Agreement. From and after the date hereof, all references in the Agreement to the “Agreement” shall be deemed to mean the Agreement as amended by this Amendment No. 1.</w:t>
      </w:r>
    </w:p>
    <w:p>
      <w:pPr>
        <w:spacing w:after="0" w:line="176" w:lineRule="exact"/>
        <w:rPr>
          <w:sz w:val="20"/>
          <w:szCs w:val="20"/>
          <w:color w:val="auto"/>
        </w:rPr>
      </w:pPr>
    </w:p>
    <w:p>
      <w:pPr>
        <w:jc w:val="both"/>
        <w:ind w:left="380" w:hanging="379"/>
        <w:spacing w:after="0" w:line="234" w:lineRule="auto"/>
        <w:tabs>
          <w:tab w:leader="none" w:pos="3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Amendment No. 1 may be executed in any number of counterparts, each of which will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but all of which together will constitute one and the same instrument. If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9"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 Signature page to follow</w:t>
      </w:r>
      <w:r>
        <w:rPr>
          <w:rFonts w:ascii="Arial" w:cs="Arial" w:eastAsia="Arial" w:hAnsi="Arial"/>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217170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59" w:right="339" w:bottom="1440" w:gutter="0" w:footer="0" w:header="0"/>
        </w:sectPr>
      </w:pPr>
    </w:p>
    <w:bookmarkStart w:id="41" w:name="page42"/>
    <w:bookmarkEnd w:id="41"/>
    <w:p>
      <w:pPr>
        <w:spacing w:after="0" w:line="247" w:lineRule="auto"/>
        <w:rPr>
          <w:sz w:val="20"/>
          <w:szCs w:val="20"/>
          <w:color w:val="auto"/>
        </w:rPr>
      </w:pPr>
      <w:r>
        <w:rPr>
          <w:rFonts w:ascii="Arial" w:cs="Arial" w:eastAsia="Arial" w:hAnsi="Arial"/>
          <w:sz w:val="20"/>
          <w:szCs w:val="20"/>
          <w:color w:val="auto"/>
        </w:rPr>
        <w:t>The parties hereby agree to the terms and conditions set forth in this Amendment No. 1 to the Vonoprazan Commercial Supply Agreement.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960" w:type="dxa"/>
            <w:vAlign w:val="bottom"/>
            <w:gridSpan w:val="7"/>
          </w:tcPr>
          <w:p>
            <w:pPr>
              <w:spacing w:after="0"/>
              <w:rPr>
                <w:sz w:val="20"/>
                <w:szCs w:val="20"/>
                <w:color w:val="auto"/>
              </w:rPr>
            </w:pPr>
            <w:r>
              <w:rPr>
                <w:rFonts w:ascii="Arial" w:cs="Arial" w:eastAsia="Arial" w:hAnsi="Arial"/>
                <w:sz w:val="20"/>
                <w:szCs w:val="20"/>
                <w:b w:val="1"/>
                <w:bCs w:val="1"/>
                <w:color w:val="auto"/>
              </w:rPr>
              <w:t>Evonik Operations GmbH</w:t>
            </w:r>
          </w:p>
        </w:tc>
        <w:tc>
          <w:tcPr>
            <w:tcW w:w="4120" w:type="dxa"/>
            <w:vAlign w:val="bottom"/>
            <w:gridSpan w:val="5"/>
          </w:tcPr>
          <w:p>
            <w:pPr>
              <w:ind w:left="660"/>
              <w:spacing w:after="0"/>
              <w:rPr>
                <w:sz w:val="20"/>
                <w:szCs w:val="20"/>
                <w:color w:val="auto"/>
              </w:rPr>
            </w:pPr>
            <w:r>
              <w:rPr>
                <w:rFonts w:ascii="Arial" w:cs="Arial" w:eastAsia="Arial" w:hAnsi="Arial"/>
                <w:sz w:val="20"/>
                <w:szCs w:val="20"/>
                <w:b w:val="1"/>
                <w:bCs w:val="1"/>
                <w:color w:val="auto"/>
              </w:rPr>
              <w:t>Phathom Pharmaceuticals, Inc.</w:t>
            </w:r>
          </w:p>
        </w:tc>
      </w:tr>
      <w:tr>
        <w:trPr>
          <w:trHeight w:val="372"/>
        </w:trPr>
        <w:tc>
          <w:tcPr>
            <w:tcW w:w="2960" w:type="dxa"/>
            <w:vAlign w:val="bottom"/>
            <w:gridSpan w:val="7"/>
          </w:tcPr>
          <w:p>
            <w:pPr>
              <w:spacing w:after="0"/>
              <w:rPr>
                <w:sz w:val="20"/>
                <w:szCs w:val="20"/>
                <w:color w:val="auto"/>
              </w:rPr>
            </w:pPr>
            <w:r>
              <w:rPr>
                <w:rFonts w:ascii="Arial" w:cs="Arial" w:eastAsia="Arial" w:hAnsi="Arial"/>
                <w:sz w:val="20"/>
                <w:szCs w:val="20"/>
                <w:color w:val="auto"/>
              </w:rPr>
              <w:t>By: /s/ [***]</w:t>
            </w:r>
          </w:p>
        </w:tc>
        <w:tc>
          <w:tcPr>
            <w:tcW w:w="4120" w:type="dxa"/>
            <w:vAlign w:val="bottom"/>
            <w:gridSpan w:val="5"/>
          </w:tcPr>
          <w:p>
            <w:pPr>
              <w:ind w:left="560"/>
              <w:spacing w:after="0"/>
              <w:rPr>
                <w:sz w:val="20"/>
                <w:szCs w:val="20"/>
                <w:color w:val="auto"/>
              </w:rPr>
            </w:pPr>
            <w:r>
              <w:rPr>
                <w:rFonts w:ascii="Arial" w:cs="Arial" w:eastAsia="Arial" w:hAnsi="Arial"/>
                <w:sz w:val="20"/>
                <w:szCs w:val="20"/>
                <w:color w:val="auto"/>
              </w:rPr>
              <w:t>By:  /s/ Jay Buchanan</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60" w:type="dxa"/>
            <w:vAlign w:val="bottom"/>
            <w:tcBorders>
              <w:left w:val="single" w:sz="8" w:color="auto"/>
            </w:tcBorders>
          </w:tcPr>
          <w:p>
            <w:pPr>
              <w:spacing w:after="0" w:line="20" w:lineRule="exact"/>
              <w:rPr>
                <w:sz w:val="1"/>
                <w:szCs w:val="1"/>
                <w:color w:val="auto"/>
              </w:rPr>
            </w:pPr>
          </w:p>
        </w:tc>
      </w:tr>
      <w:tr>
        <w:trPr>
          <w:trHeight w:val="412"/>
        </w:trPr>
        <w:tc>
          <w:tcPr>
            <w:tcW w:w="2960" w:type="dxa"/>
            <w:vAlign w:val="bottom"/>
            <w:gridSpan w:val="7"/>
          </w:tcPr>
          <w:p>
            <w:pPr>
              <w:spacing w:after="0"/>
              <w:rPr>
                <w:sz w:val="20"/>
                <w:szCs w:val="20"/>
                <w:color w:val="auto"/>
              </w:rPr>
            </w:pPr>
            <w:r>
              <w:rPr>
                <w:rFonts w:ascii="Arial" w:cs="Arial" w:eastAsia="Arial" w:hAnsi="Arial"/>
                <w:sz w:val="20"/>
                <w:szCs w:val="20"/>
                <w:color w:val="auto"/>
              </w:rPr>
              <w:t>Name: [***]</w:t>
            </w:r>
          </w:p>
        </w:tc>
        <w:tc>
          <w:tcPr>
            <w:tcW w:w="4120" w:type="dxa"/>
            <w:vAlign w:val="bottom"/>
            <w:gridSpan w:val="5"/>
          </w:tcPr>
          <w:p>
            <w:pPr>
              <w:ind w:left="560"/>
              <w:spacing w:after="0"/>
              <w:rPr>
                <w:sz w:val="20"/>
                <w:szCs w:val="20"/>
                <w:color w:val="auto"/>
              </w:rPr>
            </w:pPr>
            <w:r>
              <w:rPr>
                <w:rFonts w:ascii="Arial" w:cs="Arial" w:eastAsia="Arial" w:hAnsi="Arial"/>
                <w:sz w:val="20"/>
                <w:szCs w:val="20"/>
                <w:color w:val="auto"/>
              </w:rPr>
              <w:t>Name: Jay Buchanan</w:t>
            </w:r>
          </w:p>
        </w:tc>
      </w:tr>
      <w:tr>
        <w:trPr>
          <w:trHeight w:val="20"/>
        </w:trPr>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2960" w:type="dxa"/>
            <w:vAlign w:val="bottom"/>
            <w:gridSpan w:val="7"/>
          </w:tcPr>
          <w:p>
            <w:pPr>
              <w:spacing w:after="0"/>
              <w:rPr>
                <w:sz w:val="20"/>
                <w:szCs w:val="20"/>
                <w:color w:val="auto"/>
              </w:rPr>
            </w:pPr>
            <w:r>
              <w:rPr>
                <w:rFonts w:ascii="Arial" w:cs="Arial" w:eastAsia="Arial" w:hAnsi="Arial"/>
                <w:sz w:val="20"/>
                <w:szCs w:val="20"/>
                <w:color w:val="auto"/>
              </w:rPr>
              <w:t>Title: SVB, Healthcare</w:t>
            </w:r>
          </w:p>
        </w:tc>
        <w:tc>
          <w:tcPr>
            <w:tcW w:w="4120" w:type="dxa"/>
            <w:vAlign w:val="bottom"/>
            <w:gridSpan w:val="5"/>
          </w:tcPr>
          <w:p>
            <w:pPr>
              <w:ind w:left="560"/>
              <w:spacing w:after="0"/>
              <w:rPr>
                <w:sz w:val="20"/>
                <w:szCs w:val="20"/>
                <w:color w:val="auto"/>
              </w:rPr>
            </w:pPr>
            <w:r>
              <w:rPr>
                <w:rFonts w:ascii="Arial" w:cs="Arial" w:eastAsia="Arial" w:hAnsi="Arial"/>
                <w:sz w:val="20"/>
                <w:szCs w:val="20"/>
                <w:color w:val="auto"/>
                <w:w w:val="99"/>
              </w:rPr>
              <w:t>Title: VP, Manufacturing &amp; Supply Chain</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60" w:type="dxa"/>
            <w:vAlign w:val="bottom"/>
            <w:tcBorders>
              <w:lef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Evonik Operations GmbH</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Senior Legal Counsel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Evonik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President, Evonik Corporation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Evonik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VP, PL Drug Substance</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5" w:right="51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10500"/>
        <w:spacing w:after="0"/>
        <w:rPr>
          <w:sz w:val="20"/>
          <w:szCs w:val="20"/>
          <w:color w:val="auto"/>
        </w:rPr>
      </w:pPr>
      <w:r>
        <w:rPr>
          <w:rFonts w:ascii="Arial" w:cs="Arial" w:eastAsia="Arial" w:hAnsi="Arial"/>
          <w:sz w:val="13"/>
          <w:szCs w:val="13"/>
          <w:b w:val="1"/>
          <w:bCs w:val="1"/>
          <w:color w:val="auto"/>
        </w:rPr>
        <w:t>Exhibit 10.2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PHATHOM PHARMACEUTICALS,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NON-EMPLOYEE DIRECTOR COMPENSATION PROGRAM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as of May 25, 2023)</w:t>
      </w:r>
    </w:p>
    <w:p>
      <w:pPr>
        <w:spacing w:after="0" w:line="21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Phathom Pharmaceuticals,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This Program has been adopted under the Company’s 2019 Incentive Award Plan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shall be effective on the Effective Date.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who is entitled to receive such cash or equity compensation, unless such Non-Employee Director declines the receipt of such cash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Capitalized terms not otherwise defined herein shall have the meanings ascribed in the Equity Plan.</w:t>
      </w:r>
    </w:p>
    <w:p>
      <w:pPr>
        <w:spacing w:after="0" w:line="184" w:lineRule="exact"/>
        <w:rPr>
          <w:sz w:val="20"/>
          <w:szCs w:val="20"/>
          <w:color w:val="auto"/>
        </w:rPr>
      </w:pPr>
    </w:p>
    <w:p>
      <w:pPr>
        <w:ind w:left="1200" w:hanging="443"/>
        <w:spacing w:after="0"/>
        <w:tabs>
          <w:tab w:leader="none" w:pos="120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20" w:hanging="515"/>
        <w:spacing w:after="0"/>
        <w:tabs>
          <w:tab w:leader="none" w:pos="20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$50,000 for service on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Board.</w:t>
      </w:r>
    </w:p>
    <w:p>
      <w:pPr>
        <w:spacing w:after="0" w:line="200" w:lineRule="exact"/>
        <w:rPr>
          <w:sz w:val="20"/>
          <w:szCs w:val="20"/>
          <w:color w:val="auto"/>
        </w:rPr>
      </w:pPr>
    </w:p>
    <w:p>
      <w:pPr>
        <w:ind w:firstLine="1505"/>
        <w:spacing w:after="0" w:line="260" w:lineRule="auto"/>
        <w:tabs>
          <w:tab w:leader="none" w:pos="2018"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Additional Annual Retainers</w:t>
      </w:r>
      <w:r>
        <w:rPr>
          <w:rFonts w:ascii="Arial" w:cs="Arial" w:eastAsia="Arial" w:hAnsi="Arial"/>
          <w:sz w:val="20"/>
          <w:szCs w:val="20"/>
          <w:color w:val="auto"/>
        </w:rPr>
        <w:t>. In addition, each Non-Employee Director shall receive the following additional annual retainers, as applicable:</w:t>
      </w:r>
    </w:p>
    <w:p>
      <w:pPr>
        <w:spacing w:after="0" w:line="176" w:lineRule="exact"/>
        <w:rPr>
          <w:rFonts w:ascii="Arial" w:cs="Arial" w:eastAsia="Arial" w:hAnsi="Arial"/>
          <w:sz w:val="20"/>
          <w:szCs w:val="20"/>
          <w:color w:val="auto"/>
        </w:rPr>
      </w:pPr>
    </w:p>
    <w:p>
      <w:pPr>
        <w:ind w:firstLine="2306"/>
        <w:spacing w:after="0" w:line="260" w:lineRule="auto"/>
        <w:tabs>
          <w:tab w:leader="none" w:pos="2774"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Chairperson of the Board</w:t>
      </w:r>
      <w:r>
        <w:rPr>
          <w:rFonts w:ascii="Arial" w:cs="Arial" w:eastAsia="Arial" w:hAnsi="Arial"/>
          <w:sz w:val="20"/>
          <w:szCs w:val="20"/>
          <w:color w:val="auto"/>
        </w:rPr>
        <w:t>. A Non-Employee Director serving as Chairperson of the Board shall receive an additional annual retainer of $40,000 for such service.</w:t>
      </w:r>
    </w:p>
    <w:p>
      <w:pPr>
        <w:spacing w:after="0" w:line="176" w:lineRule="exact"/>
        <w:rPr>
          <w:rFonts w:ascii="Arial" w:cs="Arial" w:eastAsia="Arial" w:hAnsi="Arial"/>
          <w:sz w:val="20"/>
          <w:szCs w:val="20"/>
          <w:color w:val="auto"/>
        </w:rPr>
      </w:pPr>
    </w:p>
    <w:p>
      <w:pPr>
        <w:jc w:val="both"/>
        <w:ind w:firstLine="2254"/>
        <w:spacing w:after="0" w:line="250" w:lineRule="auto"/>
        <w:tabs>
          <w:tab w:leader="none" w:pos="2809"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85" w:lineRule="exact"/>
        <w:rPr>
          <w:rFonts w:ascii="Arial" w:cs="Arial" w:eastAsia="Arial" w:hAnsi="Arial"/>
          <w:sz w:val="20"/>
          <w:szCs w:val="20"/>
          <w:color w:val="auto"/>
        </w:rPr>
      </w:pPr>
    </w:p>
    <w:p>
      <w:pPr>
        <w:jc w:val="both"/>
        <w:ind w:firstLine="2254"/>
        <w:spacing w:after="0" w:line="269" w:lineRule="auto"/>
        <w:tabs>
          <w:tab w:leader="none" w:pos="2820" w:val="left"/>
        </w:tabs>
        <w:numPr>
          <w:ilvl w:val="2"/>
          <w:numId w:val="20"/>
        </w:numPr>
        <w:rPr>
          <w:rFonts w:ascii="Arial" w:cs="Arial" w:eastAsia="Arial" w:hAnsi="Arial"/>
          <w:sz w:val="19"/>
          <w:szCs w:val="19"/>
          <w:color w:val="auto"/>
        </w:rPr>
      </w:pP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spacing w:after="0" w:line="169" w:lineRule="exact"/>
        <w:rPr>
          <w:rFonts w:ascii="Arial" w:cs="Arial" w:eastAsia="Arial" w:hAnsi="Arial"/>
          <w:sz w:val="19"/>
          <w:szCs w:val="19"/>
          <w:color w:val="auto"/>
        </w:rPr>
      </w:pPr>
    </w:p>
    <w:p>
      <w:pPr>
        <w:jc w:val="both"/>
        <w:ind w:firstLine="2254"/>
        <w:spacing w:after="0" w:line="246" w:lineRule="auto"/>
        <w:tabs>
          <w:tab w:leader="none" w:pos="2776" w:val="left"/>
        </w:tabs>
        <w:numPr>
          <w:ilvl w:val="2"/>
          <w:numId w:val="20"/>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191" w:lineRule="exact"/>
        <w:rPr>
          <w:rFonts w:ascii="Arial" w:cs="Arial" w:eastAsia="Arial" w:hAnsi="Arial"/>
          <w:sz w:val="20"/>
          <w:szCs w:val="20"/>
          <w:color w:val="auto"/>
        </w:rPr>
      </w:pPr>
    </w:p>
    <w:p>
      <w:pPr>
        <w:jc w:val="both"/>
        <w:ind w:firstLine="1505"/>
        <w:spacing w:after="0" w:line="250" w:lineRule="auto"/>
        <w:tabs>
          <w:tab w:leader="none" w:pos="1986"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retainers described in Sections 1(a) and 1(b) shall be earned on a quarterly basis based on a calendar quarter and shall be paid by the Company in arrears on a semi-annual basis not later than the forty-fifth day following the end of every other calendar quarter (i.e.,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9"/>
          <w:szCs w:val="19"/>
          <w:color w:val="auto"/>
        </w:rPr>
        <w:t>August 15 and February 15).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183" w:lineRule="exact"/>
        <w:rPr>
          <w:sz w:val="20"/>
          <w:szCs w:val="20"/>
          <w:color w:val="auto"/>
        </w:rPr>
      </w:pPr>
    </w:p>
    <w:p>
      <w:pPr>
        <w:jc w:val="both"/>
        <w:ind w:firstLine="757"/>
        <w:spacing w:after="0" w:line="277" w:lineRule="auto"/>
        <w:tabs>
          <w:tab w:leader="none" w:pos="120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 The awards described below shall be granted under and shall be subject to the terms and provisions of the Equity Plan, or any other applicable Company equity incentive plan then-maintained by the Company,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this Program already give effect to the forward stock split of the Company’s common stock to be effected by the Company in connection with its initial public offering.</w:t>
      </w:r>
    </w:p>
    <w:p>
      <w:pPr>
        <w:spacing w:after="0" w:line="163" w:lineRule="exact"/>
        <w:rPr>
          <w:rFonts w:ascii="Arial" w:cs="Arial" w:eastAsia="Arial" w:hAnsi="Arial"/>
          <w:sz w:val="18"/>
          <w:szCs w:val="18"/>
          <w:color w:val="auto"/>
        </w:rPr>
      </w:pPr>
    </w:p>
    <w:p>
      <w:pPr>
        <w:jc w:val="both"/>
        <w:ind w:firstLine="809"/>
        <w:spacing w:after="0" w:line="248" w:lineRule="auto"/>
        <w:tabs>
          <w:tab w:leader="none" w:pos="1205"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Initial Awards</w:t>
      </w:r>
      <w:r>
        <w:rPr>
          <w:rFonts w:ascii="Arial" w:cs="Arial" w:eastAsia="Arial" w:hAnsi="Arial"/>
          <w:sz w:val="20"/>
          <w:szCs w:val="20"/>
          <w:color w:val="auto"/>
        </w:rPr>
        <w:t>. Each Non-Employee Director who is initially elected or appointed to the Board after the Effective Date shall receive (i) an option under the Equity Plan, or any other applicable Company equity incentive plan then-maintained by the Company, to purchase 30,000 shares of the Company’s common stock, and (ii) 18,000 Restricted Stock Units, on the date of such initial election or appointment. The awards described in this Section 2(a) shall be referred to as “</w:t>
      </w:r>
      <w:r>
        <w:rPr>
          <w:rFonts w:ascii="Arial" w:cs="Arial" w:eastAsia="Arial" w:hAnsi="Arial"/>
          <w:sz w:val="20"/>
          <w:szCs w:val="20"/>
          <w:b w:val="1"/>
          <w:bCs w:val="1"/>
          <w:i w:val="1"/>
          <w:iCs w:val="1"/>
          <w:color w:val="auto"/>
        </w:rPr>
        <w:t>Initial Awards</w:t>
      </w:r>
      <w:r>
        <w:rPr>
          <w:rFonts w:ascii="Arial" w:cs="Arial" w:eastAsia="Arial" w:hAnsi="Arial"/>
          <w:sz w:val="20"/>
          <w:szCs w:val="20"/>
          <w:color w:val="auto"/>
        </w:rPr>
        <w:t>.” No Non-Employee Director shall be granted more than one Initial Award.</w:t>
      </w:r>
    </w:p>
    <w:p>
      <w:pPr>
        <w:spacing w:after="0" w:line="188" w:lineRule="exact"/>
        <w:rPr>
          <w:rFonts w:ascii="Arial" w:cs="Arial" w:eastAsia="Arial" w:hAnsi="Arial"/>
          <w:sz w:val="20"/>
          <w:szCs w:val="20"/>
          <w:color w:val="auto"/>
        </w:rPr>
      </w:pPr>
    </w:p>
    <w:p>
      <w:pPr>
        <w:jc w:val="both"/>
        <w:ind w:firstLine="813"/>
        <w:spacing w:after="0" w:line="257" w:lineRule="auto"/>
        <w:tabs>
          <w:tab w:leader="none" w:pos="1215"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Subsequent Awards</w:t>
      </w:r>
      <w:r>
        <w:rPr>
          <w:rFonts w:ascii="Arial" w:cs="Arial" w:eastAsia="Arial" w:hAnsi="Arial"/>
          <w:sz w:val="19"/>
          <w:szCs w:val="19"/>
          <w:color w:val="auto"/>
        </w:rPr>
        <w:t>. A Non-Employee Director who (i) is serving on the Board as of the date of any annual meeting of the Company’s stockholders after the Effective Date and has been serving as a Non-Employee Director for at least six months as of the date of such meeting, and (ii) will continue to serve as a Non-Employee Director immediately following such meeting, shall be automatically granted (i) an option under the Equity Plan, or any other applicable Company equity incentive plan then-maintained by the Company, to purchase 15,000 of the Company’s common stock on the date of such annual meeting and 9,000 Restricted Stock Units. The awards described in this Section 2(b) shall be referred to as “</w:t>
      </w:r>
      <w:r>
        <w:rPr>
          <w:rFonts w:ascii="Arial" w:cs="Arial" w:eastAsia="Arial" w:hAnsi="Arial"/>
          <w:sz w:val="19"/>
          <w:szCs w:val="19"/>
          <w:b w:val="1"/>
          <w:bCs w:val="1"/>
          <w:i w:val="1"/>
          <w:iCs w:val="1"/>
          <w:color w:val="auto"/>
        </w:rPr>
        <w:t>Subsequent Awards</w:t>
      </w:r>
      <w:r>
        <w:rPr>
          <w:rFonts w:ascii="Arial" w:cs="Arial" w:eastAsia="Arial" w:hAnsi="Arial"/>
          <w:sz w:val="19"/>
          <w:szCs w:val="19"/>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93" w:lineRule="exact"/>
        <w:rPr>
          <w:rFonts w:ascii="Arial" w:cs="Arial" w:eastAsia="Arial" w:hAnsi="Arial"/>
          <w:sz w:val="19"/>
          <w:szCs w:val="19"/>
          <w:color w:val="auto"/>
        </w:rPr>
      </w:pPr>
    </w:p>
    <w:p>
      <w:pPr>
        <w:jc w:val="both"/>
        <w:ind w:firstLine="1505"/>
        <w:spacing w:after="0" w:line="244" w:lineRule="auto"/>
        <w:tabs>
          <w:tab w:leader="none" w:pos="1984" w:val="left"/>
        </w:tabs>
        <w:numPr>
          <w:ilvl w:val="3"/>
          <w:numId w:val="21"/>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of Employee Directors</w:t>
      </w:r>
      <w:r>
        <w:rPr>
          <w:rFonts w:ascii="Arial" w:cs="Arial" w:eastAsia="Arial" w:hAnsi="Arial"/>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2(a) above, but to the extent that they are otherwise entitled, will receive, after termination from employment with the Company and any parent or subsidiary of the Company, Subsequent Awards as described in Section 2(b) above.</w:t>
      </w:r>
    </w:p>
    <w:p>
      <w:pPr>
        <w:spacing w:after="0" w:line="194" w:lineRule="exact"/>
        <w:rPr>
          <w:rFonts w:ascii="Arial" w:cs="Arial" w:eastAsia="Arial" w:hAnsi="Arial"/>
          <w:sz w:val="20"/>
          <w:szCs w:val="20"/>
          <w:color w:val="auto"/>
        </w:rPr>
      </w:pPr>
    </w:p>
    <w:p>
      <w:pPr>
        <w:ind w:left="1980" w:hanging="475"/>
        <w:spacing w:after="0"/>
        <w:tabs>
          <w:tab w:leader="none" w:pos="1980" w:val="left"/>
        </w:tabs>
        <w:numPr>
          <w:ilvl w:val="3"/>
          <w:numId w:val="21"/>
        </w:numPr>
        <w:rPr>
          <w:rFonts w:ascii="Arial" w:cs="Arial" w:eastAsia="Arial" w:hAnsi="Arial"/>
          <w:sz w:val="20"/>
          <w:szCs w:val="20"/>
          <w:color w:val="auto"/>
        </w:rPr>
      </w:pPr>
      <w:r>
        <w:rPr>
          <w:rFonts w:ascii="Arial" w:cs="Arial" w:eastAsia="Arial" w:hAnsi="Arial"/>
          <w:sz w:val="20"/>
          <w:szCs w:val="20"/>
          <w:u w:val="single" w:color="auto"/>
          <w:color w:val="auto"/>
        </w:rPr>
        <w:t>Terms of Awards Granted to Non-Employee Directors</w:t>
      </w:r>
    </w:p>
    <w:p>
      <w:pPr>
        <w:spacing w:after="0" w:line="215" w:lineRule="exact"/>
        <w:rPr>
          <w:rFonts w:ascii="Arial" w:cs="Arial" w:eastAsia="Arial" w:hAnsi="Arial"/>
          <w:sz w:val="20"/>
          <w:szCs w:val="20"/>
          <w:color w:val="auto"/>
        </w:rPr>
      </w:pPr>
    </w:p>
    <w:p>
      <w:pPr>
        <w:ind w:firstLine="1231"/>
        <w:spacing w:after="0" w:line="260" w:lineRule="auto"/>
        <w:tabs>
          <w:tab w:leader="none" w:pos="1671" w:val="left"/>
        </w:tabs>
        <w:numPr>
          <w:ilvl w:val="2"/>
          <w:numId w:val="21"/>
        </w:numPr>
        <w:rPr>
          <w:rFonts w:ascii="Arial" w:cs="Arial" w:eastAsia="Arial" w:hAnsi="Arial"/>
          <w:sz w:val="20"/>
          <w:szCs w:val="20"/>
          <w:color w:val="auto"/>
        </w:rPr>
      </w:pPr>
      <w:r>
        <w:rPr>
          <w:rFonts w:ascii="Arial" w:cs="Arial" w:eastAsia="Arial" w:hAnsi="Arial"/>
          <w:sz w:val="20"/>
          <w:szCs w:val="20"/>
          <w:u w:val="single" w:color="auto"/>
          <w:color w:val="auto"/>
        </w:rPr>
        <w:t>Purchase Price</w:t>
      </w:r>
      <w:r>
        <w:rPr>
          <w:rFonts w:ascii="Arial" w:cs="Arial" w:eastAsia="Arial" w:hAnsi="Arial"/>
          <w:sz w:val="20"/>
          <w:szCs w:val="20"/>
          <w:color w:val="auto"/>
        </w:rPr>
        <w:t>. The per share exercise price of each option granted to a Non-Employee Director shall equal the Fair Market Value of a share of common stock on the date the option is granted.</w:t>
      </w:r>
    </w:p>
    <w:p>
      <w:pPr>
        <w:spacing w:after="0" w:line="177" w:lineRule="exact"/>
        <w:rPr>
          <w:sz w:val="20"/>
          <w:szCs w:val="20"/>
          <w:color w:val="auto"/>
        </w:rPr>
      </w:pPr>
    </w:p>
    <w:p>
      <w:pPr>
        <w:jc w:val="both"/>
        <w:ind w:firstLine="1201"/>
        <w:spacing w:after="0" w:line="291" w:lineRule="auto"/>
        <w:tabs>
          <w:tab w:leader="none" w:pos="159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One-third of each Initial Award shall vest and become exercisable on the one (1)-year anniversary of the date of grant, and the remainder will vest in substantially equal quarterly installments over the twenty-four (24) months following the date of grant, subject to the Non-Employee Director continuing in service on the Board through each such vesting date. Each Subsequent Award shall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5" w:name="page46"/>
    <w:bookmarkEnd w:id="45"/>
    <w:p>
      <w:pPr>
        <w:jc w:val="both"/>
        <w:spacing w:after="0" w:line="243" w:lineRule="auto"/>
        <w:rPr>
          <w:sz w:val="20"/>
          <w:szCs w:val="20"/>
          <w:color w:val="auto"/>
        </w:rPr>
      </w:pPr>
      <w:r>
        <w:rPr>
          <w:rFonts w:ascii="Arial" w:cs="Arial" w:eastAsia="Arial" w:hAnsi="Arial"/>
          <w:sz w:val="20"/>
          <w:szCs w:val="20"/>
          <w:color w:val="auto"/>
        </w:rPr>
        <w:t>vest and/or become exercisable on the first to occur of (A) the first anniversary of the date of grant or (B) the next occurring annual meeting of the Company's stockholders, subject to the Non-Employee Director continuing in service on the Board through such vesting date. Unless the Board otherwise determines, no portion of an Initial Award or Subsequent Award which is unvested and/or exercisable at the time of a Non-Employee Director’s termination of service on the Board shall become vested and/or exercisable thereafter. Upon a Change in Control, all outstanding equity awards granted under the Equity Plan, and any other equity incentive plan maintained by the Company, that are held by a Non-Employee Director shall become fully vested and/or exercisable, irrespective of any other provisions of the Plan or any award agreement.</w:t>
      </w:r>
    </w:p>
    <w:p>
      <w:pPr>
        <w:spacing w:after="0" w:line="193" w:lineRule="exact"/>
        <w:rPr>
          <w:sz w:val="20"/>
          <w:szCs w:val="20"/>
          <w:color w:val="auto"/>
        </w:rPr>
      </w:pPr>
    </w:p>
    <w:p>
      <w:pPr>
        <w:ind w:left="2780" w:hanging="526"/>
        <w:spacing w:after="0"/>
        <w:tabs>
          <w:tab w:leader="none" w:pos="27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each stock option granted to a Non-Employee Director shall be ten (10) years from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 the option is granted.</w:t>
      </w:r>
    </w:p>
    <w:p>
      <w:pPr>
        <w:spacing w:after="0" w:line="200" w:lineRule="exact"/>
        <w:rPr>
          <w:sz w:val="20"/>
          <w:szCs w:val="20"/>
          <w:color w:val="auto"/>
        </w:rPr>
      </w:pPr>
    </w:p>
    <w:p>
      <w:pPr>
        <w:jc w:val="both"/>
        <w:ind w:firstLine="757"/>
        <w:spacing w:after="0" w:line="250" w:lineRule="auto"/>
        <w:tabs>
          <w:tab w:leader="none" w:pos="1231"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Compensation Limits</w:t>
      </w:r>
      <w:r>
        <w:rPr>
          <w:rFonts w:ascii="Arial" w:cs="Arial" w:eastAsia="Arial" w:hAnsi="Arial"/>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85" w:lineRule="exact"/>
        <w:rPr>
          <w:rFonts w:ascii="Arial" w:cs="Arial" w:eastAsia="Arial" w:hAnsi="Arial"/>
          <w:sz w:val="20"/>
          <w:szCs w:val="20"/>
          <w:color w:val="auto"/>
        </w:rPr>
      </w:pPr>
    </w:p>
    <w:p>
      <w:pPr>
        <w:jc w:val="both"/>
        <w:ind w:firstLine="757"/>
        <w:spacing w:after="0" w:line="291" w:lineRule="auto"/>
        <w:tabs>
          <w:tab w:leader="none" w:pos="120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Reimbursements</w:t>
      </w:r>
      <w:r>
        <w:rPr>
          <w:rFonts w:ascii="Arial" w:cs="Arial" w:eastAsia="Arial" w:hAnsi="Arial"/>
          <w:sz w:val="18"/>
          <w:szCs w:val="18"/>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46"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1"/>
          <w:numId w:val="25"/>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020" w:right="480" w:hanging="503"/>
        <w:spacing w:after="0" w:line="342"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9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2854960"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Terrie Curran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Molly Henderson, certify that:</w:t>
      </w:r>
    </w:p>
    <w:p>
      <w:pPr>
        <w:spacing w:after="0" w:line="225"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1"/>
          <w:numId w:val="26"/>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020" w:right="480" w:hanging="503"/>
        <w:spacing w:after="0" w:line="342" w:lineRule="auto"/>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9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2854960"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Molly Henderson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1026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80" w:firstLine="823"/>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June 30, 2023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76" w:lineRule="exact"/>
        <w:rPr>
          <w:sz w:val="20"/>
          <w:szCs w:val="20"/>
          <w:color w:val="auto"/>
        </w:rPr>
      </w:pPr>
    </w:p>
    <w:p>
      <w:pPr>
        <w:ind w:left="840" w:right="200" w:hanging="832"/>
        <w:spacing w:after="0" w:line="277"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840" w:hanging="832"/>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1700"/>
        <w:spacing w:after="0"/>
        <w:tabs>
          <w:tab w:leader="none" w:pos="57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23495</wp:posOffset>
            </wp:positionV>
            <wp:extent cx="24345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Terrie Curran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right="460" w:firstLine="823"/>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260"/>
        <w:spacing w:after="0"/>
        <w:rPr>
          <w:sz w:val="20"/>
          <w:szCs w:val="20"/>
          <w:color w:val="auto"/>
        </w:rPr>
      </w:pPr>
      <w:r>
        <w:rPr>
          <w:rFonts w:ascii="Arial" w:cs="Arial" w:eastAsia="Arial" w:hAnsi="Arial"/>
          <w:sz w:val="17"/>
          <w:szCs w:val="17"/>
          <w:b w:val="1"/>
          <w:bCs w:val="1"/>
          <w:color w:val="auto"/>
        </w:rPr>
        <w:t>Exhibit 32.2</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80" w:firstLine="823"/>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June 30, 2023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spacing w:after="0" w:line="176" w:lineRule="exact"/>
        <w:rPr>
          <w:sz w:val="20"/>
          <w:szCs w:val="20"/>
          <w:color w:val="auto"/>
        </w:rPr>
      </w:pPr>
    </w:p>
    <w:p>
      <w:pPr>
        <w:ind w:left="840" w:right="200" w:hanging="832"/>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840" w:hanging="832"/>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1360"/>
        <w:spacing w:after="0"/>
        <w:tabs>
          <w:tab w:leader="none" w:pos="54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23495</wp:posOffset>
            </wp:positionV>
            <wp:extent cx="2854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Molly Henderson</w:t>
      </w:r>
    </w:p>
    <w:p>
      <w:pPr>
        <w:spacing w:after="0" w:line="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and Business Officer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ind w:right="460" w:firstLine="823"/>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lowerRoman"/>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lvl w:ilvl="1">
      <w:lvlJc w:val="left"/>
      <w:lvlText w:val="%2"/>
      <w:numFmt w:val="decimal"/>
      <w:start w:val="104"/>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upperLetter"/>
      <w:start w:val="9"/>
    </w:lvl>
  </w:abstractNum>
  <w:abstractNum w:abstractNumId="10">
    <w:nsid w:val="257130A3"/>
    <w:multiLevelType w:val="hybridMultilevel"/>
    <w:lvl w:ilvl="0">
      <w:lvlJc w:val="left"/>
      <w:lvlText w:val="%1."/>
      <w:numFmt w:val="upperLetter"/>
      <w:start w:val="35"/>
    </w:lvl>
    <w:lvl w:ilvl="1">
      <w:lvlJc w:val="left"/>
      <w:lvlText w:val="%2."/>
      <w:numFmt w:val="decimal"/>
      <w:start w:val="1"/>
    </w:lvl>
  </w:abstractNum>
  <w:abstractNum w:abstractNumId="11">
    <w:nsid w:val="62BBD95A"/>
    <w:multiLevelType w:val="hybridMultilevel"/>
    <w:lvl w:ilvl="0">
      <w:lvlJc w:val="left"/>
      <w:lvlText w:val="%1."/>
      <w:numFmt w:val="decimal"/>
      <w:start w:val="3"/>
    </w:lvl>
    <w:lvl w:ilvl="1">
      <w:lvlJc w:val="left"/>
      <w:lvlText w:val="%2."/>
      <w:numFmt w:val="lowerLetter"/>
      <w:start w:val="1"/>
    </w:lvl>
  </w:abstractNum>
  <w:abstractNum w:abstractNumId="12">
    <w:nsid w:val="436C6125"/>
    <w:multiLevelType w:val="hybridMultilevel"/>
    <w:lvl w:ilvl="0">
      <w:lvlJc w:val="left"/>
      <w:lvlText w:val="%1"/>
      <w:numFmt w:val="decimal"/>
      <w:start w:val="1"/>
    </w:lvl>
    <w:lvl w:ilvl="1">
      <w:lvlJc w:val="left"/>
      <w:lvlText w:val="%2."/>
      <w:numFmt w:val="lowerLetter"/>
      <w:start w:val="2"/>
    </w:lvl>
  </w:abstractNum>
  <w:abstractNum w:abstractNumId="13">
    <w:nsid w:val="628C895D"/>
    <w:multiLevelType w:val="hybridMultilevel"/>
    <w:lvl w:ilvl="0">
      <w:lvlJc w:val="left"/>
      <w:lvlText w:val="%1."/>
      <w:numFmt w:val="decimal"/>
      <w:start w:val="4"/>
    </w:lvl>
    <w:lvl w:ilvl="1">
      <w:lvlJc w:val="left"/>
      <w:lvlText w:val="%2"/>
      <w:numFmt w:val="lowerLetter"/>
      <w:start w:val="1"/>
    </w:lvl>
  </w:abstractNum>
  <w:abstractNum w:abstractNumId="14">
    <w:nsid w:val="333AB105"/>
    <w:multiLevelType w:val="hybridMultilevel"/>
    <w:lvl w:ilvl="0">
      <w:lvlJc w:val="left"/>
      <w:lvlText w:val="%1."/>
      <w:numFmt w:val="decimal"/>
      <w:start w:val="5"/>
    </w:lvl>
  </w:abstractNum>
  <w:abstractNum w:abstractNumId="15">
    <w:nsid w:val="721DA317"/>
    <w:multiLevelType w:val="hybridMultilevel"/>
    <w:lvl w:ilvl="0">
      <w:lvlJc w:val="left"/>
      <w:lvlText w:val="%1."/>
      <w:numFmt w:val="decimal"/>
      <w:start w:val="6"/>
    </w:lvl>
  </w:abstractNum>
  <w:abstractNum w:abstractNumId="16">
    <w:nsid w:val="2443A858"/>
    <w:multiLevelType w:val="hybridMultilevel"/>
    <w:lvl w:ilvl="0">
      <w:lvlJc w:val="left"/>
      <w:lvlText w:val="%1."/>
      <w:numFmt w:val="decimal"/>
      <w:start w:val="7"/>
    </w:lvl>
  </w:abstractNum>
  <w:abstractNum w:abstractNumId="17">
    <w:nsid w:val="2D1D5AE9"/>
    <w:multiLevelType w:val="hybridMultilevel"/>
    <w:lvl w:ilvl="0">
      <w:lvlJc w:val="left"/>
      <w:lvlText w:val="%1."/>
      <w:numFmt w:val="upperLetter"/>
      <w:start w:val="61"/>
    </w:lvl>
  </w:abstractNum>
  <w:abstractNum w:abstractNumId="18">
    <w:nsid w:val="6763845E"/>
    <w:multiLevelType w:val="hybridMultilevel"/>
    <w:lvl w:ilvl="0">
      <w:lvlJc w:val="left"/>
      <w:lvlText w:val="%1."/>
      <w:numFmt w:val="decimal"/>
      <w:start w:val="1"/>
    </w:lvl>
    <w:lvl w:ilvl="1">
      <w:lvlJc w:val="left"/>
      <w:lvlText w:val="(%2)"/>
      <w:numFmt w:val="lowerLetter"/>
      <w:start w:val="1"/>
    </w:lvl>
  </w:abstractNum>
  <w:abstractNum w:abstractNumId="19">
    <w:nsid w:val="75A2A8D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abstractNum>
  <w:abstractNum w:abstractNumId="20">
    <w:nsid w:val="8EDBDA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8"/>
    </w:lvl>
    <w:lvl w:ilvl="3">
      <w:lvlJc w:val="left"/>
      <w:lvlText w:val="(%4)"/>
      <w:numFmt w:val="lowerLetter"/>
      <w:start w:val="3"/>
    </w:lvl>
  </w:abstractNum>
  <w:abstractNum w:abstractNumId="21">
    <w:nsid w:val="79838CB2"/>
    <w:multiLevelType w:val="hybridMultilevel"/>
    <w:lvl w:ilvl="0">
      <w:lvlJc w:val="left"/>
      <w:lvlText w:val="(%1)"/>
      <w:numFmt w:val="lowerRoman"/>
      <w:start w:val="2"/>
    </w:lvl>
  </w:abstractNum>
  <w:abstractNum w:abstractNumId="22">
    <w:nsid w:val="4353D0CD"/>
    <w:multiLevelType w:val="hybridMultilevel"/>
    <w:lvl w:ilvl="0">
      <w:lvlJc w:val="left"/>
      <w:lvlText w:val="(%1)"/>
      <w:numFmt w:val="lowerRoman"/>
      <w:start w:val="3"/>
    </w:lvl>
  </w:abstractNum>
  <w:abstractNum w:abstractNumId="23">
    <w:nsid w:val="B03E0C6"/>
    <w:multiLevelType w:val="hybridMultilevel"/>
    <w:lvl w:ilvl="0">
      <w:lvlJc w:val="left"/>
      <w:lvlText w:val="%1."/>
      <w:numFmt w:val="decimal"/>
      <w:start w:val="3"/>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60" Type="http://schemas.openxmlformats.org/officeDocument/2006/relationships/hyperlink" Target="https://www.sec.gov/Archives/edgar/data/1783183/000119312519277761/d795888dex31.htm" TargetMode="External"/><Relationship Id="rId161" Type="http://schemas.openxmlformats.org/officeDocument/2006/relationships/hyperlink" Target="https://www.sec.gov/Archives/edgar/data/1783183/000119312523156713/d487635dex31.htm" TargetMode="External"/><Relationship Id="rId162" Type="http://schemas.openxmlformats.org/officeDocument/2006/relationships/hyperlink" Target="https://www.sec.gov/Archives/edgar/data/0001783183/000119312520254563/d10693dex31.htm" TargetMode="External"/><Relationship Id="rId163" Type="http://schemas.openxmlformats.org/officeDocument/2006/relationships/hyperlink" Target="https://www.sec.gov/Archives/edgar/data/1783183/000119312519267053/d63338dex41.htm" TargetMode="External"/><Relationship Id="rId164" Type="http://schemas.openxmlformats.org/officeDocument/2006/relationships/hyperlink" Target="https://www.sec.gov/Archives/edgar/data/1783183/000119312519258922/d63338dex43.htm" TargetMode="External"/><Relationship Id="rId165" Type="http://schemas.openxmlformats.org/officeDocument/2006/relationships/hyperlink" Target="https://www.sec.gov/Archives/edgar/data/1783183/000119312519258922/d63338dex44.htm" TargetMode="External"/><Relationship Id="rId166" Type="http://schemas.openxmlformats.org/officeDocument/2006/relationships/hyperlink" Target="https://www.sec.gov/Archives/edgar/data/1783183/000156459021055073/phat-ex102_212.htm" TargetMode="External"/><Relationship Id="rId167" Type="http://schemas.openxmlformats.org/officeDocument/2006/relationships/hyperlink" Target="https://www.sec.gov/Archives/edgar/data/1783183/000095017023020109/phat-ex4_5.htm" TargetMode="External"/><Relationship Id="rId168" Type="http://schemas.openxmlformats.org/officeDocument/2006/relationships/hyperlink" Target="https://www.sec.gov/Archives/edgar/data/1783183/000095017023020109/phat-ex4_6.htm" TargetMode="External"/><Relationship Id="rId169" Type="http://schemas.openxmlformats.org/officeDocument/2006/relationships/hyperlink" Target="https://www.sec.gov/Archives/edgar/data/1783183/000119312519267053/d6333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2023-08-10T07:15:40Z</dcterms:created>
  <dcterms:modified xsi:type="dcterms:W3CDTF">2023-08-10T07:15:40Z</dcterms:modified>
</cp:coreProperties>
</file>