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64135</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92710</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93" w:lineRule="exact"/>
        <w:rPr>
          <w:sz w:val="24"/>
          <w:szCs w:val="24"/>
          <w:color w:val="auto"/>
        </w:rPr>
      </w:pPr>
    </w:p>
    <w:p>
      <w:pPr>
        <w:ind w:left="520" w:right="300" w:hanging="512"/>
        <w:spacing w:after="0" w:line="256" w:lineRule="auto"/>
        <w:tabs>
          <w:tab w:leader="none" w:pos="443"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20" w:right="300" w:hanging="512"/>
        <w:spacing w:after="0" w:line="256" w:lineRule="auto"/>
        <w:tabs>
          <w:tab w:leader="none" w:pos="443"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480"/>
        <w:spacing w:after="0"/>
        <w:tabs>
          <w:tab w:leader="none" w:pos="670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180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0465"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001-39094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PHATHOM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1580" w:type="dxa"/>
        <w:tblCellMar>
          <w:top w:w="0" w:type="dxa"/>
          <w:left w:w="0" w:type="dxa"/>
          <w:bottom w:w="0" w:type="dxa"/>
          <w:right w:w="0" w:type="dxa"/>
        </w:tblCellMar>
      </w:tblPr>
      <w:tr>
        <w:trPr>
          <w:trHeight w:val="234"/>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82-4151574</w:t>
            </w:r>
          </w:p>
        </w:tc>
      </w:tr>
      <w:tr>
        <w:trPr>
          <w:trHeight w:val="153"/>
        </w:trPr>
        <w:tc>
          <w:tcPr>
            <w:tcW w:w="4360" w:type="dxa"/>
            <w:vAlign w:val="bottom"/>
          </w:tcPr>
          <w:p>
            <w:pPr>
              <w:jc w:val="center"/>
              <w:ind w:right="1919"/>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453"/>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100 Campus Drive, Suite 102</w:t>
            </w:r>
          </w:p>
        </w:tc>
        <w:tc>
          <w:tcPr>
            <w:tcW w:w="3120" w:type="dxa"/>
            <w:vAlign w:val="bottom"/>
          </w:tcPr>
          <w:p>
            <w:pPr>
              <w:spacing w:after="0"/>
              <w:rPr>
                <w:sz w:val="24"/>
                <w:szCs w:val="24"/>
                <w:color w:val="auto"/>
              </w:rPr>
            </w:pPr>
          </w:p>
        </w:tc>
      </w:tr>
      <w:tr>
        <w:trPr>
          <w:trHeight w:val="234"/>
        </w:trPr>
        <w:tc>
          <w:tcPr>
            <w:tcW w:w="4360" w:type="dxa"/>
            <w:vAlign w:val="bottom"/>
          </w:tcPr>
          <w:p>
            <w:pPr>
              <w:jc w:val="center"/>
              <w:ind w:right="1959"/>
              <w:spacing w:after="0"/>
              <w:rPr>
                <w:sz w:val="20"/>
                <w:szCs w:val="20"/>
                <w:color w:val="auto"/>
              </w:rPr>
            </w:pPr>
            <w:r>
              <w:rPr>
                <w:rFonts w:ascii="Arial" w:cs="Arial" w:eastAsia="Arial" w:hAnsi="Arial"/>
                <w:sz w:val="18"/>
                <w:szCs w:val="18"/>
                <w:b w:val="1"/>
                <w:bCs w:val="1"/>
                <w:color w:val="auto"/>
                <w:w w:val="91"/>
              </w:rPr>
              <w:t>Florham Park, New Jersey</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07932</w:t>
            </w:r>
          </w:p>
        </w:tc>
      </w:tr>
      <w:tr>
        <w:trPr>
          <w:trHeight w:val="190"/>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61"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(877) 742-8466</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4"/>
                <w:szCs w:val="14"/>
                <w:color w:val="auto"/>
              </w:rPr>
            </w:pP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PHAT</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79" w:lineRule="exact"/>
        <w:rPr>
          <w:sz w:val="24"/>
          <w:szCs w:val="24"/>
          <w:color w:val="auto"/>
        </w:rPr>
      </w:pPr>
    </w:p>
    <w:p>
      <w:pPr>
        <w:ind w:right="24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 w:lineRule="exact"/>
        <w:rPr>
          <w:sz w:val="24"/>
          <w:szCs w:val="24"/>
          <w:color w:val="auto"/>
        </w:rPr>
      </w:pPr>
    </w:p>
    <w:p>
      <w:pPr>
        <w:ind w:right="6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5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2020"/>
        <w:spacing w:after="0" w:line="27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7, 2023, the registrant had 57,252,519 </w:t>
      </w:r>
      <w:r>
        <w:rPr>
          <w:rFonts w:ascii="Arial" w:cs="Arial" w:eastAsia="Arial" w:hAnsi="Arial"/>
          <w:sz w:val="15"/>
          <w:szCs w:val="15"/>
          <w:color w:val="auto"/>
        </w:rPr>
        <w:t>s</w:t>
      </w:r>
      <w:r>
        <w:rPr>
          <w:rFonts w:ascii="Arial" w:cs="Arial" w:eastAsia="Arial" w:hAnsi="Arial"/>
          <w:sz w:val="17"/>
          <w:szCs w:val="17"/>
          <w:color w:val="auto"/>
        </w:rPr>
        <w:t>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 w:name="page2"/>
    <w:bookmarkEnd w:id="1"/>
    <w:p>
      <w:pPr>
        <w:jc w:val="center"/>
        <w:ind w:left="420"/>
        <w:spacing w:after="0"/>
        <w:rPr>
          <w:sz w:val="20"/>
          <w:szCs w:val="20"/>
          <w:color w:val="auto"/>
        </w:rPr>
      </w:pPr>
      <w:r>
        <w:rPr>
          <w:rFonts w:ascii="Arial" w:cs="Arial" w:eastAsia="Arial" w:hAnsi="Arial"/>
          <w:sz w:val="18"/>
          <w:szCs w:val="18"/>
          <w:b w:val="1"/>
          <w:bCs w:val="1"/>
          <w:color w:val="231F20"/>
        </w:rPr>
        <w:t>TABLE OF CONTENTS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0000FF"/>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15900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620" w:type="dxa"/>
            <w:vAlign w:val="bottom"/>
          </w:tcPr>
          <w:p>
            <w:pPr>
              <w:ind w:left="560"/>
              <w:spacing w:after="0"/>
              <w:rPr>
                <w:sz w:val="20"/>
                <w:szCs w:val="20"/>
                <w:color w:val="auto"/>
              </w:rPr>
            </w:pPr>
            <w:r>
              <w:rPr>
                <w:rFonts w:ascii="Arial" w:cs="Arial" w:eastAsia="Arial" w:hAnsi="Arial"/>
                <w:sz w:val="18"/>
                <w:szCs w:val="18"/>
                <w:color w:val="auto"/>
              </w:rPr>
              <w:t>Item 1</w:t>
            </w:r>
          </w:p>
        </w:tc>
        <w:tc>
          <w:tcPr>
            <w:tcW w:w="7860" w:type="dxa"/>
            <w:vAlign w:val="bottom"/>
            <w:gridSpan w:val="21"/>
          </w:tcPr>
          <w:p>
            <w:pPr>
              <w:spacing w:after="0"/>
              <w:rPr>
                <w:sz w:val="20"/>
                <w:szCs w:val="20"/>
                <w:color w:val="auto"/>
              </w:rPr>
            </w:pPr>
            <w:r>
              <w:rPr>
                <w:rFonts w:ascii="Arial" w:cs="Arial" w:eastAsia="Arial" w:hAnsi="Arial"/>
                <w:sz w:val="18"/>
                <w:szCs w:val="18"/>
                <w:color w:val="0000FF"/>
              </w:rPr>
              <w:t>Financial Statements (unaudited)</w:t>
            </w:r>
          </w:p>
        </w:tc>
        <w:tc>
          <w:tcPr>
            <w:tcW w:w="17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50"/>
        </w:trPr>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2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Balance Sheets</w:t>
            </w:r>
          </w:p>
        </w:tc>
        <w:tc>
          <w:tcPr>
            <w:tcW w:w="5440" w:type="dxa"/>
            <w:vAlign w:val="bottom"/>
            <w:gridSpan w:val="8"/>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76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FF"/>
                <w:w w:val="91"/>
              </w:rPr>
              <w:t>Statements of Operatons and Comprehensive Loss</w:t>
            </w:r>
          </w:p>
        </w:tc>
        <w:tc>
          <w:tcPr>
            <w:tcW w:w="4100" w:type="dxa"/>
            <w:vAlign w:val="bottom"/>
            <w:gridSpan w:val="4"/>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50"/>
        </w:trPr>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1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2"/>
              </w:rPr>
              <w:t>Statements of Stockholders’ Equity (Defcit)</w:t>
            </w:r>
          </w:p>
        </w:tc>
        <w:tc>
          <w:tcPr>
            <w:tcW w:w="4680" w:type="dxa"/>
            <w:vAlign w:val="bottom"/>
            <w:gridSpan w:val="5"/>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50"/>
        </w:trPr>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8"/>
              </w:rPr>
              <w:t>Statements of Cash Flows</w:t>
            </w:r>
          </w:p>
        </w:tc>
        <w:tc>
          <w:tcPr>
            <w:tcW w:w="40" w:type="dxa"/>
            <w:vAlign w:val="bottom"/>
            <w:tcBorders>
              <w:bottom w:val="single" w:sz="8" w:color="0000EE"/>
            </w:tcBorders>
          </w:tcPr>
          <w:p>
            <w:pPr>
              <w:spacing w:after="0"/>
              <w:rPr>
                <w:sz w:val="21"/>
                <w:szCs w:val="21"/>
                <w:color w:val="auto"/>
              </w:rPr>
            </w:pPr>
          </w:p>
        </w:tc>
        <w:tc>
          <w:tcPr>
            <w:tcW w:w="5940" w:type="dxa"/>
            <w:vAlign w:val="bottom"/>
            <w:gridSpan w:val="10"/>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50"/>
        </w:trPr>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0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1"/>
              </w:rPr>
              <w:t>Notes to Unaudited Financial Statements</w:t>
            </w:r>
          </w:p>
        </w:tc>
        <w:tc>
          <w:tcPr>
            <w:tcW w:w="20" w:type="dxa"/>
            <w:vAlign w:val="bottom"/>
            <w:tcBorders>
              <w:bottom w:val="single" w:sz="8" w:color="0000EE"/>
            </w:tcBorders>
          </w:tcPr>
          <w:p>
            <w:pPr>
              <w:spacing w:after="0"/>
              <w:rPr>
                <w:sz w:val="21"/>
                <w:szCs w:val="21"/>
                <w:color w:val="auto"/>
              </w:rPr>
            </w:pPr>
          </w:p>
        </w:tc>
        <w:tc>
          <w:tcPr>
            <w:tcW w:w="4840" w:type="dxa"/>
            <w:vAlign w:val="bottom"/>
            <w:gridSpan w:val="6"/>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50"/>
        </w:trPr>
        <w:tc>
          <w:tcPr>
            <w:tcW w:w="40" w:type="dxa"/>
            <w:vAlign w:val="bottom"/>
          </w:tcPr>
          <w:p>
            <w:pPr>
              <w:spacing w:after="0"/>
              <w:rPr>
                <w:sz w:val="21"/>
                <w:szCs w:val="21"/>
                <w:color w:val="auto"/>
              </w:rPr>
            </w:pPr>
          </w:p>
        </w:tc>
        <w:tc>
          <w:tcPr>
            <w:tcW w:w="1620" w:type="dxa"/>
            <w:vAlign w:val="bottom"/>
          </w:tcPr>
          <w:p>
            <w:pPr>
              <w:ind w:left="560"/>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1"/>
              </w:rPr>
              <w:t>Management’s Discussion and Analysis of Financial Conditon and Results of Operatons</w:t>
            </w:r>
          </w:p>
        </w:tc>
        <w:tc>
          <w:tcPr>
            <w:tcW w:w="14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40" w:type="dxa"/>
            <w:vAlign w:val="bottom"/>
          </w:tcPr>
          <w:p>
            <w:pPr>
              <w:spacing w:after="0"/>
              <w:rPr>
                <w:sz w:val="21"/>
                <w:szCs w:val="21"/>
                <w:color w:val="auto"/>
              </w:rPr>
            </w:pPr>
          </w:p>
        </w:tc>
        <w:tc>
          <w:tcPr>
            <w:tcW w:w="1620" w:type="dxa"/>
            <w:vAlign w:val="bottom"/>
          </w:tcPr>
          <w:p>
            <w:pPr>
              <w:ind w:left="560"/>
              <w:spacing w:after="0"/>
              <w:rPr>
                <w:sz w:val="20"/>
                <w:szCs w:val="20"/>
                <w:color w:val="auto"/>
              </w:rPr>
            </w:pPr>
            <w:r>
              <w:rPr>
                <w:rFonts w:ascii="Arial" w:cs="Arial" w:eastAsia="Arial" w:hAnsi="Arial"/>
                <w:sz w:val="18"/>
                <w:szCs w:val="18"/>
                <w:color w:val="auto"/>
              </w:rPr>
              <w:t>Item 3</w:t>
            </w:r>
          </w:p>
        </w:tc>
        <w:tc>
          <w:tcPr>
            <w:tcW w:w="432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3"/>
              </w:rPr>
              <w:t>Quanttatve and Qualitatve Disclosures About Market Risk</w:t>
            </w:r>
          </w:p>
        </w:tc>
        <w:tc>
          <w:tcPr>
            <w:tcW w:w="3540" w:type="dxa"/>
            <w:vAlign w:val="bottom"/>
            <w:gridSpan w:val="3"/>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40" w:type="dxa"/>
            <w:vAlign w:val="bottom"/>
          </w:tcPr>
          <w:p>
            <w:pPr>
              <w:spacing w:after="0"/>
              <w:rPr>
                <w:sz w:val="21"/>
                <w:szCs w:val="21"/>
                <w:color w:val="auto"/>
              </w:rPr>
            </w:pPr>
          </w:p>
        </w:tc>
        <w:tc>
          <w:tcPr>
            <w:tcW w:w="1620" w:type="dxa"/>
            <w:vAlign w:val="bottom"/>
          </w:tcPr>
          <w:p>
            <w:pPr>
              <w:ind w:left="560"/>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Controls and Procedures</w:t>
            </w:r>
          </w:p>
        </w:tc>
        <w:tc>
          <w:tcPr>
            <w:tcW w:w="6060" w:type="dxa"/>
            <w:vAlign w:val="bottom"/>
            <w:gridSpan w:val="12"/>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9"/>
        </w:trPr>
        <w:tc>
          <w:tcPr>
            <w:tcW w:w="9520" w:type="dxa"/>
            <w:vAlign w:val="bottom"/>
            <w:gridSpan w:val="23"/>
          </w:tcPr>
          <w:p>
            <w:pPr>
              <w:ind w:left="40"/>
              <w:spacing w:after="0"/>
              <w:rPr>
                <w:sz w:val="20"/>
                <w:szCs w:val="20"/>
                <w:color w:val="auto"/>
              </w:rPr>
            </w:pPr>
            <w:r>
              <w:rPr>
                <w:rFonts w:ascii="Arial" w:cs="Arial" w:eastAsia="Arial" w:hAnsi="Arial"/>
                <w:sz w:val="18"/>
                <w:szCs w:val="18"/>
                <w:b w:val="1"/>
                <w:bCs w:val="1"/>
                <w:color w:val="0000FF"/>
              </w:rPr>
              <w:t>PART II. OTHER INFORMATION</w:t>
            </w:r>
          </w:p>
        </w:tc>
        <w:tc>
          <w:tcPr>
            <w:tcW w:w="17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620" w:type="dxa"/>
            <w:vAlign w:val="bottom"/>
          </w:tcPr>
          <w:p>
            <w:pPr>
              <w:ind w:left="560"/>
              <w:spacing w:after="0"/>
              <w:rPr>
                <w:sz w:val="20"/>
                <w:szCs w:val="20"/>
                <w:color w:val="auto"/>
              </w:rPr>
            </w:pPr>
            <w:r>
              <w:rPr>
                <w:rFonts w:ascii="Arial" w:cs="Arial" w:eastAsia="Arial" w:hAnsi="Arial"/>
                <w:sz w:val="18"/>
                <w:szCs w:val="18"/>
                <w:color w:val="auto"/>
              </w:rPr>
              <w:t>Item 1</w:t>
            </w:r>
          </w:p>
        </w:tc>
        <w:tc>
          <w:tcPr>
            <w:tcW w:w="13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7"/>
              </w:rPr>
              <w:t>Legal Proceedings</w:t>
            </w:r>
          </w:p>
        </w:tc>
        <w:tc>
          <w:tcPr>
            <w:tcW w:w="6540" w:type="dxa"/>
            <w:vAlign w:val="bottom"/>
            <w:gridSpan w:val="15"/>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0"/>
        </w:trPr>
        <w:tc>
          <w:tcPr>
            <w:tcW w:w="40" w:type="dxa"/>
            <w:vAlign w:val="bottom"/>
          </w:tcPr>
          <w:p>
            <w:pPr>
              <w:spacing w:after="0"/>
              <w:rPr>
                <w:sz w:val="21"/>
                <w:szCs w:val="21"/>
                <w:color w:val="auto"/>
              </w:rPr>
            </w:pPr>
          </w:p>
        </w:tc>
        <w:tc>
          <w:tcPr>
            <w:tcW w:w="1620" w:type="dxa"/>
            <w:vAlign w:val="bottom"/>
          </w:tcPr>
          <w:p>
            <w:pPr>
              <w:ind w:left="560"/>
              <w:spacing w:after="0"/>
              <w:rPr>
                <w:sz w:val="20"/>
                <w:szCs w:val="20"/>
                <w:color w:val="auto"/>
              </w:rPr>
            </w:pPr>
            <w:r>
              <w:rPr>
                <w:rFonts w:ascii="Arial" w:cs="Arial" w:eastAsia="Arial" w:hAnsi="Arial"/>
                <w:sz w:val="18"/>
                <w:szCs w:val="18"/>
                <w:color w:val="auto"/>
              </w:rPr>
              <w:t>Item 1A</w:t>
            </w:r>
          </w:p>
        </w:tc>
        <w:tc>
          <w:tcPr>
            <w:tcW w:w="786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20" w:type="dxa"/>
            <w:vAlign w:val="bottom"/>
          </w:tcPr>
          <w:p>
            <w:pPr>
              <w:ind w:left="560"/>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Unregistered Sales of Equity Securites and Use of Proceeds</w:t>
            </w:r>
          </w:p>
        </w:tc>
        <w:tc>
          <w:tcPr>
            <w:tcW w:w="3520" w:type="dxa"/>
            <w:vAlign w:val="bottom"/>
            <w:gridSpan w:val="2"/>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0"/>
        </w:trPr>
        <w:tc>
          <w:tcPr>
            <w:tcW w:w="40" w:type="dxa"/>
            <w:vAlign w:val="bottom"/>
          </w:tcPr>
          <w:p>
            <w:pPr>
              <w:spacing w:after="0"/>
              <w:rPr>
                <w:sz w:val="21"/>
                <w:szCs w:val="21"/>
                <w:color w:val="auto"/>
              </w:rPr>
            </w:pPr>
          </w:p>
        </w:tc>
        <w:tc>
          <w:tcPr>
            <w:tcW w:w="1620" w:type="dxa"/>
            <w:vAlign w:val="bottom"/>
          </w:tcPr>
          <w:p>
            <w:pPr>
              <w:ind w:left="560"/>
              <w:spacing w:after="0"/>
              <w:rPr>
                <w:sz w:val="20"/>
                <w:szCs w:val="20"/>
                <w:color w:val="auto"/>
              </w:rPr>
            </w:pPr>
            <w:r>
              <w:rPr>
                <w:rFonts w:ascii="Arial" w:cs="Arial" w:eastAsia="Arial" w:hAnsi="Arial"/>
                <w:sz w:val="18"/>
                <w:szCs w:val="18"/>
                <w:color w:val="auto"/>
              </w:rPr>
              <w:t>Item 3</w:t>
            </w:r>
          </w:p>
        </w:tc>
        <w:tc>
          <w:tcPr>
            <w:tcW w:w="7860" w:type="dxa"/>
            <w:vAlign w:val="bottom"/>
            <w:gridSpan w:val="21"/>
          </w:tcPr>
          <w:p>
            <w:pPr>
              <w:spacing w:after="0"/>
              <w:rPr>
                <w:sz w:val="20"/>
                <w:szCs w:val="20"/>
                <w:color w:val="auto"/>
              </w:rPr>
            </w:pPr>
            <w:r>
              <w:rPr>
                <w:rFonts w:ascii="Arial" w:cs="Arial" w:eastAsia="Arial" w:hAnsi="Arial"/>
                <w:sz w:val="18"/>
                <w:szCs w:val="18"/>
                <w:color w:val="0000FF"/>
              </w:rPr>
              <w:t>Defaults Upon Senior Securites</w:t>
            </w: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0"/>
        </w:trPr>
        <w:tc>
          <w:tcPr>
            <w:tcW w:w="40" w:type="dxa"/>
            <w:vAlign w:val="bottom"/>
          </w:tcPr>
          <w:p>
            <w:pPr>
              <w:spacing w:after="0"/>
              <w:rPr>
                <w:sz w:val="21"/>
                <w:szCs w:val="21"/>
                <w:color w:val="auto"/>
              </w:rPr>
            </w:pPr>
          </w:p>
        </w:tc>
        <w:tc>
          <w:tcPr>
            <w:tcW w:w="1620" w:type="dxa"/>
            <w:vAlign w:val="bottom"/>
          </w:tcPr>
          <w:p>
            <w:pPr>
              <w:ind w:left="560"/>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9"/>
              </w:rPr>
              <w:t>Mine Safety Disclosures</w:t>
            </w:r>
          </w:p>
        </w:tc>
        <w:tc>
          <w:tcPr>
            <w:tcW w:w="560" w:type="dxa"/>
            <w:vAlign w:val="bottom"/>
            <w:tcBorders>
              <w:top w:val="single" w:sz="8" w:color="0000FF"/>
            </w:tcBorders>
            <w:gridSpan w:val="4"/>
          </w:tcPr>
          <w:p>
            <w:pPr>
              <w:spacing w:after="0"/>
              <w:rPr>
                <w:sz w:val="21"/>
                <w:szCs w:val="21"/>
                <w:color w:val="auto"/>
              </w:rPr>
            </w:pPr>
          </w:p>
        </w:tc>
        <w:tc>
          <w:tcPr>
            <w:tcW w:w="5560" w:type="dxa"/>
            <w:vAlign w:val="bottom"/>
            <w:gridSpan w:val="9"/>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0"/>
        </w:trPr>
        <w:tc>
          <w:tcPr>
            <w:tcW w:w="40" w:type="dxa"/>
            <w:vAlign w:val="bottom"/>
          </w:tcPr>
          <w:p>
            <w:pPr>
              <w:spacing w:after="0"/>
              <w:rPr>
                <w:sz w:val="21"/>
                <w:szCs w:val="21"/>
                <w:color w:val="auto"/>
              </w:rPr>
            </w:pPr>
          </w:p>
        </w:tc>
        <w:tc>
          <w:tcPr>
            <w:tcW w:w="1620" w:type="dxa"/>
            <w:vAlign w:val="bottom"/>
          </w:tcPr>
          <w:p>
            <w:pPr>
              <w:ind w:left="560"/>
              <w:spacing w:after="0"/>
              <w:rPr>
                <w:sz w:val="20"/>
                <w:szCs w:val="20"/>
                <w:color w:val="auto"/>
              </w:rPr>
            </w:pPr>
            <w:r>
              <w:rPr>
                <w:rFonts w:ascii="Arial" w:cs="Arial" w:eastAsia="Arial" w:hAnsi="Arial"/>
                <w:sz w:val="18"/>
                <w:szCs w:val="18"/>
                <w:color w:val="auto"/>
              </w:rPr>
              <w:t>Item 5</w:t>
            </w:r>
          </w:p>
        </w:tc>
        <w:tc>
          <w:tcPr>
            <w:tcW w:w="7860" w:type="dxa"/>
            <w:vAlign w:val="bottom"/>
            <w:gridSpan w:val="21"/>
          </w:tcPr>
          <w:p>
            <w:pPr>
              <w:spacing w:after="0"/>
              <w:rPr>
                <w:sz w:val="20"/>
                <w:szCs w:val="20"/>
                <w:color w:val="auto"/>
              </w:rPr>
            </w:pPr>
            <w:r>
              <w:rPr>
                <w:rFonts w:ascii="Arial" w:cs="Arial" w:eastAsia="Arial" w:hAnsi="Arial"/>
                <w:sz w:val="18"/>
                <w:szCs w:val="18"/>
                <w:color w:val="0000FF"/>
              </w:rPr>
              <w:t>Other Informaton</w:t>
            </w: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0"/>
        </w:trPr>
        <w:tc>
          <w:tcPr>
            <w:tcW w:w="40" w:type="dxa"/>
            <w:vAlign w:val="bottom"/>
          </w:tcPr>
          <w:p>
            <w:pPr>
              <w:spacing w:after="0"/>
              <w:rPr>
                <w:sz w:val="21"/>
                <w:szCs w:val="21"/>
                <w:color w:val="auto"/>
              </w:rPr>
            </w:pPr>
          </w:p>
        </w:tc>
        <w:tc>
          <w:tcPr>
            <w:tcW w:w="1620" w:type="dxa"/>
            <w:vAlign w:val="bottom"/>
          </w:tcPr>
          <w:p>
            <w:pPr>
              <w:ind w:left="560"/>
              <w:spacing w:after="0"/>
              <w:rPr>
                <w:sz w:val="20"/>
                <w:szCs w:val="20"/>
                <w:color w:val="auto"/>
              </w:rPr>
            </w:pPr>
            <w:r>
              <w:rPr>
                <w:rFonts w:ascii="Arial" w:cs="Arial" w:eastAsia="Arial" w:hAnsi="Arial"/>
                <w:sz w:val="18"/>
                <w:szCs w:val="18"/>
                <w:color w:val="auto"/>
              </w:rPr>
              <w:t>Item 6</w:t>
            </w:r>
          </w:p>
        </w:tc>
        <w:tc>
          <w:tcPr>
            <w:tcW w:w="5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88"/>
              </w:rPr>
              <w:t>Exhibits</w:t>
            </w:r>
          </w:p>
        </w:tc>
        <w:tc>
          <w:tcPr>
            <w:tcW w:w="80" w:type="dxa"/>
            <w:vAlign w:val="bottom"/>
            <w:tcBorders>
              <w:top w:val="single" w:sz="8" w:color="0000FF"/>
              <w:bottom w:val="single" w:sz="8" w:color="0000EE"/>
            </w:tcBorders>
          </w:tcPr>
          <w:p>
            <w:pPr>
              <w:spacing w:after="0"/>
              <w:rPr>
                <w:sz w:val="21"/>
                <w:szCs w:val="21"/>
                <w:color w:val="auto"/>
              </w:rPr>
            </w:pPr>
          </w:p>
        </w:tc>
        <w:tc>
          <w:tcPr>
            <w:tcW w:w="680" w:type="dxa"/>
            <w:vAlign w:val="bottom"/>
            <w:tcBorders>
              <w:top w:val="single" w:sz="8" w:color="0000FF"/>
            </w:tcBorders>
            <w:gridSpan w:val="5"/>
          </w:tcPr>
          <w:p>
            <w:pPr>
              <w:spacing w:after="0"/>
              <w:rPr>
                <w:sz w:val="21"/>
                <w:szCs w:val="21"/>
                <w:color w:val="auto"/>
              </w:rPr>
            </w:pPr>
          </w:p>
        </w:tc>
        <w:tc>
          <w:tcPr>
            <w:tcW w:w="6520" w:type="dxa"/>
            <w:vAlign w:val="bottom"/>
            <w:gridSpan w:val="14"/>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50"/>
        </w:trPr>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86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1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824"/>
        </w:trPr>
        <w:tc>
          <w:tcPr>
            <w:tcW w:w="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1"/>
        </w:trPr>
        <w:tc>
          <w:tcPr>
            <w:tcW w:w="7940" w:type="dxa"/>
            <w:vAlign w:val="bottom"/>
          </w:tcPr>
          <w:p>
            <w:pPr>
              <w:jc w:val="center"/>
              <w:ind w:left="3230"/>
              <w:spacing w:after="0"/>
              <w:rPr>
                <w:sz w:val="20"/>
                <w:szCs w:val="20"/>
                <w:color w:val="auto"/>
              </w:rPr>
            </w:pPr>
            <w:r>
              <w:rPr>
                <w:rFonts w:ascii="Arial" w:cs="Arial" w:eastAsia="Arial" w:hAnsi="Arial"/>
                <w:sz w:val="18"/>
                <w:szCs w:val="18"/>
                <w:b w:val="1"/>
                <w:bCs w:val="1"/>
                <w:color w:val="auto"/>
                <w:w w:val="83"/>
              </w:rPr>
              <w:t>PART I. FINANCIAL INFORMATION</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09"/>
        </w:trPr>
        <w:tc>
          <w:tcPr>
            <w:tcW w:w="794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7940" w:type="dxa"/>
            <w:vAlign w:val="bottom"/>
          </w:tcPr>
          <w:p>
            <w:pPr>
              <w:jc w:val="center"/>
              <w:ind w:left="3210"/>
              <w:spacing w:after="0"/>
              <w:rPr>
                <w:sz w:val="20"/>
                <w:szCs w:val="20"/>
                <w:color w:val="auto"/>
              </w:rPr>
            </w:pPr>
            <w:r>
              <w:rPr>
                <w:rFonts w:ascii="Arial" w:cs="Arial" w:eastAsia="Arial" w:hAnsi="Arial"/>
                <w:sz w:val="18"/>
                <w:szCs w:val="18"/>
                <w:b w:val="1"/>
                <w:bCs w:val="1"/>
                <w:color w:val="auto"/>
                <w:w w:val="83"/>
              </w:rPr>
              <w:t>PHATHOM PHARMACEUTICALS, INC.</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940" w:type="dxa"/>
            <w:vAlign w:val="bottom"/>
          </w:tcPr>
          <w:p>
            <w:pPr>
              <w:jc w:val="center"/>
              <w:ind w:left="3170"/>
              <w:spacing w:after="0"/>
              <w:rPr>
                <w:sz w:val="20"/>
                <w:szCs w:val="20"/>
                <w:color w:val="auto"/>
              </w:rPr>
            </w:pPr>
            <w:r>
              <w:rPr>
                <w:rFonts w:ascii="Arial" w:cs="Arial" w:eastAsia="Arial" w:hAnsi="Arial"/>
                <w:sz w:val="18"/>
                <w:szCs w:val="18"/>
                <w:b w:val="1"/>
                <w:bCs w:val="1"/>
                <w:color w:val="auto"/>
                <w:w w:val="84"/>
              </w:rPr>
              <w:t>Balance Sheets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940" w:type="dxa"/>
            <w:vAlign w:val="bottom"/>
          </w:tcPr>
          <w:p>
            <w:pPr>
              <w:jc w:val="center"/>
              <w:ind w:left="3230"/>
              <w:spacing w:after="0"/>
              <w:rPr>
                <w:sz w:val="20"/>
                <w:szCs w:val="20"/>
                <w:color w:val="auto"/>
              </w:rPr>
            </w:pPr>
            <w:r>
              <w:rPr>
                <w:rFonts w:ascii="Arial" w:cs="Arial" w:eastAsia="Arial" w:hAnsi="Arial"/>
                <w:sz w:val="18"/>
                <w:szCs w:val="18"/>
                <w:b w:val="1"/>
                <w:bCs w:val="1"/>
                <w:color w:val="auto"/>
                <w:w w:val="89"/>
              </w:rPr>
              <w:t>(Unaudited)</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1"/>
        </w:trPr>
        <w:tc>
          <w:tcPr>
            <w:tcW w:w="7940" w:type="dxa"/>
            <w:vAlign w:val="bottom"/>
          </w:tcPr>
          <w:p>
            <w:pPr>
              <w:jc w:val="center"/>
              <w:ind w:left="3230"/>
              <w:spacing w:after="0"/>
              <w:rPr>
                <w:sz w:val="20"/>
                <w:szCs w:val="20"/>
                <w:color w:val="auto"/>
              </w:rPr>
            </w:pPr>
            <w:r>
              <w:rPr>
                <w:rFonts w:ascii="Arial" w:cs="Arial" w:eastAsia="Arial" w:hAnsi="Arial"/>
                <w:sz w:val="18"/>
                <w:szCs w:val="18"/>
                <w:b w:val="1"/>
                <w:bCs w:val="1"/>
                <w:color w:val="auto"/>
                <w:w w:val="86"/>
              </w:rPr>
              <w:t>(in thousands, except share and par value amounts)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0"/>
        </w:trPr>
        <w:tc>
          <w:tcPr>
            <w:tcW w:w="7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w w:val="90"/>
              </w:rPr>
              <w:t>December 31,</w:t>
            </w:r>
          </w:p>
        </w:tc>
      </w:tr>
      <w:tr>
        <w:trPr>
          <w:trHeight w:val="231"/>
        </w:trPr>
        <w:tc>
          <w:tcPr>
            <w:tcW w:w="7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33"/>
        </w:trPr>
        <w:tc>
          <w:tcPr>
            <w:tcW w:w="7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6"/>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r>
      <w:tr>
        <w:trPr>
          <w:trHeight w:val="235"/>
        </w:trPr>
        <w:tc>
          <w:tcPr>
            <w:tcW w:w="79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1"/>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213,677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155,385</w:t>
            </w:r>
          </w:p>
        </w:tc>
      </w:tr>
      <w:tr>
        <w:trPr>
          <w:trHeight w:val="235"/>
        </w:trPr>
        <w:tc>
          <w:tcPr>
            <w:tcW w:w="79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12,938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5,127</w:t>
            </w:r>
          </w:p>
        </w:tc>
      </w:tr>
      <w:tr>
        <w:trPr>
          <w:trHeight w:val="245"/>
        </w:trPr>
        <w:tc>
          <w:tcPr>
            <w:tcW w:w="7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Inventory</w:t>
            </w:r>
          </w:p>
        </w:tc>
        <w:tc>
          <w:tcPr>
            <w:tcW w:w="1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111</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5"/>
        </w:trPr>
        <w:tc>
          <w:tcPr>
            <w:tcW w:w="79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226,726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160,512</w:t>
            </w:r>
          </w:p>
        </w:tc>
      </w:tr>
      <w:tr>
        <w:trPr>
          <w:trHeight w:val="251"/>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1,976</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1,207</w:t>
            </w:r>
          </w:p>
        </w:tc>
      </w:tr>
      <w:tr>
        <w:trPr>
          <w:trHeight w:val="235"/>
        </w:trPr>
        <w:tc>
          <w:tcPr>
            <w:tcW w:w="7940" w:type="dxa"/>
            <w:vAlign w:val="bottom"/>
          </w:tcPr>
          <w:p>
            <w:pPr>
              <w:ind w:left="20"/>
              <w:spacing w:after="0"/>
              <w:rPr>
                <w:sz w:val="20"/>
                <w:szCs w:val="20"/>
                <w:color w:val="auto"/>
              </w:rPr>
            </w:pPr>
            <w:r>
              <w:rPr>
                <w:rFonts w:ascii="Arial" w:cs="Arial" w:eastAsia="Arial" w:hAnsi="Arial"/>
                <w:sz w:val="18"/>
                <w:szCs w:val="18"/>
                <w:color w:val="auto"/>
              </w:rPr>
              <w:t>Operatng lease right-of-use assets</w:t>
            </w:r>
          </w:p>
        </w:tc>
        <w:tc>
          <w:tcPr>
            <w:tcW w:w="1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1,682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2,287</w:t>
            </w:r>
          </w:p>
        </w:tc>
      </w:tr>
      <w:tr>
        <w:trPr>
          <w:trHeight w:val="251"/>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2,858</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505</w:t>
            </w: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3,750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w:t>
            </w:r>
          </w:p>
        </w:tc>
      </w:tr>
      <w:tr>
        <w:trPr>
          <w:trHeight w:val="277"/>
        </w:trPr>
        <w:tc>
          <w:tcPr>
            <w:tcW w:w="7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236,992</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164,810</w:t>
            </w:r>
          </w:p>
        </w:tc>
      </w:tr>
      <w:tr>
        <w:trPr>
          <w:trHeight w:val="230"/>
        </w:trPr>
        <w:tc>
          <w:tcPr>
            <w:tcW w:w="7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Liabilites and Stockholders’ Equity</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r>
      <w:tr>
        <w:trPr>
          <w:trHeight w:val="235"/>
        </w:trPr>
        <w:tc>
          <w:tcPr>
            <w:tcW w:w="7940" w:type="dxa"/>
            <w:vAlign w:val="bottom"/>
          </w:tcPr>
          <w:p>
            <w:pPr>
              <w:ind w:left="20"/>
              <w:spacing w:after="0"/>
              <w:rPr>
                <w:sz w:val="20"/>
                <w:szCs w:val="20"/>
                <w:color w:val="auto"/>
              </w:rPr>
            </w:pPr>
            <w:r>
              <w:rPr>
                <w:rFonts w:ascii="Arial" w:cs="Arial" w:eastAsia="Arial" w:hAnsi="Arial"/>
                <w:sz w:val="18"/>
                <w:szCs w:val="18"/>
                <w:color w:val="auto"/>
              </w:rPr>
              <w:t>Current liabilites: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1"/>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 (including related party amounts of $27 and $35, respectvely)</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5,794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9,997</w:t>
            </w:r>
          </w:p>
        </w:tc>
      </w:tr>
      <w:tr>
        <w:trPr>
          <w:trHeight w:val="235"/>
        </w:trPr>
        <w:tc>
          <w:tcPr>
            <w:tcW w:w="7940" w:type="dxa"/>
            <w:vAlign w:val="bottom"/>
          </w:tcPr>
          <w:p>
            <w:pPr>
              <w:ind w:left="200"/>
              <w:spacing w:after="0"/>
              <w:rPr>
                <w:sz w:val="20"/>
                <w:szCs w:val="20"/>
                <w:color w:val="auto"/>
              </w:rPr>
            </w:pPr>
            <w:r>
              <w:rPr>
                <w:rFonts w:ascii="Arial" w:cs="Arial" w:eastAsia="Arial" w:hAnsi="Arial"/>
                <w:sz w:val="18"/>
                <w:szCs w:val="18"/>
                <w:color w:val="auto"/>
              </w:rPr>
              <w:t>Accrued clinical trial expenses</w:t>
            </w:r>
          </w:p>
        </w:tc>
        <w:tc>
          <w:tcPr>
            <w:tcW w:w="1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1"/>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(including related party amounts of $2,803 and $2,499, respectvely)</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13,455</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14,678</w:t>
            </w:r>
          </w:p>
        </w:tc>
      </w:tr>
      <w:tr>
        <w:trPr>
          <w:trHeight w:val="235"/>
        </w:trPr>
        <w:tc>
          <w:tcPr>
            <w:tcW w:w="794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957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854</w:t>
            </w:r>
          </w:p>
        </w:tc>
      </w:tr>
      <w:tr>
        <w:trPr>
          <w:trHeight w:val="251"/>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Operatng lease liabilites, current</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721</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708</w:t>
            </w:r>
          </w:p>
        </w:tc>
      </w:tr>
      <w:tr>
        <w:trPr>
          <w:trHeight w:val="236"/>
        </w:trPr>
        <w:tc>
          <w:tcPr>
            <w:tcW w:w="7940" w:type="dxa"/>
            <w:vAlign w:val="bottom"/>
          </w:tcPr>
          <w:p>
            <w:pPr>
              <w:ind w:left="200"/>
              <w:spacing w:after="0"/>
              <w:rPr>
                <w:sz w:val="20"/>
                <w:szCs w:val="20"/>
                <w:color w:val="auto"/>
              </w:rPr>
            </w:pPr>
            <w:r>
              <w:rPr>
                <w:rFonts w:ascii="Arial" w:cs="Arial" w:eastAsia="Arial" w:hAnsi="Arial"/>
                <w:sz w:val="18"/>
                <w:szCs w:val="18"/>
                <w:color w:val="auto"/>
              </w:rPr>
              <w:t>Current porton of revenue interest fnancing liability</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2,391</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liabilites</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23,979</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26,237</w:t>
            </w:r>
          </w:p>
        </w:tc>
      </w:tr>
      <w:tr>
        <w:trPr>
          <w:trHeight w:val="243"/>
        </w:trPr>
        <w:tc>
          <w:tcPr>
            <w:tcW w:w="7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net of discount</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99,259</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95,264</w:t>
            </w:r>
          </w:p>
        </w:tc>
      </w:tr>
      <w:tr>
        <w:trPr>
          <w:trHeight w:val="235"/>
        </w:trPr>
        <w:tc>
          <w:tcPr>
            <w:tcW w:w="7940" w:type="dxa"/>
            <w:vAlign w:val="bottom"/>
          </w:tcPr>
          <w:p>
            <w:pPr>
              <w:ind w:left="20"/>
              <w:spacing w:after="0"/>
              <w:rPr>
                <w:sz w:val="20"/>
                <w:szCs w:val="20"/>
                <w:color w:val="auto"/>
              </w:rPr>
            </w:pPr>
            <w:r>
              <w:rPr>
                <w:rFonts w:ascii="Arial" w:cs="Arial" w:eastAsia="Arial" w:hAnsi="Arial"/>
                <w:sz w:val="18"/>
                <w:szCs w:val="18"/>
                <w:color w:val="auto"/>
              </w:rPr>
              <w:t>Revenue interest fnancing liability</w:t>
            </w:r>
          </w:p>
        </w:tc>
        <w:tc>
          <w:tcPr>
            <w:tcW w:w="1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123,399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109,525</w:t>
            </w:r>
          </w:p>
        </w:tc>
      </w:tr>
      <w:tr>
        <w:trPr>
          <w:trHeight w:val="251"/>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Operatng lease liabilites</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628</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1,098</w:t>
            </w:r>
          </w:p>
        </w:tc>
      </w:tr>
      <w:tr>
        <w:trPr>
          <w:trHeight w:val="236"/>
        </w:trPr>
        <w:tc>
          <w:tcPr>
            <w:tcW w:w="7940" w:type="dxa"/>
            <w:vAlign w:val="bottom"/>
          </w:tcPr>
          <w:p>
            <w:pPr>
              <w:ind w:left="20"/>
              <w:spacing w:after="0"/>
              <w:rPr>
                <w:sz w:val="20"/>
                <w:szCs w:val="20"/>
                <w:color w:val="auto"/>
              </w:rPr>
            </w:pPr>
            <w:r>
              <w:rPr>
                <w:rFonts w:ascii="Arial" w:cs="Arial" w:eastAsia="Arial" w:hAnsi="Arial"/>
                <w:sz w:val="18"/>
                <w:szCs w:val="18"/>
                <w:color w:val="auto"/>
              </w:rPr>
              <w:t>Other long-term liabilites</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7,500</w:t>
            </w:r>
          </w:p>
        </w:tc>
      </w:tr>
      <w:tr>
        <w:trPr>
          <w:trHeight w:val="237"/>
        </w:trPr>
        <w:tc>
          <w:tcPr>
            <w:tcW w:w="7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liabilites</w:t>
            </w:r>
          </w:p>
        </w:tc>
        <w:tc>
          <w:tcPr>
            <w:tcW w:w="1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254,765</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239,624</w:t>
            </w:r>
          </w:p>
        </w:tc>
      </w:tr>
      <w:tr>
        <w:trPr>
          <w:trHeight w:val="243"/>
        </w:trPr>
        <w:tc>
          <w:tcPr>
            <w:tcW w:w="7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contngencies (Note 4)</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r>
      <w:tr>
        <w:trPr>
          <w:trHeight w:val="243"/>
        </w:trPr>
        <w:tc>
          <w:tcPr>
            <w:tcW w:w="7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defcit:</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r>
      <w:tr>
        <w:trPr>
          <w:trHeight w:val="197"/>
        </w:trPr>
        <w:tc>
          <w:tcPr>
            <w:tcW w:w="7940" w:type="dxa"/>
            <w:vAlign w:val="bottom"/>
          </w:tcPr>
          <w:p>
            <w:pPr>
              <w:ind w:left="200"/>
              <w:spacing w:after="0" w:line="197" w:lineRule="exact"/>
              <w:rPr>
                <w:sz w:val="20"/>
                <w:szCs w:val="20"/>
                <w:color w:val="auto"/>
              </w:rPr>
            </w:pPr>
            <w:r>
              <w:rPr>
                <w:rFonts w:ascii="Arial" w:cs="Arial" w:eastAsia="Arial" w:hAnsi="Arial"/>
                <w:sz w:val="18"/>
                <w:szCs w:val="18"/>
                <w:color w:val="auto"/>
              </w:rPr>
              <w:t>Preferred stock, $0.0001 par value; authorized shares — 40,000,000 at September 30, 2023 and</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7"/>
        </w:trPr>
        <w:tc>
          <w:tcPr>
            <w:tcW w:w="7940" w:type="dxa"/>
            <w:vAlign w:val="bottom"/>
          </w:tcPr>
          <w:p>
            <w:pPr>
              <w:ind w:left="200"/>
              <w:spacing w:after="0"/>
              <w:rPr>
                <w:sz w:val="20"/>
                <w:szCs w:val="20"/>
                <w:color w:val="auto"/>
              </w:rPr>
            </w:pPr>
            <w:r>
              <w:rPr>
                <w:rFonts w:ascii="Arial" w:cs="Arial" w:eastAsia="Arial" w:hAnsi="Arial"/>
                <w:sz w:val="18"/>
                <w:szCs w:val="18"/>
                <w:color w:val="auto"/>
                <w:w w:val="93"/>
              </w:rPr>
              <w:t>December 31, 2022; no shares issued and outstanding at September 30, 2023 and December 31, 2022</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5"/>
        </w:trPr>
        <w:tc>
          <w:tcPr>
            <w:tcW w:w="7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197"/>
        </w:trPr>
        <w:tc>
          <w:tcPr>
            <w:tcW w:w="7940" w:type="dxa"/>
            <w:vAlign w:val="bottom"/>
            <w:shd w:val="clear" w:color="auto" w:fill="CFF0FC"/>
          </w:tcPr>
          <w:p>
            <w:pPr>
              <w:ind w:left="200"/>
              <w:spacing w:after="0" w:line="197" w:lineRule="exact"/>
              <w:rPr>
                <w:sz w:val="20"/>
                <w:szCs w:val="20"/>
                <w:color w:val="auto"/>
              </w:rPr>
            </w:pPr>
            <w:r>
              <w:rPr>
                <w:rFonts w:ascii="Arial" w:cs="Arial" w:eastAsia="Arial" w:hAnsi="Arial"/>
                <w:sz w:val="18"/>
                <w:szCs w:val="18"/>
                <w:color w:val="auto"/>
                <w:w w:val="99"/>
              </w:rPr>
              <w:t>Common stock, $0.0001 par value; authorized shares — 400,000,000 at September 30, 2023 and</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r>
      <w:tr>
        <w:trPr>
          <w:trHeight w:val="216"/>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December 31, 2022; issued shares — 56,809,085 and 41,723,308 at September 30, 2023 and</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6"/>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5"/>
              </w:rPr>
              <w:t>December 31, 2022, respectvely; outstanding shares — 56,809,085 and 41,468,871 at September 30,</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42"/>
        </w:trPr>
        <w:tc>
          <w:tcPr>
            <w:tcW w:w="7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2023 and December 31, 2022, respectvely</w:t>
            </w:r>
          </w:p>
        </w:tc>
        <w:tc>
          <w:tcPr>
            <w:tcW w:w="1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35"/>
        </w:trPr>
        <w:tc>
          <w:tcPr>
            <w:tcW w:w="7940" w:type="dxa"/>
            <w:vAlign w:val="bottom"/>
          </w:tcPr>
          <w:p>
            <w:pPr>
              <w:ind w:left="200"/>
              <w:spacing w:after="0"/>
              <w:rPr>
                <w:sz w:val="20"/>
                <w:szCs w:val="20"/>
                <w:color w:val="auto"/>
              </w:rPr>
            </w:pPr>
            <w:r>
              <w:rPr>
                <w:rFonts w:ascii="Arial" w:cs="Arial" w:eastAsia="Arial" w:hAnsi="Arial"/>
                <w:sz w:val="18"/>
                <w:szCs w:val="18"/>
                <w:color w:val="auto"/>
              </w:rPr>
              <w:t>Treasury stock — 19 shares at September 30, 2023 and December 31, 2022, respectvely</w:t>
            </w:r>
          </w:p>
        </w:tc>
        <w:tc>
          <w:tcPr>
            <w:tcW w:w="1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1"/>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Additonal paid-in capital</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831,337</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652,276</w:t>
            </w:r>
          </w:p>
        </w:tc>
      </w:tr>
      <w:tr>
        <w:trPr>
          <w:trHeight w:val="236"/>
        </w:trPr>
        <w:tc>
          <w:tcPr>
            <w:tcW w:w="7940" w:type="dxa"/>
            <w:vAlign w:val="bottom"/>
          </w:tcPr>
          <w:p>
            <w:pPr>
              <w:ind w:left="200"/>
              <w:spacing w:after="0"/>
              <w:rPr>
                <w:sz w:val="20"/>
                <w:szCs w:val="20"/>
                <w:color w:val="auto"/>
              </w:rPr>
            </w:pPr>
            <w:r>
              <w:rPr>
                <w:rFonts w:ascii="Arial" w:cs="Arial" w:eastAsia="Arial" w:hAnsi="Arial"/>
                <w:sz w:val="18"/>
                <w:szCs w:val="18"/>
                <w:color w:val="auto"/>
              </w:rPr>
              <w:t>Accumulated defcit</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(849,115 )</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(727,093 )</w:t>
            </w:r>
          </w:p>
        </w:tc>
      </w:tr>
      <w:tr>
        <w:trPr>
          <w:trHeight w:val="237"/>
        </w:trPr>
        <w:tc>
          <w:tcPr>
            <w:tcW w:w="7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defcit</w:t>
            </w:r>
          </w:p>
        </w:tc>
        <w:tc>
          <w:tcPr>
            <w:tcW w:w="1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(17,773 )</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(74,814 )</w:t>
            </w:r>
          </w:p>
        </w:tc>
      </w:tr>
      <w:tr>
        <w:trPr>
          <w:trHeight w:val="227"/>
        </w:trPr>
        <w:tc>
          <w:tcPr>
            <w:tcW w:w="7940" w:type="dxa"/>
            <w:vAlign w:val="bottom"/>
          </w:tcPr>
          <w:p>
            <w:pPr>
              <w:ind w:left="20"/>
              <w:spacing w:after="0"/>
              <w:rPr>
                <w:sz w:val="20"/>
                <w:szCs w:val="20"/>
                <w:color w:val="auto"/>
              </w:rPr>
            </w:pPr>
            <w:r>
              <w:rPr>
                <w:rFonts w:ascii="Arial" w:cs="Arial" w:eastAsia="Arial" w:hAnsi="Arial"/>
                <w:sz w:val="18"/>
                <w:szCs w:val="18"/>
                <w:color w:val="auto"/>
              </w:rPr>
              <w:t>Total liabilites and stockholders’ defcit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236,992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164,810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-5715635</wp:posOffset>
            </wp:positionV>
            <wp:extent cx="111125"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-4772660</wp:posOffset>
            </wp:positionV>
            <wp:extent cx="111125"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-2260600</wp:posOffset>
            </wp:positionV>
            <wp:extent cx="111125"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-151765</wp:posOffset>
            </wp:positionV>
            <wp:extent cx="21005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00580" cy="188595"/>
                    </a:xfrm>
                    <a:prstGeom prst="rect">
                      <a:avLst/>
                    </a:prstGeom>
                    <a:noFill/>
                  </pic:spPr>
                </pic:pic>
              </a:graphicData>
            </a:graphic>
          </wp:anchor>
        </w:drawing>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-118745</wp:posOffset>
            </wp:positionV>
            <wp:extent cx="2100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7"/>
        </w:trPr>
        <w:tc>
          <w:tcPr>
            <w:tcW w:w="5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Operatng expenses: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900" w:type="dxa"/>
            <w:vAlign w:val="bottom"/>
          </w:tcPr>
          <w:p>
            <w:pPr>
              <w:ind w:left="200"/>
              <w:spacing w:after="0" w:line="197" w:lineRule="exact"/>
              <w:rPr>
                <w:sz w:val="20"/>
                <w:szCs w:val="20"/>
                <w:color w:val="auto"/>
              </w:rPr>
            </w:pPr>
            <w:r>
              <w:rPr>
                <w:rFonts w:ascii="Arial" w:cs="Arial" w:eastAsia="Arial" w:hAnsi="Arial"/>
                <w:sz w:val="18"/>
                <w:szCs w:val="18"/>
                <w:color w:val="auto"/>
                <w:w w:val="96"/>
              </w:rPr>
              <w:t>Research and development (includes related party amounts of $130, $77,</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900" w:type="dxa"/>
            <w:vAlign w:val="bottom"/>
          </w:tcPr>
          <w:p>
            <w:pPr>
              <w:ind w:left="200"/>
              <w:spacing w:after="0"/>
              <w:rPr>
                <w:sz w:val="20"/>
                <w:szCs w:val="20"/>
                <w:color w:val="auto"/>
              </w:rPr>
            </w:pPr>
            <w:r>
              <w:rPr>
                <w:rFonts w:ascii="Arial" w:cs="Arial" w:eastAsia="Arial" w:hAnsi="Arial"/>
                <w:sz w:val="18"/>
                <w:szCs w:val="18"/>
                <w:color w:val="auto"/>
              </w:rPr>
              <w:t>$538 and $1,800, respectvely)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12,263</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19,020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36,505</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55,495</w:t>
            </w:r>
          </w:p>
        </w:tc>
        <w:tc>
          <w:tcPr>
            <w:tcW w:w="0" w:type="dxa"/>
            <w:vAlign w:val="bottom"/>
          </w:tcPr>
          <w:p>
            <w:pPr>
              <w:spacing w:after="0"/>
              <w:rPr>
                <w:sz w:val="1"/>
                <w:szCs w:val="1"/>
                <w:color w:val="auto"/>
              </w:rPr>
            </w:pPr>
          </w:p>
        </w:tc>
      </w:tr>
      <w:tr>
        <w:trPr>
          <w:trHeight w:val="35"/>
        </w:trPr>
        <w:tc>
          <w:tcPr>
            <w:tcW w:w="5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shd w:val="clear" w:color="auto" w:fill="CFF0FC"/>
          </w:tcPr>
          <w:p>
            <w:pPr>
              <w:ind w:left="200"/>
              <w:spacing w:after="0" w:line="197" w:lineRule="exact"/>
              <w:rPr>
                <w:sz w:val="20"/>
                <w:szCs w:val="20"/>
                <w:color w:val="auto"/>
              </w:rPr>
            </w:pPr>
            <w:r>
              <w:rPr>
                <w:rFonts w:ascii="Arial" w:cs="Arial" w:eastAsia="Arial" w:hAnsi="Arial"/>
                <w:sz w:val="18"/>
                <w:szCs w:val="18"/>
                <w:color w:val="auto"/>
              </w:rPr>
              <w:t>General and administratve (includes related party amounts of $14, $0,</w:t>
            </w:r>
          </w:p>
        </w:tc>
        <w:tc>
          <w:tcPr>
            <w:tcW w:w="20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23,396</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23,509</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60,932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70,303</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$30 and $0, respectvely)</w:t>
            </w:r>
          </w:p>
        </w:tc>
        <w:tc>
          <w:tcPr>
            <w:tcW w:w="2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vMerge w:val="continue"/>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operatng expenses</w:t>
            </w: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35,659</w:t>
            </w:r>
          </w:p>
        </w:tc>
        <w:tc>
          <w:tcPr>
            <w:tcW w:w="1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42,529</w:t>
            </w:r>
          </w:p>
        </w:tc>
        <w:tc>
          <w:tcPr>
            <w:tcW w:w="1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97,437</w:t>
            </w:r>
          </w:p>
        </w:tc>
        <w:tc>
          <w:tcPr>
            <w:tcW w:w="1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125,798</w:t>
            </w:r>
          </w:p>
        </w:tc>
        <w:tc>
          <w:tcPr>
            <w:tcW w:w="0" w:type="dxa"/>
            <w:vAlign w:val="bottom"/>
          </w:tcPr>
          <w:p>
            <w:pPr>
              <w:spacing w:after="0"/>
              <w:rPr>
                <w:sz w:val="1"/>
                <w:szCs w:val="1"/>
                <w:color w:val="auto"/>
              </w:rPr>
            </w:pPr>
          </w:p>
        </w:tc>
      </w:tr>
      <w:tr>
        <w:trPr>
          <w:trHeight w:val="243"/>
        </w:trPr>
        <w:tc>
          <w:tcPr>
            <w:tcW w:w="5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operatons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(35,659 )</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(42,529 )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(97,437 )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(125,798 )</w:t>
            </w:r>
          </w:p>
        </w:tc>
        <w:tc>
          <w:tcPr>
            <w:tcW w:w="0" w:type="dxa"/>
            <w:vAlign w:val="bottom"/>
          </w:tcPr>
          <w:p>
            <w:pPr>
              <w:spacing w:after="0"/>
              <w:rPr>
                <w:sz w:val="1"/>
                <w:szCs w:val="1"/>
                <w:color w:val="auto"/>
              </w:rPr>
            </w:pPr>
          </w:p>
        </w:tc>
      </w:tr>
      <w:tr>
        <w:trPr>
          <w:trHeight w:val="451"/>
        </w:trPr>
        <w:tc>
          <w:tcPr>
            <w:tcW w:w="59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5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2,720</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4,528</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5"/>
        </w:trPr>
        <w:tc>
          <w:tcPr>
            <w:tcW w:w="59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(10,107 )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(9,277 )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(28,939 )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(17,703 )</w:t>
            </w:r>
          </w:p>
        </w:tc>
        <w:tc>
          <w:tcPr>
            <w:tcW w:w="0" w:type="dxa"/>
            <w:vAlign w:val="bottom"/>
          </w:tcPr>
          <w:p>
            <w:pPr>
              <w:spacing w:after="0"/>
              <w:rPr>
                <w:sz w:val="1"/>
                <w:szCs w:val="1"/>
                <w:color w:val="auto"/>
              </w:rPr>
            </w:pPr>
          </w:p>
        </w:tc>
      </w:tr>
      <w:tr>
        <w:trPr>
          <w:trHeight w:val="245"/>
        </w:trPr>
        <w:tc>
          <w:tcPr>
            <w:tcW w:w="5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(197 )</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color w:val="auto"/>
              </w:rPr>
              <w:t>Total other expense</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(7,584 )</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(8,562 )</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(24,585 )</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(16,878 )</w:t>
            </w:r>
          </w:p>
        </w:tc>
        <w:tc>
          <w:tcPr>
            <w:tcW w:w="0" w:type="dxa"/>
            <w:vAlign w:val="bottom"/>
          </w:tcPr>
          <w:p>
            <w:pPr>
              <w:spacing w:after="0"/>
              <w:rPr>
                <w:sz w:val="1"/>
                <w:szCs w:val="1"/>
                <w:color w:val="auto"/>
              </w:rPr>
            </w:pPr>
          </w:p>
        </w:tc>
      </w:tr>
      <w:tr>
        <w:trPr>
          <w:trHeight w:val="277"/>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(43,243 )</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(51,091 )</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(122,022 )</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(142,676 )</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(0.76 )</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(1.32 )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(2.48 )</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(3.72 )</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9"/>
              </w:rPr>
              <w:t>Weighted-average shares of common stock outstanding, basic and diluted</w:t>
            </w:r>
          </w:p>
        </w:tc>
        <w:tc>
          <w:tcPr>
            <w:tcW w:w="2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56,782,379</w:t>
            </w:r>
          </w:p>
        </w:tc>
        <w:tc>
          <w:tcPr>
            <w:tcW w:w="1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38,820,266</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49,265,321</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38,379,292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6267450</wp:posOffset>
            </wp:positionH>
            <wp:positionV relativeFrom="paragraph">
              <wp:posOffset>-2875280</wp:posOffset>
            </wp:positionV>
            <wp:extent cx="86995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9950" cy="19685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-1962785</wp:posOffset>
            </wp:positionV>
            <wp:extent cx="94615"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615" cy="3257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-1962785</wp:posOffset>
            </wp:positionV>
            <wp:extent cx="85725"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-1962785</wp:posOffset>
            </wp:positionV>
            <wp:extent cx="85725"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-711200</wp:posOffset>
            </wp:positionV>
            <wp:extent cx="9461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-711200</wp:posOffset>
            </wp:positionV>
            <wp:extent cx="857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-711200</wp:posOffset>
            </wp:positionV>
            <wp:extent cx="857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-385445</wp:posOffset>
            </wp:positionV>
            <wp:extent cx="1825625"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5625" cy="20574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-25400</wp:posOffset>
            </wp:positionV>
            <wp:extent cx="94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946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 (Defcit)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2"/>
              </w:rPr>
              <w:t>Treasury</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Additonal</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040" w:type="dxa"/>
            <w:vAlign w:val="bottom"/>
          </w:tcPr>
          <w:p>
            <w:pPr>
              <w:spacing w:after="0"/>
              <w:rPr>
                <w:sz w:val="19"/>
                <w:szCs w:val="19"/>
                <w:color w:val="auto"/>
              </w:rPr>
            </w:pPr>
          </w:p>
        </w:tc>
        <w:tc>
          <w:tcPr>
            <w:tcW w:w="206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2"/>
              </w:rPr>
              <w:t>Stock</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b w:val="1"/>
                <w:bCs w:val="1"/>
                <w:color w:val="auto"/>
              </w:rPr>
              <w:t>Paid-in</w:t>
            </w:r>
          </w:p>
        </w:tc>
        <w:tc>
          <w:tcPr>
            <w:tcW w:w="280" w:type="dxa"/>
            <w:vAlign w:val="bottom"/>
          </w:tcPr>
          <w:p>
            <w:pPr>
              <w:spacing w:after="0"/>
              <w:rPr>
                <w:sz w:val="19"/>
                <w:szCs w:val="19"/>
                <w:color w:val="auto"/>
              </w:rPr>
            </w:pPr>
          </w:p>
        </w:tc>
        <w:tc>
          <w:tcPr>
            <w:tcW w:w="132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w w:val="93"/>
              </w:rPr>
              <w:t>Accumulated</w:t>
            </w:r>
          </w:p>
        </w:tc>
        <w:tc>
          <w:tcPr>
            <w:tcW w:w="11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Capital</w:t>
            </w: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jc w:val="right"/>
              <w:ind w:right="499"/>
              <w:spacing w:after="0"/>
              <w:rPr>
                <w:sz w:val="20"/>
                <w:szCs w:val="20"/>
                <w:color w:val="auto"/>
              </w:rPr>
            </w:pPr>
            <w:r>
              <w:rPr>
                <w:rFonts w:ascii="Arial" w:cs="Arial" w:eastAsia="Arial" w:hAnsi="Arial"/>
                <w:sz w:val="16"/>
                <w:szCs w:val="16"/>
                <w:b w:val="1"/>
                <w:bCs w:val="1"/>
                <w:color w:val="auto"/>
              </w:rPr>
              <w:t>Defcit</w:t>
            </w:r>
          </w:p>
        </w:tc>
        <w:tc>
          <w:tcPr>
            <w:tcW w:w="11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Equity (Defcit)</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Amount</w:t>
            </w:r>
          </w:p>
        </w:tc>
        <w:tc>
          <w:tcPr>
            <w:tcW w:w="26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2"/>
              </w:rPr>
              <w:t>Shares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040" w:type="dxa"/>
            <w:vAlign w:val="bottom"/>
            <w:vMerge w:val="restart"/>
          </w:tcPr>
          <w:p>
            <w:pPr>
              <w:ind w:left="20"/>
              <w:spacing w:after="0"/>
              <w:rPr>
                <w:sz w:val="20"/>
                <w:szCs w:val="20"/>
                <w:color w:val="auto"/>
              </w:rPr>
            </w:pPr>
            <w:r>
              <w:rPr>
                <w:rFonts w:ascii="Arial" w:cs="Arial" w:eastAsia="Arial" w:hAnsi="Arial"/>
                <w:sz w:val="16"/>
                <w:szCs w:val="16"/>
                <w:color w:val="auto"/>
              </w:rPr>
              <w:t>Balance at December 31, 2022</w:t>
            </w:r>
          </w:p>
        </w:tc>
        <w:tc>
          <w:tcPr>
            <w:tcW w:w="98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4040" w:type="dxa"/>
            <w:vAlign w:val="bottom"/>
            <w:vMerge w:val="continue"/>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41,468,871</w:t>
            </w:r>
          </w:p>
        </w:tc>
        <w:tc>
          <w:tcPr>
            <w:tcW w:w="3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vMerge w:val="continue"/>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2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652,276</w:t>
            </w:r>
          </w:p>
        </w:tc>
        <w:tc>
          <w:tcPr>
            <w:tcW w:w="280" w:type="dxa"/>
            <w:vAlign w:val="bottom"/>
            <w:vMerge w:val="continue"/>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(727,093</w:t>
            </w:r>
          </w:p>
        </w:tc>
        <w:tc>
          <w:tcPr>
            <w:tcW w:w="280" w:type="dxa"/>
            <w:vAlign w:val="bottom"/>
            <w:vMerge w:val="continue"/>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(74,814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401(k) matching contributon</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52,130</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456</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Arial" w:cs="Arial" w:eastAsia="Arial" w:hAnsi="Arial"/>
                <w:sz w:val="16"/>
                <w:szCs w:val="16"/>
                <w:color w:val="auto"/>
              </w:rPr>
              <w:t>Vestng of restricted shares and restricted stock units</w:t>
            </w:r>
          </w:p>
        </w:tc>
        <w:tc>
          <w:tcPr>
            <w:tcW w:w="980" w:type="dxa"/>
            <w:vAlign w:val="bottom"/>
          </w:tcPr>
          <w:p>
            <w:pPr>
              <w:jc w:val="right"/>
              <w:spacing w:after="0"/>
              <w:rPr>
                <w:sz w:val="20"/>
                <w:szCs w:val="20"/>
                <w:color w:val="auto"/>
              </w:rPr>
            </w:pPr>
            <w:r>
              <w:rPr>
                <w:rFonts w:ascii="Arial" w:cs="Arial" w:eastAsia="Arial" w:hAnsi="Arial"/>
                <w:sz w:val="16"/>
                <w:szCs w:val="16"/>
                <w:color w:val="auto"/>
              </w:rPr>
              <w:t>414,119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Stock-based compensaton</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7,048</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7,048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Arial" w:cs="Arial" w:eastAsia="Arial" w:hAnsi="Arial"/>
                <w:sz w:val="16"/>
                <w:szCs w:val="16"/>
                <w:color w:val="auto"/>
              </w:rPr>
              <w:t>ESPP shares issued</w:t>
            </w:r>
          </w:p>
        </w:tc>
        <w:tc>
          <w:tcPr>
            <w:tcW w:w="980" w:type="dxa"/>
            <w:vAlign w:val="bottom"/>
          </w:tcPr>
          <w:p>
            <w:pPr>
              <w:jc w:val="right"/>
              <w:spacing w:after="0"/>
              <w:rPr>
                <w:sz w:val="20"/>
                <w:szCs w:val="20"/>
                <w:color w:val="auto"/>
              </w:rPr>
            </w:pPr>
            <w:r>
              <w:rPr>
                <w:rFonts w:ascii="Arial" w:cs="Arial" w:eastAsia="Arial" w:hAnsi="Arial"/>
                <w:sz w:val="16"/>
                <w:szCs w:val="16"/>
                <w:color w:val="auto"/>
              </w:rPr>
              <w:t>121,801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Issuance of common stock under ATM facility</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1,514,219</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14,072</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14,073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(37,814 )</w:t>
            </w: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(37,814 )</w:t>
            </w: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March 31, 2023</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43,571,140</w:t>
            </w:r>
          </w:p>
        </w:tc>
        <w:tc>
          <w:tcPr>
            <w:tcW w:w="3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674,708</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(764,907</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(90,195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4"/>
        </w:trPr>
        <w:tc>
          <w:tcPr>
            <w:tcW w:w="40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Vestng of restricted shares and restricted stock units</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259,195</w:t>
            </w:r>
          </w:p>
        </w:tc>
        <w:tc>
          <w:tcPr>
            <w:tcW w:w="3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FF0FC"/>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8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Stock-based compensaton</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7,253</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7,253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Arial" w:cs="Arial" w:eastAsia="Arial" w:hAnsi="Arial"/>
                <w:sz w:val="16"/>
                <w:szCs w:val="16"/>
                <w:color w:val="auto"/>
                <w:w w:val="99"/>
              </w:rPr>
              <w:t>Issuance of common stock from exercise of stock optons</w:t>
            </w:r>
          </w:p>
        </w:tc>
        <w:tc>
          <w:tcPr>
            <w:tcW w:w="980" w:type="dxa"/>
            <w:vAlign w:val="bottom"/>
          </w:tcPr>
          <w:p>
            <w:pPr>
              <w:jc w:val="right"/>
              <w:spacing w:after="0"/>
              <w:rPr>
                <w:sz w:val="20"/>
                <w:szCs w:val="20"/>
                <w:color w:val="auto"/>
              </w:rPr>
            </w:pPr>
            <w:r>
              <w:rPr>
                <w:rFonts w:ascii="Arial" w:cs="Arial" w:eastAsia="Arial" w:hAnsi="Arial"/>
                <w:sz w:val="16"/>
                <w:szCs w:val="16"/>
                <w:color w:val="auto"/>
              </w:rPr>
              <w:t>15,000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in connecton with</w:t>
            </w:r>
          </w:p>
        </w:tc>
        <w:tc>
          <w:tcPr>
            <w:tcW w:w="9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underwriten public ofering, net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12,793,750</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141,389</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141,390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(40,965 )</w:t>
            </w: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(40,965 )</w:t>
            </w: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June 30, 2023</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56,639,085</w:t>
            </w:r>
          </w:p>
        </w:tc>
        <w:tc>
          <w:tcPr>
            <w:tcW w:w="3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823,467</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(805,872</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17,600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40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401(k) matching contributon</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83,826</w:t>
            </w:r>
          </w:p>
        </w:tc>
        <w:tc>
          <w:tcPr>
            <w:tcW w:w="3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FF0FC"/>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1,156</w:t>
            </w:r>
          </w:p>
        </w:tc>
        <w:tc>
          <w:tcPr>
            <w:tcW w:w="28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Vestng of restricted shares and restricted stock units</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9,681</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Arial" w:cs="Arial" w:eastAsia="Arial" w:hAnsi="Arial"/>
                <w:sz w:val="16"/>
                <w:szCs w:val="16"/>
                <w:color w:val="auto"/>
              </w:rPr>
              <w:t>Stock-based compensaton</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6,140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ESPP shares issued</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75,072</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561</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40" w:type="dxa"/>
            <w:vAlign w:val="bottom"/>
          </w:tcPr>
          <w:p>
            <w:pPr>
              <w:ind w:left="20"/>
              <w:spacing w:after="0"/>
              <w:rPr>
                <w:sz w:val="20"/>
                <w:szCs w:val="20"/>
                <w:color w:val="auto"/>
              </w:rPr>
            </w:pPr>
            <w:r>
              <w:rPr>
                <w:rFonts w:ascii="Arial" w:cs="Arial" w:eastAsia="Arial" w:hAnsi="Arial"/>
                <w:sz w:val="16"/>
                <w:szCs w:val="16"/>
                <w:color w:val="auto"/>
                <w:w w:val="99"/>
              </w:rPr>
              <w:t>Issuance of common stock from exercise of stock optons</w:t>
            </w:r>
          </w:p>
        </w:tc>
        <w:tc>
          <w:tcPr>
            <w:tcW w:w="980" w:type="dxa"/>
            <w:vAlign w:val="bottom"/>
          </w:tcPr>
          <w:p>
            <w:pPr>
              <w:jc w:val="right"/>
              <w:spacing w:after="0"/>
              <w:rPr>
                <w:sz w:val="20"/>
                <w:szCs w:val="20"/>
                <w:color w:val="auto"/>
              </w:rPr>
            </w:pPr>
            <w:r>
              <w:rPr>
                <w:rFonts w:ascii="Arial" w:cs="Arial" w:eastAsia="Arial" w:hAnsi="Arial"/>
                <w:sz w:val="16"/>
                <w:szCs w:val="16"/>
                <w:color w:val="auto"/>
              </w:rPr>
              <w:t>1,421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(43,243 )</w:t>
            </w: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(43,243 )</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tcPr>
          <w:p>
            <w:pPr>
              <w:ind w:left="20"/>
              <w:spacing w:after="0"/>
              <w:rPr>
                <w:sz w:val="20"/>
                <w:szCs w:val="20"/>
                <w:color w:val="auto"/>
              </w:rPr>
            </w:pPr>
            <w:r>
              <w:rPr>
                <w:rFonts w:ascii="Arial" w:cs="Arial" w:eastAsia="Arial" w:hAnsi="Arial"/>
                <w:sz w:val="16"/>
                <w:szCs w:val="16"/>
                <w:color w:val="auto"/>
              </w:rPr>
              <w:t>Balance at September 30, 2023</w:t>
            </w:r>
          </w:p>
        </w:tc>
        <w:tc>
          <w:tcPr>
            <w:tcW w:w="980" w:type="dxa"/>
            <w:vAlign w:val="bottom"/>
          </w:tcPr>
          <w:p>
            <w:pPr>
              <w:jc w:val="right"/>
              <w:spacing w:after="0"/>
              <w:rPr>
                <w:sz w:val="20"/>
                <w:szCs w:val="20"/>
                <w:color w:val="auto"/>
              </w:rPr>
            </w:pPr>
            <w:r>
              <w:rPr>
                <w:rFonts w:ascii="Arial" w:cs="Arial" w:eastAsia="Arial" w:hAnsi="Arial"/>
                <w:sz w:val="16"/>
                <w:szCs w:val="16"/>
                <w:color w:val="auto"/>
              </w:rPr>
              <w:t>56,809,085</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831,337</w:t>
            </w:r>
          </w:p>
        </w:tc>
        <w:tc>
          <w:tcPr>
            <w:tcW w:w="2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(849,115 )</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(17,773 )</w:t>
            </w: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-2116455</wp:posOffset>
            </wp:positionV>
            <wp:extent cx="395160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51605" cy="17145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-1079500</wp:posOffset>
            </wp:positionV>
            <wp:extent cx="395160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951605" cy="17145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-179070</wp:posOffset>
            </wp:positionV>
            <wp:extent cx="76835"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-179070</wp:posOffset>
            </wp:positionV>
            <wp:extent cx="76835"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-179070</wp:posOffset>
            </wp:positionV>
            <wp:extent cx="7683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-179070</wp:posOffset>
            </wp:positionV>
            <wp:extent cx="6858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-179070</wp:posOffset>
            </wp:positionV>
            <wp:extent cx="6858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 (Defcit)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2"/>
              </w:rPr>
              <w:t>Treasury</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Additonal</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040" w:type="dxa"/>
            <w:vAlign w:val="bottom"/>
          </w:tcPr>
          <w:p>
            <w:pPr>
              <w:spacing w:after="0"/>
              <w:rPr>
                <w:sz w:val="19"/>
                <w:szCs w:val="19"/>
                <w:color w:val="auto"/>
              </w:rPr>
            </w:pPr>
          </w:p>
        </w:tc>
        <w:tc>
          <w:tcPr>
            <w:tcW w:w="206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2"/>
              </w:rPr>
              <w:t>Stock</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b w:val="1"/>
                <w:bCs w:val="1"/>
                <w:color w:val="auto"/>
              </w:rPr>
              <w:t>Paid-in</w:t>
            </w:r>
          </w:p>
        </w:tc>
        <w:tc>
          <w:tcPr>
            <w:tcW w:w="280" w:type="dxa"/>
            <w:vAlign w:val="bottom"/>
          </w:tcPr>
          <w:p>
            <w:pPr>
              <w:spacing w:after="0"/>
              <w:rPr>
                <w:sz w:val="19"/>
                <w:szCs w:val="19"/>
                <w:color w:val="auto"/>
              </w:rPr>
            </w:pPr>
          </w:p>
        </w:tc>
        <w:tc>
          <w:tcPr>
            <w:tcW w:w="132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w w:val="93"/>
              </w:rPr>
              <w:t>Accumulated</w:t>
            </w:r>
          </w:p>
        </w:tc>
        <w:tc>
          <w:tcPr>
            <w:tcW w:w="11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Capital</w:t>
            </w: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jc w:val="right"/>
              <w:ind w:right="499"/>
              <w:spacing w:after="0"/>
              <w:rPr>
                <w:sz w:val="20"/>
                <w:szCs w:val="20"/>
                <w:color w:val="auto"/>
              </w:rPr>
            </w:pPr>
            <w:r>
              <w:rPr>
                <w:rFonts w:ascii="Arial" w:cs="Arial" w:eastAsia="Arial" w:hAnsi="Arial"/>
                <w:sz w:val="16"/>
                <w:szCs w:val="16"/>
                <w:b w:val="1"/>
                <w:bCs w:val="1"/>
                <w:color w:val="auto"/>
              </w:rPr>
              <w:t>Defcit</w:t>
            </w:r>
          </w:p>
        </w:tc>
        <w:tc>
          <w:tcPr>
            <w:tcW w:w="11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Equity (Defcit)</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Amount</w:t>
            </w:r>
          </w:p>
        </w:tc>
        <w:tc>
          <w:tcPr>
            <w:tcW w:w="26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2"/>
              </w:rPr>
              <w:t>Shares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December 31, 2021</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30,511,226</w:t>
            </w:r>
          </w:p>
        </w:tc>
        <w:tc>
          <w:tcPr>
            <w:tcW w:w="3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601,523</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(529,370</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72,156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Arial" w:cs="Arial" w:eastAsia="Arial" w:hAnsi="Arial"/>
                <w:sz w:val="16"/>
                <w:szCs w:val="16"/>
                <w:color w:val="auto"/>
              </w:rPr>
              <w:t>Cashless exercise of common stock warrants</w:t>
            </w:r>
          </w:p>
        </w:tc>
        <w:tc>
          <w:tcPr>
            <w:tcW w:w="980" w:type="dxa"/>
            <w:vAlign w:val="bottom"/>
          </w:tcPr>
          <w:p>
            <w:pPr>
              <w:jc w:val="right"/>
              <w:spacing w:after="0"/>
              <w:rPr>
                <w:sz w:val="20"/>
                <w:szCs w:val="20"/>
                <w:color w:val="auto"/>
              </w:rPr>
            </w:pPr>
            <w:r>
              <w:rPr>
                <w:rFonts w:ascii="Arial" w:cs="Arial" w:eastAsia="Arial" w:hAnsi="Arial"/>
                <w:sz w:val="16"/>
                <w:szCs w:val="16"/>
                <w:color w:val="auto"/>
              </w:rPr>
              <w:t>7,359,285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401(k) matching contributon</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16,756</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Arial" w:cs="Arial" w:eastAsia="Arial" w:hAnsi="Arial"/>
                <w:sz w:val="16"/>
                <w:szCs w:val="16"/>
                <w:color w:val="auto"/>
              </w:rPr>
              <w:t>Vestng of restricted shares and restricted stock units</w:t>
            </w:r>
          </w:p>
        </w:tc>
        <w:tc>
          <w:tcPr>
            <w:tcW w:w="980" w:type="dxa"/>
            <w:vAlign w:val="bottom"/>
          </w:tcPr>
          <w:p>
            <w:pPr>
              <w:jc w:val="right"/>
              <w:spacing w:after="0"/>
              <w:rPr>
                <w:sz w:val="20"/>
                <w:szCs w:val="20"/>
                <w:color w:val="auto"/>
              </w:rPr>
            </w:pPr>
            <w:r>
              <w:rPr>
                <w:rFonts w:ascii="Arial" w:cs="Arial" w:eastAsia="Arial" w:hAnsi="Arial"/>
                <w:sz w:val="16"/>
                <w:szCs w:val="16"/>
                <w:color w:val="auto"/>
              </w:rPr>
              <w:t>222,595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Stock-based compensaton</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5,775</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5,775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Arial" w:cs="Arial" w:eastAsia="Arial" w:hAnsi="Arial"/>
                <w:sz w:val="16"/>
                <w:szCs w:val="16"/>
                <w:color w:val="auto"/>
              </w:rPr>
              <w:t>ESPP shares issued</w:t>
            </w:r>
          </w:p>
        </w:tc>
        <w:tc>
          <w:tcPr>
            <w:tcW w:w="980" w:type="dxa"/>
            <w:vAlign w:val="bottom"/>
          </w:tcPr>
          <w:p>
            <w:pPr>
              <w:jc w:val="right"/>
              <w:spacing w:after="0"/>
              <w:rPr>
                <w:sz w:val="20"/>
                <w:szCs w:val="20"/>
                <w:color w:val="auto"/>
              </w:rPr>
            </w:pPr>
            <w:r>
              <w:rPr>
                <w:rFonts w:ascii="Arial" w:cs="Arial" w:eastAsia="Arial" w:hAnsi="Arial"/>
                <w:sz w:val="16"/>
                <w:szCs w:val="16"/>
                <w:color w:val="auto"/>
              </w:rPr>
              <w:t>39,951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(40,665 )</w:t>
            </w: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(40,665 )</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980" w:type="dxa"/>
            <w:vAlign w:val="bottom"/>
          </w:tcPr>
          <w:p>
            <w:pPr>
              <w:jc w:val="right"/>
              <w:spacing w:after="0"/>
              <w:rPr>
                <w:sz w:val="20"/>
                <w:szCs w:val="20"/>
                <w:color w:val="auto"/>
              </w:rPr>
            </w:pPr>
            <w:r>
              <w:rPr>
                <w:rFonts w:ascii="Arial" w:cs="Arial" w:eastAsia="Arial" w:hAnsi="Arial"/>
                <w:sz w:val="16"/>
                <w:szCs w:val="16"/>
                <w:color w:val="auto"/>
              </w:rPr>
              <w:t>38,149,813</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608,067</w:t>
            </w:r>
          </w:p>
        </w:tc>
        <w:tc>
          <w:tcPr>
            <w:tcW w:w="2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(570,035 )</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38,035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Vestng of restricted shares and restricted stock units</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222,590</w:t>
            </w:r>
          </w:p>
        </w:tc>
        <w:tc>
          <w:tcPr>
            <w:tcW w:w="3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Arial" w:cs="Arial" w:eastAsia="Arial" w:hAnsi="Arial"/>
                <w:sz w:val="16"/>
                <w:szCs w:val="16"/>
                <w:color w:val="auto"/>
              </w:rPr>
              <w:t>Stock-based compensaton</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5,885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(50,920 )</w:t>
            </w: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(50,920 )</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tcPr>
          <w:p>
            <w:pPr>
              <w:ind w:left="20"/>
              <w:spacing w:after="0"/>
              <w:rPr>
                <w:sz w:val="20"/>
                <w:szCs w:val="20"/>
                <w:color w:val="auto"/>
              </w:rPr>
            </w:pPr>
            <w:r>
              <w:rPr>
                <w:rFonts w:ascii="Arial" w:cs="Arial" w:eastAsia="Arial" w:hAnsi="Arial"/>
                <w:sz w:val="16"/>
                <w:szCs w:val="16"/>
                <w:color w:val="auto"/>
              </w:rPr>
              <w:t>Balance at June 30, 2022</w:t>
            </w:r>
          </w:p>
        </w:tc>
        <w:tc>
          <w:tcPr>
            <w:tcW w:w="980" w:type="dxa"/>
            <w:vAlign w:val="bottom"/>
          </w:tcPr>
          <w:p>
            <w:pPr>
              <w:jc w:val="right"/>
              <w:spacing w:after="0"/>
              <w:rPr>
                <w:sz w:val="20"/>
                <w:szCs w:val="20"/>
                <w:color w:val="auto"/>
              </w:rPr>
            </w:pPr>
            <w:r>
              <w:rPr>
                <w:rFonts w:ascii="Arial" w:cs="Arial" w:eastAsia="Arial" w:hAnsi="Arial"/>
                <w:sz w:val="16"/>
                <w:szCs w:val="16"/>
                <w:color w:val="auto"/>
              </w:rPr>
              <w:t>38,372,403</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613,952</w:t>
            </w:r>
          </w:p>
        </w:tc>
        <w:tc>
          <w:tcPr>
            <w:tcW w:w="2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(620,955 )</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(7,000 )</w:t>
            </w: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401(k) matching contributon</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84,784</w:t>
            </w:r>
          </w:p>
        </w:tc>
        <w:tc>
          <w:tcPr>
            <w:tcW w:w="3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862</w:t>
            </w:r>
          </w:p>
        </w:tc>
        <w:tc>
          <w:tcPr>
            <w:tcW w:w="2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862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Arial" w:cs="Arial" w:eastAsia="Arial" w:hAnsi="Arial"/>
                <w:sz w:val="16"/>
                <w:szCs w:val="16"/>
                <w:color w:val="auto"/>
              </w:rPr>
              <w:t>Vestng of restricted shares and restricted stock units</w:t>
            </w:r>
          </w:p>
        </w:tc>
        <w:tc>
          <w:tcPr>
            <w:tcW w:w="980" w:type="dxa"/>
            <w:vAlign w:val="bottom"/>
          </w:tcPr>
          <w:p>
            <w:pPr>
              <w:jc w:val="right"/>
              <w:spacing w:after="0"/>
              <w:rPr>
                <w:sz w:val="20"/>
                <w:szCs w:val="20"/>
                <w:color w:val="auto"/>
              </w:rPr>
            </w:pPr>
            <w:r>
              <w:rPr>
                <w:rFonts w:ascii="Arial" w:cs="Arial" w:eastAsia="Arial" w:hAnsi="Arial"/>
                <w:sz w:val="16"/>
                <w:szCs w:val="16"/>
                <w:color w:val="auto"/>
              </w:rPr>
              <w:t>222,595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Issuance of common stock under ATM facility</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2,414,897</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24,596</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24,596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Arial" w:cs="Arial" w:eastAsia="Arial" w:hAnsi="Arial"/>
                <w:sz w:val="16"/>
                <w:szCs w:val="16"/>
                <w:color w:val="auto"/>
              </w:rPr>
              <w:t>Stock-based compensaton</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5,816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ESPP shares issued</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49,147</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394</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(51,091 )</w:t>
            </w: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(51,091 )</w:t>
            </w: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September 30, 2022</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41,143,826</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645,620</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(672,046</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(26,423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-1851025</wp:posOffset>
            </wp:positionV>
            <wp:extent cx="76835"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-1851025</wp:posOffset>
            </wp:positionV>
            <wp:extent cx="76835"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-1851025</wp:posOffset>
            </wp:positionV>
            <wp:extent cx="76835"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-1851025</wp:posOffset>
            </wp:positionV>
            <wp:extent cx="6858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-1851025</wp:posOffset>
            </wp:positionV>
            <wp:extent cx="6858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-1233805</wp:posOffset>
            </wp:positionV>
            <wp:extent cx="76835"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-1233805</wp:posOffset>
            </wp:positionV>
            <wp:extent cx="76835"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-1233805</wp:posOffset>
            </wp:positionV>
            <wp:extent cx="76835"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-1233805</wp:posOffset>
            </wp:positionV>
            <wp:extent cx="68580"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-1233805</wp:posOffset>
            </wp:positionV>
            <wp:extent cx="6858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-24765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Nine Months Ended</w:t>
            </w:r>
          </w:p>
        </w:tc>
        <w:tc>
          <w:tcPr>
            <w:tcW w:w="1060" w:type="dxa"/>
            <w:vAlign w:val="bottom"/>
          </w:tcPr>
          <w:p>
            <w:pPr>
              <w:spacing w:after="0"/>
              <w:rPr>
                <w:sz w:val="17"/>
                <w:szCs w:val="17"/>
                <w:color w:val="auto"/>
              </w:rPr>
            </w:pPr>
          </w:p>
        </w:tc>
      </w:tr>
      <w:tr>
        <w:trPr>
          <w:trHeight w:val="205"/>
        </w:trPr>
        <w:tc>
          <w:tcPr>
            <w:tcW w:w="7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September 30,</w:t>
            </w:r>
          </w:p>
        </w:tc>
        <w:tc>
          <w:tcPr>
            <w:tcW w:w="1060" w:type="dxa"/>
            <w:vAlign w:val="bottom"/>
          </w:tcPr>
          <w:p>
            <w:pPr>
              <w:spacing w:after="0"/>
              <w:rPr>
                <w:sz w:val="17"/>
                <w:szCs w:val="17"/>
                <w:color w:val="auto"/>
              </w:rPr>
            </w:pPr>
          </w:p>
        </w:tc>
      </w:tr>
      <w:tr>
        <w:trPr>
          <w:trHeight w:val="39"/>
        </w:trPr>
        <w:tc>
          <w:tcPr>
            <w:tcW w:w="78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99"/>
        </w:trPr>
        <w:tc>
          <w:tcPr>
            <w:tcW w:w="78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ind w:right="619"/>
              <w:spacing w:after="0"/>
              <w:rPr>
                <w:sz w:val="20"/>
                <w:szCs w:val="20"/>
                <w:color w:val="auto"/>
              </w:rPr>
            </w:pPr>
            <w:r>
              <w:rPr>
                <w:rFonts w:ascii="Arial" w:cs="Arial" w:eastAsia="Arial" w:hAnsi="Arial"/>
                <w:sz w:val="16"/>
                <w:szCs w:val="16"/>
                <w:b w:val="1"/>
                <w:bCs w:val="1"/>
                <w:color w:val="auto"/>
                <w:w w:val="95"/>
              </w:rPr>
              <w:t>2022</w:t>
            </w:r>
          </w:p>
        </w:tc>
      </w:tr>
      <w:tr>
        <w:trPr>
          <w:trHeight w:val="24"/>
        </w:trPr>
        <w:tc>
          <w:tcPr>
            <w:tcW w:w="7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3"/>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fows from operatng actvites</w:t>
            </w:r>
          </w:p>
        </w:tc>
        <w:tc>
          <w:tcPr>
            <w:tcW w:w="94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r>
      <w:tr>
        <w:trPr>
          <w:trHeight w:val="203"/>
        </w:trPr>
        <w:tc>
          <w:tcPr>
            <w:tcW w:w="7800" w:type="dxa"/>
            <w:vAlign w:val="bottom"/>
          </w:tcPr>
          <w:p>
            <w:pPr>
              <w:ind w:left="2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87"/>
              </w:rPr>
              <w:t>(122,022 )</w:t>
            </w:r>
          </w:p>
        </w:tc>
        <w:tc>
          <w:tcPr>
            <w:tcW w:w="740" w:type="dxa"/>
            <w:vAlign w:val="bottom"/>
            <w:gridSpan w:val="2"/>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(142,676 )</w:t>
            </w:r>
          </w:p>
        </w:tc>
      </w:tr>
      <w:tr>
        <w:trPr>
          <w:trHeight w:val="26"/>
        </w:trPr>
        <w:tc>
          <w:tcPr>
            <w:tcW w:w="7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9"/>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operatng actvites:</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r>
      <w:tr>
        <w:trPr>
          <w:trHeight w:val="203"/>
        </w:trPr>
        <w:tc>
          <w:tcPr>
            <w:tcW w:w="7800" w:type="dxa"/>
            <w:vAlign w:val="bottom"/>
          </w:tcPr>
          <w:p>
            <w:pPr>
              <w:ind w:left="200"/>
              <w:spacing w:after="0"/>
              <w:rPr>
                <w:sz w:val="20"/>
                <w:szCs w:val="20"/>
                <w:color w:val="auto"/>
              </w:rPr>
            </w:pPr>
            <w:r>
              <w:rPr>
                <w:rFonts w:ascii="Arial" w:cs="Arial" w:eastAsia="Arial" w:hAnsi="Arial"/>
                <w:sz w:val="16"/>
                <w:szCs w:val="16"/>
                <w:color w:val="auto"/>
              </w:rPr>
              <w:t>Depreciaton and amortzaton</w:t>
            </w:r>
          </w:p>
        </w:tc>
        <w:tc>
          <w:tcPr>
            <w:tcW w:w="9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390</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452</w:t>
            </w:r>
          </w:p>
        </w:tc>
      </w:tr>
      <w:tr>
        <w:trPr>
          <w:trHeight w:val="26"/>
        </w:trPr>
        <w:tc>
          <w:tcPr>
            <w:tcW w:w="7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9"/>
        </w:trPr>
        <w:tc>
          <w:tcPr>
            <w:tcW w:w="7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Stock-based compensaton</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20,441</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17,476</w:t>
            </w:r>
          </w:p>
        </w:tc>
      </w:tr>
      <w:tr>
        <w:trPr>
          <w:trHeight w:val="203"/>
        </w:trPr>
        <w:tc>
          <w:tcPr>
            <w:tcW w:w="7800" w:type="dxa"/>
            <w:vAlign w:val="bottom"/>
          </w:tcPr>
          <w:p>
            <w:pPr>
              <w:ind w:left="200"/>
              <w:spacing w:after="0"/>
              <w:rPr>
                <w:sz w:val="20"/>
                <w:szCs w:val="20"/>
                <w:color w:val="auto"/>
              </w:rPr>
            </w:pPr>
            <w:r>
              <w:rPr>
                <w:rFonts w:ascii="Arial" w:cs="Arial" w:eastAsia="Arial" w:hAnsi="Arial"/>
                <w:sz w:val="16"/>
                <w:szCs w:val="16"/>
                <w:color w:val="auto"/>
              </w:rPr>
              <w:t>Issuance of PIK interest debt</w:t>
            </w:r>
          </w:p>
        </w:tc>
        <w:tc>
          <w:tcPr>
            <w:tcW w:w="9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2,684</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2,594</w:t>
            </w:r>
          </w:p>
        </w:tc>
      </w:tr>
      <w:tr>
        <w:trPr>
          <w:trHeight w:val="26"/>
        </w:trPr>
        <w:tc>
          <w:tcPr>
            <w:tcW w:w="7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9"/>
        </w:trPr>
        <w:tc>
          <w:tcPr>
            <w:tcW w:w="7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Accrued interest on revenue interest fnancing liability</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16,265</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8,349</w:t>
            </w:r>
          </w:p>
        </w:tc>
      </w:tr>
      <w:tr>
        <w:trPr>
          <w:trHeight w:val="203"/>
        </w:trPr>
        <w:tc>
          <w:tcPr>
            <w:tcW w:w="7800" w:type="dxa"/>
            <w:vAlign w:val="bottom"/>
          </w:tcPr>
          <w:p>
            <w:pPr>
              <w:ind w:left="200"/>
              <w:spacing w:after="0"/>
              <w:rPr>
                <w:sz w:val="20"/>
                <w:szCs w:val="20"/>
                <w:color w:val="auto"/>
              </w:rPr>
            </w:pPr>
            <w:r>
              <w:rPr>
                <w:rFonts w:ascii="Arial" w:cs="Arial" w:eastAsia="Arial" w:hAnsi="Arial"/>
                <w:sz w:val="16"/>
                <w:szCs w:val="16"/>
                <w:color w:val="auto"/>
              </w:rPr>
              <w:t>Amortzaton of debt discount</w:t>
            </w:r>
          </w:p>
        </w:tc>
        <w:tc>
          <w:tcPr>
            <w:tcW w:w="9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1,311</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1,613</w:t>
            </w:r>
          </w:p>
        </w:tc>
      </w:tr>
      <w:tr>
        <w:trPr>
          <w:trHeight w:val="26"/>
        </w:trPr>
        <w:tc>
          <w:tcPr>
            <w:tcW w:w="7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0"/>
        </w:trPr>
        <w:tc>
          <w:tcPr>
            <w:tcW w:w="7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1,468</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1,128</w:t>
            </w:r>
          </w:p>
        </w:tc>
      </w:tr>
      <w:tr>
        <w:trPr>
          <w:trHeight w:val="203"/>
        </w:trPr>
        <w:tc>
          <w:tcPr>
            <w:tcW w:w="7800" w:type="dxa"/>
            <w:vAlign w:val="bottom"/>
          </w:tcPr>
          <w:p>
            <w:pPr>
              <w:ind w:left="200"/>
              <w:spacing w:after="0"/>
              <w:rPr>
                <w:sz w:val="20"/>
                <w:szCs w:val="20"/>
                <w:color w:val="auto"/>
              </w:rPr>
            </w:pPr>
            <w:r>
              <w:rPr>
                <w:rFonts w:ascii="Arial" w:cs="Arial" w:eastAsia="Arial" w:hAnsi="Arial"/>
                <w:sz w:val="16"/>
                <w:szCs w:val="16"/>
                <w:color w:val="auto"/>
              </w:rPr>
              <w:t>Changes in operatng assets and liabilites:</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6"/>
        </w:trPr>
        <w:tc>
          <w:tcPr>
            <w:tcW w:w="7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9"/>
        </w:trPr>
        <w:tc>
          <w:tcPr>
            <w:tcW w:w="7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(7,813 )</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2,292</w:t>
            </w:r>
          </w:p>
        </w:tc>
      </w:tr>
      <w:tr>
        <w:trPr>
          <w:trHeight w:val="188"/>
        </w:trPr>
        <w:tc>
          <w:tcPr>
            <w:tcW w:w="7800" w:type="dxa"/>
            <w:vAlign w:val="bottom"/>
          </w:tcPr>
          <w:p>
            <w:pPr>
              <w:ind w:left="380"/>
              <w:spacing w:after="0"/>
              <w:rPr>
                <w:sz w:val="20"/>
                <w:szCs w:val="20"/>
                <w:color w:val="auto"/>
              </w:rPr>
            </w:pPr>
            <w:r>
              <w:rPr>
                <w:rFonts w:ascii="Arial" w:cs="Arial" w:eastAsia="Arial" w:hAnsi="Arial"/>
                <w:sz w:val="16"/>
                <w:szCs w:val="16"/>
                <w:color w:val="auto"/>
                <w:w w:val="98"/>
              </w:rPr>
              <w:t>Accounts payable and accrued expenses (includes changes in related party amounts of $281 and $1,210,</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7800" w:type="dxa"/>
            <w:vAlign w:val="bottom"/>
          </w:tcPr>
          <w:p>
            <w:pPr>
              <w:ind w:left="380"/>
              <w:spacing w:after="0"/>
              <w:rPr>
                <w:sz w:val="20"/>
                <w:szCs w:val="20"/>
                <w:color w:val="auto"/>
              </w:rPr>
            </w:pPr>
            <w:r>
              <w:rPr>
                <w:rFonts w:ascii="Arial" w:cs="Arial" w:eastAsia="Arial" w:hAnsi="Arial"/>
                <w:sz w:val="16"/>
                <w:szCs w:val="16"/>
                <w:color w:val="auto"/>
              </w:rPr>
              <w:t>respectvely)</w:t>
            </w:r>
          </w:p>
        </w:tc>
        <w:tc>
          <w:tcPr>
            <w:tcW w:w="9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(3,857 )</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4,762</w:t>
            </w:r>
          </w:p>
        </w:tc>
      </w:tr>
      <w:tr>
        <w:trPr>
          <w:trHeight w:val="41"/>
        </w:trPr>
        <w:tc>
          <w:tcPr>
            <w:tcW w:w="7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7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Accrued clinical trial expenses</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661</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(1,263 )</w:t>
            </w:r>
          </w:p>
        </w:tc>
      </w:tr>
      <w:tr>
        <w:trPr>
          <w:trHeight w:val="203"/>
        </w:trPr>
        <w:tc>
          <w:tcPr>
            <w:tcW w:w="7800" w:type="dxa"/>
            <w:vAlign w:val="bottom"/>
          </w:tcPr>
          <w:p>
            <w:pPr>
              <w:ind w:left="380"/>
              <w:spacing w:after="0"/>
              <w:rPr>
                <w:sz w:val="20"/>
                <w:szCs w:val="20"/>
                <w:color w:val="auto"/>
              </w:rPr>
            </w:pPr>
            <w:r>
              <w:rPr>
                <w:rFonts w:ascii="Arial" w:cs="Arial" w:eastAsia="Arial" w:hAnsi="Arial"/>
                <w:sz w:val="16"/>
                <w:szCs w:val="16"/>
                <w:color w:val="auto"/>
              </w:rPr>
              <w:t>Accrued interest</w:t>
            </w:r>
          </w:p>
        </w:tc>
        <w:tc>
          <w:tcPr>
            <w:tcW w:w="9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209</w:t>
            </w:r>
          </w:p>
        </w:tc>
      </w:tr>
      <w:tr>
        <w:trPr>
          <w:trHeight w:val="26"/>
        </w:trPr>
        <w:tc>
          <w:tcPr>
            <w:tcW w:w="7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9"/>
        </w:trPr>
        <w:tc>
          <w:tcPr>
            <w:tcW w:w="7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Operatng right-of-use assets and lease liabilites</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147</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(306 )</w:t>
            </w:r>
          </w:p>
        </w:tc>
      </w:tr>
      <w:tr>
        <w:trPr>
          <w:trHeight w:val="203"/>
        </w:trPr>
        <w:tc>
          <w:tcPr>
            <w:tcW w:w="7800" w:type="dxa"/>
            <w:vAlign w:val="bottom"/>
          </w:tcPr>
          <w:p>
            <w:pPr>
              <w:ind w:left="380"/>
              <w:spacing w:after="0"/>
              <w:rPr>
                <w:sz w:val="20"/>
                <w:szCs w:val="20"/>
                <w:color w:val="auto"/>
              </w:rPr>
            </w:pPr>
            <w:r>
              <w:rPr>
                <w:rFonts w:ascii="Arial" w:cs="Arial" w:eastAsia="Arial" w:hAnsi="Arial"/>
                <w:sz w:val="16"/>
                <w:szCs w:val="16"/>
                <w:color w:val="auto"/>
              </w:rPr>
              <w:t>Inventory</w:t>
            </w:r>
          </w:p>
        </w:tc>
        <w:tc>
          <w:tcPr>
            <w:tcW w:w="9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(111 )</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6"/>
        </w:trPr>
        <w:tc>
          <w:tcPr>
            <w:tcW w:w="7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5"/>
        </w:trPr>
        <w:tc>
          <w:tcPr>
            <w:tcW w:w="7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Other long-term assets</w:t>
            </w:r>
          </w:p>
        </w:tc>
        <w:tc>
          <w:tcPr>
            <w:tcW w:w="9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(3,450 )</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(119 )</w:t>
            </w:r>
          </w:p>
        </w:tc>
      </w:tr>
      <w:tr>
        <w:trPr>
          <w:trHeight w:val="197"/>
        </w:trPr>
        <w:tc>
          <w:tcPr>
            <w:tcW w:w="78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cash used in operatng actvites</w:t>
            </w:r>
          </w:p>
        </w:tc>
        <w:tc>
          <w:tcPr>
            <w:tcW w:w="9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(93,783 )</w:t>
            </w:r>
          </w:p>
        </w:tc>
        <w:tc>
          <w:tcPr>
            <w:tcW w:w="18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(105,489 )</w:t>
            </w:r>
          </w:p>
        </w:tc>
      </w:tr>
      <w:tr>
        <w:trPr>
          <w:trHeight w:val="26"/>
        </w:trPr>
        <w:tc>
          <w:tcPr>
            <w:tcW w:w="7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7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05"/>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Cash fows from investng actvites</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
        </w:trPr>
        <w:tc>
          <w:tcPr>
            <w:tcW w:w="7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4"/>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paid for property, plant and equipment</w:t>
            </w:r>
          </w:p>
        </w:tc>
        <w:tc>
          <w:tcPr>
            <w:tcW w:w="9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(1,159 )</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(629 )</w:t>
            </w:r>
          </w:p>
        </w:tc>
      </w:tr>
      <w:tr>
        <w:trPr>
          <w:trHeight w:val="197"/>
        </w:trPr>
        <w:tc>
          <w:tcPr>
            <w:tcW w:w="78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cash used in investng actvites</w:t>
            </w:r>
          </w:p>
        </w:tc>
        <w:tc>
          <w:tcPr>
            <w:tcW w:w="9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(1,159 )</w:t>
            </w:r>
          </w:p>
        </w:tc>
        <w:tc>
          <w:tcPr>
            <w:tcW w:w="18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(629 )</w:t>
            </w:r>
          </w:p>
        </w:tc>
      </w:tr>
      <w:tr>
        <w:trPr>
          <w:trHeight w:val="26"/>
        </w:trPr>
        <w:tc>
          <w:tcPr>
            <w:tcW w:w="7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7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06"/>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Cash fows from fnancing actvites</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
        </w:trPr>
        <w:tc>
          <w:tcPr>
            <w:tcW w:w="7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0"/>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from exercise of stock optons</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124</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7800" w:type="dxa"/>
            <w:vAlign w:val="bottom"/>
          </w:tcPr>
          <w:p>
            <w:pPr>
              <w:ind w:left="20"/>
              <w:spacing w:after="0"/>
              <w:rPr>
                <w:sz w:val="20"/>
                <w:szCs w:val="20"/>
                <w:color w:val="auto"/>
              </w:rPr>
            </w:pPr>
            <w:r>
              <w:rPr>
                <w:rFonts w:ascii="Arial" w:cs="Arial" w:eastAsia="Arial" w:hAnsi="Arial"/>
                <w:sz w:val="16"/>
                <w:szCs w:val="16"/>
                <w:color w:val="auto"/>
              </w:rPr>
              <w:t>Net proceeds from underwriten public ofering</w:t>
            </w:r>
          </w:p>
        </w:tc>
        <w:tc>
          <w:tcPr>
            <w:tcW w:w="9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141,390</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6"/>
        </w:trPr>
        <w:tc>
          <w:tcPr>
            <w:tcW w:w="7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0"/>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proceeds from revenue interest fnancing transacton</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95,446</w:t>
            </w:r>
          </w:p>
        </w:tc>
      </w:tr>
      <w:tr>
        <w:trPr>
          <w:trHeight w:val="204"/>
        </w:trPr>
        <w:tc>
          <w:tcPr>
            <w:tcW w:w="7800" w:type="dxa"/>
            <w:vAlign w:val="bottom"/>
          </w:tcPr>
          <w:p>
            <w:pPr>
              <w:ind w:left="20"/>
              <w:spacing w:after="0"/>
              <w:rPr>
                <w:sz w:val="20"/>
                <w:szCs w:val="20"/>
                <w:color w:val="auto"/>
              </w:rPr>
            </w:pPr>
            <w:r>
              <w:rPr>
                <w:rFonts w:ascii="Arial" w:cs="Arial" w:eastAsia="Arial" w:hAnsi="Arial"/>
                <w:sz w:val="16"/>
                <w:szCs w:val="16"/>
                <w:color w:val="auto"/>
              </w:rPr>
              <w:t>Net proceeds from issuance of common stock under ATM facility</w:t>
            </w:r>
          </w:p>
        </w:tc>
        <w:tc>
          <w:tcPr>
            <w:tcW w:w="9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14,073</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24,596</w:t>
            </w:r>
          </w:p>
        </w:tc>
      </w:tr>
      <w:tr>
        <w:trPr>
          <w:trHeight w:val="26"/>
        </w:trPr>
        <w:tc>
          <w:tcPr>
            <w:tcW w:w="7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fnancing actvites</w:t>
            </w:r>
          </w:p>
        </w:tc>
        <w:tc>
          <w:tcPr>
            <w:tcW w:w="9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w w:val="96"/>
              </w:rPr>
              <w:t>155,587</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120,042</w:t>
            </w:r>
          </w:p>
        </w:tc>
      </w:tr>
      <w:tr>
        <w:trPr>
          <w:trHeight w:val="223"/>
        </w:trPr>
        <w:tc>
          <w:tcPr>
            <w:tcW w:w="7800" w:type="dxa"/>
            <w:vAlign w:val="bottom"/>
            <w:tcBorders>
              <w:top w:val="single" w:sz="8" w:color="CFF0FC"/>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09"/>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increase in cash and cash equivalents and restricted cash</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60,645</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13,924</w:t>
            </w:r>
          </w:p>
        </w:tc>
      </w:tr>
      <w:tr>
        <w:trPr>
          <w:trHeight w:val="204"/>
        </w:trPr>
        <w:tc>
          <w:tcPr>
            <w:tcW w:w="780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 beginning of period</w:t>
            </w:r>
          </w:p>
        </w:tc>
        <w:tc>
          <w:tcPr>
            <w:tcW w:w="9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155,890</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183,419</w:t>
            </w:r>
          </w:p>
        </w:tc>
      </w:tr>
      <w:tr>
        <w:trPr>
          <w:trHeight w:val="26"/>
        </w:trPr>
        <w:tc>
          <w:tcPr>
            <w:tcW w:w="7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8"/>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and restricted cash – end of period</w:t>
            </w:r>
          </w:p>
        </w:tc>
        <w:tc>
          <w:tcPr>
            <w:tcW w:w="940" w:type="dxa"/>
            <w:vAlign w:val="bottom"/>
            <w:tcBorders>
              <w:bottom w:val="single" w:sz="8" w:color="CFF0FC"/>
            </w:tcBorders>
            <w:shd w:val="clear" w:color="auto" w:fill="CFF0FC"/>
          </w:tcPr>
          <w:p>
            <w:pPr>
              <w:jc w:val="right"/>
              <w:ind w:right="7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w w:val="96"/>
              </w:rPr>
              <w:t>216,535</w:t>
            </w:r>
          </w:p>
        </w:tc>
        <w:tc>
          <w:tcPr>
            <w:tcW w:w="18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197,343</w:t>
            </w:r>
          </w:p>
        </w:tc>
      </w:tr>
      <w:tr>
        <w:trPr>
          <w:trHeight w:val="210"/>
        </w:trPr>
        <w:tc>
          <w:tcPr>
            <w:tcW w:w="780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10"/>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cash fow informaton</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r>
      <w:tr>
        <w:trPr>
          <w:trHeight w:val="203"/>
        </w:trPr>
        <w:tc>
          <w:tcPr>
            <w:tcW w:w="780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8,222</w:t>
            </w:r>
          </w:p>
        </w:tc>
        <w:tc>
          <w:tcPr>
            <w:tcW w:w="740" w:type="dxa"/>
            <w:vAlign w:val="bottom"/>
            <w:gridSpan w:val="2"/>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4,938</w:t>
            </w:r>
          </w:p>
        </w:tc>
      </w:tr>
      <w:tr>
        <w:trPr>
          <w:trHeight w:val="26"/>
        </w:trPr>
        <w:tc>
          <w:tcPr>
            <w:tcW w:w="7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0"/>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Supplemental disclosure of noncash investng and fnancing actvites:</w:t>
            </w:r>
          </w:p>
        </w:tc>
        <w:tc>
          <w:tcPr>
            <w:tcW w:w="94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r>
      <w:tr>
        <w:trPr>
          <w:trHeight w:val="203"/>
        </w:trPr>
        <w:tc>
          <w:tcPr>
            <w:tcW w:w="7800" w:type="dxa"/>
            <w:vAlign w:val="bottom"/>
          </w:tcPr>
          <w:p>
            <w:pPr>
              <w:ind w:left="20"/>
              <w:spacing w:after="0"/>
              <w:rPr>
                <w:sz w:val="20"/>
                <w:szCs w:val="20"/>
                <w:color w:val="auto"/>
              </w:rPr>
            </w:pPr>
            <w:r>
              <w:rPr>
                <w:rFonts w:ascii="Arial" w:cs="Arial" w:eastAsia="Arial" w:hAnsi="Arial"/>
                <w:sz w:val="16"/>
                <w:szCs w:val="16"/>
                <w:color w:val="auto"/>
              </w:rPr>
              <w:t>Setlement of ESPP liability in common stock</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1,417</w:t>
            </w:r>
          </w:p>
        </w:tc>
        <w:tc>
          <w:tcPr>
            <w:tcW w:w="740" w:type="dxa"/>
            <w:vAlign w:val="bottom"/>
            <w:gridSpan w:val="2"/>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909</w:t>
            </w:r>
          </w:p>
        </w:tc>
      </w:tr>
      <w:tr>
        <w:trPr>
          <w:trHeight w:val="26"/>
        </w:trPr>
        <w:tc>
          <w:tcPr>
            <w:tcW w:w="7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20"/>
        </w:trPr>
        <w:tc>
          <w:tcPr>
            <w:tcW w:w="78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Setlement of 401(k) liability in common stock</w:t>
            </w:r>
          </w:p>
        </w:tc>
        <w:tc>
          <w:tcPr>
            <w:tcW w:w="940" w:type="dxa"/>
            <w:vAlign w:val="bottom"/>
            <w:tcBorders>
              <w:bottom w:val="single" w:sz="8" w:color="CFF0FC"/>
            </w:tcBorders>
            <w:shd w:val="clear" w:color="auto" w:fill="CFF0FC"/>
          </w:tcPr>
          <w:p>
            <w:pPr>
              <w:jc w:val="right"/>
              <w:ind w:right="7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1,612</w:t>
            </w:r>
          </w:p>
        </w:tc>
        <w:tc>
          <w:tcPr>
            <w:tcW w:w="1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1,116</w:t>
            </w:r>
          </w:p>
        </w:tc>
      </w:tr>
      <w:tr>
        <w:trPr>
          <w:trHeight w:val="184"/>
        </w:trPr>
        <w:tc>
          <w:tcPr>
            <w:tcW w:w="78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Operatng lease liabilites arising from obtaining right-of-use assets</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FF0FC"/>
            </w:tcBorders>
          </w:tcPr>
          <w:p>
            <w:pPr>
              <w:spacing w:after="0"/>
              <w:rPr>
                <w:sz w:val="16"/>
                <w:szCs w:val="16"/>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554</w:t>
            </w:r>
          </w:p>
        </w:tc>
      </w:tr>
      <w:tr>
        <w:trPr>
          <w:trHeight w:val="26"/>
        </w:trPr>
        <w:tc>
          <w:tcPr>
            <w:tcW w:w="7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5984240</wp:posOffset>
            </wp:positionH>
            <wp:positionV relativeFrom="paragraph">
              <wp:posOffset>-6321425</wp:posOffset>
            </wp:positionV>
            <wp:extent cx="1152525" cy="1879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52525" cy="18796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-3539490</wp:posOffset>
            </wp:positionV>
            <wp:extent cx="111125"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-2939415</wp:posOffset>
            </wp:positionV>
            <wp:extent cx="111125"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-1748155</wp:posOffset>
            </wp:positionV>
            <wp:extent cx="111125"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-1148080</wp:posOffset>
            </wp:positionV>
            <wp:extent cx="11112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-196850</wp:posOffset>
            </wp:positionV>
            <wp:extent cx="111125" cy="197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19748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p>
      <w:pPr>
        <w:ind w:left="4260"/>
        <w:spacing w:after="0"/>
        <w:rPr>
          <w:sz w:val="20"/>
          <w:szCs w:val="20"/>
          <w:color w:val="auto"/>
        </w:rPr>
      </w:pPr>
      <w:r>
        <w:rPr>
          <w:rFonts w:ascii="Arial" w:cs="Arial" w:eastAsia="Arial" w:hAnsi="Arial"/>
          <w:sz w:val="18"/>
          <w:szCs w:val="18"/>
          <w:b w:val="1"/>
          <w:bCs w:val="1"/>
          <w:color w:val="auto"/>
        </w:rPr>
        <w:t>PHATHOM PHARMACEUTICALS, INC.</w:t>
      </w:r>
    </w:p>
    <w:p>
      <w:pPr>
        <w:spacing w:after="0" w:line="2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Unaudited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Organizaton, Basis of Presentaton and Summary of Signifcant Accountng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Organizaton and Basis of Presentaton</w:t>
      </w:r>
    </w:p>
    <w:p>
      <w:pPr>
        <w:spacing w:after="0" w:line="187" w:lineRule="exact"/>
        <w:rPr>
          <w:sz w:val="20"/>
          <w:szCs w:val="20"/>
          <w:color w:val="auto"/>
        </w:rPr>
      </w:pPr>
    </w:p>
    <w:p>
      <w:pPr>
        <w:ind w:right="620" w:firstLine="509"/>
        <w:spacing w:after="0" w:line="262" w:lineRule="auto"/>
        <w:rPr>
          <w:sz w:val="20"/>
          <w:szCs w:val="20"/>
          <w:color w:val="auto"/>
        </w:rPr>
      </w:pPr>
      <w:r>
        <w:rPr>
          <w:rFonts w:ascii="Arial" w:cs="Arial" w:eastAsia="Arial" w:hAnsi="Arial"/>
          <w:sz w:val="18"/>
          <w:szCs w:val="18"/>
          <w:color w:val="auto"/>
        </w:rPr>
        <w:t>Phathom Pharmaceutcals, Inc., or the Company or Phathom, was incorporated in the state of Delaware in January 2018. The Company is a biopharmaceutcal company focused on developing and commercializing novel treatments for gastrointestnal diseases. The Company’s fnancial statements are prepared in accordance with U.S. generally accepted accountng principles, or GAAP.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00"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From incepton to September 30, 2023, the Company has devoted substantally all of its eforts to organizing and stafng the Company, business planning, raising capital, in-licensing its inital product candidate, vonoprazan, meetng with regulatory authorites, managing the clinical trials of vonoprazan, preparing for commercializaton of its inital products containing vonoprazan, and providing other general and administratve support for these operatons. The Company has a limited operatng history, has never generated any revenue, and the sales and income potental of its business is unproven. The Company has incurred net losses and negatve cash fows from operatng actvites since its incepton and expects to contnue to incur additonal net losses in the future as it contnues to develop and prepares for commercializaton of vonoprazan. From incepton to September 30, 2023, the Company has funded its operatons through the issuance of convertble promissory notes, commercial bank debt, revenue interest fnancing debt, the sale of 10,997,630 shares of common stock for net proceeds of approximately $191.5 million in its 2019 IPO, the sale of 2,250,000 shares of common stock for net proceeds of approximately $88.6 million in its December 2020 follow-on public ofering, the sale of 3,929,116 shares of common stock for net proceeds of approximately $38.7 million in its issuances of common stock pursuant to the Open Market Sale Agreement</w:t>
      </w:r>
      <w:r>
        <w:rPr>
          <w:rFonts w:ascii="Arial" w:cs="Arial" w:eastAsia="Arial" w:hAnsi="Arial"/>
          <w:sz w:val="19"/>
          <w:szCs w:val="19"/>
          <w:color w:val="auto"/>
          <w:vertAlign w:val="superscript"/>
        </w:rPr>
        <w:t>SM</w:t>
      </w:r>
      <w:r>
        <w:rPr>
          <w:rFonts w:ascii="Arial" w:cs="Arial" w:eastAsia="Arial" w:hAnsi="Arial"/>
          <w:sz w:val="17"/>
          <w:szCs w:val="17"/>
          <w:color w:val="auto"/>
        </w:rPr>
        <w:t>, or the Sales Agreement, with Jeferies LLC, or the Sales Agent, under which the Company may, from tme to tme, sell shares of its common stock having an aggregate ofering price of up to $125.0 million, or the ATM Ofering, and the sale of 12,793,750 shares of common stock for net proceeds of approximately $141.4 million in its May 2023 public ofering.</w:t>
      </w:r>
    </w:p>
    <w:p>
      <w:pPr>
        <w:spacing w:after="0" w:line="144"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The accompanying fnancial statements have been prepared assuming the Company will contnue as a going concern, which contemplates the realizaton of assets and the satsfacton of liabilites in the normal course of business, and do not include any adjustments to refect the possible future efects on the recoverability and classifcaton of assets or amounts and classifcaton of liabilites in accordance with GAAP. Management is required to perform a two-step analysis over the Company’s ability to contnue as a going concern. Management must frst evaluate whether there are conditons and events that raise substantal doubt about the Company’s ability to contnue as a going concern (Step 1). If management concludes that substantal doubt is raised, management is also required to consider whether its plans alleviate that doubt (Step 2).</w:t>
      </w:r>
    </w:p>
    <w:p>
      <w:pPr>
        <w:spacing w:after="0" w:line="142" w:lineRule="exact"/>
        <w:rPr>
          <w:sz w:val="20"/>
          <w:szCs w:val="20"/>
          <w:color w:val="auto"/>
        </w:rPr>
      </w:pPr>
    </w:p>
    <w:p>
      <w:pPr>
        <w:ind w:right="20" w:firstLine="509"/>
        <w:spacing w:after="0" w:line="258" w:lineRule="auto"/>
        <w:rPr>
          <w:sz w:val="20"/>
          <w:szCs w:val="20"/>
          <w:color w:val="auto"/>
        </w:rPr>
      </w:pPr>
      <w:r>
        <w:rPr>
          <w:rFonts w:ascii="Arial" w:cs="Arial" w:eastAsia="Arial" w:hAnsi="Arial"/>
          <w:sz w:val="18"/>
          <w:szCs w:val="18"/>
          <w:color w:val="auto"/>
        </w:rPr>
        <w:t>Management believes that it has sufcient working capital on hand to fund operatons through at least the next twelve months from the date these fnancial statements were issued. There can be no assurance that the Company will be successful in acquiring additonal funding, if needed, that the Company’s projectons of its future working capital needs will prove accurate, or that any additonal funding would be sufcient to contnue operatons in future years.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Estmates</w:t>
      </w:r>
    </w:p>
    <w:p>
      <w:pPr>
        <w:spacing w:after="0" w:line="18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 preparaton of the Company’s fnancial statements requires it to make estmates and assumptons that impact the reported amounts of assets, liabilites and expenses and the disclosure of contngent assets and liabilites in the Company’s fnancial statements and accompanying notes. The most signifcant estmates in the Company’s fnancial statements relate to accruals for research and development expenses and the valuaton of various equity instruments. Although these estmates are based on the Company’s knowledge of current events and actons it may undertake in the future, actual results could difer materially from those estmates and assumptons.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00" w:lineRule="exact"/>
        <w:rPr>
          <w:sz w:val="20"/>
          <w:szCs w:val="20"/>
          <w:color w:val="auto"/>
        </w:rPr>
      </w:pPr>
    </w:p>
    <w:p>
      <w:pPr>
        <w:ind w:right="360" w:firstLine="509"/>
        <w:spacing w:after="0" w:line="262" w:lineRule="auto"/>
        <w:rPr>
          <w:sz w:val="20"/>
          <w:szCs w:val="20"/>
          <w:color w:val="auto"/>
        </w:rPr>
      </w:pPr>
      <w:r>
        <w:rPr>
          <w:rFonts w:ascii="Arial" w:cs="Arial" w:eastAsia="Arial" w:hAnsi="Arial"/>
          <w:sz w:val="18"/>
          <w:szCs w:val="18"/>
          <w:color w:val="auto"/>
        </w:rPr>
        <w:t>The accountng guidance defnes fair value, establishes a consistent framework for measuring fair value and expands disclosure for each major asset and liability category measured at fair value on either a recurring or non-recurring basis. Fair value is defned as an exit price, representng the amount that would be received to sell an asset or paid to transfer a liability in an orderly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8" w:name="page9"/>
    <w:bookmarkEnd w:id="8"/>
    <w:p>
      <w:pPr>
        <w:ind w:right="40"/>
        <w:spacing w:after="0" w:line="262" w:lineRule="auto"/>
        <w:rPr>
          <w:sz w:val="20"/>
          <w:szCs w:val="20"/>
          <w:color w:val="auto"/>
        </w:rPr>
      </w:pPr>
      <w:r>
        <w:rPr>
          <w:rFonts w:ascii="Arial" w:cs="Arial" w:eastAsia="Arial" w:hAnsi="Arial"/>
          <w:sz w:val="18"/>
          <w:szCs w:val="18"/>
          <w:color w:val="auto"/>
        </w:rPr>
        <w:t>transacton between market partcipants. As such, fair value is a market-based measurement that should be determined based on assumptons that market partcipants would use in pricing an asset or liability. As a basis for considering such assumptons, the accountng guidance establishes a three-ter fair value hierarchy, which prioritzes the inputs used in measuring fair value as follows: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Observable inputs such as quoted prices in actve markets.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actve markets that are observable either directly or indirectly.</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Unobservable inputs in which there is litle or no market data, which require the reportng entty to develop its own assumptons.</w:t>
      </w:r>
    </w:p>
    <w:p>
      <w:pPr>
        <w:spacing w:after="0" w:line="198" w:lineRule="exact"/>
        <w:rPr>
          <w:sz w:val="20"/>
          <w:szCs w:val="20"/>
          <w:color w:val="auto"/>
        </w:rPr>
      </w:pPr>
    </w:p>
    <w:p>
      <w:pPr>
        <w:ind w:right="220" w:firstLine="509"/>
        <w:spacing w:after="0" w:line="337" w:lineRule="auto"/>
        <w:rPr>
          <w:sz w:val="20"/>
          <w:szCs w:val="20"/>
          <w:color w:val="auto"/>
        </w:rPr>
      </w:pPr>
      <w:r>
        <w:rPr>
          <w:rFonts w:ascii="Arial" w:cs="Arial" w:eastAsia="Arial" w:hAnsi="Arial"/>
          <w:sz w:val="16"/>
          <w:szCs w:val="16"/>
          <w:color w:val="auto"/>
        </w:rPr>
        <w:t>The carrying amounts of the Company’s fnancial instruments, including cash and cash equivalents, are classifed within the Level 1 designaton discussed above, while prepaid and other current assets, accounts payable, and accrued liabilites, approximate fair value due to their short maturites.</w:t>
      </w:r>
    </w:p>
    <w:p>
      <w:pPr>
        <w:spacing w:after="0" w:line="91" w:lineRule="exact"/>
        <w:rPr>
          <w:sz w:val="20"/>
          <w:szCs w:val="20"/>
          <w:color w:val="auto"/>
        </w:rPr>
      </w:pPr>
    </w:p>
    <w:p>
      <w:pPr>
        <w:ind w:right="460" w:firstLine="509"/>
        <w:spacing w:after="0" w:line="273" w:lineRule="auto"/>
        <w:rPr>
          <w:sz w:val="20"/>
          <w:szCs w:val="20"/>
          <w:color w:val="auto"/>
        </w:rPr>
      </w:pPr>
      <w:r>
        <w:rPr>
          <w:rFonts w:ascii="Arial" w:cs="Arial" w:eastAsia="Arial" w:hAnsi="Arial"/>
          <w:sz w:val="18"/>
          <w:szCs w:val="18"/>
          <w:color w:val="auto"/>
        </w:rPr>
        <w:t>The Company has no fnancial assets measured at fair value on a recurring basis. None of the Company’s non-fnancial assets or liabilites are recorded at fair value on a non-recurring basis. No transfers between levels have occurred during the periods presented.</w:t>
      </w:r>
    </w:p>
    <w:p>
      <w:pPr>
        <w:spacing w:after="0" w:line="137" w:lineRule="exact"/>
        <w:rPr>
          <w:sz w:val="20"/>
          <w:szCs w:val="20"/>
          <w:color w:val="auto"/>
        </w:rPr>
      </w:pPr>
    </w:p>
    <w:p>
      <w:pPr>
        <w:jc w:val="both"/>
        <w:ind w:right="80" w:firstLine="509"/>
        <w:spacing w:after="0" w:line="262" w:lineRule="auto"/>
        <w:rPr>
          <w:sz w:val="20"/>
          <w:szCs w:val="20"/>
          <w:color w:val="auto"/>
        </w:rPr>
      </w:pPr>
      <w:r>
        <w:rPr>
          <w:rFonts w:ascii="Arial" w:cs="Arial" w:eastAsia="Arial" w:hAnsi="Arial"/>
          <w:sz w:val="18"/>
          <w:szCs w:val="18"/>
          <w:color w:val="auto"/>
        </w:rPr>
        <w:t>As of September 30, 2023, the estmated fair value of the Company’s long-term debt approximated the carrying amount given its foatng interest rate basis. The fair value of the Company’s long-term debt was estmated for disclosure purposes only and was determined based on quoted market data for valuaton, and thus categorized as Level 2 in the fair value hierarchy.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7" w:lineRule="exact"/>
        <w:rPr>
          <w:sz w:val="20"/>
          <w:szCs w:val="20"/>
          <w:color w:val="auto"/>
        </w:rPr>
      </w:pPr>
    </w:p>
    <w:p>
      <w:pPr>
        <w:jc w:val="both"/>
        <w:ind w:right="80" w:firstLine="509"/>
        <w:spacing w:after="0" w:line="262" w:lineRule="auto"/>
        <w:rPr>
          <w:sz w:val="20"/>
          <w:szCs w:val="20"/>
          <w:color w:val="auto"/>
        </w:rPr>
      </w:pPr>
      <w:r>
        <w:rPr>
          <w:rFonts w:ascii="Arial" w:cs="Arial" w:eastAsia="Arial" w:hAnsi="Arial"/>
          <w:sz w:val="18"/>
          <w:szCs w:val="18"/>
          <w:color w:val="auto"/>
        </w:rPr>
        <w:t>The Company considers all highly liquid investments with original maturites of three months or less when purchased to be cash equivalents. Cash and cash equivalents include cash in readily available checking accounts and money market funds. Restricted cash primarily conists of cash deposited by the Company to secure corporate leased vehicles.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Concentratons of Credit Risk</w:t>
      </w:r>
    </w:p>
    <w:p>
      <w:pPr>
        <w:spacing w:after="0" w:line="200" w:lineRule="exact"/>
        <w:rPr>
          <w:sz w:val="20"/>
          <w:szCs w:val="20"/>
          <w:color w:val="auto"/>
        </w:rPr>
      </w:pPr>
    </w:p>
    <w:p>
      <w:pPr>
        <w:ind w:right="60" w:firstLine="509"/>
        <w:spacing w:after="0" w:line="258" w:lineRule="auto"/>
        <w:rPr>
          <w:sz w:val="20"/>
          <w:szCs w:val="20"/>
          <w:color w:val="auto"/>
        </w:rPr>
      </w:pPr>
      <w:r>
        <w:rPr>
          <w:rFonts w:ascii="Arial" w:cs="Arial" w:eastAsia="Arial" w:hAnsi="Arial"/>
          <w:sz w:val="18"/>
          <w:szCs w:val="18"/>
          <w:color w:val="auto"/>
        </w:rPr>
        <w:t>Financial instruments that potentally subject the Company to signifcant concentratons of credit risk consist primarily of cash and cash equivalents. The Company maintains deposits in federally insured fnancial insttutons in excess of federally insured limits. The Company has not experienced any losses in such accounts and management believes that the Company is not exposed to signifcant credit risk due to the fnancial positon of the depository insttutons in which those deposits are held.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87" w:lineRule="exact"/>
        <w:rPr>
          <w:sz w:val="20"/>
          <w:szCs w:val="20"/>
          <w:color w:val="auto"/>
        </w:rPr>
      </w:pPr>
    </w:p>
    <w:p>
      <w:pPr>
        <w:ind w:right="60" w:firstLine="509"/>
        <w:spacing w:after="0" w:line="274" w:lineRule="auto"/>
        <w:rPr>
          <w:sz w:val="20"/>
          <w:szCs w:val="20"/>
          <w:color w:val="auto"/>
        </w:rPr>
      </w:pPr>
      <w:r>
        <w:rPr>
          <w:rFonts w:ascii="Arial" w:cs="Arial" w:eastAsia="Arial" w:hAnsi="Arial"/>
          <w:sz w:val="17"/>
          <w:szCs w:val="17"/>
          <w:color w:val="auto"/>
        </w:rPr>
        <w:t>Property, plant and equipment are recorded at cost, less accumulated depreciaton. Depreciaton expense is recognized using the straight-line method over the useful life of the asset. Computer equipment and related sofware are depreciated over two to three years. Furniture and fxtures are depreciated over three years. Leasehold improvements are amortzed over the lesser of the lease term or the estmated useful lives of the related assets. Expenditures for repairs and maintenance of assets are charged to expense as incurred. Upon retrement or sale, the cost and related accumulated depreciaton of assets disposed of are removed from the accounts and any resultng gain or loss is included in loss from operatons.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87" w:lineRule="exact"/>
        <w:rPr>
          <w:sz w:val="20"/>
          <w:szCs w:val="20"/>
          <w:color w:val="auto"/>
        </w:rPr>
      </w:pPr>
    </w:p>
    <w:p>
      <w:pPr>
        <w:ind w:right="40" w:firstLine="550"/>
        <w:spacing w:after="0" w:line="256" w:lineRule="auto"/>
        <w:rPr>
          <w:sz w:val="20"/>
          <w:szCs w:val="20"/>
          <w:color w:val="auto"/>
        </w:rPr>
      </w:pPr>
      <w:r>
        <w:rPr>
          <w:rFonts w:ascii="Arial" w:cs="Arial" w:eastAsia="Arial" w:hAnsi="Arial"/>
          <w:sz w:val="18"/>
          <w:szCs w:val="18"/>
          <w:color w:val="auto"/>
        </w:rPr>
        <w:t>The Company capitalizes inventory costs related to products to be sold in the ordinary course of business. The Company makes a determinaton of capitalizing inventory costs for a product based on, among other factors, status of regulatory approval, informaton regarding safety, efcacy and expectatons relatng to commercial sales and recoverability of costs. Inventory currently consists of bulk actve pharmaceutcal ingredients that will be used to manufacture vonoprazan tablets. Inventory related to indicatons prior to regulatory approval has been included in research and development expense in the period of purchase.</w:t>
      </w:r>
    </w:p>
    <w:p>
      <w:pPr>
        <w:spacing w:after="0" w:line="152" w:lineRule="exact"/>
        <w:rPr>
          <w:sz w:val="20"/>
          <w:szCs w:val="20"/>
          <w:color w:val="auto"/>
        </w:rPr>
      </w:pPr>
    </w:p>
    <w:p>
      <w:pPr>
        <w:ind w:firstLine="509"/>
        <w:spacing w:after="0" w:line="274" w:lineRule="auto"/>
        <w:rPr>
          <w:sz w:val="20"/>
          <w:szCs w:val="20"/>
          <w:color w:val="auto"/>
        </w:rPr>
      </w:pPr>
      <w:r>
        <w:rPr>
          <w:rFonts w:ascii="Arial" w:cs="Arial" w:eastAsia="Arial" w:hAnsi="Arial"/>
          <w:sz w:val="18"/>
          <w:szCs w:val="18"/>
          <w:color w:val="auto"/>
        </w:rPr>
        <w:t>The Company values its inventory at the lower of cost or net realizable value. The Company measures inventory using actual cost under a frst-in, frst-out basis. The Company assesses recoverability of inventory each reportng period to determine any write down to net realizable value resultng from excess or obsolete inventories</w:t>
      </w:r>
      <w:r>
        <w:rPr>
          <w:rFonts w:ascii="Arial" w:cs="Arial" w:eastAsia="Arial" w:hAnsi="Arial"/>
          <w:sz w:val="18"/>
          <w:szCs w:val="18"/>
          <w:i w:val="1"/>
          <w:iCs w:val="1"/>
          <w:color w:val="auto"/>
        </w:rPr>
        <w: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00" w:lineRule="exact"/>
        <w:rPr>
          <w:sz w:val="20"/>
          <w:szCs w:val="20"/>
          <w:color w:val="auto"/>
        </w:rPr>
      </w:pPr>
    </w:p>
    <w:p>
      <w:pPr>
        <w:ind w:right="360" w:firstLine="509"/>
        <w:spacing w:after="0" w:line="256" w:lineRule="auto"/>
        <w:rPr>
          <w:sz w:val="20"/>
          <w:szCs w:val="20"/>
          <w:color w:val="auto"/>
        </w:rPr>
      </w:pPr>
      <w:r>
        <w:rPr>
          <w:rFonts w:ascii="Arial" w:cs="Arial" w:eastAsia="Arial" w:hAnsi="Arial"/>
          <w:sz w:val="18"/>
          <w:szCs w:val="18"/>
          <w:color w:val="auto"/>
        </w:rPr>
        <w:t>The Company reviews long-lived assets, including property, plant and equipment, for impairment whenever events or changes in business circumstances indicate that the carrying amount of the assets may not be fully recoverable. An impairment loss would be recognized when estmated undiscounted future cash fows expected to result from the use of the asset and its eventual dispositon are less than the carrying amount. The impairment loss, if recognized, would be based on the excess of the carrying value of the impaired asset over its respectve fair value. No impairment losses have been recorded through September 30, 2023.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7"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At the incepton of a contractual arrangement, the Company determines whether the contract contains a lease by assessing whether there is an identfed asset and whether the contract conveys the right to control the use of the identfed asset in exchange for consideraton over a period of tme.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additonally evaluates leases at their incepton to determine if they are to be accounted for as an operatng lease or a fnance lease. A lease is accounted for as a fnance lease if it meets one of the following fve criteria: the lease has a purchase opton that is reasonably certain of being exercised, the present value of the future cash fows is substantally all of the fair market value of the underlying asset, the lease term is for a signifcant porton of the remaining economic life of the underlying asset, the ttle to the underlying asset transfers at the end of the lease term, or if the underlying asset is of such a specialized nature that it is expected to have no alternatve uses to the lessor at the end of the term. Leases that do not meet the fnance lease criteria are accounted for as an operatng lease. Operatng lease assets represent a right to use an underlying asset for the lease term and operatng lease liabilites represent an obligaton to make lease payments arising from the lease. Operatng lease liabilites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inital direct costs paid or incentves received. As the Company’s leases do not typically provide an implicit rate, the Company utlizes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operatng expenses in the period in which the obligaton for those payments is incurred. Variable lease payments primarily include common area maintenance, utlites, real estate taxes, insurance, and other operatng costs that are passed on from the lessor in proporton to the space leased by the Company. The Company has elected the practcal expedient to not separate between lease and non-lease components.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Interest Financing Liability</w:t>
      </w:r>
    </w:p>
    <w:p>
      <w:pPr>
        <w:spacing w:after="0" w:line="18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Company entered into a revenue interest fnancing agreement, or the Revenue Interest Financing Agreement, with enttes managed or advised by NovaQuest Capital Management, or NQ, Sagard Holdings Manager LP, or Sagard, and Hercules Capital, Inc., or Hercules, together with NQ and Sagard, the Inital Investors, in which the Company received funds in return for royaltes on net sales of products containing vonoprazan. The net proceeds received under the transacton were recognized as short-term and long-term liabilites with interest expense based on an imputed efectve rate derived from the expected future payments to the Inital Investors. The Company recalculates the efectve interest rate each period based on the current carrying value and the revised estmated future payments to the Inital Investors. Changes in future payments to the Inital Investors from previous estmates are included in current and future fnancing expense.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Accruals</w:t>
      </w:r>
    </w:p>
    <w:p>
      <w:pPr>
        <w:spacing w:after="0" w:line="200" w:lineRule="exact"/>
        <w:rPr>
          <w:sz w:val="20"/>
          <w:szCs w:val="20"/>
          <w:color w:val="auto"/>
        </w:rPr>
      </w:pPr>
    </w:p>
    <w:p>
      <w:pPr>
        <w:ind w:right="40" w:firstLine="509"/>
        <w:spacing w:after="0" w:line="258" w:lineRule="auto"/>
        <w:rPr>
          <w:sz w:val="20"/>
          <w:szCs w:val="20"/>
          <w:color w:val="auto"/>
        </w:rPr>
      </w:pPr>
      <w:r>
        <w:rPr>
          <w:rFonts w:ascii="Arial" w:cs="Arial" w:eastAsia="Arial" w:hAnsi="Arial"/>
          <w:sz w:val="18"/>
          <w:szCs w:val="18"/>
          <w:color w:val="auto"/>
        </w:rPr>
        <w:t>All research and development costs are expensed in the period incurred and consist primarily of salaries, payroll taxes, employee benefts, stock-based compensaton charges for those individuals involved in research and development eforts, external research and development costs incurred under agreements with contract research organizatons, or CROs, and consultants to conduct and support the Company’s ongoing clinical trials of vonoprazan, and costs related to manufacturing vonoprazan for clinical trials.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0" w:name="page11"/>
    <w:bookmarkEnd w:id="10"/>
    <w:p>
      <w:pPr>
        <w:ind w:right="80" w:firstLine="509"/>
        <w:spacing w:after="0" w:line="271" w:lineRule="auto"/>
        <w:rPr>
          <w:sz w:val="20"/>
          <w:szCs w:val="20"/>
          <w:color w:val="auto"/>
        </w:rPr>
      </w:pPr>
      <w:r>
        <w:rPr>
          <w:rFonts w:ascii="Arial" w:cs="Arial" w:eastAsia="Arial" w:hAnsi="Arial"/>
          <w:sz w:val="17"/>
          <w:szCs w:val="17"/>
          <w:color w:val="auto"/>
        </w:rPr>
        <w:t>The Company has entered into various research and development contracts with clinical research organizatons, clinical manufacturing organizatons and other companies. Payments for these actvites are based on the terms of the individual agreements, which may difer from the patern of costs incurred, and payments made in advance of or afer performance are refected in the accompanying balance sheets as prepaid expenses or accrued liabilites, respectvely. The Company records accruals for estmated costs incurred for ongoing research and development actvites. When evaluatng the adequacy of the accrued liabilites, the Company analyzes progress of the services, including the phase or completon of events, invoices received and contracted costs. Signifcant judgments and estmates may be made in determining the prepaid or accrued balances at the end of any reportng period. Actual results could difer from the Company’s estmates.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87"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The Company evaluates whether acquired intangible assets are a business under applicable accountng standards. Additonally, the Company evaluates whether the acquired assets have a future alternatve use. Intangible assets that do not have future alternatve use are considered acquired in-process research and development. When the acquired in-process research and development assets are not part of a business combinaton, the value of the consideraton paid is expensed on the acquisiton date. Future costs to develop these assets are recorded to research and development expense as they are incurred.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Administratve Expenses</w:t>
      </w:r>
    </w:p>
    <w:p>
      <w:pPr>
        <w:spacing w:after="0" w:line="200" w:lineRule="exact"/>
        <w:rPr>
          <w:sz w:val="20"/>
          <w:szCs w:val="20"/>
          <w:color w:val="auto"/>
        </w:rPr>
      </w:pPr>
    </w:p>
    <w:p>
      <w:pPr>
        <w:ind w:right="80" w:firstLine="509"/>
        <w:spacing w:after="0" w:line="262" w:lineRule="auto"/>
        <w:rPr>
          <w:sz w:val="20"/>
          <w:szCs w:val="20"/>
          <w:color w:val="auto"/>
        </w:rPr>
      </w:pPr>
      <w:r>
        <w:rPr>
          <w:rFonts w:ascii="Arial" w:cs="Arial" w:eastAsia="Arial" w:hAnsi="Arial"/>
          <w:sz w:val="18"/>
          <w:szCs w:val="18"/>
          <w:color w:val="auto"/>
        </w:rPr>
        <w:t>General and administratve expenses consist of salaries, stock-based compensaton, facilites and third-party expenses. General and administratve expenses are associated with the actvites of the commercial, executve, fnance, accountng, informaton technology, legal, medical afairs and human resource functons.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Compensaton</w:t>
      </w:r>
    </w:p>
    <w:p>
      <w:pPr>
        <w:spacing w:after="0" w:line="187" w:lineRule="exact"/>
        <w:rPr>
          <w:sz w:val="20"/>
          <w:szCs w:val="20"/>
          <w:color w:val="auto"/>
        </w:rPr>
      </w:pPr>
    </w:p>
    <w:p>
      <w:pPr>
        <w:ind w:right="20" w:firstLine="509"/>
        <w:spacing w:after="0" w:line="273" w:lineRule="auto"/>
        <w:rPr>
          <w:sz w:val="20"/>
          <w:szCs w:val="20"/>
          <w:color w:val="auto"/>
        </w:rPr>
      </w:pPr>
      <w:r>
        <w:rPr>
          <w:rFonts w:ascii="Arial" w:cs="Arial" w:eastAsia="Arial" w:hAnsi="Arial"/>
          <w:sz w:val="18"/>
          <w:szCs w:val="18"/>
          <w:color w:val="auto"/>
        </w:rPr>
        <w:t>Stock-based compensaton expense represents the cost of the grant date fair value of equity awards recognized over the requisite service period of the awards (generally the vestng period) on a straight-line basis with forfeitures recognized as they occur.</w:t>
      </w:r>
    </w:p>
    <w:p>
      <w:pPr>
        <w:spacing w:after="0" w:line="150"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The Company also maintains an employee stock purchase program, or ESPP, under which it may issue shares. The Company estmates the fair value of shares that will be issued under the ESPP, and of stock optons using the Black-Scholes valuaton model, which requires the use of estmates. The Company recognizes stock-based compensaton cost for shares that it will issue under the ESPP on a straight-line basis over the requisite service period of the award.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7"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recogniton of deferred tax assets and liabilites for the expected future tax consequences of events that have been included in the fnancial statements. Under this method, deferred tax assets and liabilites are determined on the basis of the diferences between the fnancial statements and tax basis of assets and liabilites using enacted tax rates in efect for the year in which the diferences are expected to reverse. The efect of a change in tax rates on deferred tax assets and liabilites is recognized in the statement of operatons in the period that includes the enactment date.</w:t>
      </w:r>
    </w:p>
    <w:p>
      <w:pPr>
        <w:spacing w:after="0" w:line="165" w:lineRule="exact"/>
        <w:rPr>
          <w:sz w:val="20"/>
          <w:szCs w:val="20"/>
          <w:color w:val="auto"/>
        </w:rPr>
      </w:pPr>
    </w:p>
    <w:p>
      <w:pPr>
        <w:ind w:right="60" w:firstLine="509"/>
        <w:spacing w:after="0" w:line="274" w:lineRule="auto"/>
        <w:rPr>
          <w:sz w:val="20"/>
          <w:szCs w:val="20"/>
          <w:color w:val="auto"/>
        </w:rPr>
      </w:pPr>
      <w:r>
        <w:rPr>
          <w:rFonts w:ascii="Arial" w:cs="Arial" w:eastAsia="Arial" w:hAnsi="Arial"/>
          <w:sz w:val="17"/>
          <w:szCs w:val="17"/>
          <w:color w:val="auto"/>
        </w:rPr>
        <w:t>The Company recognizes net deferred tax assets to the extent that the Company believes these assets are more likely than not to be realized. In making such a determinaton, management considers all available positve and negatve evidence, including future reversals of existng taxable temporary diferences, projected future taxable income, tax-planning strategies, and results of recent operatons. If management determines that the Company would be able to realize its deferred tax assets in the future in excess of their net recorded amount, management would make an adjustment to the deferred tax asset valuaton allowance, which would reduce the provision for income taxes.</w:t>
      </w:r>
    </w:p>
    <w:p>
      <w:pPr>
        <w:spacing w:after="0" w:line="140"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The Company records uncertain tax positons on the basis of a two-step process whereby (i) management determines whether it is more likely than not that the tax positons will be sustained on the basis of the technical merits of the positon and (ii) for those tax positons that meet the more-likely-than-not recogniton threshold, management recognizes the largest amount of tax beneft that is more than 50 percent likely to be realized upon ultmate setlement with the related tax authority. The Company recognizes interest and penaltes related to unrecognized tax benefts within income tax expense. Any accrued interest and penaltes are included within the related tax liability.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 w:name="page12"/>
    <w:bookmarkEnd w:id="11"/>
    <w:p>
      <w:pPr>
        <w:ind w:right="20" w:firstLine="509"/>
        <w:spacing w:after="0" w:line="262" w:lineRule="auto"/>
        <w:rPr>
          <w:sz w:val="20"/>
          <w:szCs w:val="20"/>
          <w:color w:val="auto"/>
        </w:rPr>
      </w:pPr>
      <w:r>
        <w:rPr>
          <w:rFonts w:ascii="Arial" w:cs="Arial" w:eastAsia="Arial" w:hAnsi="Arial"/>
          <w:sz w:val="18"/>
          <w:szCs w:val="18"/>
          <w:color w:val="auto"/>
        </w:rPr>
        <w:t>Beginning in 2022, the Tax Cuts and Jobs Act, or TCJA, eliminates the opton to deduct research and development expenditures currently and requires taxpayers to amortze domestc and foreign research and development expenditures over 5 years and 15 years, respectvely. The requirement did not impact cash from operatons in the current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7" w:lineRule="exact"/>
        <w:rPr>
          <w:sz w:val="20"/>
          <w:szCs w:val="20"/>
          <w:color w:val="auto"/>
        </w:rPr>
      </w:pPr>
    </w:p>
    <w:p>
      <w:pPr>
        <w:ind w:right="540" w:firstLine="509"/>
        <w:spacing w:after="0" w:line="273" w:lineRule="auto"/>
        <w:rPr>
          <w:sz w:val="20"/>
          <w:szCs w:val="20"/>
          <w:color w:val="auto"/>
        </w:rPr>
      </w:pPr>
      <w:r>
        <w:rPr>
          <w:rFonts w:ascii="Arial" w:cs="Arial" w:eastAsia="Arial" w:hAnsi="Arial"/>
          <w:sz w:val="18"/>
          <w:szCs w:val="18"/>
          <w:color w:val="auto"/>
        </w:rPr>
        <w:t>Comprehensive loss is defned as a change in equity during a period from transactons and other events and circumstances from non-owner sources. The Company’s comprehensive loss was the same as its reported net loss for all periods presented.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Reportng</w:t>
      </w:r>
    </w:p>
    <w:p>
      <w:pPr>
        <w:spacing w:after="0" w:line="200" w:lineRule="exact"/>
        <w:rPr>
          <w:sz w:val="20"/>
          <w:szCs w:val="20"/>
          <w:color w:val="auto"/>
        </w:rPr>
      </w:pPr>
    </w:p>
    <w:p>
      <w:pPr>
        <w:jc w:val="both"/>
        <w:ind w:right="200" w:firstLine="509"/>
        <w:spacing w:after="0" w:line="262" w:lineRule="auto"/>
        <w:rPr>
          <w:sz w:val="20"/>
          <w:szCs w:val="20"/>
          <w:color w:val="auto"/>
        </w:rPr>
      </w:pPr>
      <w:r>
        <w:rPr>
          <w:rFonts w:ascii="Arial" w:cs="Arial" w:eastAsia="Arial" w:hAnsi="Arial"/>
          <w:sz w:val="18"/>
          <w:szCs w:val="18"/>
          <w:color w:val="auto"/>
        </w:rPr>
        <w:t>Operatng segments are identfed as components of an enterprise about which separate discrete fnancial informaton is available for evaluaton by the chief operatng decision maker in making decisions on how to allocate resources and assess performance. The Company views its operatons and manages its business as one operatng segment.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8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Basic net loss per share is computed by dividing the net loss by the weighted-average number of common shares outstanding for the period, without consideraton for potentally dilutve securites. For the three and nine months ended September 30, 2023, the Company has excluded weighted-average unvested shares of 0 and 46,131, respectvely, from the weighted-average number of common shares outstanding, compared to 577,931 and 798,643, respectvely for the same periods in 2022. Diluted net loss per share is computed by dividing the net loss by the weighted-average number of common shares and dilutve common stock equivalents outstanding for the period determined using the treasury-stock and if-converted methods. Dilutve common stock equivalents are comprised of unvested common stock, optons and warrants. For the periods presented, there is no diference in the number of shares used to calculate basic and diluted shares outstanding as inclusion of the potentally dilutve securites (warrants, stock optons, and common shares subject to repurchase) would be antdilutve.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Accountng Standards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recently adopted accountng standards which would have a material impact on the Company's fnancial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Accountng Pronouncements</w:t>
      </w:r>
    </w:p>
    <w:p>
      <w:pPr>
        <w:spacing w:after="0" w:line="200" w:lineRule="exact"/>
        <w:rPr>
          <w:sz w:val="20"/>
          <w:szCs w:val="20"/>
          <w:color w:val="auto"/>
        </w:rPr>
      </w:pPr>
    </w:p>
    <w:p>
      <w:pPr>
        <w:ind w:right="220" w:firstLine="509"/>
        <w:spacing w:after="0" w:line="258" w:lineRule="auto"/>
        <w:rPr>
          <w:sz w:val="20"/>
          <w:szCs w:val="20"/>
          <w:color w:val="auto"/>
        </w:rPr>
      </w:pPr>
      <w:r>
        <w:rPr>
          <w:rFonts w:ascii="Arial" w:cs="Arial" w:eastAsia="Arial" w:hAnsi="Arial"/>
          <w:sz w:val="18"/>
          <w:szCs w:val="18"/>
          <w:color w:val="auto"/>
        </w:rPr>
        <w:t>The Company assesses the adopton impacts of recently issued accountng standards by the Financial Accountng Standards Board or other standard setng bodies on the Company's fnancial statements as well as material updates to previous assessments, if any, from the Company’s Annual Report on Form 10-K for the year ended December 31, 2022. There were no new material accountng standards issued in the third quarter of 2023 that impacted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Balance Sheet Details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net, consist of the following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43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ind w:right="45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jc w:val="right"/>
              <w:ind w:right="790"/>
              <w:spacing w:after="0"/>
              <w:rPr>
                <w:sz w:val="20"/>
                <w:szCs w:val="20"/>
                <w:color w:val="auto"/>
              </w:rPr>
            </w:pPr>
            <w:r>
              <w:rPr>
                <w:rFonts w:ascii="Arial" w:cs="Arial" w:eastAsia="Arial" w:hAnsi="Arial"/>
                <w:sz w:val="18"/>
                <w:szCs w:val="18"/>
                <w:b w:val="1"/>
                <w:bCs w:val="1"/>
                <w:color w:val="auto"/>
              </w:rPr>
              <w:t>2022</w:t>
            </w:r>
          </w:p>
        </w:tc>
        <w:tc>
          <w:tcPr>
            <w:tcW w:w="1120" w:type="dxa"/>
            <w:vAlign w:val="bottom"/>
          </w:tcPr>
          <w:p>
            <w:pPr>
              <w:spacing w:after="0"/>
              <w:rPr>
                <w:sz w:val="21"/>
                <w:szCs w:val="21"/>
                <w:color w:val="auto"/>
              </w:rPr>
            </w:pPr>
          </w:p>
        </w:tc>
      </w:tr>
      <w:tr>
        <w:trPr>
          <w:trHeight w:val="33"/>
        </w:trPr>
        <w:tc>
          <w:tcPr>
            <w:tcW w:w="11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40" w:type="dxa"/>
            <w:vAlign w:val="bottom"/>
          </w:tcPr>
          <w:p>
            <w:pPr>
              <w:spacing w:after="0"/>
              <w:rPr>
                <w:sz w:val="20"/>
                <w:szCs w:val="20"/>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sofware</w:t>
            </w: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1,110</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1,078</w:t>
            </w:r>
          </w:p>
        </w:tc>
        <w:tc>
          <w:tcPr>
            <w:tcW w:w="1120" w:type="dxa"/>
            <w:vAlign w:val="bottom"/>
          </w:tcPr>
          <w:p>
            <w:pPr>
              <w:spacing w:after="0"/>
              <w:rPr>
                <w:sz w:val="20"/>
                <w:szCs w:val="20"/>
                <w:color w:val="auto"/>
              </w:rPr>
            </w:pPr>
          </w:p>
        </w:tc>
      </w:tr>
      <w:tr>
        <w:trPr>
          <w:trHeight w:val="235"/>
        </w:trPr>
        <w:tc>
          <w:tcPr>
            <w:tcW w:w="114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Furniture and fxtures</w:t>
            </w: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1,089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1,086</w:t>
            </w:r>
          </w:p>
        </w:tc>
        <w:tc>
          <w:tcPr>
            <w:tcW w:w="1120" w:type="dxa"/>
            <w:vAlign w:val="bottom"/>
          </w:tcPr>
          <w:p>
            <w:pPr>
              <w:spacing w:after="0"/>
              <w:rPr>
                <w:sz w:val="20"/>
                <w:szCs w:val="20"/>
                <w:color w:val="auto"/>
              </w:rPr>
            </w:pPr>
          </w:p>
        </w:tc>
      </w:tr>
      <w:tr>
        <w:trPr>
          <w:trHeight w:val="251"/>
        </w:trPr>
        <w:tc>
          <w:tcPr>
            <w:tcW w:w="1140" w:type="dxa"/>
            <w:vAlign w:val="bottom"/>
          </w:tcPr>
          <w:p>
            <w:pPr>
              <w:spacing w:after="0"/>
              <w:rPr>
                <w:sz w:val="21"/>
                <w:szCs w:val="21"/>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115</w:t>
            </w: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Constructon in process</w:t>
            </w:r>
          </w:p>
        </w:tc>
        <w:tc>
          <w:tcPr>
            <w:tcW w:w="1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1,499</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plant and equipment, gross</w:t>
            </w: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3,837</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2,678</w:t>
            </w: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Less: accumulated depreciaton</w:t>
            </w:r>
          </w:p>
        </w:tc>
        <w:tc>
          <w:tcPr>
            <w:tcW w:w="1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(1,471 )</w:t>
            </w:r>
          </w:p>
        </w:tc>
        <w:tc>
          <w:tcPr>
            <w:tcW w:w="1120" w:type="dxa"/>
            <w:vAlign w:val="bottom"/>
          </w:tcPr>
          <w:p>
            <w:pPr>
              <w:spacing w:after="0"/>
              <w:rPr>
                <w:sz w:val="20"/>
                <w:szCs w:val="20"/>
                <w:color w:val="auto"/>
              </w:rPr>
            </w:pPr>
          </w:p>
        </w:tc>
      </w:tr>
      <w:tr>
        <w:trPr>
          <w:trHeight w:val="277"/>
        </w:trPr>
        <w:tc>
          <w:tcPr>
            <w:tcW w:w="1140" w:type="dxa"/>
            <w:vAlign w:val="bottom"/>
          </w:tcPr>
          <w:p>
            <w:pPr>
              <w:spacing w:after="0"/>
              <w:rPr>
                <w:sz w:val="24"/>
                <w:szCs w:val="24"/>
                <w:color w:val="auto"/>
              </w:rPr>
            </w:pPr>
          </w:p>
        </w:tc>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plant and equipment, net</w:t>
            </w:r>
          </w:p>
        </w:tc>
        <w:tc>
          <w:tcPr>
            <w:tcW w:w="10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1,976</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1,207</w:t>
            </w:r>
          </w:p>
        </w:tc>
        <w:tc>
          <w:tcPr>
            <w:tcW w:w="1120" w:type="dxa"/>
            <w:vAlign w:val="bottom"/>
          </w:tcPr>
          <w:p>
            <w:pPr>
              <w:spacing w:after="0"/>
              <w:rPr>
                <w:sz w:val="24"/>
                <w:szCs w:val="24"/>
                <w:color w:val="auto"/>
              </w:rPr>
            </w:pPr>
          </w:p>
        </w:tc>
      </w:tr>
      <w:tr>
        <w:trPr>
          <w:trHeight w:val="635"/>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300" w:type="dxa"/>
            <w:vAlign w:val="bottom"/>
            <w:gridSpan w:val="2"/>
          </w:tcPr>
          <w:p>
            <w:pPr>
              <w:jc w:val="right"/>
              <w:ind w:right="270"/>
              <w:spacing w:after="0"/>
              <w:rPr>
                <w:sz w:val="20"/>
                <w:szCs w:val="20"/>
                <w:color w:val="auto"/>
              </w:rPr>
            </w:pPr>
            <w:r>
              <w:rPr>
                <w:rFonts w:ascii="Arial" w:cs="Arial" w:eastAsia="Arial" w:hAnsi="Arial"/>
                <w:sz w:val="18"/>
                <w:szCs w:val="18"/>
                <w:color w:val="auto"/>
              </w:rPr>
              <w:t>F-10</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-522605</wp:posOffset>
            </wp:positionV>
            <wp:extent cx="1028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-504825</wp:posOffset>
            </wp:positionV>
            <wp:extent cx="1028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2" w:name="page13"/>
    <w:bookmarkEnd w:id="12"/>
    <w:p>
      <w:pPr>
        <w:ind w:firstLine="509"/>
        <w:spacing w:after="0" w:line="309" w:lineRule="auto"/>
        <w:rPr>
          <w:sz w:val="20"/>
          <w:szCs w:val="20"/>
          <w:color w:val="auto"/>
        </w:rPr>
      </w:pPr>
      <w:r>
        <w:rPr>
          <w:rFonts w:ascii="Arial" w:cs="Arial" w:eastAsia="Arial" w:hAnsi="Arial"/>
          <w:sz w:val="16"/>
          <w:szCs w:val="16"/>
          <w:color w:val="auto"/>
        </w:rPr>
        <w:t>Depreciaton expense for each of the three months ended September 30, 2023 and 2022 was approximately $0.1 million and $0.2 million, respectvely. Depreciaton expense for each of the nine months ended September 30, 2023 and 2022 was approximately $0.4 million and $0.5 million, respectvely. No property, plant or equipment was disposed of during the nine months ended September 30, 2023 or the year ended December 31,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5920" w:type="dxa"/>
            <w:vAlign w:val="bottom"/>
            <w:gridSpan w:val="4"/>
          </w:tcPr>
          <w:p>
            <w:pPr>
              <w:ind w:left="520"/>
              <w:spacing w:after="0"/>
              <w:rPr>
                <w:sz w:val="20"/>
                <w:szCs w:val="20"/>
                <w:color w:val="auto"/>
              </w:rPr>
            </w:pPr>
            <w:r>
              <w:rPr>
                <w:rFonts w:ascii="Arial" w:cs="Arial" w:eastAsia="Arial" w:hAnsi="Arial"/>
                <w:sz w:val="18"/>
                <w:szCs w:val="18"/>
                <w:color w:val="auto"/>
              </w:rPr>
              <w:t>Accrued expenses consist of the following (in thousands):</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3"/>
          </w:tcPr>
          <w:p>
            <w:pPr>
              <w:ind w:left="2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ind w:left="56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14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140" w:type="dxa"/>
            <w:vAlign w:val="bottom"/>
            <w:vMerge w:val="continue"/>
          </w:tcPr>
          <w:p>
            <w:pPr>
              <w:spacing w:after="0"/>
              <w:rPr>
                <w:sz w:val="20"/>
                <w:szCs w:val="20"/>
                <w:color w:val="auto"/>
              </w:rPr>
            </w:pPr>
          </w:p>
        </w:tc>
        <w:tc>
          <w:tcPr>
            <w:tcW w:w="47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research and development expenses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3,292</w:t>
            </w: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35"/>
        </w:trPr>
        <w:tc>
          <w:tcPr>
            <w:tcW w:w="1140" w:type="dxa"/>
            <w:vAlign w:val="bottom"/>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Accrued compensaton expenses</w:t>
            </w:r>
          </w:p>
        </w:tc>
        <w:tc>
          <w:tcPr>
            <w:tcW w:w="240" w:type="dxa"/>
            <w:vAlign w:val="bottom"/>
          </w:tcPr>
          <w:p>
            <w:pPr>
              <w:spacing w:after="0"/>
              <w:rPr>
                <w:sz w:val="20"/>
                <w:szCs w:val="20"/>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7,300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8,447</w:t>
            </w:r>
          </w:p>
        </w:tc>
        <w:tc>
          <w:tcPr>
            <w:tcW w:w="0" w:type="dxa"/>
            <w:vAlign w:val="bottom"/>
          </w:tcPr>
          <w:p>
            <w:pPr>
              <w:spacing w:after="0"/>
              <w:rPr>
                <w:sz w:val="1"/>
                <w:szCs w:val="1"/>
                <w:color w:val="auto"/>
              </w:rPr>
            </w:pPr>
          </w:p>
        </w:tc>
      </w:tr>
      <w:tr>
        <w:trPr>
          <w:trHeight w:val="251"/>
        </w:trPr>
        <w:tc>
          <w:tcPr>
            <w:tcW w:w="1140" w:type="dxa"/>
            <w:vAlign w:val="bottom"/>
          </w:tcPr>
          <w:p>
            <w:pPr>
              <w:spacing w:after="0"/>
              <w:rPr>
                <w:sz w:val="21"/>
                <w:szCs w:val="21"/>
                <w:color w:val="auto"/>
              </w:rPr>
            </w:pPr>
          </w:p>
        </w:tc>
        <w:tc>
          <w:tcPr>
            <w:tcW w:w="47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professional &amp; consultng expenses</w:t>
            </w:r>
          </w:p>
        </w:tc>
        <w:tc>
          <w:tcPr>
            <w:tcW w:w="2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2,843</w:t>
            </w: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Accrued other</w:t>
            </w: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47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13,455</w:t>
            </w:r>
          </w:p>
        </w:tc>
        <w:tc>
          <w:tcPr>
            <w:tcW w:w="6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14,678</w:t>
            </w:r>
          </w:p>
        </w:tc>
        <w:tc>
          <w:tcPr>
            <w:tcW w:w="0" w:type="dxa"/>
            <w:vAlign w:val="bottom"/>
          </w:tcPr>
          <w:p>
            <w:pPr>
              <w:spacing w:after="0"/>
              <w:rPr>
                <w:sz w:val="1"/>
                <w:szCs w:val="1"/>
                <w:color w:val="auto"/>
              </w:rPr>
            </w:pPr>
          </w:p>
        </w:tc>
      </w:tr>
      <w:tr>
        <w:trPr>
          <w:trHeight w:val="548"/>
        </w:trPr>
        <w:tc>
          <w:tcPr>
            <w:tcW w:w="59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Inventory</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5920" w:type="dxa"/>
            <w:vAlign w:val="bottom"/>
            <w:gridSpan w:val="4"/>
          </w:tcPr>
          <w:p>
            <w:pPr>
              <w:ind w:left="520"/>
              <w:spacing w:after="0"/>
              <w:rPr>
                <w:sz w:val="20"/>
                <w:szCs w:val="20"/>
                <w:color w:val="auto"/>
              </w:rPr>
            </w:pPr>
            <w:r>
              <w:rPr>
                <w:rFonts w:ascii="Arial" w:cs="Arial" w:eastAsia="Arial" w:hAnsi="Arial"/>
                <w:sz w:val="18"/>
                <w:szCs w:val="18"/>
                <w:color w:val="auto"/>
              </w:rPr>
              <w:t>Inventory consist of the following (in thousands):</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9"/>
              </w:rPr>
              <w:t>September 30,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ind w:right="67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ind w:left="44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ind w:left="136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Total inventory, current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Raw materials, noncurrent</w:t>
            </w: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1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ind w:left="136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Total inventory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3,561</w:t>
            </w:r>
          </w:p>
        </w:tc>
        <w:tc>
          <w:tcPr>
            <w:tcW w:w="180" w:type="dxa"/>
            <w:vAlign w:val="bottom"/>
          </w:tcPr>
          <w:p>
            <w:pPr>
              <w:spacing w:after="0"/>
              <w:rPr>
                <w:sz w:val="20"/>
                <w:szCs w:val="20"/>
                <w:color w:val="auto"/>
              </w:rPr>
            </w:pPr>
          </w:p>
        </w:tc>
        <w:tc>
          <w:tcPr>
            <w:tcW w:w="3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-1731010</wp:posOffset>
            </wp:positionV>
            <wp:extent cx="946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-1713865</wp:posOffset>
            </wp:positionV>
            <wp:extent cx="946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-505460</wp:posOffset>
            </wp:positionV>
            <wp:extent cx="51435"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-505460</wp:posOffset>
            </wp:positionV>
            <wp:extent cx="51435"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51435"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51435"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37" w:lineRule="exact"/>
        <w:rPr>
          <w:sz w:val="20"/>
          <w:szCs w:val="20"/>
          <w:color w:val="auto"/>
        </w:rPr>
      </w:pPr>
    </w:p>
    <w:p>
      <w:pPr>
        <w:ind w:right="60" w:firstLine="509"/>
        <w:spacing w:after="0" w:line="273" w:lineRule="auto"/>
        <w:rPr>
          <w:sz w:val="20"/>
          <w:szCs w:val="20"/>
          <w:color w:val="auto"/>
        </w:rPr>
      </w:pPr>
      <w:r>
        <w:rPr>
          <w:rFonts w:ascii="Arial" w:cs="Arial" w:eastAsia="Arial" w:hAnsi="Arial"/>
          <w:sz w:val="18"/>
          <w:szCs w:val="18"/>
          <w:color w:val="auto"/>
        </w:rPr>
        <w:t>Raw materials consist of materials, including actve pharmaceutcal ingredients, to be consumed in the producton of inventory related to the FDA approved products. $3.5 million of raw materials are included within other long-term assets as of September 30, 2023.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Transactons</w:t>
      </w:r>
    </w:p>
    <w:p>
      <w:pPr>
        <w:spacing w:after="0" w:line="18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Frazier is a principal stockholder of the Company with representaton on the Board of Directors. Frazier is compensated for their partcipaton on the Board of Directors and as of September 30, 2023 and December 31, 2022, the Company had $14,000 and $15,000, respectvely, outstanding accounts payable and accrued expenses related to these services. For the three months ended September 30, 2023 and 2022, the Company incurred $14,000 and $0, respectvely, of expenses related to partcipaton on the Board of Directors. For the nine months ended September 30, 2023 and 2022, the Company incurred $30,000 and $0, respectvely of expenses related to partcipaton on the Board of Directors. Frazier is also a principal stockholder in PCI Pharma Services, or PCI. In the third quarter of 2019, the Company engaged PCI for clinical manufacturing services. As of September 30, 2023 and December 31, 2022, the Company had $1.3 million and $1.1 million, respectvely, outstanding accounts payable and accrued expenses related to these manufacturing services. For the three months ended September 30, 2023 and 2022, the Company incurred $0.1 million and $0.1 million, respectvely, of expenses related to services performed by PCI. For the nine months ended September 30, 2023 and 2022, the Company incurred $0.4 million and $0.5 million, respectvely, of expenses related to services performed by PCI.</w:t>
      </w:r>
    </w:p>
    <w:p>
      <w:pPr>
        <w:spacing w:after="0" w:line="158"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Takeda became a common stockholder of the Company in connecton with the May 2019 license agreement (see Note 4). In conjuncton with this license, Takeda provides proprietary supplies for the Company’s ongoing clinical development of vonoprazan in additon to the exclusive license for the commercializaton of vonoprazan in the United States, Canada and Europe. On May 5, 2020, the Company entered into a Commercial Supply Agreement, or the Commercial Supply Agreement, with Takeda, pursuant to which Takeda will supply commercial quanttes of vonoprazan bulk drug product or drug substance. Pursuant to the Commercial Supply Agreement, Takeda has agreed to supply the Company with, and the Company has agreed to purchase from Takeda, certain quanttes of vonoprazan bulk drug product according to approved specifcatons at a fxed price per batch of bulk drug product in order to commercialize vonoprazan in accordance with the Takeda License. Unless terminated earlier, the term of the Commercial Supply Agreement extends for a period of two years from the date the Company places an order for bulk drug product or drug substance for the frst commercial launch of vonoprazan in any jurisdicton in the licensed territory, provided that this two-year</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sectPr>
      </w:pPr>
    </w:p>
    <w:bookmarkStart w:id="13" w:name="page14"/>
    <w:bookmarkEnd w:id="13"/>
    <w:p>
      <w:pPr>
        <w:ind w:right="20"/>
        <w:spacing w:after="0" w:line="270" w:lineRule="auto"/>
        <w:rPr>
          <w:sz w:val="20"/>
          <w:szCs w:val="20"/>
          <w:color w:val="auto"/>
        </w:rPr>
      </w:pPr>
      <w:r>
        <w:rPr>
          <w:rFonts w:ascii="Arial" w:cs="Arial" w:eastAsia="Arial" w:hAnsi="Arial"/>
          <w:sz w:val="17"/>
          <w:szCs w:val="17"/>
          <w:color w:val="auto"/>
        </w:rPr>
        <w:t>period will expire no later than December 31, 2023. The Commercial Supply Agreement will terminate immediately upon the terminaton of the Takeda License in accordance with its terms. In connecton with the Takeda License, the Company entered into a temporary services agreement, or the Temporary Services Agreement, with Takeda on November 24, 2020. Pursuant to the Temporary Services Agreement, Takeda agreed to provide or procure the provision of services related to the ongoing clinical development of vonoprazan. The Temporary Services Agreement will terminate immediately upon terminaton of the Takeda License in accordance with its terms. As of September 30, 2023 and December 31, 2022, the Company had $1.5 million and $1.4 million, respectvely, in outstanding accounts payable and accrued expenses related to these agreements. For the three months ended September 30, 2023 and 2022, the Company incurred less than $0.1 million and $0, respectvely, of expenses related to these agreements. For the nine months ended September 30, 2023 and 2022, the Company incurred $0.1 million and $1.3 million, respectvely, of expenses related to these agreements. The Company has no remaining minimum purchase obligaton related to these agreements.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87"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On May 7, 2019, the Company entered into a license agreement with Takeda pursuant to which it was granted an exclusive license to commercialize vonoprazan fumarate in the United States, Canada and Europe, or, the Takeda License. The Company also has the right to sublicense its rights under the agreement, subject to certain conditons. The agreement will remain in efect, on a country-by-country and product-by-product basis, untl the later of (i) the expiraton of the last to expire valid patent claim covering vonoprazan fumarate alone or in combinaton with at least one other therapeutcally actve ingredient, (ii) the expiraton of the applicable regulatory exclusivity and (iii) 15 years from the date of frst commercial sale, unless earlier terminated. The Company may terminate the Takeda License upon nine months’ writen notce. The Company and Takeda may terminate the Takeda License in the case of the other party’s insolvency or material uncured breach. Takeda may terminate the Takeda License if the Company challenges, or assists in challenging, licensed patents.</w:t>
      </w:r>
    </w:p>
    <w:p>
      <w:pPr>
        <w:spacing w:after="0" w:line="171"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In consideraton of the Takeda License, the Company (i) paid Takeda $25.0 million in cash, (ii) issued Takeda 1,084,000 shares of its common stock at a fair value of $5.9 million, (iii) issued the Takeda Warrant to purchase 7,588,000 shares of its common stock at an exercise price of $0.00004613 per share at an inital fair value of $47.9 million, and (iv) issued a right to receive an additonal common stock warrant, or, the Takeda Warrant Right, should Takeda’s fully-diluted ownership of the Company represent less than a certain specifed percentage of the fully-diluted capitalizaton, including shares issuable upon conversion of then outstanding convertble promissory notes, calculated immediately before the closing of the Company’s IPO, with a nominal inital fair value due to the low probability of issuance. The Takeda Warrant Right expired without efect since no fair value had been allocated to it upon completon of the IPO, and no additonal warrant was issued. In additon, the Company is obligated to pay Takeda up to an aggregate of $250.0 million in sales milestones upon the achievement of specifed levels of product sales, and a low double-digit royalty rate on aggregate net sales of licensed products, subject to certain adjustments. The Takeda Warrant had an exercise price of $0.00004613 per share, and was to expire on May 7, 2029 and became exercisable upon the consummaton of the IPO. As of September 30, 2023, all Takeda Warrants have been exercised.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87" w:lineRule="exact"/>
        <w:rPr>
          <w:sz w:val="20"/>
          <w:szCs w:val="20"/>
          <w:color w:val="auto"/>
        </w:rPr>
      </w:pPr>
    </w:p>
    <w:p>
      <w:pPr>
        <w:ind w:right="260" w:firstLine="509"/>
        <w:spacing w:after="0" w:line="300" w:lineRule="auto"/>
        <w:rPr>
          <w:sz w:val="20"/>
          <w:szCs w:val="20"/>
          <w:color w:val="auto"/>
        </w:rPr>
      </w:pPr>
      <w:r>
        <w:rPr>
          <w:rFonts w:ascii="Arial" w:cs="Arial" w:eastAsia="Arial" w:hAnsi="Arial"/>
          <w:sz w:val="16"/>
          <w:szCs w:val="16"/>
          <w:color w:val="auto"/>
        </w:rPr>
        <w:t>In December 2020, the Company entered into a supply agreement with Sandoz pursuant to which Sandoz will supply commercial quanttes of amoxicillin capsules and clarithromycin tablets, package these antbiotcs with vonoprazan, and provide in fnished convenience packs. The supply agreement commits the Company to a minimum purchase obligaton of approximately $3.8 million in the frst 24-month period following the launch of the fnal product. The Company has not incurred any expenses under the agreement during the nine months ended September 30, 2023 and 2022.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Contngencies</w:t>
      </w:r>
    </w:p>
    <w:p>
      <w:pPr>
        <w:spacing w:after="0" w:line="187" w:lineRule="exact"/>
        <w:rPr>
          <w:sz w:val="20"/>
          <w:szCs w:val="20"/>
          <w:color w:val="auto"/>
        </w:rPr>
      </w:pPr>
    </w:p>
    <w:p>
      <w:pPr>
        <w:ind w:right="260" w:firstLine="509"/>
        <w:spacing w:after="0" w:line="273" w:lineRule="auto"/>
        <w:rPr>
          <w:sz w:val="20"/>
          <w:szCs w:val="20"/>
          <w:color w:val="auto"/>
        </w:rPr>
      </w:pPr>
      <w:r>
        <w:rPr>
          <w:rFonts w:ascii="Arial" w:cs="Arial" w:eastAsia="Arial" w:hAnsi="Arial"/>
          <w:sz w:val="18"/>
          <w:szCs w:val="18"/>
          <w:color w:val="auto"/>
        </w:rPr>
        <w:t>In the event the Company becomes subject to claims or suits arising in the ordinary course of business, the Company would accrue a liability for such maters when it is probable that future expenditures will be made and such expenditures can be reasonably estmated.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5. Lease Commitments</w:t>
      </w:r>
    </w:p>
    <w:p>
      <w:pPr>
        <w:spacing w:after="0" w:line="200" w:lineRule="exact"/>
        <w:rPr>
          <w:sz w:val="20"/>
          <w:szCs w:val="20"/>
          <w:color w:val="auto"/>
        </w:rPr>
      </w:pPr>
    </w:p>
    <w:p>
      <w:pPr>
        <w:ind w:right="240" w:firstLine="509"/>
        <w:spacing w:after="0" w:line="258" w:lineRule="auto"/>
        <w:rPr>
          <w:sz w:val="20"/>
          <w:szCs w:val="20"/>
          <w:color w:val="auto"/>
        </w:rPr>
      </w:pPr>
      <w:r>
        <w:rPr>
          <w:rFonts w:ascii="Arial" w:cs="Arial" w:eastAsia="Arial" w:hAnsi="Arial"/>
          <w:sz w:val="18"/>
          <w:szCs w:val="18"/>
          <w:color w:val="auto"/>
        </w:rPr>
        <w:t>As of September 30, 2023, the Company had operatng leases for ofce space in both Bufalo Grove, Illinois and Florham Park, New Jersey, with remaining lease terms of 1.6 years and 1.9 years, respectvely. All operatng leases contain an opton to extend the term for one additonal fve year period, which was not considered in the determinaton of the right-of-use asset or lease liability as the Company did not consider it reasonably certain that it would exercise such optons.</w:t>
      </w:r>
    </w:p>
    <w:p>
      <w:pPr>
        <w:spacing w:after="0" w:line="149" w:lineRule="exact"/>
        <w:rPr>
          <w:sz w:val="20"/>
          <w:szCs w:val="20"/>
          <w:color w:val="auto"/>
        </w:rPr>
      </w:pPr>
    </w:p>
    <w:p>
      <w:pPr>
        <w:ind w:right="280" w:firstLine="509"/>
        <w:spacing w:after="0" w:line="273" w:lineRule="auto"/>
        <w:rPr>
          <w:sz w:val="20"/>
          <w:szCs w:val="20"/>
          <w:color w:val="auto"/>
        </w:rPr>
      </w:pPr>
      <w:r>
        <w:rPr>
          <w:rFonts w:ascii="Arial" w:cs="Arial" w:eastAsia="Arial" w:hAnsi="Arial"/>
          <w:sz w:val="18"/>
          <w:szCs w:val="18"/>
          <w:color w:val="auto"/>
        </w:rPr>
        <w:t>The total rent expense for the three months ended September 30, 2023 and 2022 was $0.3 million. The total rent expense for the nine months ended September 30, 2023 and 2022 was $0.8 million and $0.7 million, respectvely.</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supplemental balance sheet informaton related to the operatng leases (in thousands):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31"/>
        </w:trPr>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w w:val="92"/>
              </w:rPr>
              <w:t>September 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December 31,</w:t>
            </w:r>
          </w:p>
        </w:tc>
      </w:tr>
      <w:tr>
        <w:trPr>
          <w:trHeight w:val="243"/>
        </w:trPr>
        <w:tc>
          <w:tcPr>
            <w:tcW w:w="5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33"/>
        </w:trPr>
        <w:tc>
          <w:tcPr>
            <w:tcW w:w="5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Operatng lease right-of-use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1,682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2,287</w:t>
            </w:r>
          </w:p>
        </w:tc>
      </w:tr>
      <w:tr>
        <w:trPr>
          <w:trHeight w:val="276"/>
        </w:trPr>
        <w:tc>
          <w:tcPr>
            <w:tcW w:w="55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right-of-use assets</w:t>
            </w: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15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1,682</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14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2,287</w:t>
            </w:r>
          </w:p>
        </w:tc>
      </w:tr>
      <w:tr>
        <w:trPr>
          <w:trHeight w:val="230"/>
        </w:trPr>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Liabilites:</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5"/>
        </w:trPr>
        <w:tc>
          <w:tcPr>
            <w:tcW w:w="5500" w:type="dxa"/>
            <w:vAlign w:val="bottom"/>
          </w:tcPr>
          <w:p>
            <w:pPr>
              <w:ind w:left="180"/>
              <w:spacing w:after="0"/>
              <w:rPr>
                <w:sz w:val="20"/>
                <w:szCs w:val="20"/>
                <w:color w:val="auto"/>
              </w:rPr>
            </w:pPr>
            <w:r>
              <w:rPr>
                <w:rFonts w:ascii="Arial" w:cs="Arial" w:eastAsia="Arial" w:hAnsi="Arial"/>
                <w:sz w:val="18"/>
                <w:szCs w:val="18"/>
                <w:color w:val="auto"/>
              </w:rPr>
              <w:t>Operatng lease liabilites, current</w:t>
            </w: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708</w:t>
            </w:r>
          </w:p>
        </w:tc>
      </w:tr>
      <w:tr>
        <w:trPr>
          <w:trHeight w:val="245"/>
        </w:trPr>
        <w:tc>
          <w:tcPr>
            <w:tcW w:w="55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Operatng lease liabilites, non-current</w:t>
            </w: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1,098</w:t>
            </w: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Total operatng lease liabilites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1,349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1,806</w:t>
            </w:r>
          </w:p>
        </w:tc>
      </w:tr>
      <w:tr>
        <w:trPr>
          <w:trHeight w:val="20"/>
        </w:trPr>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-830580</wp:posOffset>
            </wp:positionV>
            <wp:extent cx="7747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-187960</wp:posOffset>
            </wp:positionV>
            <wp:extent cx="7747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2023, the future minimum annual lease payments under the operatng leases were as follows (in thousands):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67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2023</w:t>
            </w:r>
          </w:p>
        </w:tc>
        <w:tc>
          <w:tcPr>
            <w:tcW w:w="9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21"/>
                <w:szCs w:val="21"/>
                <w:color w:val="auto"/>
              </w:rPr>
            </w:pPr>
          </w:p>
        </w:tc>
      </w:tr>
      <w:tr>
        <w:trPr>
          <w:trHeight w:val="235"/>
        </w:trPr>
        <w:tc>
          <w:tcPr>
            <w:tcW w:w="6760" w:type="dxa"/>
            <w:vAlign w:val="bottom"/>
          </w:tcPr>
          <w:p>
            <w:pPr>
              <w:ind w:left="180"/>
              <w:spacing w:after="0"/>
              <w:rPr>
                <w:sz w:val="20"/>
                <w:szCs w:val="20"/>
                <w:color w:val="auto"/>
              </w:rPr>
            </w:pPr>
            <w:r>
              <w:rPr>
                <w:rFonts w:ascii="Arial" w:cs="Arial" w:eastAsia="Arial" w:hAnsi="Arial"/>
                <w:sz w:val="18"/>
                <w:szCs w:val="18"/>
                <w:color w:val="auto"/>
              </w:rPr>
              <w:t>2024</w:t>
            </w:r>
          </w:p>
        </w:tc>
        <w:tc>
          <w:tcPr>
            <w:tcW w:w="9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60" w:type="dxa"/>
            <w:vAlign w:val="bottom"/>
          </w:tcPr>
          <w:p>
            <w:pPr>
              <w:spacing w:after="0"/>
              <w:rPr>
                <w:sz w:val="20"/>
                <w:szCs w:val="20"/>
                <w:color w:val="auto"/>
              </w:rPr>
            </w:pPr>
          </w:p>
        </w:tc>
      </w:tr>
      <w:tr>
        <w:trPr>
          <w:trHeight w:val="245"/>
        </w:trPr>
        <w:tc>
          <w:tcPr>
            <w:tcW w:w="6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2025</w:t>
            </w:r>
          </w:p>
        </w:tc>
        <w:tc>
          <w:tcPr>
            <w:tcW w:w="9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513</w:t>
            </w:r>
          </w:p>
        </w:tc>
        <w:tc>
          <w:tcPr>
            <w:tcW w:w="60" w:type="dxa"/>
            <w:vAlign w:val="bottom"/>
          </w:tcPr>
          <w:p>
            <w:pPr>
              <w:spacing w:after="0"/>
              <w:rPr>
                <w:sz w:val="21"/>
                <w:szCs w:val="21"/>
                <w:color w:val="auto"/>
              </w:rPr>
            </w:pPr>
          </w:p>
        </w:tc>
      </w:tr>
      <w:tr>
        <w:trPr>
          <w:trHeight w:val="235"/>
        </w:trPr>
        <w:tc>
          <w:tcPr>
            <w:tcW w:w="676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9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1,451</w:t>
            </w:r>
          </w:p>
        </w:tc>
        <w:tc>
          <w:tcPr>
            <w:tcW w:w="60" w:type="dxa"/>
            <w:vAlign w:val="bottom"/>
          </w:tcPr>
          <w:p>
            <w:pPr>
              <w:spacing w:after="0"/>
              <w:rPr>
                <w:sz w:val="20"/>
                <w:szCs w:val="20"/>
                <w:color w:val="auto"/>
              </w:rPr>
            </w:pPr>
          </w:p>
        </w:tc>
      </w:tr>
      <w:tr>
        <w:trPr>
          <w:trHeight w:val="245"/>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amount representng interest</w:t>
            </w:r>
          </w:p>
        </w:tc>
        <w:tc>
          <w:tcPr>
            <w:tcW w:w="9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(102 )</w:t>
            </w:r>
          </w:p>
        </w:tc>
        <w:tc>
          <w:tcPr>
            <w:tcW w:w="60" w:type="dxa"/>
            <w:vAlign w:val="bottom"/>
          </w:tcPr>
          <w:p>
            <w:pPr>
              <w:spacing w:after="0"/>
              <w:rPr>
                <w:sz w:val="21"/>
                <w:szCs w:val="21"/>
                <w:color w:val="auto"/>
              </w:rPr>
            </w:pPr>
          </w:p>
        </w:tc>
      </w:tr>
      <w:tr>
        <w:trPr>
          <w:trHeight w:val="235"/>
        </w:trPr>
        <w:tc>
          <w:tcPr>
            <w:tcW w:w="6760" w:type="dxa"/>
            <w:vAlign w:val="bottom"/>
          </w:tcPr>
          <w:p>
            <w:pPr>
              <w:spacing w:after="0"/>
              <w:rPr>
                <w:sz w:val="20"/>
                <w:szCs w:val="20"/>
                <w:color w:val="auto"/>
              </w:rPr>
            </w:pPr>
            <w:r>
              <w:rPr>
                <w:rFonts w:ascii="Arial" w:cs="Arial" w:eastAsia="Arial" w:hAnsi="Arial"/>
                <w:sz w:val="18"/>
                <w:szCs w:val="18"/>
                <w:color w:val="auto"/>
              </w:rPr>
              <w:t>Present value of operatng lease liabilites</w:t>
            </w:r>
          </w:p>
        </w:tc>
        <w:tc>
          <w:tcPr>
            <w:tcW w:w="9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1,349</w:t>
            </w:r>
          </w:p>
        </w:tc>
        <w:tc>
          <w:tcPr>
            <w:tcW w:w="60" w:type="dxa"/>
            <w:vAlign w:val="bottom"/>
          </w:tcPr>
          <w:p>
            <w:pPr>
              <w:spacing w:after="0"/>
              <w:rPr>
                <w:sz w:val="20"/>
                <w:szCs w:val="20"/>
                <w:color w:val="auto"/>
              </w:rPr>
            </w:pPr>
          </w:p>
        </w:tc>
      </w:tr>
      <w:tr>
        <w:trPr>
          <w:trHeight w:val="245"/>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operatng lease liabilites, current</w:t>
            </w:r>
          </w:p>
        </w:tc>
        <w:tc>
          <w:tcPr>
            <w:tcW w:w="9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(721 )</w:t>
            </w:r>
          </w:p>
        </w:tc>
        <w:tc>
          <w:tcPr>
            <w:tcW w:w="60" w:type="dxa"/>
            <w:vAlign w:val="bottom"/>
          </w:tcPr>
          <w:p>
            <w:pPr>
              <w:spacing w:after="0"/>
              <w:rPr>
                <w:sz w:val="21"/>
                <w:szCs w:val="21"/>
                <w:color w:val="auto"/>
              </w:rPr>
            </w:pPr>
          </w:p>
        </w:tc>
      </w:tr>
      <w:tr>
        <w:trPr>
          <w:trHeight w:val="236"/>
        </w:trPr>
        <w:tc>
          <w:tcPr>
            <w:tcW w:w="6760" w:type="dxa"/>
            <w:vAlign w:val="bottom"/>
          </w:tcPr>
          <w:p>
            <w:pPr>
              <w:spacing w:after="0"/>
              <w:rPr>
                <w:sz w:val="20"/>
                <w:szCs w:val="20"/>
                <w:color w:val="auto"/>
              </w:rPr>
            </w:pPr>
            <w:r>
              <w:rPr>
                <w:rFonts w:ascii="Arial" w:cs="Arial" w:eastAsia="Arial" w:hAnsi="Arial"/>
                <w:sz w:val="18"/>
                <w:szCs w:val="18"/>
                <w:color w:val="auto"/>
              </w:rPr>
              <w:t>Operatng lease liabilites</w:t>
            </w: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20"/>
                <w:szCs w:val="20"/>
                <w:color w:val="auto"/>
              </w:rPr>
            </w:pPr>
          </w:p>
        </w:tc>
      </w:tr>
      <w:tr>
        <w:trPr>
          <w:trHeight w:val="20"/>
        </w:trPr>
        <w:tc>
          <w:tcPr>
            <w:tcW w:w="6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67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Weighted-average remaining lease term (in years)</w:t>
            </w:r>
          </w:p>
        </w:tc>
        <w:tc>
          <w:tcPr>
            <w:tcW w:w="90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Weighted-average incremental borrowing rate</w:t>
            </w:r>
          </w:p>
        </w:tc>
        <w:tc>
          <w:tcPr>
            <w:tcW w:w="9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-133350</wp:posOffset>
            </wp:positionV>
            <wp:extent cx="5700395"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69" w:lineRule="exact"/>
        <w:rPr>
          <w:sz w:val="20"/>
          <w:szCs w:val="20"/>
          <w:color w:val="auto"/>
        </w:rPr>
      </w:pPr>
    </w:p>
    <w:p>
      <w:pPr>
        <w:ind w:firstLine="509"/>
        <w:spacing w:after="0" w:line="273" w:lineRule="auto"/>
        <w:rPr>
          <w:sz w:val="20"/>
          <w:szCs w:val="20"/>
          <w:color w:val="auto"/>
        </w:rPr>
      </w:pPr>
      <w:r>
        <w:rPr>
          <w:rFonts w:ascii="Arial" w:cs="Arial" w:eastAsia="Arial" w:hAnsi="Arial"/>
          <w:sz w:val="18"/>
          <w:szCs w:val="18"/>
          <w:color w:val="auto"/>
        </w:rPr>
        <w:t>Operatng cash fows for the nine months ended September 30, 2023 and 2022 included cash payments for operatng leases of approximately $0.7 million and $1.0 million, respectvely.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400" w:type="dxa"/>
            <w:vAlign w:val="bottom"/>
            <w:gridSpan w:val="2"/>
          </w:tcPr>
          <w:p>
            <w:pPr>
              <w:spacing w:after="0"/>
              <w:rPr>
                <w:sz w:val="20"/>
                <w:szCs w:val="20"/>
                <w:color w:val="auto"/>
              </w:rPr>
            </w:pPr>
            <w:r>
              <w:rPr>
                <w:rFonts w:ascii="Arial" w:cs="Arial" w:eastAsia="Arial" w:hAnsi="Arial"/>
                <w:sz w:val="20"/>
                <w:szCs w:val="20"/>
                <w:b w:val="1"/>
                <w:bCs w:val="1"/>
                <w:color w:val="auto"/>
              </w:rPr>
              <w:t>6</w:t>
            </w:r>
            <w:r>
              <w:rPr>
                <w:rFonts w:ascii="Arial" w:cs="Arial" w:eastAsia="Arial" w:hAnsi="Arial"/>
                <w:sz w:val="17"/>
                <w:szCs w:val="17"/>
                <w:b w:val="1"/>
                <w:bCs w:val="1"/>
                <w:color w:val="auto"/>
              </w:rPr>
              <w:t>. Debt</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7400" w:type="dxa"/>
            <w:vAlign w:val="bottom"/>
            <w:gridSpan w:val="2"/>
          </w:tcPr>
          <w:p>
            <w:pPr>
              <w:ind w:left="520"/>
              <w:spacing w:after="0"/>
              <w:rPr>
                <w:sz w:val="20"/>
                <w:szCs w:val="20"/>
                <w:color w:val="auto"/>
              </w:rPr>
            </w:pPr>
            <w:r>
              <w:rPr>
                <w:rFonts w:ascii="Arial" w:cs="Arial" w:eastAsia="Arial" w:hAnsi="Arial"/>
                <w:sz w:val="18"/>
                <w:szCs w:val="18"/>
                <w:color w:val="auto"/>
              </w:rPr>
              <w:t>Total debt consists of the following (in thousands):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2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1"/>
        </w:trPr>
        <w:tc>
          <w:tcPr>
            <w:tcW w:w="22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26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260" w:type="dxa"/>
            <w:vAlign w:val="bottom"/>
            <w:vMerge w:val="continue"/>
          </w:tcPr>
          <w:p>
            <w:pPr>
              <w:spacing w:after="0"/>
              <w:rPr>
                <w:sz w:val="20"/>
                <w:szCs w:val="20"/>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current porton</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Long-term debt, non-current porton</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107,158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260" w:type="dxa"/>
            <w:vAlign w:val="bottom"/>
          </w:tcPr>
          <w:p>
            <w:pPr>
              <w:spacing w:after="0"/>
              <w:rPr>
                <w:sz w:val="21"/>
                <w:szCs w:val="21"/>
                <w:color w:val="auto"/>
              </w:rPr>
            </w:pPr>
          </w:p>
        </w:tc>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Unamortzed debt discount</w:t>
            </w: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2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debt, net of debt discount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20" w:firstLine="509"/>
        <w:spacing w:after="0" w:line="284" w:lineRule="auto"/>
        <w:rPr>
          <w:sz w:val="20"/>
          <w:szCs w:val="20"/>
          <w:color w:val="auto"/>
        </w:rPr>
      </w:pPr>
      <w:r>
        <w:rPr>
          <w:rFonts w:ascii="Arial" w:cs="Arial" w:eastAsia="Arial" w:hAnsi="Arial"/>
          <w:sz w:val="17"/>
          <w:szCs w:val="17"/>
          <w:color w:val="auto"/>
        </w:rPr>
        <w:t>On September 17, 2021, or the Closing Date, the Company entered into a Loan and Security Agreement, or, the Loan Agreement, with Hercules Capital, Inc., in its capacity as administratve agent and collateral agent and as a lender, or, in such capacity, the Agent or Hercules, and the other fnancial insttutons that from tme to tme become partes to the Loan Agreement as lenders, or, collectvely, the Lenders.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4" w:right="399" w:bottom="1440" w:gutter="0" w:footer="0" w:header="0"/>
        </w:sectPr>
      </w:pPr>
    </w:p>
    <w:bookmarkStart w:id="15" w:name="page16"/>
    <w:bookmarkEnd w:id="15"/>
    <w:p>
      <w:pPr>
        <w:jc w:val="both"/>
        <w:ind w:right="220" w:firstLine="509"/>
        <w:spacing w:after="0" w:line="262" w:lineRule="auto"/>
        <w:rPr>
          <w:sz w:val="20"/>
          <w:szCs w:val="20"/>
          <w:color w:val="auto"/>
        </w:rPr>
      </w:pPr>
      <w:r>
        <w:rPr>
          <w:rFonts w:ascii="Arial" w:cs="Arial" w:eastAsia="Arial" w:hAnsi="Arial"/>
          <w:sz w:val="18"/>
          <w:szCs w:val="18"/>
          <w:color w:val="auto"/>
        </w:rPr>
        <w:t>On September 27, 2022, the Company entered into an amendment to the Loan Agreement, or the Second Loan Amendment, pursuant to which the date the second tranche of funding of $50 million will remain available to the Company has been moved untl May 15, 2023, rather than December 15, 2022.</w:t>
      </w:r>
    </w:p>
    <w:p>
      <w:pPr>
        <w:spacing w:after="0" w:line="15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On May 9, 2023, the Company entered into the Third Amendment to Loan and Security Agreement, or the Third Loan Amendment, with the lenders thereunder and Hercules Capital, Inc., in its capacity as administratve agent and collateral agent and as a lender (in such capacity, the “Agent” or “Hercules”), pursuant to which, among other things, (i) the second tranche availability was extended from through May 15, 2023, to through December 15, 2023, and became available on October 1, 2023, (ii) the third tranche availability was extended from through September 30, 2023, to through December 15, 2023, and became available on October 1, 2023, (iii) the efectve date of the Performance Covenants was amended to provide an opton to extend the covenant trigger date to May 15, 2024, subject to the achievement of the EE Milestone prior to February 15, 2024, and (iv) the warrant agreement with Hercules was amended as described below. On November 1, 2023 the EE Milestone was achieved and the covenant trigger date was extended to May 15, 2024. In connecton with the Third Loan Amendment, a tranche extension amendment fee of $150,000 and a covenant extension amendment fee of $100,000 was paid to the Agent. These fees have been recorded as debt discount and are being amortzed to interest expense using the efectve interest method over the remaining term of the Term Loan.</w:t>
      </w:r>
    </w:p>
    <w:p>
      <w:pPr>
        <w:spacing w:after="0" w:line="145"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 xml:space="preserve">The Loan Agreement provides for term loans in an aggregate principal amount of up to $200.0 million, or the Term Loan, under multple tranches. The tranches consist of (i) a frst tranche consistng of term loans in an aggregate principal amount of $100.0 million, all of which was funded to the Company on the Closing Date, or First Advance, (ii) a second tranche consistng of up to an additonal $50.0 million, available in minimum of $25.0 million per draw, which became available to the Company through December 15, 2023, on October 1, 2023, (iii) a third tranche consistng of an additonal $25.0 million, which became available to the Company through December 15, 2023, on October 1, 2023, (iv) a fourth tranche consistng of up to an additonal $25.0 million, which will be available, if specifed conditons are met, through March 31, 2024, upon achievement of (a) FDA approval of the Company's NDA for vonoprazan and amoxicillin, or its NDA for vonoprazan, amoxicillin and clarithromycin, in each case for an indicaton relatng to the treatment of </w:t>
      </w:r>
      <w:r>
        <w:rPr>
          <w:rFonts w:ascii="Arial" w:cs="Arial" w:eastAsia="Arial" w:hAnsi="Arial"/>
          <w:sz w:val="16"/>
          <w:szCs w:val="16"/>
          <w:i w:val="1"/>
          <w:iCs w:val="1"/>
          <w:color w:val="auto"/>
        </w:rPr>
        <w:t xml:space="preserve">H. pylori </w:t>
      </w:r>
      <w:r>
        <w:rPr>
          <w:rFonts w:ascii="Arial" w:cs="Arial" w:eastAsia="Arial" w:hAnsi="Arial"/>
          <w:sz w:val="16"/>
          <w:szCs w:val="16"/>
          <w:color w:val="auto"/>
        </w:rPr>
        <w:t>with an approved indicaton on the claim that is generally consistent with that sought in the Company's NDA submission; and (b) fling of an NDA</w:t>
      </w:r>
      <w:r>
        <w:rPr>
          <w:rFonts w:ascii="Arial" w:cs="Arial" w:eastAsia="Arial" w:hAnsi="Arial"/>
          <w:sz w:val="16"/>
          <w:szCs w:val="16"/>
          <w:i w:val="1"/>
          <w:iCs w:val="1"/>
          <w:color w:val="auto"/>
        </w:rPr>
        <w:t xml:space="preserve"> </w:t>
      </w:r>
      <w:r>
        <w:rPr>
          <w:rFonts w:ascii="Arial" w:cs="Arial" w:eastAsia="Arial" w:hAnsi="Arial"/>
          <w:sz w:val="16"/>
          <w:szCs w:val="16"/>
          <w:color w:val="auto"/>
        </w:rPr>
        <w:t>or supplemental NDA for vonoprazan for indicatons relatng to the healing and maintenance of healing of erosive GERD (milestones (a) and (b), or, together, the Second Performance Milestone). The fourth tranche is currently available as the Second Performance Milestone has been achieved.</w:t>
      </w:r>
    </w:p>
    <w:p>
      <w:pPr>
        <w:spacing w:after="0" w:line="132" w:lineRule="exact"/>
        <w:rPr>
          <w:sz w:val="20"/>
          <w:szCs w:val="20"/>
          <w:color w:val="auto"/>
        </w:rPr>
      </w:pPr>
    </w:p>
    <w:p>
      <w:pPr>
        <w:ind w:right="640" w:firstLine="509"/>
        <w:spacing w:after="0" w:line="273" w:lineRule="auto"/>
        <w:rPr>
          <w:sz w:val="20"/>
          <w:szCs w:val="20"/>
          <w:color w:val="auto"/>
        </w:rPr>
      </w:pPr>
      <w:r>
        <w:rPr>
          <w:rFonts w:ascii="Arial" w:cs="Arial" w:eastAsia="Arial" w:hAnsi="Arial"/>
          <w:sz w:val="18"/>
          <w:szCs w:val="18"/>
          <w:color w:val="auto"/>
        </w:rPr>
        <w:t>The Company paid a $1.25 million facility charge in connecton with the closing of the Loan Agreement and would need to pay 0.5% of any advances made under the third and fourth tranches.</w:t>
      </w:r>
    </w:p>
    <w:p>
      <w:pPr>
        <w:spacing w:after="0" w:line="15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The Term Loan will mature on October 1, 2026, or the Maturity Date. The Term Loan bears (i) cash interest at a variable annual rate equal to the greater of (a) 5.50% and (b) the Prime Rate (as reported in the Wall Street Journal) plus 2.25%, or the Interest Rate, and (ii) payment-in-kind interest at a per annum rate of interest equal to 3.35%. Phathom may make payments of interest only through October 1, 2024, which was extended to October 1, 2025, upon the achievement of the Second Performance Milestone in May 2022 and met the conditon that no default or event of default exists, and which is further extendable to October 1, 2026, subject to FDA approval of the Company’s NDA (or supplemental NDA) for vonoprazan for an indicaton relatng to the healing and maintenance of healing of erosive esophagits with an approved indicaton on the label that is generally consistent with that sought in the Company’s NDA submission (or supplemental NDA submission), or the Third Performance Milestone, on or prior to September 30, 2025 and no default or event of default exists, or the interest only period. On November 1, 2023 the Third Performance Milestone was met and the interest only period was extended to October 1, 2026. Afer the interest-only period, the principal balance and related interest will be required to be repaid in equal monthly installments and contnuing untl the Maturity Date.</w:t>
      </w:r>
    </w:p>
    <w:p>
      <w:pPr>
        <w:spacing w:after="0" w:line="145" w:lineRule="exact"/>
        <w:rPr>
          <w:sz w:val="20"/>
          <w:szCs w:val="20"/>
          <w:color w:val="auto"/>
        </w:rPr>
      </w:pPr>
    </w:p>
    <w:p>
      <w:pPr>
        <w:ind w:right="40" w:firstLine="509"/>
        <w:spacing w:after="0" w:line="262" w:lineRule="auto"/>
        <w:rPr>
          <w:sz w:val="20"/>
          <w:szCs w:val="20"/>
          <w:color w:val="auto"/>
        </w:rPr>
      </w:pPr>
      <w:r>
        <w:rPr>
          <w:rFonts w:ascii="Arial" w:cs="Arial" w:eastAsia="Arial" w:hAnsi="Arial"/>
          <w:sz w:val="18"/>
          <w:szCs w:val="18"/>
          <w:color w:val="auto"/>
        </w:rPr>
        <w:t>In additon, the Company is obligated to pay a fnal payment fee of 7.50% of the original principal amount of amounts actually advanced under the Term Loan, or, each a Term Loan Advance and together, the Term Loan Advances. As of September 30, 2023, the aggregate fnal payment fee for the frst Term Loan Advance of $7.5 million has been recorded as an other long-term liability.</w:t>
      </w:r>
    </w:p>
    <w:p>
      <w:pPr>
        <w:spacing w:after="0" w:line="146" w:lineRule="exact"/>
        <w:rPr>
          <w:sz w:val="20"/>
          <w:szCs w:val="20"/>
          <w:color w:val="auto"/>
        </w:rPr>
      </w:pPr>
    </w:p>
    <w:p>
      <w:pPr>
        <w:ind w:right="140" w:firstLine="509"/>
        <w:spacing w:after="0" w:line="337" w:lineRule="auto"/>
        <w:rPr>
          <w:sz w:val="20"/>
          <w:szCs w:val="20"/>
          <w:color w:val="auto"/>
        </w:rPr>
      </w:pPr>
      <w:r>
        <w:rPr>
          <w:rFonts w:ascii="Arial" w:cs="Arial" w:eastAsia="Arial" w:hAnsi="Arial"/>
          <w:sz w:val="16"/>
          <w:szCs w:val="16"/>
          <w:color w:val="auto"/>
        </w:rPr>
        <w:t>The Company may elect to prepay all or a porton of the Term Loan Advances prior to maturity, subject to a prepayment fee of up to 1.25% of the then outstanding principal balance of the Term Loan Advances being prepaid. Afer repayment, no Term Loan amounts may be borrowed again.</w:t>
      </w:r>
    </w:p>
    <w:p>
      <w:pPr>
        <w:spacing w:after="0" w:line="104" w:lineRule="exact"/>
        <w:rPr>
          <w:sz w:val="20"/>
          <w:szCs w:val="20"/>
          <w:color w:val="auto"/>
        </w:rPr>
      </w:pPr>
    </w:p>
    <w:p>
      <w:pPr>
        <w:ind w:right="140" w:firstLine="509"/>
        <w:spacing w:after="0" w:line="273" w:lineRule="auto"/>
        <w:rPr>
          <w:sz w:val="20"/>
          <w:szCs w:val="20"/>
          <w:color w:val="auto"/>
        </w:rPr>
      </w:pPr>
      <w:r>
        <w:rPr>
          <w:rFonts w:ascii="Arial" w:cs="Arial" w:eastAsia="Arial" w:hAnsi="Arial"/>
          <w:sz w:val="18"/>
          <w:szCs w:val="18"/>
          <w:color w:val="auto"/>
        </w:rPr>
        <w:t>As collateral for the obligatons, the Company has granted Hercules a senior security interest in all of the Company’s right, ttle, and interest in, to and under substantally all of Company’s property, inclusive of intellectual property.</w:t>
      </w:r>
    </w:p>
    <w:p>
      <w:pPr>
        <w:spacing w:after="0" w:line="137" w:lineRule="exact"/>
        <w:rPr>
          <w:sz w:val="20"/>
          <w:szCs w:val="20"/>
          <w:color w:val="auto"/>
        </w:rPr>
      </w:pPr>
    </w:p>
    <w:p>
      <w:pPr>
        <w:ind w:right="380" w:firstLine="509"/>
        <w:spacing w:after="0" w:line="273" w:lineRule="auto"/>
        <w:rPr>
          <w:sz w:val="20"/>
          <w:szCs w:val="20"/>
          <w:color w:val="auto"/>
        </w:rPr>
      </w:pPr>
      <w:r>
        <w:rPr>
          <w:rFonts w:ascii="Arial" w:cs="Arial" w:eastAsia="Arial" w:hAnsi="Arial"/>
          <w:sz w:val="18"/>
          <w:szCs w:val="18"/>
          <w:color w:val="auto"/>
        </w:rPr>
        <w:t>The Loan Agreement contains customary closing fees, prepayment fees and provisions, events of default, and representatons, warrantes and covenants, including a fnancial covenant requiring the Company to maintain certain levels of cash subject to a</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6" w:name="page17"/>
    <w:bookmarkEnd w:id="16"/>
    <w:p>
      <w:pPr>
        <w:ind w:right="160"/>
        <w:spacing w:after="0" w:line="253" w:lineRule="auto"/>
        <w:rPr>
          <w:sz w:val="20"/>
          <w:szCs w:val="20"/>
          <w:color w:val="auto"/>
        </w:rPr>
      </w:pPr>
      <w:r>
        <w:rPr>
          <w:rFonts w:ascii="Arial" w:cs="Arial" w:eastAsia="Arial" w:hAnsi="Arial"/>
          <w:sz w:val="18"/>
          <w:szCs w:val="18"/>
          <w:color w:val="auto"/>
        </w:rPr>
        <w:t>control agreement in favor of the Agent (minus accounts payable not paid within 120 days of invoice), or Qualifed Cash. Commencing on November 15, 2023, if the outstanding loan amount is greater than $100.0 million, the Company is subject to an additonal performance covenant in which trailing three-month net product revenue from the sale of vonoprazan and products containing vonoprazan must exceed 50% of projectons. The revenue covenant will be waived at any tme in which the Company maintains Qualifed Cash equal to at least 65.0% (prior to the Third Performance Milestone), and 45% (following the Third Performance Milestone) of the total outstanding Term Loan principal amount, or the Company’s market capitalizaton is at least $900.0 million. Upon the occurrence of an event of default, subject to any specifed cure periods, all amounts owed by the Company may be declared immediately due and payable by Hercules, as collateral agent. As of September 30, 2023, the Company was in compliance with all applicable covenants under the Loan Agreement.</w:t>
      </w:r>
    </w:p>
    <w:p>
      <w:pPr>
        <w:spacing w:after="0" w:line="171" w:lineRule="exact"/>
        <w:rPr>
          <w:sz w:val="20"/>
          <w:szCs w:val="20"/>
          <w:color w:val="auto"/>
        </w:rPr>
      </w:pPr>
    </w:p>
    <w:p>
      <w:pPr>
        <w:ind w:right="200" w:firstLine="509"/>
        <w:spacing w:after="0" w:line="273" w:lineRule="auto"/>
        <w:rPr>
          <w:sz w:val="20"/>
          <w:szCs w:val="20"/>
          <w:color w:val="auto"/>
        </w:rPr>
      </w:pPr>
      <w:r>
        <w:rPr>
          <w:rFonts w:ascii="Arial" w:cs="Arial" w:eastAsia="Arial" w:hAnsi="Arial"/>
          <w:sz w:val="18"/>
          <w:szCs w:val="18"/>
          <w:color w:val="auto"/>
        </w:rPr>
        <w:t>Pursuant to the Third Loan Amendment, the efectve date of the Performance Covenants will be extended from November 15, 2023, to May 15, 2024, if the Company achieves the EE Milestone prior to February 15, 2024.</w:t>
      </w:r>
    </w:p>
    <w:p>
      <w:pPr>
        <w:spacing w:after="0" w:line="13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connecton with the entry into the Loan Agreement, the Company issued to Hercules a warrant, or, the Warrant, to purchase a number of shares of the Company’s common stock equal to 2.5% of the aggregate amount of the Term Loan advances funded, and will issue to Hercules additonal warrants when future Term Loan advances are funded. On the Closing Date, the Company issued a Warrant for 74,782 shares of common stock. The Warrant will be exercisable for a period of seven years from the date of issuance at a per-share exercise price equal to $33.43, which was the closing price of the Company’s common stock on September 16, 2021. The Warrant is exercisable any tme untl September 17, 2028 and had an inital fair value of approximately $1.3 million.</w:t>
      </w:r>
    </w:p>
    <w:p>
      <w:pPr>
        <w:spacing w:after="0" w:line="152" w:lineRule="exact"/>
        <w:rPr>
          <w:sz w:val="20"/>
          <w:szCs w:val="20"/>
          <w:color w:val="auto"/>
        </w:rPr>
      </w:pPr>
    </w:p>
    <w:p>
      <w:pPr>
        <w:ind w:right="60" w:firstLine="509"/>
        <w:spacing w:after="0" w:line="292" w:lineRule="auto"/>
        <w:rPr>
          <w:sz w:val="20"/>
          <w:szCs w:val="20"/>
          <w:color w:val="auto"/>
        </w:rPr>
      </w:pPr>
      <w:r>
        <w:rPr>
          <w:rFonts w:ascii="Arial" w:cs="Arial" w:eastAsia="Arial" w:hAnsi="Arial"/>
          <w:sz w:val="16"/>
          <w:szCs w:val="16"/>
          <w:color w:val="auto"/>
        </w:rPr>
        <w:t>In connecton with the entry into the Third Loan Amendment, the Company amended the form of warrant agreement, the Revised Warrant Agreement, to purchase shares of the Company’s common stock, par value $0.0001 per share, the Common Stock, to be issued upon drawdowns of future tranches under the Term Loan. The exercise price under the Revised Warrant Agreement shall be equal to the lesser of (i) $11.6783, which was the trailing ten-day volume-weighted average price, or VWAP, prior to entering into the Third Loan Amendment, and (ii) the trailing ten-day VWAP preceding the date on which the Company drawdown future tranches. The number of shares of Common Stock shall contnue to be equal to 2.5% of the amount of the Term Loan advances funded, as such amounts are funded. The warrants shall be exercisable for a period of seven years from the date of issuance.</w:t>
      </w:r>
    </w:p>
    <w:p>
      <w:pPr>
        <w:spacing w:after="0" w:line="142" w:lineRule="exact"/>
        <w:rPr>
          <w:sz w:val="20"/>
          <w:szCs w:val="20"/>
          <w:color w:val="auto"/>
        </w:rPr>
      </w:pPr>
    </w:p>
    <w:p>
      <w:pPr>
        <w:ind w:right="100" w:firstLine="509"/>
        <w:spacing w:after="0" w:line="284" w:lineRule="auto"/>
        <w:rPr>
          <w:sz w:val="20"/>
          <w:szCs w:val="20"/>
          <w:color w:val="auto"/>
        </w:rPr>
      </w:pPr>
      <w:r>
        <w:rPr>
          <w:rFonts w:ascii="Arial" w:cs="Arial" w:eastAsia="Arial" w:hAnsi="Arial"/>
          <w:sz w:val="17"/>
          <w:szCs w:val="17"/>
          <w:color w:val="auto"/>
        </w:rPr>
        <w:t>The exercise price and terms of the outstanding warrants to purchase 74,783 shares of the Company's Common Stock previously issued to Hercules remain unchanged. The Company entered into the First Amendment to Warrant, or the Warrant Amendment, to make technical changes to the defned terms to provide that the outstanding warrant only covers the inital $100.0 million advance already drawn under the Term Loan.</w:t>
      </w:r>
    </w:p>
    <w:p>
      <w:pPr>
        <w:spacing w:after="0" w:line="130" w:lineRule="exact"/>
        <w:rPr>
          <w:sz w:val="20"/>
          <w:szCs w:val="20"/>
          <w:color w:val="auto"/>
        </w:rPr>
      </w:pPr>
    </w:p>
    <w:p>
      <w:pPr>
        <w:ind w:right="460" w:firstLine="509"/>
        <w:spacing w:after="0" w:line="303" w:lineRule="auto"/>
        <w:rPr>
          <w:sz w:val="20"/>
          <w:szCs w:val="20"/>
          <w:color w:val="auto"/>
        </w:rPr>
      </w:pPr>
      <w:r>
        <w:rPr>
          <w:rFonts w:ascii="Arial" w:cs="Arial" w:eastAsia="Arial" w:hAnsi="Arial"/>
          <w:sz w:val="17"/>
          <w:szCs w:val="17"/>
          <w:color w:val="auto"/>
        </w:rPr>
        <w:t>The inital $1.3 million fair value of the Warrant, the $7.5 million fnal interest payment fee and $3.1 million of debt issuance costs have been recorded as debt discount and are being amortzed to interest expense using the efectve interest method over the term of the Term Loan.</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Future minimum principal payments under the Term Loan, including the fnal payment fee, as of September 30, 2023 are as follows (in thousands):</w:t>
      </w:r>
    </w:p>
    <w:p>
      <w:pPr>
        <w:spacing w:after="0" w:line="253"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5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27"/>
        </w:trPr>
        <w:tc>
          <w:tcPr>
            <w:tcW w:w="5140" w:type="dxa"/>
            <w:vAlign w:val="bottom"/>
          </w:tcPr>
          <w:p>
            <w:pPr>
              <w:jc w:val="right"/>
              <w:ind w:right="449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9"/>
        </w:trPr>
        <w:tc>
          <w:tcPr>
            <w:tcW w:w="5140" w:type="dxa"/>
            <w:vAlign w:val="bottom"/>
            <w:shd w:val="clear" w:color="auto" w:fill="CFF0FC"/>
          </w:tcPr>
          <w:p>
            <w:pPr>
              <w:jc w:val="right"/>
              <w:ind w:right="449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140" w:type="dxa"/>
            <w:vAlign w:val="bottom"/>
          </w:tcPr>
          <w:p>
            <w:pPr>
              <w:jc w:val="right"/>
              <w:ind w:right="449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29,707</w:t>
            </w:r>
          </w:p>
        </w:tc>
      </w:tr>
      <w:tr>
        <w:trPr>
          <w:trHeight w:val="245"/>
        </w:trPr>
        <w:tc>
          <w:tcPr>
            <w:tcW w:w="5140" w:type="dxa"/>
            <w:vAlign w:val="bottom"/>
            <w:tcBorders>
              <w:bottom w:val="single" w:sz="8" w:color="CFF0FC"/>
            </w:tcBorders>
            <w:shd w:val="clear" w:color="auto" w:fill="CFF0FC"/>
          </w:tcPr>
          <w:p>
            <w:pPr>
              <w:jc w:val="right"/>
              <w:ind w:right="4490"/>
              <w:spacing w:after="0"/>
              <w:rPr>
                <w:sz w:val="20"/>
                <w:szCs w:val="20"/>
                <w:color w:val="auto"/>
              </w:rPr>
            </w:pPr>
            <w:r>
              <w:rPr>
                <w:rFonts w:ascii="Arial" w:cs="Arial" w:eastAsia="Arial" w:hAnsi="Arial"/>
                <w:sz w:val="18"/>
                <w:szCs w:val="18"/>
                <w:color w:val="auto"/>
              </w:rPr>
              <w:t>2026</w:t>
            </w:r>
          </w:p>
        </w:tc>
        <w:tc>
          <w:tcPr>
            <w:tcW w:w="5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94,764</w:t>
            </w:r>
          </w:p>
        </w:tc>
      </w:tr>
      <w:tr>
        <w:trPr>
          <w:trHeight w:val="227"/>
        </w:trPr>
        <w:tc>
          <w:tcPr>
            <w:tcW w:w="5140" w:type="dxa"/>
            <w:vAlign w:val="bottom"/>
          </w:tcPr>
          <w:p>
            <w:pPr>
              <w:spacing w:after="0"/>
              <w:rPr>
                <w:sz w:val="20"/>
                <w:szCs w:val="20"/>
                <w:color w:val="auto"/>
              </w:rPr>
            </w:pPr>
            <w:r>
              <w:rPr>
                <w:rFonts w:ascii="Arial" w:cs="Arial" w:eastAsia="Arial" w:hAnsi="Arial"/>
                <w:sz w:val="18"/>
                <w:szCs w:val="18"/>
                <w:color w:val="auto"/>
              </w:rPr>
              <w:t>Total principal and interest payments</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124,471</w:t>
            </w:r>
          </w:p>
        </w:tc>
      </w:tr>
      <w:tr>
        <w:trPr>
          <w:trHeight w:val="253"/>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payment-in-kind and fnal payment fee</w:t>
            </w:r>
          </w:p>
        </w:tc>
        <w:tc>
          <w:tcPr>
            <w:tcW w:w="5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(24,471 )</w:t>
            </w:r>
          </w:p>
        </w:tc>
      </w:tr>
      <w:tr>
        <w:trPr>
          <w:trHeight w:val="236"/>
        </w:trPr>
        <w:tc>
          <w:tcPr>
            <w:tcW w:w="5140" w:type="dxa"/>
            <w:vAlign w:val="bottom"/>
          </w:tcPr>
          <w:p>
            <w:pPr>
              <w:spacing w:after="0"/>
              <w:rPr>
                <w:sz w:val="20"/>
                <w:szCs w:val="20"/>
                <w:color w:val="auto"/>
              </w:rPr>
            </w:pPr>
            <w:r>
              <w:rPr>
                <w:rFonts w:ascii="Arial" w:cs="Arial" w:eastAsia="Arial" w:hAnsi="Arial"/>
                <w:sz w:val="18"/>
                <w:szCs w:val="18"/>
                <w:color w:val="auto"/>
              </w:rPr>
              <w:t>Total term loan borrowings</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r>
      <w:tr>
        <w:trPr>
          <w:trHeight w:val="20"/>
        </w:trPr>
        <w:tc>
          <w:tcPr>
            <w:tcW w:w="5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auto"/>
        </w:rPr>
        <w:t>During the three months ended September 30, 2023 and 2022, the Company recognized $4.4 million and $3.4 million, respectvely, of interest expense, including amortzaton of the debt discount, in connecton with the Hercules Loan Agreement. During the nine months ended September 30, 2023 and 2022, the Company recognized $12.6 million and $9.2 million, respectvely, of interest expense, including amortzaton of the debt discount, in connecton with the Hercules Loan Agreement. As of September 30, 2023, the Company had an outstanding loan balance of $106.8 million and accrued interest of $1.0 million.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7. Revenue Interest Financing Liability</w:t>
      </w:r>
    </w:p>
    <w:p>
      <w:pPr>
        <w:spacing w:after="0" w:line="18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On May 3, 2022, Phathom entered into a Revenue Interest Financing Agreement with Inital Investors NQ, Sagard, and Hercules pursuant to which the Company will receive up to $260 million in funding from the Inital Investors. Under the terms of the Revenue Interest Financing Agreement, the Company received $100 million at the inital closing and can receive an additonal $160 million upon FDA approval of vonoprazan for treatment of Erosive GERD on or before March 31, 2024. At any tme prior to December 31, 2022, the Company also had the right to obtain a writen commitment from a third party for up to $15 million of funding upon FDA approval of vonoprazan for Erosive GERD. In additon, the Company has the right at any tme prior to September 30, 2024, to obtain a writen commitment from a third party for up to $25 million of funding upon achievement of a sales milestone. The Inital Investors have a right of frst ofer if the Company seeks to obtain such additonal funding. The total amount funded by the Inital Investors and any subsequent investors is referred to herein as the Investment Amount.</w:t>
      </w:r>
    </w:p>
    <w:p>
      <w:pPr>
        <w:spacing w:after="0" w:line="158" w:lineRule="exact"/>
        <w:rPr>
          <w:sz w:val="20"/>
          <w:szCs w:val="20"/>
          <w:color w:val="auto"/>
        </w:rPr>
      </w:pPr>
    </w:p>
    <w:p>
      <w:pPr>
        <w:ind w:right="240" w:firstLine="509"/>
        <w:spacing w:after="0" w:line="258" w:lineRule="auto"/>
        <w:rPr>
          <w:sz w:val="20"/>
          <w:szCs w:val="20"/>
          <w:color w:val="auto"/>
        </w:rPr>
      </w:pPr>
      <w:r>
        <w:rPr>
          <w:rFonts w:ascii="Arial" w:cs="Arial" w:eastAsia="Arial" w:hAnsi="Arial"/>
          <w:sz w:val="18"/>
          <w:szCs w:val="18"/>
          <w:color w:val="auto"/>
        </w:rPr>
        <w:t>On October 31, 2022, the Company entered into a Joinder Agreement with the Inital Investors and CO Finance LVS XXXVII LLC, or the Additonal Investor, and Hercules Capital, Inc. Under the terms of the Joinder Agreement, the Inital Investors waived their rights of frst ofer regarding the Additonal Investor Funding and the Additonal Investor joined the Revenue Interest Financing Agreement to extend commitments for the Additonal Investor Funding.</w:t>
      </w:r>
    </w:p>
    <w:p>
      <w:pPr>
        <w:spacing w:after="0" w:line="149"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Under the Revenue Interest Financing Agreement, the investors are enttled to receive a 10% royalty on net sales of products containing vonoprazan. The royalty rate is subject to a step-down on net sales exceeding certain annual thresholds and if the Company receives FDA approval for vonoprazan for an indicaton relatng to the treatment of heartburn associated with Non-Erosive GERD. The investors’ right to receive royaltes on net sales will terminate when the investors have aggregate payments equal to 200% of the Investment Amount. In additon, at any tme afer the earlier of (i) April 30, 2024 and (ii) the date that the payment for Erosive GERD regulatory approval is made, the Company has the right to make a cap payment equal to 200% of the Investment Amount less any royaltes already paid, at which tme the agreement will terminate.</w:t>
      </w:r>
    </w:p>
    <w:p>
      <w:pPr>
        <w:spacing w:after="0" w:line="142" w:lineRule="exact"/>
        <w:rPr>
          <w:sz w:val="20"/>
          <w:szCs w:val="20"/>
          <w:color w:val="auto"/>
        </w:rPr>
      </w:pPr>
    </w:p>
    <w:p>
      <w:pPr>
        <w:jc w:val="both"/>
        <w:ind w:right="60" w:firstLine="509"/>
        <w:spacing w:after="0" w:line="262" w:lineRule="auto"/>
        <w:rPr>
          <w:sz w:val="20"/>
          <w:szCs w:val="20"/>
          <w:color w:val="auto"/>
        </w:rPr>
      </w:pPr>
      <w:r>
        <w:rPr>
          <w:rFonts w:ascii="Arial" w:cs="Arial" w:eastAsia="Arial" w:hAnsi="Arial"/>
          <w:sz w:val="18"/>
          <w:szCs w:val="18"/>
          <w:color w:val="auto"/>
        </w:rPr>
        <w:t>If the investors have not received aggregate payments of at least 100% of the Investment Amount by December 31, 2028, and at least 200% of the Investment Amount by December 31, 2037, each a Minimum Amount, then the Company will be obligated to make a cash payment to the investors in an amount sufcient to gross the investors up to the applicable Minimum Amount.</w:t>
      </w:r>
    </w:p>
    <w:p>
      <w:pPr>
        <w:spacing w:after="0" w:line="159" w:lineRule="exact"/>
        <w:rPr>
          <w:sz w:val="20"/>
          <w:szCs w:val="20"/>
          <w:color w:val="auto"/>
        </w:rPr>
      </w:pPr>
    </w:p>
    <w:p>
      <w:pPr>
        <w:ind w:right="60" w:firstLine="509"/>
        <w:spacing w:after="0" w:line="262" w:lineRule="auto"/>
        <w:rPr>
          <w:sz w:val="20"/>
          <w:szCs w:val="20"/>
          <w:color w:val="auto"/>
        </w:rPr>
      </w:pPr>
      <w:r>
        <w:rPr>
          <w:rFonts w:ascii="Arial" w:cs="Arial" w:eastAsia="Arial" w:hAnsi="Arial"/>
          <w:sz w:val="18"/>
          <w:szCs w:val="18"/>
          <w:color w:val="auto"/>
        </w:rPr>
        <w:t>Upon the occurrence of an event of default taking place prior to April 1, 2025, between April 1, 2025 and April 1, 2028, and afer April 1, 2028, the Company is obligated to pay 1.30 tmes Investment Amount, 1.65 tmes Investment Amount, and 2.0 tmes investment amount, respectvely, less any amounts the Company previously paid pursuant to the agreement.</w:t>
      </w:r>
    </w:p>
    <w:p>
      <w:pPr>
        <w:spacing w:after="0" w:line="146" w:lineRule="exact"/>
        <w:rPr>
          <w:sz w:val="20"/>
          <w:szCs w:val="20"/>
          <w:color w:val="auto"/>
        </w:rPr>
      </w:pPr>
    </w:p>
    <w:p>
      <w:pPr>
        <w:ind w:right="360" w:firstLine="509"/>
        <w:spacing w:after="0" w:line="273" w:lineRule="auto"/>
        <w:rPr>
          <w:sz w:val="20"/>
          <w:szCs w:val="20"/>
          <w:color w:val="auto"/>
        </w:rPr>
      </w:pPr>
      <w:r>
        <w:rPr>
          <w:rFonts w:ascii="Arial" w:cs="Arial" w:eastAsia="Arial" w:hAnsi="Arial"/>
          <w:sz w:val="18"/>
          <w:szCs w:val="18"/>
          <w:color w:val="auto"/>
        </w:rPr>
        <w:t>During the year ended December 31, 2022, the Company received gross proceeds of $100.0 million before deductng transacton costs of $4.6 million, which resulted in net proceeds of $95.4 million.</w:t>
      </w:r>
    </w:p>
    <w:p>
      <w:pPr>
        <w:spacing w:after="0" w:line="13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Company has evaluated the terms of the Revenue Interest Financing Agreement and concluded that the features of the Investment Amount are similar to those of a debt instrument. Accordingly, the Company has accounted for the transacton as a debt obligaton with interest expense based on an imputed efectve rate derived from the inital carrying value of the obligaton and the expected future payments. The Company recalculates the efectve interest rate each period based on the current carrying value and the revised estmated future payments. Changes in future payments from previous estmates are included in the current and future fnancing expense. The carrying value of the revenue interest fnancing liability was $125.8 million as of September 30, 2023.</w:t>
      </w:r>
    </w:p>
    <w:p>
      <w:pPr>
        <w:spacing w:after="0" w:line="165" w:lineRule="exact"/>
        <w:rPr>
          <w:sz w:val="20"/>
          <w:szCs w:val="20"/>
          <w:color w:val="auto"/>
        </w:rPr>
      </w:pPr>
    </w:p>
    <w:tbl>
      <w:tblPr>
        <w:tblLayout w:type="fixed"/>
        <w:tblInd w:w="520" w:type="dxa"/>
        <w:tblCellMar>
          <w:top w:w="0" w:type="dxa"/>
          <w:left w:w="0" w:type="dxa"/>
          <w:bottom w:w="0" w:type="dxa"/>
          <w:right w:w="0" w:type="dxa"/>
        </w:tblCellMar>
      </w:tblPr>
      <w:tr>
        <w:trPr>
          <w:trHeight w:val="227"/>
        </w:trPr>
        <w:tc>
          <w:tcPr>
            <w:tcW w:w="6840" w:type="dxa"/>
            <w:vAlign w:val="bottom"/>
            <w:gridSpan w:val="2"/>
          </w:tcPr>
          <w:p>
            <w:pPr>
              <w:spacing w:after="0"/>
              <w:rPr>
                <w:sz w:val="20"/>
                <w:szCs w:val="20"/>
                <w:color w:val="auto"/>
              </w:rPr>
            </w:pPr>
            <w:r>
              <w:rPr>
                <w:rFonts w:ascii="Arial" w:cs="Arial" w:eastAsia="Arial" w:hAnsi="Arial"/>
                <w:sz w:val="18"/>
                <w:szCs w:val="18"/>
                <w:color w:val="auto"/>
              </w:rPr>
              <w:t>Total revenue interest fnancing liability consists of the following (in thousands):</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14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September 30,</w:t>
            </w:r>
          </w:p>
        </w:tc>
        <w:tc>
          <w:tcPr>
            <w:tcW w:w="0" w:type="dxa"/>
            <w:vAlign w:val="bottom"/>
          </w:tcPr>
          <w:p>
            <w:pPr>
              <w:spacing w:after="0"/>
              <w:rPr>
                <w:sz w:val="1"/>
                <w:szCs w:val="1"/>
                <w:color w:val="auto"/>
              </w:rPr>
            </w:pPr>
          </w:p>
        </w:tc>
      </w:tr>
      <w:tr>
        <w:trPr>
          <w:trHeight w:val="231"/>
        </w:trPr>
        <w:tc>
          <w:tcPr>
            <w:tcW w:w="14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673"/>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0" w:type="dxa"/>
            <w:vAlign w:val="bottom"/>
            <w:vMerge w:val="continue"/>
          </w:tcPr>
          <w:p>
            <w:pPr>
              <w:spacing w:after="0"/>
              <w:rPr>
                <w:sz w:val="20"/>
                <w:szCs w:val="20"/>
                <w:color w:val="auto"/>
              </w:rPr>
            </w:pPr>
          </w:p>
        </w:tc>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the Revenue Interest Financing Agreement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40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Less: transacton costs</w:t>
            </w:r>
          </w:p>
        </w:tc>
        <w:tc>
          <w:tcPr>
            <w:tcW w:w="26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(4,554 )</w:t>
            </w:r>
          </w:p>
        </w:tc>
        <w:tc>
          <w:tcPr>
            <w:tcW w:w="0" w:type="dxa"/>
            <w:vAlign w:val="bottom"/>
          </w:tcPr>
          <w:p>
            <w:pPr>
              <w:spacing w:after="0"/>
              <w:rPr>
                <w:sz w:val="1"/>
                <w:szCs w:val="1"/>
                <w:color w:val="auto"/>
              </w:rPr>
            </w:pPr>
          </w:p>
        </w:tc>
      </w:tr>
      <w:tr>
        <w:trPr>
          <w:trHeight w:val="251"/>
        </w:trPr>
        <w:tc>
          <w:tcPr>
            <w:tcW w:w="1400" w:type="dxa"/>
            <w:vAlign w:val="bottom"/>
          </w:tcPr>
          <w:p>
            <w:pPr>
              <w:spacing w:after="0"/>
              <w:rPr>
                <w:sz w:val="21"/>
                <w:szCs w:val="21"/>
                <w:color w:val="auto"/>
              </w:rPr>
            </w:pPr>
          </w:p>
        </w:tc>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royalty payments and payables</w:t>
            </w:r>
          </w:p>
        </w:tc>
        <w:tc>
          <w:tcPr>
            <w:tcW w:w="26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Plus: interest expense</w:t>
            </w: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400" w:type="dxa"/>
            <w:vAlign w:val="bottom"/>
          </w:tcPr>
          <w:p>
            <w:pPr>
              <w:spacing w:after="0"/>
              <w:rPr>
                <w:sz w:val="24"/>
                <w:szCs w:val="24"/>
                <w:color w:val="auto"/>
              </w:rPr>
            </w:pPr>
          </w:p>
        </w:tc>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liability balance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125,790</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431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3" w:lineRule="exact"/>
        <w:rPr>
          <w:sz w:val="20"/>
          <w:szCs w:val="20"/>
          <w:color w:val="auto"/>
        </w:rPr>
      </w:pPr>
    </w:p>
    <w:p>
      <w:pPr>
        <w:ind w:right="320" w:firstLine="509"/>
        <w:spacing w:after="0" w:line="273" w:lineRule="auto"/>
        <w:rPr>
          <w:sz w:val="20"/>
          <w:szCs w:val="20"/>
          <w:color w:val="auto"/>
        </w:rPr>
      </w:pPr>
      <w:r>
        <w:rPr>
          <w:rFonts w:ascii="Arial" w:cs="Arial" w:eastAsia="Arial" w:hAnsi="Arial"/>
          <w:sz w:val="18"/>
          <w:szCs w:val="18"/>
          <w:color w:val="auto"/>
        </w:rPr>
        <w:t>During the three and nine months ended September 30, 2023, the Company recognized $5.7 million and $16.3 million, respectvely, of interest expense in connecton with the revenue interest fnancing liability. During the three and nine months ended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18" w:name="page19"/>
    <w:bookmarkEnd w:id="18"/>
    <w:p>
      <w:pPr>
        <w:ind w:right="400"/>
        <w:spacing w:after="0" w:line="273" w:lineRule="auto"/>
        <w:rPr>
          <w:sz w:val="20"/>
          <w:szCs w:val="20"/>
          <w:color w:val="auto"/>
        </w:rPr>
      </w:pPr>
      <w:r>
        <w:rPr>
          <w:rFonts w:ascii="Arial" w:cs="Arial" w:eastAsia="Arial" w:hAnsi="Arial"/>
          <w:sz w:val="18"/>
          <w:szCs w:val="18"/>
          <w:color w:val="auto"/>
        </w:rPr>
        <w:t>September 30, 2022, the Company recognized $5.6 million and $8.3 million, respectvely, of interest expense in connecton with the revenue interest fnancing liability.</w:t>
      </w:r>
    </w:p>
    <w:p>
      <w:pPr>
        <w:spacing w:after="0" w:line="150"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The Company will record liabilites associated with additonal funding upon FDA approval of vonoprazan for Erosive GERD and achievement of the sales milestone when such contngent events occur. To determine the accreton of the liability related to the Revenue Interest Financing Agreement, the Company is required to estmate the total amount of future royalty payments and estmated tming of such payments based on the Company’s revenue projectons. As royalty payments are made, the balance of the debt obligaton will be efectvely repaid. Based on the Company’s periodic review, the exact tming of repayment is likely to be diferent in each reportng period as compared to those estmated in the Company’s inital revenue projectons. A signifcant increase or decrease in actual net sales of vonoprazan compared to the Company’s revenue projectons could impact the interest expense associated with the revenue interest fnancing liability. Also, the Company’s total obligaton can vary depending on default events and the achievement of FDA approval of vonoprazan for Erosive GERD and achievement of the sales milestone.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March 2019, subsequent to the Merger, the Company sold 1,491,072 shares of the Company’s common stock to Frazier.</w:t>
      </w:r>
    </w:p>
    <w:p>
      <w:pPr>
        <w:spacing w:after="0" w:line="185"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 March 2019, the founders granted the Company a repurchase right for the 3,373,408 shares of common stock originally purchased in 2018. The Company has the right, but not the obligaton, to repurchase unvested shares in the event the founder’s relatonship with the Company is terminated, subject to certain limitatons, at the original purchase price of the stock. The repurchase right lapsed for 843,352 shares in March 2019 and the repurchase right for the remaining 2,530,056 shares lapses in equal monthly amounts over the following 48-month period ending in March 2023. The fair value of the founder shares at the date the repurchase right was granted is being recognized as stock-based compensaton expense on a straight-line basis over the vestng period. As of September 30, 2023, no shares of common stock were subject to repurchase by the Company and there is no associated repurchase liability. The amount of recognized and unrecognized stock-based compensaton related to the founder stock was immaterial for all periods presented.</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May 2019, the Company issued Takeda 1,084,000 shares of common stock in connecton with the Takeda License.</w:t>
      </w:r>
    </w:p>
    <w:p>
      <w:pPr>
        <w:spacing w:after="0" w:line="198" w:lineRule="exact"/>
        <w:rPr>
          <w:sz w:val="20"/>
          <w:szCs w:val="20"/>
          <w:color w:val="auto"/>
        </w:rPr>
      </w:pPr>
    </w:p>
    <w:p>
      <w:pPr>
        <w:ind w:firstLine="509"/>
        <w:spacing w:after="0" w:line="292" w:lineRule="auto"/>
        <w:rPr>
          <w:sz w:val="20"/>
          <w:szCs w:val="20"/>
          <w:color w:val="auto"/>
        </w:rPr>
      </w:pPr>
      <w:r>
        <w:rPr>
          <w:rFonts w:ascii="Arial" w:cs="Arial" w:eastAsia="Arial" w:hAnsi="Arial"/>
          <w:sz w:val="16"/>
          <w:szCs w:val="16"/>
          <w:color w:val="auto"/>
        </w:rPr>
        <w:t>For the period from January 1, 2019 to May 6, 2019, the Company issued 2,524,852 shares of common stock to various employees and consultants of the Company for aggregate proceeds of approximately $1,000. Upon issuance, these shares were subject to a repurchase opton by the Company at the original purchase price of the shares. The repurchase rights generally lapse as to 25% of the shares on the frst anniversary of the vestng commencement date, and the repurchase right lapses as to 1/48th of the shares each one-month period thereafer, subject to the purchaser remaining contnuously an employee, consultant or director of the Company. In November 2019, the Company repurchased 17,560 shares at the original purchase price for an aggregate purchase price of $5.20. As of September 30, 2023, no shares remain available for repurchase by the Company.</w:t>
      </w:r>
    </w:p>
    <w:p>
      <w:pPr>
        <w:spacing w:after="0" w:line="128" w:lineRule="exact"/>
        <w:rPr>
          <w:sz w:val="20"/>
          <w:szCs w:val="20"/>
          <w:color w:val="auto"/>
        </w:rPr>
      </w:pPr>
    </w:p>
    <w:p>
      <w:pPr>
        <w:ind w:right="260" w:firstLine="509"/>
        <w:spacing w:after="0" w:line="262" w:lineRule="auto"/>
        <w:rPr>
          <w:sz w:val="20"/>
          <w:szCs w:val="20"/>
          <w:color w:val="auto"/>
        </w:rPr>
      </w:pPr>
      <w:r>
        <w:rPr>
          <w:rFonts w:ascii="Arial" w:cs="Arial" w:eastAsia="Arial" w:hAnsi="Arial"/>
          <w:sz w:val="18"/>
          <w:szCs w:val="18"/>
          <w:color w:val="auto"/>
        </w:rPr>
        <w:t>On October 29, 2019, upon completon of the IPO, the Company sold 10,997,630 shares of common stock, which included the exercise in full by the underwriters of their opton to purchase 1,434,473 additonal shares at a public ofering price of $19.00 per share. The net proceeds were approximately $191.5 million, afer deductng underwritng discounts, commissions and ofering costs.</w:t>
      </w:r>
    </w:p>
    <w:p>
      <w:pPr>
        <w:spacing w:after="0" w:line="146" w:lineRule="exact"/>
        <w:rPr>
          <w:sz w:val="20"/>
          <w:szCs w:val="20"/>
          <w:color w:val="auto"/>
        </w:rPr>
      </w:pPr>
    </w:p>
    <w:p>
      <w:pPr>
        <w:ind w:right="80" w:firstLine="509"/>
        <w:spacing w:after="0" w:line="295" w:lineRule="auto"/>
        <w:rPr>
          <w:sz w:val="20"/>
          <w:szCs w:val="20"/>
          <w:color w:val="auto"/>
        </w:rPr>
      </w:pPr>
      <w:r>
        <w:rPr>
          <w:rFonts w:ascii="Arial" w:cs="Arial" w:eastAsia="Arial" w:hAnsi="Arial"/>
          <w:sz w:val="16"/>
          <w:szCs w:val="16"/>
          <w:color w:val="auto"/>
        </w:rPr>
        <w:t>In November 2020, the Company entered into the Sales Agreement, pursuant to which, the Company will pay the Sales Agent a commission for its services in actng as an agent in the sale of common stock in an amount equal to 3% of the gross sales price per share sold. In September 2022, the Company sold 2,414,897 shares for net proceeds of approximately $24.6 million under the ATM Ofering afer deductng $0.8 million of issuance costs. In February 2023, the Company sold 1,514,219 shares for net proceeds of approximately $14.1 million under the ATM Ofering afer deductng $0.4 million of issuance costs. As of September 30, 2023, the Company has utlized $39.9 million of the available $125.0 million under the ATM Ofering.</w:t>
      </w:r>
    </w:p>
    <w:p>
      <w:pPr>
        <w:spacing w:after="0" w:line="138" w:lineRule="exact"/>
        <w:rPr>
          <w:sz w:val="20"/>
          <w:szCs w:val="20"/>
          <w:color w:val="auto"/>
        </w:rPr>
      </w:pPr>
    </w:p>
    <w:p>
      <w:pPr>
        <w:ind w:right="80" w:firstLine="509"/>
        <w:spacing w:after="0" w:line="258" w:lineRule="auto"/>
        <w:rPr>
          <w:sz w:val="20"/>
          <w:szCs w:val="20"/>
          <w:color w:val="auto"/>
        </w:rPr>
      </w:pPr>
      <w:r>
        <w:rPr>
          <w:rFonts w:ascii="Arial" w:cs="Arial" w:eastAsia="Arial" w:hAnsi="Arial"/>
          <w:sz w:val="18"/>
          <w:szCs w:val="18"/>
          <w:color w:val="auto"/>
        </w:rPr>
        <w:t>On December 16, 2020, the Company completed an underwriten public ofering, in which it sold 2,250,000 shares of its common stock at a price of $42.00 per share for total gross proceeds of $94.5 million. The net purchase price afer deductng underwritng discounts and commissions was $39.48 per share, which generated net proceeds of $88.8 million. The Company incurred an additonal $0.2 million of ofering expenses in connecton with this public ofering.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9" w:name="page20"/>
    <w:bookmarkEnd w:id="19"/>
    <w:p>
      <w:pPr>
        <w:ind w:firstLine="509"/>
        <w:spacing w:after="0" w:line="278" w:lineRule="auto"/>
        <w:rPr>
          <w:sz w:val="20"/>
          <w:szCs w:val="20"/>
          <w:color w:val="auto"/>
        </w:rPr>
      </w:pPr>
      <w:r>
        <w:rPr>
          <w:rFonts w:ascii="Arial" w:cs="Arial" w:eastAsia="Arial" w:hAnsi="Arial"/>
          <w:sz w:val="17"/>
          <w:szCs w:val="17"/>
          <w:color w:val="auto"/>
        </w:rPr>
        <w:t>On May 23, 2023, the Company completed an underwriten public ofering, in which it sold 12,793,750 shares of its common stock, which included the exercise in full by the underwriters of their opton to purchase 1,668,750 shares, at a price of $11.75 per share for total gross proceeds of $150.3 million. The net purchase price afer deductng underwritng discounts and commissions was $11.08 per share, which generated net proceeds of $141.8 million. The Company incurred an additonal $0.4 million of ofering expenses in connecton with this public ofering.</w:t>
      </w:r>
    </w:p>
    <w:p>
      <w:pPr>
        <w:spacing w:after="0" w:line="147" w:lineRule="exact"/>
        <w:rPr>
          <w:sz w:val="20"/>
          <w:szCs w:val="20"/>
          <w:color w:val="auto"/>
        </w:rPr>
      </w:pPr>
    </w:p>
    <w:tbl>
      <w:tblPr>
        <w:tblLayout w:type="fixed"/>
        <w:tblInd w:w="520" w:type="dxa"/>
        <w:tblCellMar>
          <w:top w:w="0" w:type="dxa"/>
          <w:left w:w="0" w:type="dxa"/>
          <w:bottom w:w="0" w:type="dxa"/>
          <w:right w:w="0" w:type="dxa"/>
        </w:tblCellMar>
      </w:tblPr>
      <w:tr>
        <w:trPr>
          <w:trHeight w:val="227"/>
        </w:trPr>
        <w:tc>
          <w:tcPr>
            <w:tcW w:w="7080" w:type="dxa"/>
            <w:vAlign w:val="bottom"/>
            <w:gridSpan w:val="2"/>
          </w:tcPr>
          <w:p>
            <w:pPr>
              <w:spacing w:after="0"/>
              <w:rPr>
                <w:sz w:val="20"/>
                <w:szCs w:val="20"/>
                <w:color w:val="auto"/>
              </w:rPr>
            </w:pPr>
            <w:r>
              <w:rPr>
                <w:rFonts w:ascii="Arial" w:cs="Arial" w:eastAsia="Arial" w:hAnsi="Arial"/>
                <w:sz w:val="18"/>
                <w:szCs w:val="18"/>
                <w:color w:val="auto"/>
              </w:rPr>
              <w:t>A summary of the Company’s unvested shares is as follows: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7"/>
        </w:trPr>
        <w:tc>
          <w:tcPr>
            <w:tcW w:w="174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1740" w:type="dxa"/>
            <w:vAlign w:val="bottom"/>
          </w:tcPr>
          <w:p>
            <w:pPr>
              <w:spacing w:after="0"/>
              <w:rPr>
                <w:sz w:val="21"/>
                <w:szCs w:val="21"/>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254,437</w:t>
            </w:r>
          </w:p>
        </w:tc>
        <w:tc>
          <w:tcPr>
            <w:tcW w:w="20" w:type="dxa"/>
            <w:vAlign w:val="bottom"/>
          </w:tcPr>
          <w:p>
            <w:pPr>
              <w:spacing w:after="0"/>
              <w:rPr>
                <w:sz w:val="21"/>
                <w:szCs w:val="21"/>
                <w:color w:val="auto"/>
              </w:rPr>
            </w:pPr>
          </w:p>
        </w:tc>
      </w:tr>
      <w:tr>
        <w:trPr>
          <w:trHeight w:val="236"/>
        </w:trPr>
        <w:tc>
          <w:tcPr>
            <w:tcW w:w="174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Share vestng</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(254,437 )</w:t>
            </w:r>
          </w:p>
        </w:tc>
        <w:tc>
          <w:tcPr>
            <w:tcW w:w="20" w:type="dxa"/>
            <w:vAlign w:val="bottom"/>
          </w:tcPr>
          <w:p>
            <w:pPr>
              <w:spacing w:after="0"/>
              <w:rPr>
                <w:sz w:val="20"/>
                <w:szCs w:val="20"/>
                <w:color w:val="auto"/>
              </w:rPr>
            </w:pPr>
          </w:p>
        </w:tc>
      </w:tr>
      <w:tr>
        <w:trPr>
          <w:trHeight w:val="277"/>
        </w:trPr>
        <w:tc>
          <w:tcPr>
            <w:tcW w:w="1740" w:type="dxa"/>
            <w:vAlign w:val="bottom"/>
          </w:tcPr>
          <w:p>
            <w:pPr>
              <w:spacing w:after="0"/>
              <w:rPr>
                <w:sz w:val="24"/>
                <w:szCs w:val="24"/>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2023</w:t>
            </w:r>
          </w:p>
        </w:tc>
        <w:tc>
          <w:tcPr>
            <w:tcW w:w="16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357"/>
        </w:trPr>
        <w:tc>
          <w:tcPr>
            <w:tcW w:w="8500" w:type="dxa"/>
            <w:vAlign w:val="bottom"/>
            <w:gridSpan w:val="5"/>
          </w:tcPr>
          <w:p>
            <w:pPr>
              <w:spacing w:after="0"/>
              <w:rPr>
                <w:sz w:val="20"/>
                <w:szCs w:val="20"/>
                <w:color w:val="auto"/>
              </w:rPr>
            </w:pPr>
            <w:r>
              <w:rPr>
                <w:rFonts w:ascii="Arial" w:cs="Arial" w:eastAsia="Arial" w:hAnsi="Arial"/>
                <w:sz w:val="18"/>
                <w:szCs w:val="18"/>
                <w:color w:val="auto"/>
              </w:rPr>
              <w:t>For accountng purposes, unvested awards are considered issued, but not outstanding untl they vest.</w:t>
            </w:r>
          </w:p>
        </w:tc>
      </w:tr>
      <w:tr>
        <w:trPr>
          <w:trHeight w:val="405"/>
        </w:trPr>
        <w:tc>
          <w:tcPr>
            <w:tcW w:w="7080" w:type="dxa"/>
            <w:vAlign w:val="bottom"/>
            <w:gridSpan w:val="2"/>
          </w:tcPr>
          <w:p>
            <w:pPr>
              <w:spacing w:after="0"/>
              <w:rPr>
                <w:sz w:val="20"/>
                <w:szCs w:val="20"/>
                <w:color w:val="auto"/>
              </w:rPr>
            </w:pPr>
            <w:r>
              <w:rPr>
                <w:rFonts w:ascii="Arial" w:cs="Arial" w:eastAsia="Arial" w:hAnsi="Arial"/>
                <w:sz w:val="18"/>
                <w:szCs w:val="18"/>
                <w:color w:val="auto"/>
              </w:rPr>
              <w:t>Common stock reserved for future issuance consists of the following:</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17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b w:val="1"/>
                <w:bCs w:val="1"/>
                <w:color w:val="auto"/>
              </w:rPr>
              <w:t>September 30,</w:t>
            </w:r>
          </w:p>
        </w:tc>
      </w:tr>
      <w:tr>
        <w:trPr>
          <w:trHeight w:val="231"/>
        </w:trPr>
        <w:tc>
          <w:tcPr>
            <w:tcW w:w="17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4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r>
      <w:tr>
        <w:trPr>
          <w:trHeight w:val="33"/>
        </w:trPr>
        <w:tc>
          <w:tcPr>
            <w:tcW w:w="17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1740" w:type="dxa"/>
            <w:vAlign w:val="bottom"/>
          </w:tcPr>
          <w:p>
            <w:pPr>
              <w:spacing w:after="0"/>
              <w:rPr>
                <w:sz w:val="20"/>
                <w:szCs w:val="20"/>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91,228</w:t>
            </w:r>
          </w:p>
        </w:tc>
        <w:tc>
          <w:tcPr>
            <w:tcW w:w="20" w:type="dxa"/>
            <w:vAlign w:val="bottom"/>
          </w:tcPr>
          <w:p>
            <w:pPr>
              <w:spacing w:after="0"/>
              <w:rPr>
                <w:sz w:val="20"/>
                <w:szCs w:val="20"/>
                <w:color w:val="auto"/>
              </w:rPr>
            </w:pPr>
          </w:p>
        </w:tc>
      </w:tr>
      <w:tr>
        <w:trPr>
          <w:trHeight w:val="235"/>
        </w:trPr>
        <w:tc>
          <w:tcPr>
            <w:tcW w:w="174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Stock optons and performance-based awards outstanding</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7,992,999</w:t>
            </w:r>
          </w:p>
        </w:tc>
        <w:tc>
          <w:tcPr>
            <w:tcW w:w="20" w:type="dxa"/>
            <w:vAlign w:val="bottom"/>
          </w:tcPr>
          <w:p>
            <w:pPr>
              <w:spacing w:after="0"/>
              <w:rPr>
                <w:sz w:val="20"/>
                <w:szCs w:val="20"/>
                <w:color w:val="auto"/>
              </w:rPr>
            </w:pPr>
          </w:p>
        </w:tc>
      </w:tr>
      <w:tr>
        <w:trPr>
          <w:trHeight w:val="251"/>
        </w:trPr>
        <w:tc>
          <w:tcPr>
            <w:tcW w:w="1740" w:type="dxa"/>
            <w:vAlign w:val="bottom"/>
          </w:tcPr>
          <w:p>
            <w:pPr>
              <w:spacing w:after="0"/>
              <w:rPr>
                <w:sz w:val="21"/>
                <w:szCs w:val="21"/>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issuance under the 2019 Incentve Plan</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1,482,309</w:t>
            </w:r>
          </w:p>
        </w:tc>
        <w:tc>
          <w:tcPr>
            <w:tcW w:w="20" w:type="dxa"/>
            <w:vAlign w:val="bottom"/>
          </w:tcPr>
          <w:p>
            <w:pPr>
              <w:spacing w:after="0"/>
              <w:rPr>
                <w:sz w:val="21"/>
                <w:szCs w:val="21"/>
                <w:color w:val="auto"/>
              </w:rPr>
            </w:pPr>
          </w:p>
        </w:tc>
      </w:tr>
      <w:tr>
        <w:trPr>
          <w:trHeight w:val="236"/>
        </w:trPr>
        <w:tc>
          <w:tcPr>
            <w:tcW w:w="174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Shares available for issuance under the ESPP Plan</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973,298</w:t>
            </w:r>
          </w:p>
        </w:tc>
        <w:tc>
          <w:tcPr>
            <w:tcW w:w="20" w:type="dxa"/>
            <w:vAlign w:val="bottom"/>
          </w:tcPr>
          <w:p>
            <w:pPr>
              <w:spacing w:after="0"/>
              <w:rPr>
                <w:sz w:val="20"/>
                <w:szCs w:val="20"/>
                <w:color w:val="auto"/>
              </w:rPr>
            </w:pPr>
          </w:p>
        </w:tc>
      </w:tr>
      <w:tr>
        <w:trPr>
          <w:trHeight w:val="277"/>
        </w:trPr>
        <w:tc>
          <w:tcPr>
            <w:tcW w:w="1740" w:type="dxa"/>
            <w:vAlign w:val="bottom"/>
          </w:tcPr>
          <w:p>
            <w:pPr>
              <w:spacing w:after="0"/>
              <w:rPr>
                <w:sz w:val="24"/>
                <w:szCs w:val="24"/>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2023</w:t>
            </w: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10,539,834</w:t>
            </w:r>
          </w:p>
        </w:tc>
        <w:tc>
          <w:tcPr>
            <w:tcW w:w="20" w:type="dxa"/>
            <w:vAlign w:val="bottom"/>
          </w:tcPr>
          <w:p>
            <w:pPr>
              <w:spacing w:after="0"/>
              <w:rPr>
                <w:sz w:val="24"/>
                <w:szCs w:val="24"/>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00" w:lineRule="exact"/>
        <w:rPr>
          <w:sz w:val="20"/>
          <w:szCs w:val="20"/>
          <w:color w:val="auto"/>
        </w:rPr>
      </w:pPr>
    </w:p>
    <w:p>
      <w:pPr>
        <w:ind w:right="220" w:firstLine="509"/>
        <w:spacing w:after="0" w:line="273" w:lineRule="auto"/>
        <w:rPr>
          <w:sz w:val="20"/>
          <w:szCs w:val="20"/>
          <w:color w:val="auto"/>
        </w:rPr>
      </w:pPr>
      <w:r>
        <w:rPr>
          <w:rFonts w:ascii="Arial" w:cs="Arial" w:eastAsia="Arial" w:hAnsi="Arial"/>
          <w:sz w:val="18"/>
          <w:szCs w:val="18"/>
          <w:color w:val="auto"/>
        </w:rPr>
        <w:t>The Company is authorized to issue up to 40 million shares of preferred stock. As of September 30, 2023 and December 31, 2022, there were no shares of preferred stock issued or outstanding.</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Equity Incentve Plan</w:t>
      </w:r>
    </w:p>
    <w:p>
      <w:pPr>
        <w:spacing w:after="0" w:line="187" w:lineRule="exact"/>
        <w:rPr>
          <w:sz w:val="20"/>
          <w:szCs w:val="20"/>
          <w:color w:val="auto"/>
        </w:rPr>
      </w:pPr>
    </w:p>
    <w:p>
      <w:pPr>
        <w:ind w:right="240" w:firstLine="509"/>
        <w:spacing w:after="0" w:line="274" w:lineRule="auto"/>
        <w:rPr>
          <w:sz w:val="20"/>
          <w:szCs w:val="20"/>
          <w:color w:val="auto"/>
        </w:rPr>
      </w:pPr>
      <w:r>
        <w:rPr>
          <w:rFonts w:ascii="Arial" w:cs="Arial" w:eastAsia="Arial" w:hAnsi="Arial"/>
          <w:sz w:val="17"/>
          <w:szCs w:val="17"/>
          <w:color w:val="auto"/>
        </w:rPr>
        <w:t>The Company’s 2019 Equity Incentve Plan, or the Existng Incentve Plan, provides for the grant of incentve stock optons, non-statutory stock optons, stock appreciaton rights, restricted stock awards, restricted stock unit, or RSU, awards, and other stock awards to eligible recipients, including employees, directors or consultants of the Company. The Company had 2,231,739 shares of common stock authorized for issuance under the Existng Incentve Plan, of which, 1,400,528 stock optons and 16,260 restricted stock awards were granted. As a result of the adopton of the 2019 Incentve Award Plan, or the 2019 Plan, in October 2019, no further shares are available for issuance under the Existng Incentve Plan.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Incentve Award Plan</w:t>
      </w:r>
    </w:p>
    <w:p>
      <w:pPr>
        <w:spacing w:after="0" w:line="187"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In October 2019, the board of directors adopted, and the Company’s stockholders approved, the 2019 Plan, which became efectve in connecton with the IPO. Under the 2019 Plan, the Company may grant stock optons, stock appreciaton rights, restricted stock, RSUs and other awards to individuals who are then employees, ofcers, non-employee directors or consultants of the Company or its subsidiaries. The number of shares initally available for issuance will be increased by (i) the number of shares subject to stock optons or similar awards granted under the Existng Incentve Plan that expire or otherwise terminate without having been exercised in full afer the efectve date of the 2019 Plan and unvested shares issued pursuant to awards granted under the Existng Incentve Plan that are forfeited to or repurchased by the Company afer the efectve date of the 2019 Plan, with the maximum number of shares to be added to the 2019 Plan pursuant to clause (i) above equal to 1,416,788 shares, and (ii) an annual increase on January 1 of each calendar year beginning in 2020 and ending in 2029, equal to the lesser of (a) 5% of the shares of common stock outstanding on the fnal day of the immediately preceding calendar year and (b) such smaller number of shares as determined by the board of directors.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20" w:name="page21"/>
    <w:bookmarkEnd w:id="20"/>
    <w:p>
      <w:pPr>
        <w:ind w:right="40" w:firstLine="549"/>
        <w:spacing w:after="0" w:line="255" w:lineRule="auto"/>
        <w:rPr>
          <w:sz w:val="20"/>
          <w:szCs w:val="20"/>
          <w:color w:val="auto"/>
        </w:rPr>
      </w:pPr>
      <w:r>
        <w:rPr>
          <w:rFonts w:ascii="Arial" w:cs="Arial" w:eastAsia="Arial" w:hAnsi="Arial"/>
          <w:sz w:val="18"/>
          <w:szCs w:val="18"/>
          <w:color w:val="auto"/>
        </w:rPr>
        <w:t>On July 14, 2023, the Company completed a voluntary, one-tme stock opton exchange program, or the Opton Exchange, pursuant to which eligible employees were able to exchange certain outstanding stock optons granted under the 2019 Plan for a lesser amount of new RSUs issued under the 2019 Plan. Partcipants in the Opton Exchange received one RSU for every two shares of Phathom common stock underlying the eligible optons surrendered. This exchange rato was applied on a grant by grant basis. The Opton Exchange resulted in 2,406,622 optons being exchanged for 1,203,341 RSUs. The Company will recognize an additonal $2.2 million of incremental expense related to the Opton Exchange to be recognized over a three-year vestng period.</w:t>
      </w:r>
    </w:p>
    <w:p>
      <w:pPr>
        <w:spacing w:after="0" w:line="165" w:lineRule="exact"/>
        <w:rPr>
          <w:sz w:val="20"/>
          <w:szCs w:val="20"/>
          <w:color w:val="auto"/>
        </w:rPr>
      </w:pPr>
    </w:p>
    <w:p>
      <w:pPr>
        <w:ind w:right="120" w:firstLine="509"/>
        <w:spacing w:after="0" w:line="262" w:lineRule="auto"/>
        <w:rPr>
          <w:sz w:val="20"/>
          <w:szCs w:val="20"/>
          <w:color w:val="auto"/>
        </w:rPr>
      </w:pPr>
      <w:r>
        <w:rPr>
          <w:rFonts w:ascii="Arial" w:cs="Arial" w:eastAsia="Arial" w:hAnsi="Arial"/>
          <w:sz w:val="18"/>
          <w:szCs w:val="18"/>
          <w:color w:val="auto"/>
        </w:rPr>
        <w:t>As of September 30, 2023, 1,482,309 shares remain available for issuance under the 2019 Plan, which refects 4,004,186 of stock opton, performance-based unit, or PSU, and RSU awards granted, and 2,442,445 of awards cancelled or forfeited, during the nine months ended September 30, 2023 as well as an annual increase of 2,086,165 shares authorized on January 1, 2023.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Units</w:t>
      </w:r>
    </w:p>
    <w:p>
      <w:pPr>
        <w:spacing w:after="0" w:line="187" w:lineRule="exact"/>
        <w:rPr>
          <w:sz w:val="20"/>
          <w:szCs w:val="20"/>
          <w:color w:val="auto"/>
        </w:rPr>
      </w:pPr>
    </w:p>
    <w:p>
      <w:pPr>
        <w:ind w:right="200" w:firstLine="509"/>
        <w:spacing w:after="0" w:line="300" w:lineRule="auto"/>
        <w:rPr>
          <w:sz w:val="20"/>
          <w:szCs w:val="20"/>
          <w:color w:val="auto"/>
        </w:rPr>
      </w:pPr>
      <w:r>
        <w:rPr>
          <w:rFonts w:ascii="Arial" w:cs="Arial" w:eastAsia="Arial" w:hAnsi="Arial"/>
          <w:sz w:val="16"/>
          <w:szCs w:val="16"/>
          <w:color w:val="auto"/>
        </w:rPr>
        <w:t xml:space="preserve">During 2020, the Company granted the inital PSUs whereby vestng depends upon the approval by the FDA of vonoprazan for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and then, or concurrent with, Erosive GERD. In 2022, the Company granted an additonal 37,500 PSUs to employees. In 2023, the Company granted an additonal 597,650 PSUs to employees. As of September 30, 2023, the PSU milestones had not been achieved and no related compensaton cost had been recognized. The following table summarizes PSU actvity under the 2019 Incentve Award Plan during the nine months ended September 30, 2023.</w:t>
      </w:r>
    </w:p>
    <w:p>
      <w:pPr>
        <w:spacing w:after="0" w:line="145"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4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Average Grant</w:t>
            </w:r>
          </w:p>
        </w:tc>
      </w:tr>
      <w:tr>
        <w:trPr>
          <w:trHeight w:val="216"/>
        </w:trPr>
        <w:tc>
          <w:tcPr>
            <w:tcW w:w="474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Date Fair Value</w:t>
            </w:r>
          </w:p>
        </w:tc>
      </w:tr>
      <w:tr>
        <w:trPr>
          <w:trHeight w:val="231"/>
        </w:trPr>
        <w:tc>
          <w:tcPr>
            <w:tcW w:w="4740" w:type="dxa"/>
            <w:vAlign w:val="bottom"/>
          </w:tcPr>
          <w:p>
            <w:pPr>
              <w:spacing w:after="0"/>
              <w:rPr>
                <w:sz w:val="20"/>
                <w:szCs w:val="20"/>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b w:val="1"/>
                <w:bCs w:val="1"/>
                <w:color w:val="auto"/>
              </w:rPr>
              <w:t>Stock Units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83"/>
              </w:rPr>
              <w:t>Per Share</w:t>
            </w:r>
          </w:p>
        </w:tc>
      </w:tr>
      <w:tr>
        <w:trPr>
          <w:trHeight w:val="33"/>
        </w:trPr>
        <w:tc>
          <w:tcPr>
            <w:tcW w:w="47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Unvested balance at December 31, 2022</w:t>
            </w:r>
          </w:p>
        </w:tc>
        <w:tc>
          <w:tcPr>
            <w:tcW w:w="1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412,300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30.97</w:t>
            </w:r>
          </w:p>
        </w:tc>
      </w:tr>
      <w:tr>
        <w:trPr>
          <w:trHeight w:val="235"/>
        </w:trPr>
        <w:tc>
          <w:tcPr>
            <w:tcW w:w="4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597,650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10.89</w:t>
            </w:r>
          </w:p>
        </w:tc>
      </w:tr>
      <w:tr>
        <w:trPr>
          <w:trHeight w:val="251"/>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September 30, 2023</w:t>
            </w: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1,009,950</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right="520" w:firstLine="509"/>
        <w:spacing w:after="0" w:line="273" w:lineRule="auto"/>
        <w:rPr>
          <w:sz w:val="20"/>
          <w:szCs w:val="20"/>
          <w:color w:val="auto"/>
        </w:rPr>
      </w:pPr>
      <w:r>
        <w:rPr>
          <w:rFonts w:ascii="Arial" w:cs="Arial" w:eastAsia="Arial" w:hAnsi="Arial"/>
          <w:sz w:val="18"/>
          <w:szCs w:val="18"/>
          <w:color w:val="auto"/>
        </w:rPr>
        <w:t>As of September 30, 2023, there was approximately $19.3 million of related unrecognized stock-based compensaton expense, which will be recognized as the awards vest.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RSU actvity under the 2019 Incentve Award Plan during the nine months ended September 30, 2023.</w:t>
      </w:r>
    </w:p>
    <w:p>
      <w:pPr>
        <w:spacing w:after="0" w:line="196"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Weighted-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Average Grant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Date Fair Value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720" w:type="dxa"/>
            <w:vAlign w:val="bottom"/>
          </w:tcPr>
          <w:p>
            <w:pPr>
              <w:spacing w:after="0"/>
              <w:rPr>
                <w:sz w:val="20"/>
                <w:szCs w:val="20"/>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Stock Units</w:t>
            </w:r>
          </w:p>
        </w:tc>
        <w:tc>
          <w:tcPr>
            <w:tcW w:w="16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Per Share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20" w:type="dxa"/>
            <w:vAlign w:val="bottom"/>
            <w:vMerge w:val="restart"/>
          </w:tcPr>
          <w:p>
            <w:pPr>
              <w:spacing w:after="0"/>
              <w:rPr>
                <w:sz w:val="20"/>
                <w:szCs w:val="20"/>
                <w:color w:val="auto"/>
              </w:rPr>
            </w:pPr>
            <w:r>
              <w:rPr>
                <w:rFonts w:ascii="Arial" w:cs="Arial" w:eastAsia="Arial" w:hAnsi="Arial"/>
                <w:sz w:val="18"/>
                <w:szCs w:val="18"/>
                <w:color w:val="auto"/>
              </w:rPr>
              <w:t>Unvested balance at December 31, 2022</w:t>
            </w:r>
          </w:p>
        </w:tc>
        <w:tc>
          <w:tcPr>
            <w:tcW w:w="1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720" w:type="dxa"/>
            <w:vAlign w:val="bottom"/>
            <w:vMerge w:val="continue"/>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877,467</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2,237,376</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20" w:type="dxa"/>
            <w:vAlign w:val="bottom"/>
          </w:tcPr>
          <w:p>
            <w:pPr>
              <w:ind w:left="180"/>
              <w:spacing w:after="0"/>
              <w:rPr>
                <w:sz w:val="20"/>
                <w:szCs w:val="20"/>
                <w:color w:val="auto"/>
              </w:rPr>
            </w:pPr>
            <w:r>
              <w:rPr>
                <w:rFonts w:ascii="Arial" w:cs="Arial" w:eastAsia="Arial" w:hAnsi="Arial"/>
                <w:sz w:val="18"/>
                <w:szCs w:val="18"/>
                <w:color w:val="auto"/>
              </w:rPr>
              <w:t>Vested</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(428,558 )</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Forfeited</w:t>
            </w: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(2,817 )</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Unvested balance at September 30, 2023</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2,683,468</w:t>
            </w:r>
          </w:p>
        </w:tc>
        <w:tc>
          <w:tcPr>
            <w:tcW w:w="1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-170815</wp:posOffset>
            </wp:positionV>
            <wp:extent cx="5143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5143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23" w:lineRule="exact"/>
        <w:rPr>
          <w:sz w:val="20"/>
          <w:szCs w:val="20"/>
          <w:color w:val="auto"/>
        </w:rPr>
      </w:pPr>
    </w:p>
    <w:p>
      <w:pPr>
        <w:ind w:firstLine="509"/>
        <w:spacing w:after="0" w:line="273" w:lineRule="auto"/>
        <w:rPr>
          <w:sz w:val="20"/>
          <w:szCs w:val="20"/>
          <w:color w:val="auto"/>
        </w:rPr>
      </w:pPr>
      <w:r>
        <w:rPr>
          <w:rFonts w:ascii="Arial" w:cs="Arial" w:eastAsia="Arial" w:hAnsi="Arial"/>
          <w:sz w:val="18"/>
          <w:szCs w:val="18"/>
          <w:color w:val="auto"/>
        </w:rPr>
        <w:t>As of September 30, 2023, the Company had $29.4 million of unrecognized stock-based compensaton expense, which is expected to be recognized over a weighted-average period of 2.5 years.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00"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In October 2019, the board of directors adopted, and the Company’s stockholders approved, the Employee Stock Purchase Plan, or the ESPP, which became efectve in connecton with the IPO. The ESPP permits partcipants to purchase common stock through payroll deductons of up to 20% of their eligible compensaton, which includes a partcipant’s gross base compensaton for services to the Company, including overtme payments and excluding sales commissions, incentve compensaton, bonuses, expense reimbursements, fringe benefts and other special payments. A total of 270,000 shares of common stock were initally reserved for issuance under the ESPP. In additon, the number of shares available for issuance under the ESPP will be annually increased on January 1 of each calendar year beginning in 2020 and ending in 2029, by an amount equal to the lesser of: (i) 1% of the shares outstanding on the fnal day of the immediately preceding calendar year and (ii) such smaller number of shares as is determined by the board of directors. As of September 30, 2023, 973,298 shares of common stock remain available for issuance, which includes the 196,873 shares sold to employees during the nine months ended September 30, 2023 as well as an annual increase of 417,233 shares authorized on January 1, 2023.</w:t>
      </w:r>
    </w:p>
    <w:p>
      <w:pPr>
        <w:spacing w:after="0" w:line="132" w:lineRule="exact"/>
        <w:rPr>
          <w:sz w:val="20"/>
          <w:szCs w:val="20"/>
          <w:color w:val="auto"/>
        </w:rPr>
      </w:pPr>
    </w:p>
    <w:p>
      <w:pPr>
        <w:jc w:val="both"/>
        <w:ind w:right="140" w:firstLine="509"/>
        <w:spacing w:after="0" w:line="309" w:lineRule="auto"/>
        <w:rPr>
          <w:sz w:val="20"/>
          <w:szCs w:val="20"/>
          <w:color w:val="auto"/>
        </w:rPr>
      </w:pPr>
      <w:r>
        <w:rPr>
          <w:rFonts w:ascii="Arial" w:cs="Arial" w:eastAsia="Arial" w:hAnsi="Arial"/>
          <w:sz w:val="16"/>
          <w:szCs w:val="16"/>
          <w:color w:val="auto"/>
        </w:rPr>
        <w:t>The ESPP is considered a compensatory plan, and for the three and nine month period ended September 30, 2023 the Company recorded related stock-based compensaton of $0.1 million and $0.4 million respectvely, compared to $0 and $0.3 million respectvely, for the same periods in 2022. The weighted-average assumptons used to estmate the fair value of ESPP awards using the Black-Scholes opton valuaton model were as follows:</w:t>
      </w:r>
    </w:p>
    <w:p>
      <w:pPr>
        <w:spacing w:after="0" w:line="124"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8"/>
              </w:rPr>
              <w:t>Nine Months Ended</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7"/>
              </w:rPr>
              <w:t>September 30,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ind w:left="4780"/>
              <w:spacing w:after="0"/>
              <w:rPr>
                <w:sz w:val="20"/>
                <w:szCs w:val="20"/>
                <w:color w:val="auto"/>
              </w:rPr>
            </w:pPr>
            <w:r>
              <w:rPr>
                <w:rFonts w:ascii="Arial" w:cs="Arial" w:eastAsia="Arial" w:hAnsi="Arial"/>
                <w:sz w:val="18"/>
                <w:szCs w:val="18"/>
                <w:b w:val="1"/>
                <w:bCs w:val="1"/>
                <w:color w:val="auto"/>
                <w:w w:val="94"/>
              </w:rPr>
              <w:t>2023</w:t>
            </w:r>
          </w:p>
        </w:tc>
        <w:tc>
          <w:tcPr>
            <w:tcW w:w="20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Assumptons:</w:t>
            </w:r>
          </w:p>
        </w:tc>
        <w:tc>
          <w:tcPr>
            <w:tcW w:w="10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Expected term (in years)</w:t>
            </w:r>
          </w:p>
        </w:tc>
        <w:tc>
          <w:tcPr>
            <w:tcW w:w="68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Expected volatlity</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69.73 %</w:t>
            </w:r>
          </w:p>
        </w:tc>
        <w:tc>
          <w:tcPr>
            <w:tcW w:w="12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68.59 %</w:t>
            </w:r>
          </w:p>
        </w:tc>
        <w:tc>
          <w:tcPr>
            <w:tcW w:w="0" w:type="dxa"/>
            <w:vAlign w:val="bottom"/>
          </w:tcPr>
          <w:p>
            <w:pPr>
              <w:spacing w:after="0"/>
              <w:rPr>
                <w:sz w:val="1"/>
                <w:szCs w:val="1"/>
                <w:color w:val="auto"/>
              </w:rPr>
            </w:pPr>
          </w:p>
        </w:tc>
      </w:tr>
      <w:tr>
        <w:trPr>
          <w:trHeight w:val="240"/>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Risk free interest rate</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5.03 %</w:t>
            </w:r>
          </w:p>
        </w:tc>
        <w:tc>
          <w:tcPr>
            <w:tcW w:w="12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35"/>
        </w:trPr>
        <w:tc>
          <w:tcPr>
            <w:tcW w:w="5180" w:type="dxa"/>
            <w:vAlign w:val="bottom"/>
            <w:gridSpan w:val="2"/>
          </w:tcPr>
          <w:p>
            <w:pPr>
              <w:spacing w:after="0"/>
              <w:rPr>
                <w:sz w:val="3"/>
                <w:szCs w:val="3"/>
                <w:color w:val="auto"/>
              </w:rPr>
            </w:pPr>
          </w:p>
        </w:tc>
        <w:tc>
          <w:tcPr>
            <w:tcW w:w="2040" w:type="dxa"/>
            <w:vAlign w:val="bottom"/>
            <w:gridSpan w:val="3"/>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1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Dividend yield</w:t>
            </w:r>
          </w:p>
        </w:tc>
        <w:tc>
          <w:tcPr>
            <w:tcW w:w="2040" w:type="dxa"/>
            <w:vAlign w:val="bottom"/>
            <w:gridSpan w:val="3"/>
            <w:shd w:val="clear" w:color="auto" w:fill="CFF0FC"/>
          </w:tcPr>
          <w:p>
            <w:pPr>
              <w:jc w:val="right"/>
              <w:ind w:right="1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-462280</wp:posOffset>
            </wp:positionV>
            <wp:extent cx="4989195"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estmated weighted-average fair value of ESPP awards for the nine months ended September 30, 2023 and 2022, were $3.64 and $3.98,</w:t>
      </w:r>
    </w:p>
    <w:p>
      <w:pPr>
        <w:spacing w:after="0" w:line="31"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respectvely. As of September 30, 2023, the total unrecognized compensaton expense related to the ESPP was less than $0.2 million, which is expected to be recognized over a weighted-average period of approximately 0.3 years.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8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Company established a 401(k) savings plan during the year ended December 31, 2020. The Company’s contributons to the plan are discretonary. During the three and nine months ended September 30, 2023, the Company incurred $0.3 million and $1.5 million, respectvely, of expense related to estmated employer contributon liabilites, which was based on a 75% match of employees’ contributons during the periods, compared to $0.2 million and $1.1 million, respectvely, for the same periods in 2022. In August 2021, the Board of Directors approved a semi-annual discretonary match for 2021, which was setled by contributng 18,394 shares. In January 2022, the Board of Directors approved a second semi-annual discretonary match for 2021, which was setled by contributng 16,756 shares. In July 2022, the Board of Directors approved a semi-annual match for 2022, which was setled by contributng 84,784 shares. In January 2023, the Board of Directors approved a semi-annual match for 2022, which was setled by contributon 52,130 shares. In July 2023, the Board of Directors approved a semi-annual match for 2023, which was setled by contributng 83,826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Optons</w:t>
      </w:r>
    </w:p>
    <w:p>
      <w:pPr>
        <w:spacing w:after="0" w:line="187"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The fair value of each employee and non-employee stock opton grant is estmated on the date of grant using the Black-Scholes opton-pricing model. The Company, prior to the IPO on October 29, 2019, was a private company and lacked company-specifc historical and implied volatlity informaton. Therefore, it estmated its expected volatlity based on the historical volatlity of a publicly traded set of peer companies. Due to the lack of historical exercise history, the expected term of the Company’s stock optons for employees was determined utlizing the “simplifed” method for awards. The expected term of stock optons granted to non-employees was equal to the contractual term of the opton award. The risk-free interest rate was determined by reference to the U.S. Treasury yield curve in efect at the tme of grant of the award for tme periods approximately equal to the expected term of the award. Expected dividend yield was zero based on the fact that the Company has never paid cash dividends and does not expect to pay any cash dividends in the foreseeable future.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A summary of the Company’s stock opton actvity and related informaton is as follows:</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Weighted-</w:t>
            </w:r>
          </w:p>
        </w:tc>
        <w:tc>
          <w:tcPr>
            <w:tcW w:w="1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Average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Aggregate</w:t>
            </w:r>
          </w:p>
        </w:tc>
      </w:tr>
      <w:tr>
        <w:trPr>
          <w:trHeight w:val="216"/>
        </w:trPr>
        <w:tc>
          <w:tcPr>
            <w:tcW w:w="4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4"/>
              </w:rPr>
              <w:t>Average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4"/>
              </w:rPr>
              <w:t>Remaining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Intrinsic</w:t>
            </w:r>
          </w:p>
        </w:tc>
      </w:tr>
      <w:tr>
        <w:trPr>
          <w:trHeight w:val="216"/>
        </w:trPr>
        <w:tc>
          <w:tcPr>
            <w:tcW w:w="462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Optons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0"/>
              </w:rPr>
              <w:t>Exercise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5"/>
              </w:rPr>
              <w:t>Contractual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Value (in</w:t>
            </w:r>
          </w:p>
        </w:tc>
      </w:tr>
      <w:tr>
        <w:trPr>
          <w:trHeight w:val="231"/>
        </w:trPr>
        <w:tc>
          <w:tcPr>
            <w:tcW w:w="462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Outstanding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1"/>
              </w:rPr>
              <w:t>Price</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Term</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thousands)</w:t>
            </w:r>
          </w:p>
        </w:tc>
      </w:tr>
      <w:tr>
        <w:trPr>
          <w:trHeight w:val="33"/>
        </w:trPr>
        <w:tc>
          <w:tcPr>
            <w:tcW w:w="46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5,586,470</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23.40</w:t>
            </w: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7.90</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4,476</w:t>
            </w:r>
          </w:p>
        </w:tc>
      </w:tr>
      <w:tr>
        <w:trPr>
          <w:trHeight w:val="235"/>
        </w:trPr>
        <w:tc>
          <w:tcPr>
            <w:tcW w:w="4620" w:type="dxa"/>
            <w:vAlign w:val="bottom"/>
          </w:tcPr>
          <w:p>
            <w:pPr>
              <w:ind w:left="180"/>
              <w:spacing w:after="0"/>
              <w:rPr>
                <w:sz w:val="20"/>
                <w:szCs w:val="20"/>
                <w:color w:val="auto"/>
              </w:rPr>
            </w:pPr>
            <w:r>
              <w:rPr>
                <w:rFonts w:ascii="Arial" w:cs="Arial" w:eastAsia="Arial" w:hAnsi="Arial"/>
                <w:sz w:val="18"/>
                <w:szCs w:val="18"/>
                <w:color w:val="auto"/>
              </w:rPr>
              <w:t>Optons granted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1,169,160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1"/>
        </w:trPr>
        <w:tc>
          <w:tcPr>
            <w:tcW w:w="4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Optons exercised</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(16,421 )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Optons cancelled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(2,439,628 )</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36.53</w:t>
            </w:r>
          </w:p>
        </w:tc>
        <w:tc>
          <w:tcPr>
            <w:tcW w:w="1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37"/>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2023</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4,299,581</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12.04</w:t>
            </w:r>
          </w:p>
        </w:tc>
        <w:tc>
          <w:tcPr>
            <w:tcW w:w="1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7.80</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5,549</w:t>
            </w:r>
          </w:p>
        </w:tc>
      </w:tr>
      <w:tr>
        <w:trPr>
          <w:trHeight w:val="236"/>
        </w:trPr>
        <w:tc>
          <w:tcPr>
            <w:tcW w:w="4620" w:type="dxa"/>
            <w:vAlign w:val="bottom"/>
          </w:tcPr>
          <w:p>
            <w:pPr>
              <w:ind w:left="180"/>
              <w:spacing w:after="0"/>
              <w:rPr>
                <w:sz w:val="20"/>
                <w:szCs w:val="20"/>
                <w:color w:val="auto"/>
              </w:rPr>
            </w:pPr>
            <w:r>
              <w:rPr>
                <w:rFonts w:ascii="Arial" w:cs="Arial" w:eastAsia="Arial" w:hAnsi="Arial"/>
                <w:sz w:val="18"/>
                <w:szCs w:val="18"/>
                <w:color w:val="auto"/>
              </w:rPr>
              <w:t>Optons exercisable as of September 30, 2023</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2,075,139</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6.69</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-170815</wp:posOffset>
            </wp:positionV>
            <wp:extent cx="8572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-170815</wp:posOffset>
            </wp:positionV>
            <wp:extent cx="7683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8572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123" w:lineRule="exact"/>
        <w:rPr>
          <w:sz w:val="20"/>
          <w:szCs w:val="20"/>
          <w:color w:val="auto"/>
        </w:rPr>
      </w:pPr>
    </w:p>
    <w:p>
      <w:pPr>
        <w:ind w:right="120" w:firstLine="509"/>
        <w:spacing w:after="0" w:line="262" w:lineRule="auto"/>
        <w:rPr>
          <w:sz w:val="20"/>
          <w:szCs w:val="20"/>
          <w:color w:val="auto"/>
        </w:rPr>
      </w:pPr>
      <w:r>
        <w:rPr>
          <w:rFonts w:ascii="Arial" w:cs="Arial" w:eastAsia="Arial" w:hAnsi="Arial"/>
          <w:sz w:val="18"/>
          <w:szCs w:val="18"/>
          <w:color w:val="auto"/>
        </w:rPr>
        <w:t>The estmated weighted-average fair value of employee and nonemployee director stock optons granted during 2023 was $5.38 per opton. As of September 30, 2023, the Company had $13.9 million of unrecognized stock-based compensaton expense, which is expected to be recognized over a weighted-average period of 2.3 years.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weighted-average assumptons used to estmate the fair value of stock optons using the Black-Scholes opton valuaton model were as follows: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00" w:type="dxa"/>
            <w:vAlign w:val="bottom"/>
            <w:vMerge w:val="restart"/>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00" w:type="dxa"/>
            <w:vAlign w:val="bottom"/>
            <w:vMerge w:val="continue"/>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Assumptons:</w:t>
            </w:r>
          </w:p>
        </w:tc>
        <w:tc>
          <w:tcPr>
            <w:tcW w:w="13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Expected term (in years)</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Expected volatlity</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64.10 %</w:t>
            </w:r>
          </w:p>
        </w:tc>
        <w:tc>
          <w:tcPr>
            <w:tcW w:w="8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66.01 %</w:t>
            </w:r>
          </w:p>
        </w:tc>
        <w:tc>
          <w:tcPr>
            <w:tcW w:w="0" w:type="dxa"/>
            <w:vAlign w:val="bottom"/>
          </w:tcPr>
          <w:p>
            <w:pPr>
              <w:spacing w:after="0"/>
              <w:rPr>
                <w:sz w:val="1"/>
                <w:szCs w:val="1"/>
                <w:color w:val="auto"/>
              </w:rPr>
            </w:pPr>
          </w:p>
        </w:tc>
      </w:tr>
      <w:tr>
        <w:trPr>
          <w:trHeight w:val="240"/>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Risk free interest rate</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3.50 %</w:t>
            </w:r>
          </w:p>
        </w:tc>
        <w:tc>
          <w:tcPr>
            <w:tcW w:w="8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35"/>
        </w:trPr>
        <w:tc>
          <w:tcPr>
            <w:tcW w:w="4720" w:type="dxa"/>
            <w:vAlign w:val="bottom"/>
            <w:gridSpan w:val="2"/>
          </w:tcPr>
          <w:p>
            <w:pPr>
              <w:spacing w:after="0"/>
              <w:rPr>
                <w:sz w:val="3"/>
                <w:szCs w:val="3"/>
                <w:color w:val="auto"/>
              </w:rPr>
            </w:pPr>
          </w:p>
        </w:tc>
        <w:tc>
          <w:tcPr>
            <w:tcW w:w="1700" w:type="dxa"/>
            <w:vAlign w:val="bottom"/>
            <w:gridSpan w:val="3"/>
          </w:tcPr>
          <w:p>
            <w:pPr>
              <w:spacing w:after="0"/>
              <w:rPr>
                <w:sz w:val="3"/>
                <w:szCs w:val="3"/>
                <w:color w:val="auto"/>
              </w:rPr>
            </w:pPr>
          </w:p>
        </w:tc>
        <w:tc>
          <w:tcPr>
            <w:tcW w:w="14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7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Dividend yield</w:t>
            </w:r>
          </w:p>
        </w:tc>
        <w:tc>
          <w:tcPr>
            <w:tcW w:w="1700" w:type="dxa"/>
            <w:vAlign w:val="bottom"/>
            <w:gridSpan w:val="3"/>
            <w:shd w:val="clear" w:color="auto" w:fill="CFF0FC"/>
          </w:tcPr>
          <w:p>
            <w:pPr>
              <w:jc w:val="right"/>
              <w:ind w:right="10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-462280</wp:posOffset>
            </wp:positionV>
            <wp:extent cx="4989195"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Compensaton Expense</w:t>
      </w:r>
    </w:p>
    <w:p>
      <w:pPr>
        <w:spacing w:after="0" w:line="187" w:lineRule="exact"/>
        <w:rPr>
          <w:sz w:val="20"/>
          <w:szCs w:val="20"/>
          <w:color w:val="auto"/>
        </w:rPr>
      </w:pPr>
    </w:p>
    <w:p>
      <w:pPr>
        <w:ind w:right="220" w:firstLine="509"/>
        <w:spacing w:after="0" w:line="273" w:lineRule="auto"/>
        <w:rPr>
          <w:sz w:val="20"/>
          <w:szCs w:val="20"/>
          <w:color w:val="auto"/>
        </w:rPr>
      </w:pPr>
      <w:r>
        <w:rPr>
          <w:rFonts w:ascii="Arial" w:cs="Arial" w:eastAsia="Arial" w:hAnsi="Arial"/>
          <w:sz w:val="18"/>
          <w:szCs w:val="18"/>
          <w:color w:val="auto"/>
        </w:rPr>
        <w:t>Stock-based compensaton expense recognized for all equity awards, including founder stock, has been reported in the statements of operatons and comprehensive loss as follows (in thousands):</w:t>
      </w:r>
    </w:p>
    <w:p>
      <w:pPr>
        <w:spacing w:after="0" w:line="162"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86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89"/>
              </w:rPr>
              <w:t>Nine Months Ended</w:t>
            </w:r>
          </w:p>
        </w:tc>
      </w:tr>
      <w:tr>
        <w:trPr>
          <w:trHeight w:val="231"/>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September 30,</w:t>
            </w:r>
          </w:p>
        </w:tc>
      </w:tr>
      <w:tr>
        <w:trPr>
          <w:trHeight w:val="243"/>
        </w:trPr>
        <w:tc>
          <w:tcPr>
            <w:tcW w:w="4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r>
      <w:tr>
        <w:trPr>
          <w:trHeight w:val="33"/>
        </w:trPr>
        <w:tc>
          <w:tcPr>
            <w:tcW w:w="4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1,397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4,977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3,876</w:t>
            </w:r>
          </w:p>
        </w:tc>
      </w:tr>
      <w:tr>
        <w:trPr>
          <w:trHeight w:val="236"/>
        </w:trPr>
        <w:tc>
          <w:tcPr>
            <w:tcW w:w="4660" w:type="dxa"/>
            <w:vAlign w:val="bottom"/>
          </w:tcPr>
          <w:p>
            <w:pPr>
              <w:ind w:left="20"/>
              <w:spacing w:after="0"/>
              <w:rPr>
                <w:sz w:val="20"/>
                <w:szCs w:val="20"/>
                <w:color w:val="auto"/>
              </w:rPr>
            </w:pPr>
            <w:r>
              <w:rPr>
                <w:rFonts w:ascii="Arial" w:cs="Arial" w:eastAsia="Arial" w:hAnsi="Arial"/>
                <w:sz w:val="18"/>
                <w:szCs w:val="18"/>
                <w:color w:val="auto"/>
              </w:rPr>
              <w:t>General and administratve expense</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4,743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15,464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13,600</w:t>
            </w:r>
          </w:p>
        </w:tc>
      </w:tr>
      <w:tr>
        <w:trPr>
          <w:trHeight w:val="277"/>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6,140</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5,816</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20,441</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-25400</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w:t>
      </w:r>
    </w:p>
    <w:p>
      <w:pPr>
        <w:spacing w:after="0" w:line="200" w:lineRule="exact"/>
        <w:rPr>
          <w:sz w:val="20"/>
          <w:szCs w:val="20"/>
          <w:color w:val="auto"/>
        </w:rPr>
      </w:pPr>
    </w:p>
    <w:p>
      <w:pPr>
        <w:ind w:right="520" w:firstLine="509"/>
        <w:spacing w:after="0" w:line="300" w:lineRule="auto"/>
        <w:rPr>
          <w:sz w:val="20"/>
          <w:szCs w:val="20"/>
          <w:color w:val="auto"/>
        </w:rPr>
      </w:pPr>
      <w:r>
        <w:rPr>
          <w:rFonts w:ascii="Arial" w:cs="Arial" w:eastAsia="Arial" w:hAnsi="Arial"/>
          <w:sz w:val="16"/>
          <w:szCs w:val="16"/>
          <w:color w:val="auto"/>
        </w:rPr>
        <w:t>On November 1, 2023, the FDA approved VOQUEZNA as a treatment for adults for the healing of all grades of Erosive GERD, maintenance of healing of all grades of Erosive GERD, and relief of heartburn associated with Erosive GERD. As a result, the Company is enttled to receive a $175.0 million payment under its Revenue Interest Financing Agreement during the fourth quarter 2023. Additonally, 1,009,950 PSUs vested upon such approval, and the Company expects to recognize $19.3 million of stock-based compensaton expense in the fourth quarter 2023.</w:t>
      </w:r>
    </w:p>
    <w:p>
      <w:pPr>
        <w:spacing w:after="0" w:line="120" w:lineRule="exact"/>
        <w:rPr>
          <w:sz w:val="20"/>
          <w:szCs w:val="20"/>
          <w:color w:val="auto"/>
        </w:rPr>
      </w:pPr>
    </w:p>
    <w:p>
      <w:pPr>
        <w:ind w:right="480" w:firstLine="509"/>
        <w:spacing w:after="0" w:line="262" w:lineRule="auto"/>
        <w:rPr>
          <w:sz w:val="20"/>
          <w:szCs w:val="20"/>
          <w:color w:val="auto"/>
        </w:rPr>
      </w:pPr>
      <w:r>
        <w:rPr>
          <w:rFonts w:ascii="Arial" w:cs="Arial" w:eastAsia="Arial" w:hAnsi="Arial"/>
          <w:sz w:val="18"/>
          <w:szCs w:val="18"/>
          <w:color w:val="auto"/>
        </w:rPr>
        <w:t>On November 1, 2023, the Company satsfed the Third Performance Milestone of the Loan Agreement with Hercules Capital. As a result, the interest only period was extended from through October 1, 2025 to through October 1, 2026. Additonally, the efectve date for the Performance Covenant was extended from November 15, 2023 to May 15, 2024.</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Conditon and Results of Operatons</w:t>
      </w:r>
    </w:p>
    <w:p>
      <w:pPr>
        <w:spacing w:after="0" w:line="200" w:lineRule="exact"/>
        <w:rPr>
          <w:sz w:val="20"/>
          <w:szCs w:val="20"/>
          <w:color w:val="auto"/>
        </w:rPr>
      </w:pPr>
    </w:p>
    <w:p>
      <w:pPr>
        <w:jc w:val="both"/>
        <w:ind w:right="40" w:firstLine="509"/>
        <w:spacing w:after="0" w:line="278" w:lineRule="auto"/>
        <w:rPr>
          <w:sz w:val="20"/>
          <w:szCs w:val="20"/>
          <w:color w:val="auto"/>
        </w:rPr>
      </w:pPr>
      <w:r>
        <w:rPr>
          <w:rFonts w:ascii="Arial" w:cs="Arial" w:eastAsia="Arial" w:hAnsi="Arial"/>
          <w:sz w:val="17"/>
          <w:szCs w:val="17"/>
          <w:i w:val="1"/>
          <w:iCs w:val="1"/>
          <w:color w:val="auto"/>
        </w:rPr>
        <w:t>You should read the following discussion and analysis of our fnancial conditon and results of operatons in conjuncton with the unaudited interim fnancial statements and notes thereto included in this Quarterly Report on Form 10-Q and with our audited fnancial statements and notes thereto for the year ended December 31, 2022 and the related Management’s Discussion and Analysis of Financial Conditon and Results of Operatons, both of which are contained in our Annual Report on Form 10-K for the year ended December 31, 2022, or the 2022 Form 10-K.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8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following discussion and other parts of this quarterly report contain forward-looking statements within the meaning of Secton 21E of the Securites Exchange Act of 1934, as amended, or the Exchange Act. All statements other than statements of historical facts contained in this quarterly report, including statements regarding our future results of operatons and fnancial positon, business strategy, research and development plans and costs, the impact of COVID-19, the tming and likelihood of regulatory flings and approvals, commercializaton plans, pricing and reimbursement, the potental to develop future product candidates, the tming and likelihood of success of the plans and objectves of management for future operatons, and future results of antcipated product development eforts, are forward-looking statements. These statements are ofen identfed by the use of words such as “may,” “will,” “expect,” “believe,” “antcipate,” “intend,” “could,” “should,” “estmate,” or “contnue,” and similar expressions or variatons. The forward-looking statements in this quarterly report are only predictons. We have based these forward-looking statements largely on our current expectatons and projectons about future events and fnancial trends that we believe may afect our fnancial conditon, operatng results, business strategy, short-term and long-term business operatons and objectves. These forward-looking statements speak only as of the date of this quarterly report and are subject to a number of risks, uncertaintes and assumptons, including those described in the Part II, Item 1A under the heading “Risk Factors.” The events and circumstances refected in our forward-looking statements may not be achieved or occur and actual results could difer materially from those projected in the forward-looking statements. Except as required by applicable law, we do not plan to publicly update or revise any forward-looking statements contained herein, whether as a result of any new informaton, future events, changed circumstances or otherwise.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 xml:space="preserve">We are a biopharmaceutcal company focused on developing and commercializing novel treatments for gastrointestnal, or GI, diseases. Our inital approved products, VOQUEZNA, VOQUEZNA TRIPLE PAK and VOQUEZNA DUAL PAK, contain vonoprazan, an oral small molecule potassium-compettve acid blocker, or PCAB. PCABs are a novel class of medicines that block acid secreton in the stomach. Vonoprazan has shown rapid, potent, and durable ant-secretory efects and has demonstrated clinical benefts over the current standard of care as a single agent in the treatment of erosive gastroesophageal refux disease, or Erosive GERD, and in combinaton with antbiotcs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infecton. Takeda developed vonoprazan and has received marketng approval in numerous countries in Asia and Latn America as well as Russia. Vonoprazan generated approximately $850 million in net sales in its seventh full year on the market since its approval in Japan in late 2014. In May 2019, we in-licensed the U.S., European, and Canadian rights to vonoprazan from Takeda.</w:t>
      </w:r>
    </w:p>
    <w:p>
      <w:pPr>
        <w:spacing w:after="0" w:line="158"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 xml:space="preserve">In 2021 we reported positve topline data from two pivotal Phase 3 clinical trials for vonoprazan: one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infecton, or PHALCON-HP, and a second for the treatment of Erosive GERD, or PHALCON-EE. In April 2021, we reported positve topline data from PHALCON-HP, and in October 2021, we reported positve topline data from PHALCON-EE. These data are supplemented by the extensive existng clinical data generated by Takeda as part of its development program for vonoprazan in Japan and other markets. In September 2021, we submited two new drug applicatons, or NDAs, for combinaton packs that contain vonoprazan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infecton in adults, one in combinaton with amoxicillin and clarithromycin (vonoprazan triple therapy) and the other in combinaton with amoxicillin alone (vonoprazan dual therapy). In May 2022, the FDA approved the NDAs for vonoprazan triple therapy, under the brand name VOQUEZNA TRIPLE PAK, and vonoprazan dual therapy, under the brand name VOQUEZNA DUAL PAK. Prior to approval, in May 2021, we received qualifed infectous disease product, or QIDP, designatons for VOQUEZNA TRIPLE PAK and VOQUEZNA DUAL PAK, which, upon approval of these products, added fve years of regulatory exclusivity to the fve years of new chemical entty, or NCE, exclusivity for vonoprazan. These inital approved products beneft, and future products we develop containing vonoprazan will also beneft, from this extended NCE exclusivity for vonoprazan.</w:t>
      </w:r>
    </w:p>
    <w:p>
      <w:pPr>
        <w:spacing w:after="0" w:line="155" w:lineRule="exact"/>
        <w:rPr>
          <w:sz w:val="20"/>
          <w:szCs w:val="20"/>
          <w:color w:val="auto"/>
        </w:rPr>
      </w:pPr>
    </w:p>
    <w:p>
      <w:pPr>
        <w:ind w:right="120" w:firstLine="509"/>
        <w:spacing w:after="0" w:line="262" w:lineRule="auto"/>
        <w:rPr>
          <w:sz w:val="20"/>
          <w:szCs w:val="20"/>
          <w:color w:val="auto"/>
        </w:rPr>
      </w:pPr>
      <w:r>
        <w:rPr>
          <w:rFonts w:ascii="Arial" w:cs="Arial" w:eastAsia="Arial" w:hAnsi="Arial"/>
          <w:sz w:val="18"/>
          <w:szCs w:val="18"/>
          <w:color w:val="auto"/>
        </w:rPr>
        <w:t xml:space="preserve">In March 2022, we submited an NDA for vonoprazan, under the brand name VOQUEZNA, as a treatment for adults for the healing of all grades of Erosive GERD, maintenance of healing of all grades of Erosive GERD, and relief of heartburn associated with Erosive GERD. In August 2022, we announced that trace levels of a nitrosamine impurity, </w:t>
      </w:r>
      <w:r>
        <w:rPr>
          <w:rFonts w:ascii="Arial" w:cs="Arial" w:eastAsia="Arial" w:hAnsi="Arial"/>
          <w:sz w:val="18"/>
          <w:szCs w:val="18"/>
          <w:i w:val="1"/>
          <w:iCs w:val="1"/>
          <w:color w:val="auto"/>
        </w:rPr>
        <w:t>N</w:t>
      </w:r>
      <w:r>
        <w:rPr>
          <w:rFonts w:ascii="Arial" w:cs="Arial" w:eastAsia="Arial" w:hAnsi="Arial"/>
          <w:sz w:val="18"/>
          <w:szCs w:val="18"/>
          <w:color w:val="auto"/>
        </w:rPr>
        <w:t>-nitroso-vonoprazan, or NVP, were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4" w:name="page25"/>
    <w:bookmarkEnd w:id="24"/>
    <w:p>
      <w:pPr>
        <w:ind w:right="80"/>
        <w:spacing w:after="0" w:line="288" w:lineRule="auto"/>
        <w:rPr>
          <w:sz w:val="20"/>
          <w:szCs w:val="20"/>
          <w:color w:val="auto"/>
        </w:rPr>
      </w:pPr>
      <w:r>
        <w:rPr>
          <w:rFonts w:ascii="Arial" w:cs="Arial" w:eastAsia="Arial" w:hAnsi="Arial"/>
          <w:sz w:val="16"/>
          <w:szCs w:val="16"/>
          <w:color w:val="auto"/>
        </w:rPr>
        <w:t xml:space="preserve">present in our inital commercial drug product for VOQUEZNA TRIPLE PAK and VOQUEZNA DUAL PAK. In February 2023, we received complete response leters from the FDA relatng both to our Erosive GERD NDA and post approval supplements relatng to our approved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NDAs, both of which formalized the FDA’s prior request that we provide additonal stability data to demonstrate that levels of NVP will remain at or below 96 ng/day, the acceptable daily intake level (AI) for NVP established by the FDA, throughout the proposed shelf life of the product. No additonal defciencies were cited by the FDA in either leter. In May 2023, we resubmited our Erosive GERD NDA to the FDA which was assigned a PDUFA target acton date of November 17, 2023, and in September 2023 we submited new prior approval supplements to our approved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NDAs, which were assigned a PDUFA target acton date of October 30, 2023. On October 30 and November 1, 2023, the FDA approved, respectvely, the prior approval supplements to our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NDAs and our Erosive GERD NDA. As a result, we have initated commercial launch actvites for VOQUEZNA for both the Erosive GERD and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indicatons, and VOQUEZNA TRIPLE PAK and VOQUEZNA DUAL PAK for </w:t>
      </w:r>
      <w:r>
        <w:rPr>
          <w:rFonts w:ascii="Arial" w:cs="Arial" w:eastAsia="Arial" w:hAnsi="Arial"/>
          <w:sz w:val="16"/>
          <w:szCs w:val="16"/>
          <w:i w:val="1"/>
          <w:iCs w:val="1"/>
          <w:color w:val="auto"/>
        </w:rPr>
        <w:t>H. pylori</w:t>
      </w:r>
      <w:r>
        <w:rPr>
          <w:rFonts w:ascii="Arial" w:cs="Arial" w:eastAsia="Arial" w:hAnsi="Arial"/>
          <w:sz w:val="16"/>
          <w:szCs w:val="16"/>
          <w:color w:val="auto"/>
        </w:rPr>
        <w:t>, and expect product to be available in December 2023.</w:t>
      </w:r>
    </w:p>
    <w:p>
      <w:pPr>
        <w:spacing w:after="0" w:line="146" w:lineRule="exact"/>
        <w:rPr>
          <w:sz w:val="20"/>
          <w:szCs w:val="20"/>
          <w:color w:val="auto"/>
        </w:rPr>
      </w:pPr>
    </w:p>
    <w:p>
      <w:pPr>
        <w:ind w:right="40" w:firstLine="550"/>
        <w:spacing w:after="0" w:line="288" w:lineRule="auto"/>
        <w:rPr>
          <w:sz w:val="20"/>
          <w:szCs w:val="20"/>
          <w:color w:val="auto"/>
        </w:rPr>
      </w:pPr>
      <w:r>
        <w:rPr>
          <w:rFonts w:ascii="Arial" w:cs="Arial" w:eastAsia="Arial" w:hAnsi="Arial"/>
          <w:sz w:val="16"/>
          <w:szCs w:val="16"/>
          <w:color w:val="auto"/>
        </w:rPr>
        <w:t>We are also contnuing to develop vonoprazan as a treatment for symptomatc Non-Erosive GERD. In January 2023, we reported positve topline results from PHALCON-NERD-301, a Phase 3 study evaluatng the safety and efcacy of vonoprazan for the daily treatment of adults with Non-Erosive GERD, and in August 2023, we announced successful completon of the 20-week extension period of PHALCON-NERD-301. Based on the results from this study, in September 2023, we submited an NDA seeking approval of vonoprazan as a once-daily treatment for Non-Erosive GERD. We expect a 10-month regulatory review for this NDA, and if approved, antcipate a third quarter 2024 U.S. launch for vonoprazan as a once-daily treatment for Non-Erosive GERD. In additon, we are in discussions with the FDA regarding the design of a Phase 3 trial to evaluate the novel dosing regimen of vonoprazan as an as needed treatment for episodic heartburn relief in patents with Non-Erosive GERD, a dosing regimen not approved in the U.S. for PPIs and plan to initate this Phase 3 trial in 2024. This trial would consttute our fourth Phase 3 trial for vonoprazan. In February 2022, we reported positve topline results from PHALCON-NERD-201, a Phase 2 proof-of-concept study evaluatng this novel dosing regimen.</w:t>
      </w:r>
    </w:p>
    <w:p>
      <w:pPr>
        <w:spacing w:after="0" w:line="132" w:lineRule="exact"/>
        <w:rPr>
          <w:sz w:val="20"/>
          <w:szCs w:val="20"/>
          <w:color w:val="auto"/>
        </w:rPr>
      </w:pPr>
    </w:p>
    <w:p>
      <w:pPr>
        <w:ind w:right="380" w:firstLine="509"/>
        <w:spacing w:after="0" w:line="258" w:lineRule="auto"/>
        <w:rPr>
          <w:sz w:val="20"/>
          <w:szCs w:val="20"/>
          <w:color w:val="auto"/>
        </w:rPr>
      </w:pPr>
      <w:r>
        <w:rPr>
          <w:rFonts w:ascii="Arial" w:cs="Arial" w:eastAsia="Arial" w:hAnsi="Arial"/>
          <w:sz w:val="18"/>
          <w:szCs w:val="18"/>
          <w:color w:val="auto"/>
        </w:rPr>
        <w:t>We plan to independently commercialize VOQUEZNA, VOQUEZNA TRIPLE PAK and VOQUEZNA DUAL PAK in the United States. We plan to seek commercial partnerships for vonoprazan in Europe and Canada, expand development of vonoprazan into other indicatons, dosing regimens and alternatve formulatons and packaging, and in-license or acquire additonal clinical or commercial stage product candidates for the treatment of GI diseases in a capital efcient manner.</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commenced our operatons in 2018 and have devoted substantally all of our resources to date to organizing and stafng our company,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business planning, raising capital, in-licensing our inital product candidate, vonoprazan, meetng with regulatory authorites, conductng our clinical trials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vonoprazan, preparing applicatons for regulatory approval for vonoprazan and preparing for commercial launch. Our operatons to date have been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funded primarily through the issuance of convertble promissory notes, commercial bank debt, the proceeds from our inital public ofering, our follow-on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public ofering, our ATM Ofering and our Revenue Interest Financing Agreement. From our incepton through September 30, 2023, we have raised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aggregate gross proceeds of $90.3 million from the issuance of convertble promissory notes, $100.0 million of debt, net proceeds from our inital public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ofering of $191.5 million from the sale of 10,997,630 shares of common stock, which included the exercise in full by the underwriters of their opton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purchase 1,434,473 additonal shares at a public ofering price of $19.00 per share, afer deductng underwritng discounts, commissions and ofering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costs, net proceeds of $88.6 million from the sale of 2,250,000 shares of common stock at a public ofering price of $39.48 per share afer deductng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underwritng discounts and commissions, and an additonal $0.2 million in ofering costs, net proceeds of $95.4 million from the Revenue Interest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Financing Agreement, net proceeds of $38.7 million from the sale of 3,929,116 shares under the ATM Ofering and net proceeds of $141.4 million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sale of 12,793,750 shares of common stock, which included the exercise in full by the underwriters of their opton to purchase 1,668,750 shares, at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price of $11.75 per share, afer deductng underwritng discounts and commissions. As of September 30, 2023, we had cash and cash equivalents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$213.7 million. Based on our current operatng plan, we believe that our existng cash and cash equivalents together with the drawdown of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$100 million under our Loan Agreement with Hercules are sufcient to fund operatons for at least the next twelve months and receipt of $175 million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additonal milestone payments under our Revenue Interest Financing Agreement together with antcipated product revenues, will be sufcient to fund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our operatons through the end of 2025.</w:t>
      </w:r>
    </w:p>
    <w:p>
      <w:pPr>
        <w:spacing w:after="0" w:line="187" w:lineRule="exact"/>
        <w:rPr>
          <w:sz w:val="20"/>
          <w:szCs w:val="20"/>
          <w:color w:val="auto"/>
        </w:rPr>
      </w:pPr>
    </w:p>
    <w:p>
      <w:pPr>
        <w:ind w:firstLine="509"/>
        <w:spacing w:after="0" w:line="292" w:lineRule="auto"/>
        <w:rPr>
          <w:sz w:val="20"/>
          <w:szCs w:val="20"/>
          <w:color w:val="auto"/>
        </w:rPr>
      </w:pPr>
      <w:r>
        <w:rPr>
          <w:rFonts w:ascii="Arial" w:cs="Arial" w:eastAsia="Arial" w:hAnsi="Arial"/>
          <w:sz w:val="16"/>
          <w:szCs w:val="16"/>
          <w:color w:val="auto"/>
        </w:rPr>
        <w:t>We have not initated commercial sales of any products and have incurred net losses since our incepton. Our net losses for the nine month periods ended September 30, 2023 and 2022 were $122.0 million and $142.7 million, respectvely. As of September 30, 2023, we had an accumulated defcit of $849.1 million. Our net losses may fuctuate signifcantly from quarter-to-quarter and year-to-year, depending on the tming of our clinical development actvites, other research and development actvites and pre-commercializaton actvites. We expect our expenses and operatng losses will increase as we contnue to advance vonoprazan through clinical trials, seek additonal regulatory approvals for vonoprazan, expand our quality, regulatory, manufacturing and commercializaton capabilites, incur signifcant commercializaton expenses for marketng, sales, manufacturing and distributon,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5" w:name="page26"/>
    <w:bookmarkEnd w:id="25"/>
    <w:p>
      <w:pPr>
        <w:ind w:right="320"/>
        <w:spacing w:after="0" w:line="273" w:lineRule="auto"/>
        <w:rPr>
          <w:sz w:val="20"/>
          <w:szCs w:val="20"/>
          <w:color w:val="auto"/>
        </w:rPr>
      </w:pPr>
      <w:r>
        <w:rPr>
          <w:rFonts w:ascii="Arial" w:cs="Arial" w:eastAsia="Arial" w:hAnsi="Arial"/>
          <w:sz w:val="18"/>
          <w:szCs w:val="18"/>
          <w:color w:val="auto"/>
        </w:rPr>
        <w:t>protect our intellectual property, expand our general and administratve support functons, including hiring additonal personnel, and incur additonal costs associated with operatng as a public company.</w:t>
      </w:r>
    </w:p>
    <w:p>
      <w:pPr>
        <w:spacing w:after="0" w:line="150"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have never generated any revenue and do not expect to generate any revenues from product sales untl we make product available, as planned, in December 2023. Moreover, untl such tme as we can generate signifcant revenue from sales of products containing vonoprazan, if ever, we expect to fnance our cash needs through equity oferings, our Loan Agreement, our Revenue Interest Financing Agreement, additonal debt fnancings or other capital sources, including potental collaboratons, licenses and other similar arrangements. However, we may be unable to raise additonal funds or enter into such other arrangements when needed on favorable terms or at all, and this risk could be exacerbated by the impact of ongoing hostlites such as those in the Ukraine and the Middle East, on global economic conditons. Our failure to raise capital or enter into such other arrangements when needed would have a negatve impact on our fnancial conditon and could force us to delay, limit, reduce or terminate our product development or future commercializaton eforts or grant rights to develop and market product candidates that we would otherwise prefer to develop and market ourselves.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Takeda</w:t>
      </w:r>
    </w:p>
    <w:p>
      <w:pPr>
        <w:spacing w:after="0" w:line="187" w:lineRule="exact"/>
        <w:rPr>
          <w:sz w:val="20"/>
          <w:szCs w:val="20"/>
          <w:color w:val="auto"/>
        </w:rPr>
      </w:pPr>
    </w:p>
    <w:p>
      <w:pPr>
        <w:ind w:right="60" w:firstLine="509"/>
        <w:spacing w:after="0" w:line="274" w:lineRule="auto"/>
        <w:rPr>
          <w:sz w:val="20"/>
          <w:szCs w:val="20"/>
          <w:color w:val="auto"/>
        </w:rPr>
      </w:pPr>
      <w:r>
        <w:rPr>
          <w:rFonts w:ascii="Arial" w:cs="Arial" w:eastAsia="Arial" w:hAnsi="Arial"/>
          <w:sz w:val="17"/>
          <w:szCs w:val="17"/>
          <w:color w:val="auto"/>
        </w:rPr>
        <w:t>On May 7, 2019, we and Takeda entered into an exclusive license, or the Takeda License, pursuant to which we in-licensed the U.S., European, and Canadian rights to vonoprazan fumarate. During the term of the Takeda License, we and our afliates are not permited to commercialize any pharmaceutcal product, other than vonoprazan, that treats acid-related disorders, except for certain generic and OTC competng products in specifed circumstances. We will be responsible at our cost for the development, manufacture and commercializaton of vonoprazan products. We are required to use commercially reasonable eforts to develop and commercialize the vonoprazan products in our licensed territory.</w:t>
      </w:r>
    </w:p>
    <w:p>
      <w:pPr>
        <w:spacing w:after="0" w:line="153" w:lineRule="exact"/>
        <w:rPr>
          <w:sz w:val="20"/>
          <w:szCs w:val="20"/>
          <w:color w:val="auto"/>
        </w:rPr>
      </w:pPr>
    </w:p>
    <w:p>
      <w:pPr>
        <w:jc w:val="both"/>
        <w:ind w:right="300" w:firstLine="509"/>
        <w:spacing w:after="0" w:line="262" w:lineRule="auto"/>
        <w:rPr>
          <w:sz w:val="20"/>
          <w:szCs w:val="20"/>
          <w:color w:val="auto"/>
        </w:rPr>
      </w:pPr>
      <w:r>
        <w:rPr>
          <w:rFonts w:ascii="Arial" w:cs="Arial" w:eastAsia="Arial" w:hAnsi="Arial"/>
          <w:sz w:val="18"/>
          <w:szCs w:val="18"/>
          <w:color w:val="auto"/>
        </w:rPr>
        <w:t>Under the Takeda License, Takeda has the sole right and authority, with our input, to prepare, fle, prosecute, and maintain all Takeda and joint patents on a worldwide basis at its own cost. We are responsible, at our cost, for preparing, fling, prosecutng, and maintaining patents on inventons made solely by us in connecton with vonoprazan, subject to input from Takeda.</w:t>
      </w:r>
    </w:p>
    <w:p>
      <w:pPr>
        <w:spacing w:after="0" w:line="146"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We paid Takeda upfront consideraton consistng of a cash fee of $25.0 million, 1,084,000 shares of our common stock, a warrant to purchase 7,588,000 shares of our common stock at an exercise price of $0.00004613 per share, or the Takeda Warrant, and issued Takeda a right to receive an additonal common stock warrant, or the Takeda Warrant Right, if Takeda’s fully-diluted ownership of the Company represented less than a certain specifed percentage of the fully-diluted capitalizaton, including shares issuable upon conversion of then outstanding convertble promissory notes, calculated immediately prior to the closing of our IPO. The Takeda Warrant Right expired without efect since no fair value had been allocated to it upon completon of our IPO, and no additonal warrant was issued. We agreed to make milestone payments to Takeda upon achieving certain tered aggregate annual net sales of licensed products in the United States, Europe, and Canada up to a total maximum milestone amount of $250.0 million. We also agreed to make tered royalty payments at percentages in the low double digits on net sales of licensed products, subject to specifed ofsets and reductons. Royaltes will be payable, on a product-by-product and country-by-country basis from the frst commercial sale of such product in such country, untl the latest of expiraton of the licensed patents covering the applicable product, expiraton of regulatory exclusivity in such country, or 15 years following frst commercial sale in such country.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7" w:lineRule="exact"/>
        <w:rPr>
          <w:sz w:val="20"/>
          <w:szCs w:val="20"/>
          <w:color w:val="auto"/>
        </w:rPr>
      </w:pPr>
    </w:p>
    <w:p>
      <w:pPr>
        <w:ind w:right="380" w:firstLine="509"/>
        <w:spacing w:after="0" w:line="262" w:lineRule="auto"/>
        <w:rPr>
          <w:sz w:val="20"/>
          <w:szCs w:val="20"/>
          <w:color w:val="auto"/>
        </w:rPr>
      </w:pPr>
      <w:r>
        <w:rPr>
          <w:rFonts w:ascii="Arial" w:cs="Arial" w:eastAsia="Arial" w:hAnsi="Arial"/>
          <w:sz w:val="18"/>
          <w:szCs w:val="18"/>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untl the goods or services are received.</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include:</w:t>
      </w:r>
    </w:p>
    <w:p>
      <w:pPr>
        <w:spacing w:after="0" w:line="198" w:lineRule="exact"/>
        <w:rPr>
          <w:sz w:val="20"/>
          <w:szCs w:val="20"/>
          <w:color w:val="auto"/>
        </w:rPr>
      </w:pPr>
    </w:p>
    <w:p>
      <w:pPr>
        <w:ind w:left="900" w:right="40" w:hanging="383"/>
        <w:spacing w:after="0" w:line="273"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salaries, payroll taxes, employee benefts, and stock-based compensaton charges for those individuals involved in research and development eforts;</w:t>
      </w:r>
    </w:p>
    <w:p>
      <w:pPr>
        <w:spacing w:after="0" w:line="150" w:lineRule="exact"/>
        <w:rPr>
          <w:rFonts w:ascii="Arial" w:cs="Arial" w:eastAsia="Arial" w:hAnsi="Arial"/>
          <w:sz w:val="18"/>
          <w:szCs w:val="18"/>
          <w:color w:val="auto"/>
        </w:rPr>
      </w:pPr>
    </w:p>
    <w:p>
      <w:pPr>
        <w:ind w:left="900" w:right="260" w:hanging="383"/>
        <w:spacing w:after="0" w:line="273"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CROs, and consultants to conduct and support our ongoing clinical trials of vonoprazan; and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26" w:name="page27"/>
    <w:bookmarkEnd w:id="26"/>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related to the manufacturing of vonoprazan for our clinical trials.</w:t>
      </w:r>
    </w:p>
    <w:p>
      <w:pPr>
        <w:spacing w:after="0" w:line="198"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plan to contnue to invest in our research and development expenses for the foreseeable future as we contnue the development of vonoprazan. We cannot determine with certainty the tming of initaton, the duraton or the completon costs of current or future clinical trials and nonclinical studies of vonoprazan or any future product candidates due to the inherently unpredictable nature of clinical and preclinical development. Clinical and preclinical development tmelines, the probability of success and development costs can difer materially from expectatons. In additon, we cannot forecast which product candidates may be subject to future collaboratons, when such arrangements will be secured, if at all, and to what degree such arrangements would afect our development plans and capital requirements.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clinical development costs may vary signifcantly based on factors such as:</w:t>
      </w:r>
    </w:p>
    <w:p>
      <w:pPr>
        <w:spacing w:after="0" w:line="198" w:lineRule="exact"/>
        <w:rPr>
          <w:sz w:val="20"/>
          <w:szCs w:val="20"/>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patent trial costs;</w:t>
      </w:r>
    </w:p>
    <w:p>
      <w:pPr>
        <w:spacing w:after="0" w:line="211"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98"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98"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211"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length of tme required to enroll eligible patents;</w:t>
      </w:r>
    </w:p>
    <w:p>
      <w:pPr>
        <w:spacing w:after="0" w:line="198"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patents that partcipate in the trials;</w:t>
      </w:r>
    </w:p>
    <w:p>
      <w:pPr>
        <w:spacing w:after="0" w:line="198"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doses evaluated in the trials;</w:t>
      </w:r>
    </w:p>
    <w:p>
      <w:pPr>
        <w:spacing w:after="0" w:line="211"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drop-out or discontnuaton rates of patents;</w:t>
      </w:r>
    </w:p>
    <w:p>
      <w:pPr>
        <w:spacing w:after="0" w:line="198"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potental additonal safety monitoring requested by regulatory agencies;</w:t>
      </w:r>
    </w:p>
    <w:p>
      <w:pPr>
        <w:spacing w:after="0" w:line="198"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duraton of patent partcipaton in the trials and follow-up;</w:t>
      </w:r>
    </w:p>
    <w:p>
      <w:pPr>
        <w:spacing w:after="0" w:line="211"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phase of development of the product candidate; and</w:t>
      </w:r>
    </w:p>
    <w:p>
      <w:pPr>
        <w:spacing w:after="0" w:line="198"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efcacy and safety profle of the product candidate.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Administratve</w:t>
      </w:r>
    </w:p>
    <w:p>
      <w:pPr>
        <w:spacing w:after="0" w:line="200"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General and administratve expenses consist of salaries and employee-related costs, including stock-based compensaton, for personnel in commercial, executve, fnance, accountng, legal, human resources and other administratve functons, legal fees relatng to intellectual property and corporate maters, and professional fees for accountng and consultng services. We antcipate that our general and administratve expenses will increase in the future to support our contnued research and development actvites, pre-commercial preparaton actvites for vonoprazan and commercializaton actvites. We also antcipate increased expenses related to audit, legal, regulatory, and tax-related services associated with maintaining compliance with exchange listng and SEC requirements, director and ofcer insurance premiums, and investor relatons costs associated with operatng as a public company.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on our money market funds.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7"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Beginning on May 3, 2022, interest expense includes interest on the Revenue Interest Financing Agreement, which is based on the imputed efectve rate derived from expected future payments and the carrying value of the obligaton. The Company recalculates the efectve interest rate each period based on the current carrying value and the revised estmated future payments. Changes in future payments from previous estmates are included in current and future fnancing expense.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9" w:right="399" w:bottom="1440" w:gutter="0" w:footer="0" w:header="0"/>
        </w:sectPr>
      </w:pPr>
    </w:p>
    <w:bookmarkStart w:id="27" w:name="page28"/>
    <w:bookmarkEnd w:id="27"/>
    <w:p>
      <w:pPr>
        <w:ind w:right="80" w:firstLine="509"/>
        <w:spacing w:after="0" w:line="258" w:lineRule="auto"/>
        <w:rPr>
          <w:sz w:val="20"/>
          <w:szCs w:val="20"/>
          <w:color w:val="auto"/>
        </w:rPr>
      </w:pPr>
      <w:r>
        <w:rPr>
          <w:rFonts w:ascii="Arial" w:cs="Arial" w:eastAsia="Arial" w:hAnsi="Arial"/>
          <w:sz w:val="18"/>
          <w:szCs w:val="18"/>
          <w:color w:val="auto"/>
        </w:rPr>
        <w:t>Beginning on September 17, 2021, interest expense consists of (i) cash interest at a variable annual rate equal to the greater of (a) 5.50% and (b) the Prime Rate (as reported in the Wall Street Journal) plus 2.25%, or the Interest Rate, (ii) payment-in-kind interest at a per annum rate of interest equal to 3.35%, and (iii) amortzaton of the Hercules Loan Agreement debt discount recorded in connecton with the fair value of warrants issued to the lenders, the debt issuance costs incurred, and the obligaton to make a fnal payment.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operatons for the nine months ended September 30, 2023 and 2022 (in thousands):</w:t>
      </w:r>
    </w:p>
    <w:p>
      <w:pPr>
        <w:spacing w:after="0" w:line="210"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5"/>
          </w:tcPr>
          <w:p>
            <w:pPr>
              <w:jc w:val="right"/>
              <w:ind w:right="741"/>
              <w:spacing w:after="0"/>
              <w:rPr>
                <w:sz w:val="20"/>
                <w:szCs w:val="20"/>
                <w:color w:val="auto"/>
              </w:rPr>
            </w:pPr>
            <w:r>
              <w:rPr>
                <w:rFonts w:ascii="Arial" w:cs="Arial" w:eastAsia="Arial" w:hAnsi="Arial"/>
                <w:sz w:val="18"/>
                <w:szCs w:val="18"/>
                <w:b w:val="1"/>
                <w:bCs w:val="1"/>
                <w:color w:val="auto"/>
              </w:rPr>
              <w:t>Nine Months Ended</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1"/>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5"/>
          </w:tcPr>
          <w:p>
            <w:pPr>
              <w:jc w:val="right"/>
              <w:ind w:right="941"/>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4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Change</w:t>
            </w:r>
          </w:p>
        </w:tc>
      </w:tr>
      <w:tr>
        <w:trPr>
          <w:trHeight w:val="33"/>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Operatng expenses:</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5"/>
        </w:trPr>
        <w:tc>
          <w:tcPr>
            <w:tcW w:w="48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36,505</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55,495</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(18,990 )</w:t>
            </w:r>
          </w:p>
        </w:tc>
      </w:tr>
      <w:tr>
        <w:trPr>
          <w:trHeight w:val="243"/>
        </w:trPr>
        <w:tc>
          <w:tcPr>
            <w:tcW w:w="4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administratve</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60,932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70,303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(9,371 )</w:t>
            </w:r>
          </w:p>
        </w:tc>
      </w:tr>
      <w:tr>
        <w:trPr>
          <w:trHeight w:val="22"/>
        </w:trPr>
        <w:tc>
          <w:tcPr>
            <w:tcW w:w="48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Total operatng expenses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97,437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125,798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(28,361 )</w:t>
            </w:r>
          </w:p>
        </w:tc>
      </w:tr>
      <w:tr>
        <w:trPr>
          <w:trHeight w:val="237"/>
        </w:trPr>
        <w:tc>
          <w:tcPr>
            <w:tcW w:w="4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operatons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(97,437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(125,798</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28,361</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5"/>
        </w:trPr>
        <w:tc>
          <w:tcPr>
            <w:tcW w:w="48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1"/>
        </w:trPr>
        <w:tc>
          <w:tcPr>
            <w:tcW w:w="4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3,683</w:t>
            </w:r>
          </w:p>
        </w:tc>
        <w:tc>
          <w:tcPr>
            <w:tcW w:w="80" w:type="dxa"/>
            <w:vAlign w:val="bottom"/>
            <w:shd w:val="clear" w:color="auto" w:fill="CFF0FC"/>
          </w:tcPr>
          <w:p>
            <w:pPr>
              <w:spacing w:after="0"/>
              <w:rPr>
                <w:sz w:val="21"/>
                <w:szCs w:val="21"/>
                <w:color w:val="auto"/>
              </w:rPr>
            </w:pPr>
          </w:p>
        </w:tc>
      </w:tr>
      <w:tr>
        <w:trPr>
          <w:trHeight w:val="235"/>
        </w:trPr>
        <w:tc>
          <w:tcPr>
            <w:tcW w:w="48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(28,939 )</w:t>
            </w:r>
          </w:p>
        </w:tc>
        <w:tc>
          <w:tcPr>
            <w:tcW w:w="300" w:type="dxa"/>
            <w:vAlign w:val="bottom"/>
          </w:tcPr>
          <w:p>
            <w:pPr>
              <w:spacing w:after="0"/>
              <w:rPr>
                <w:sz w:val="20"/>
                <w:szCs w:val="20"/>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(17,703 )</w:t>
            </w: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(11,236 )</w:t>
            </w:r>
          </w:p>
        </w:tc>
      </w:tr>
      <w:tr>
        <w:trPr>
          <w:trHeight w:val="243"/>
        </w:trPr>
        <w:tc>
          <w:tcPr>
            <w:tcW w:w="4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(174 )</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(20 )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(154 )</w:t>
            </w:r>
          </w:p>
        </w:tc>
      </w:tr>
      <w:tr>
        <w:trPr>
          <w:trHeight w:val="22"/>
        </w:trPr>
        <w:tc>
          <w:tcPr>
            <w:tcW w:w="48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Total other expense</w:t>
            </w:r>
          </w:p>
        </w:tc>
        <w:tc>
          <w:tcPr>
            <w:tcW w:w="28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(24,585 )</w:t>
            </w:r>
          </w:p>
        </w:tc>
        <w:tc>
          <w:tcPr>
            <w:tcW w:w="300" w:type="dxa"/>
            <w:vAlign w:val="bottom"/>
          </w:tcPr>
          <w:p>
            <w:pPr>
              <w:spacing w:after="0"/>
              <w:rPr>
                <w:sz w:val="20"/>
                <w:szCs w:val="20"/>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(16,878 )</w:t>
            </w: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(7,707 )</w:t>
            </w:r>
          </w:p>
        </w:tc>
      </w:tr>
      <w:tr>
        <w:trPr>
          <w:trHeight w:val="277"/>
        </w:trPr>
        <w:tc>
          <w:tcPr>
            <w:tcW w:w="4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(122,022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(142,676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20,654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-1302385</wp:posOffset>
            </wp:positionV>
            <wp:extent cx="6032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-1302385</wp:posOffset>
            </wp:positionV>
            <wp:extent cx="60325"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-1302385</wp:posOffset>
            </wp:positionV>
            <wp:extent cx="5143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-976630</wp:posOffset>
            </wp:positionV>
            <wp:extent cx="60325"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-976630</wp:posOffset>
            </wp:positionV>
            <wp:extent cx="60325"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-976630</wp:posOffset>
            </wp:positionV>
            <wp:extent cx="51435"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-351155</wp:posOffset>
            </wp:positionV>
            <wp:extent cx="60325"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-351155</wp:posOffset>
            </wp:positionV>
            <wp:extent cx="6032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-351155</wp:posOffset>
            </wp:positionV>
            <wp:extent cx="51435"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-25400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-25400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-25400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-8255</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23"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$36.5 million and $55.5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and 2022, respectvely. The decrease of $19.0 million consisted of a $19.6 million reducton of clinical trial costs related to the completon of the PHALCON-NERD-301 trial, $2.6 million of chemistry manufacturing and controls, or CMC, costs related to vonoprazan, and $0.5 million of other expense partally ofset by an increase of $3.0 million in regulatory related expenses and $0.7 million of personnel-related and consultng expenses.</w:t>
      </w:r>
    </w:p>
    <w:p>
      <w:pPr>
        <w:spacing w:after="0" w:line="152" w:lineRule="exact"/>
        <w:rPr>
          <w:sz w:val="20"/>
          <w:szCs w:val="20"/>
          <w:color w:val="auto"/>
        </w:rPr>
      </w:pPr>
    </w:p>
    <w:p>
      <w:pPr>
        <w:ind w:right="360" w:firstLine="509"/>
        <w:spacing w:after="0" w:line="274" w:lineRule="auto"/>
        <w:rPr>
          <w:sz w:val="20"/>
          <w:szCs w:val="20"/>
          <w:color w:val="auto"/>
        </w:rPr>
      </w:pPr>
      <w:r>
        <w:rPr>
          <w:rFonts w:ascii="Arial" w:cs="Arial" w:eastAsia="Arial" w:hAnsi="Arial"/>
          <w:sz w:val="17"/>
          <w:szCs w:val="17"/>
          <w:i w:val="1"/>
          <w:iCs w:val="1"/>
          <w:color w:val="auto"/>
        </w:rPr>
        <w:t xml:space="preserve">General and Administratve Expenses. </w:t>
      </w:r>
      <w:r>
        <w:rPr>
          <w:rFonts w:ascii="Arial" w:cs="Arial" w:eastAsia="Arial" w:hAnsi="Arial"/>
          <w:sz w:val="17"/>
          <w:szCs w:val="17"/>
          <w:color w:val="auto"/>
        </w:rPr>
        <w:t>General and administratve expenses were $60.9 million and $70.3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2023 and 2022, respectvely. The decrease of $9.4 million was due to decreases of $15.4 million in professional services expenses for commercial, medical afairs and other services, $1.0 million of insurance expense and $0.9 million of legal expense, partally ofset by a $7.9 million increase in personnel-related expense as we prepare for our antcipated commercial launch of VOQUEZNA. Due to the planned contnued buildout of administratve and commercial functons we expect general and administratve expenses to increase in future periods.</w:t>
      </w:r>
    </w:p>
    <w:p>
      <w:pPr>
        <w:spacing w:after="0" w:line="153"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of $24.6 million for the nine months ended September 30, 2023 consisted of $29.1 million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under the Hercules Loan Agreement and Revenue Interest Financing Agreement, partally ofset by $4.5 million of interest income related to cash held in money market funds. Other expense of $16.9 million for the nine months ended September 30, 2022 consisted of $17.7 million of interest expense under the Hercules Loan Agreement and Revenue Interest Financing Agreement, partally ofset by $0.8 million of interest income related to cash held in money market funds.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operatons for the three months ended September 30, 2023 and 2022 (in thousands):</w:t>
      </w:r>
    </w:p>
    <w:p>
      <w:pPr>
        <w:spacing w:after="0" w:line="19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jc w:val="right"/>
              <w:ind w:right="681"/>
              <w:spacing w:after="0"/>
              <w:rPr>
                <w:sz w:val="20"/>
                <w:szCs w:val="20"/>
                <w:color w:val="auto"/>
              </w:rPr>
            </w:pPr>
            <w:r>
              <w:rPr>
                <w:rFonts w:ascii="Arial" w:cs="Arial" w:eastAsia="Arial" w:hAnsi="Arial"/>
                <w:sz w:val="18"/>
                <w:szCs w:val="18"/>
                <w:b w:val="1"/>
                <w:bCs w:val="1"/>
                <w:color w:val="auto"/>
              </w:rPr>
              <w:t>For the Three Months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5"/>
          </w:tcPr>
          <w:p>
            <w:pPr>
              <w:jc w:val="right"/>
              <w:ind w:right="681"/>
              <w:spacing w:after="0"/>
              <w:rPr>
                <w:sz w:val="20"/>
                <w:szCs w:val="20"/>
                <w:color w:val="auto"/>
              </w:rPr>
            </w:pPr>
            <w:r>
              <w:rPr>
                <w:rFonts w:ascii="Arial" w:cs="Arial" w:eastAsia="Arial" w:hAnsi="Arial"/>
                <w:sz w:val="18"/>
                <w:szCs w:val="18"/>
                <w:b w:val="1"/>
                <w:bCs w:val="1"/>
                <w:color w:val="auto"/>
              </w:rPr>
              <w:t>Ended September 30,</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33"/>
        </w:trPr>
        <w:tc>
          <w:tcPr>
            <w:tcW w:w="4900" w:type="dxa"/>
            <w:vAlign w:val="bottom"/>
            <w:vMerge w:val="restart"/>
          </w:tcPr>
          <w:p>
            <w:pPr>
              <w:spacing w:after="0"/>
              <w:rPr>
                <w:sz w:val="20"/>
                <w:szCs w:val="20"/>
                <w:color w:val="auto"/>
              </w:rPr>
            </w:pPr>
            <w:r>
              <w:rPr>
                <w:rFonts w:ascii="Arial" w:cs="Arial" w:eastAsia="Arial" w:hAnsi="Arial"/>
                <w:sz w:val="18"/>
                <w:szCs w:val="18"/>
                <w:color w:val="auto"/>
              </w:rPr>
              <w:t>Operatng expenses: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4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4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(6,757 )</w:t>
            </w:r>
          </w:p>
        </w:tc>
        <w:tc>
          <w:tcPr>
            <w:tcW w:w="0" w:type="dxa"/>
            <w:vAlign w:val="bottom"/>
          </w:tcPr>
          <w:p>
            <w:pPr>
              <w:spacing w:after="0"/>
              <w:rPr>
                <w:sz w:val="1"/>
                <w:szCs w:val="1"/>
                <w:color w:val="auto"/>
              </w:rPr>
            </w:pP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General and administratve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23,396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23,509</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operatng expenses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35,659</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42,529</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(6,870</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18"/>
                <w:szCs w:val="18"/>
                <w:color w:val="auto"/>
              </w:rPr>
              <w:t>Loss from operatons</w:t>
            </w:r>
          </w:p>
        </w:tc>
        <w:tc>
          <w:tcPr>
            <w:tcW w:w="30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(35,659 )</w:t>
            </w:r>
          </w:p>
        </w:tc>
        <w:tc>
          <w:tcPr>
            <w:tcW w:w="28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(42,529 )</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9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(10,107 )</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(9,277 )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(830 )</w:t>
            </w:r>
          </w:p>
        </w:tc>
        <w:tc>
          <w:tcPr>
            <w:tcW w:w="0" w:type="dxa"/>
            <w:vAlign w:val="bottom"/>
          </w:tcPr>
          <w:p>
            <w:pPr>
              <w:spacing w:after="0"/>
              <w:rPr>
                <w:sz w:val="1"/>
                <w:szCs w:val="1"/>
                <w:color w:val="auto"/>
              </w:rPr>
            </w:pP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(197 )</w:t>
            </w:r>
          </w:p>
        </w:tc>
        <w:tc>
          <w:tcPr>
            <w:tcW w:w="28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(11 )</w:t>
            </w:r>
          </w:p>
        </w:tc>
        <w:tc>
          <w:tcPr>
            <w:tcW w:w="2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(43,243 )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(51,091 )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-1139825</wp:posOffset>
            </wp:positionV>
            <wp:extent cx="60325"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-1139825</wp:posOffset>
            </wp:positionV>
            <wp:extent cx="5969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-1139825</wp:posOffset>
            </wp:positionV>
            <wp:extent cx="5143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-187960</wp:posOffset>
            </wp:positionV>
            <wp:extent cx="60325"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-187960</wp:posOffset>
            </wp:positionV>
            <wp:extent cx="5969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-187960</wp:posOffset>
            </wp:positionV>
            <wp:extent cx="51435"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23" w:lineRule="exact"/>
        <w:rPr>
          <w:sz w:val="20"/>
          <w:szCs w:val="20"/>
          <w:color w:val="auto"/>
        </w:rPr>
      </w:pPr>
    </w:p>
    <w:p>
      <w:pPr>
        <w:ind w:right="200" w:firstLine="509"/>
        <w:spacing w:after="0" w:line="278"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were $12.3 million and $19.0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2023 and 2022, respectvely. The decrease of $6.8 million consisted of a $8.1 million reducton of clinical trial costs related to the completon of the PHALCON-NERD-301 trial, $1.5 million of CMC costs related to vonoprazan, and $0.7 million of personnel and other expense partally ofset by increases of $3.1 million of regulatory related expense, and $0.5 million of consultng expenses.</w:t>
      </w:r>
    </w:p>
    <w:p>
      <w:pPr>
        <w:spacing w:after="0" w:line="147" w:lineRule="exact"/>
        <w:rPr>
          <w:sz w:val="20"/>
          <w:szCs w:val="20"/>
          <w:color w:val="auto"/>
        </w:rPr>
      </w:pPr>
    </w:p>
    <w:p>
      <w:pPr>
        <w:ind w:right="40" w:firstLine="509"/>
        <w:spacing w:after="0" w:line="295" w:lineRule="auto"/>
        <w:rPr>
          <w:sz w:val="20"/>
          <w:szCs w:val="20"/>
          <w:color w:val="auto"/>
        </w:rPr>
      </w:pPr>
      <w:r>
        <w:rPr>
          <w:rFonts w:ascii="Arial" w:cs="Arial" w:eastAsia="Arial" w:hAnsi="Arial"/>
          <w:sz w:val="16"/>
          <w:szCs w:val="16"/>
          <w:i w:val="1"/>
          <w:iCs w:val="1"/>
          <w:color w:val="auto"/>
        </w:rPr>
        <w:t xml:space="preserve">General and Administratve Expenses. </w:t>
      </w:r>
      <w:r>
        <w:rPr>
          <w:rFonts w:ascii="Arial" w:cs="Arial" w:eastAsia="Arial" w:hAnsi="Arial"/>
          <w:sz w:val="16"/>
          <w:szCs w:val="16"/>
          <w:color w:val="auto"/>
        </w:rPr>
        <w:t>General and administratve expenses were $23.4 million and $23.5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2023 and 2022, respectvely. The decrease of $0.1 million was due to decreases of $1.3 million in professional services expenses for commercial, medical afairs and other services, $0.4 million of legal expenses and $0.4 million of insurance expense, partally ofset by an increase of $1.9 million in personnel expense as we prepare for our antcipated commercial launch of VOQUEZNA and $0.1 million of consultng related expense. Due to the planned contnued buildout of administratve and commercial functons we expect general and administratve expenses to increase in future periods.</w:t>
      </w:r>
    </w:p>
    <w:p>
      <w:pPr>
        <w:spacing w:after="0" w:line="125"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of $7.6 million for the three months ended September 30, 2023 consisted of $10.1 million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under the Hercules Loan Agreement and Revenue Interest Financing Agreement and $0.2 million of other expense, partally ofset by $2.7 million of interest income related to cash held in money market funds. Other expense of $8.6 million for the three months ended September 30, 2022 consisted of $9.3 million of interest expense under the Hercules Loan Agreement and Revenue Interest Financing Agreement, partally ofset by $0.7 million of interest income related to cash held in money market funds.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ind w:right="20" w:firstLine="509"/>
        <w:spacing w:after="0" w:line="273" w:lineRule="auto"/>
        <w:rPr>
          <w:sz w:val="20"/>
          <w:szCs w:val="20"/>
          <w:color w:val="auto"/>
        </w:rPr>
      </w:pPr>
      <w:r>
        <w:rPr>
          <w:rFonts w:ascii="Arial" w:cs="Arial" w:eastAsia="Arial" w:hAnsi="Arial"/>
          <w:sz w:val="18"/>
          <w:szCs w:val="18"/>
          <w:color w:val="auto"/>
        </w:rPr>
        <w:t>We have incurred net losses and negatve cash fows from operatons since our incepton and antcipate we will contnue to incur net losses for the foreseeable future. As of September 30, 2023, we had cash and cash equivalents of $213.7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 with Hercules</w:t>
      </w:r>
    </w:p>
    <w:p>
      <w:pPr>
        <w:spacing w:after="0" w:line="187" w:lineRule="exact"/>
        <w:rPr>
          <w:sz w:val="20"/>
          <w:szCs w:val="20"/>
          <w:color w:val="auto"/>
        </w:rPr>
      </w:pPr>
    </w:p>
    <w:p>
      <w:pPr>
        <w:ind w:right="40" w:firstLine="509"/>
        <w:spacing w:after="0" w:line="284" w:lineRule="auto"/>
        <w:rPr>
          <w:sz w:val="20"/>
          <w:szCs w:val="20"/>
          <w:color w:val="auto"/>
        </w:rPr>
      </w:pPr>
      <w:r>
        <w:rPr>
          <w:rFonts w:ascii="Arial" w:cs="Arial" w:eastAsia="Arial" w:hAnsi="Arial"/>
          <w:sz w:val="17"/>
          <w:szCs w:val="17"/>
          <w:color w:val="auto"/>
        </w:rPr>
        <w:t>On September 17, 2021, or the Closing Date, we entered into a Loan and Security Agreement, as amended by the Third Loan Amendment, the Loan Agreement, with Hercules Capital, Inc. (in such capacity, the “Agent” or “Hercules”), as administratve agent and collateral agent and as a lender and the other fnancial insttutons that from tme to tme become partes to the Loan Agreement as lenders (collectvely, the “Lenders”).</w:t>
      </w:r>
    </w:p>
    <w:p>
      <w:pPr>
        <w:spacing w:after="0" w:line="143" w:lineRule="exact"/>
        <w:rPr>
          <w:sz w:val="20"/>
          <w:szCs w:val="20"/>
          <w:color w:val="auto"/>
        </w:rPr>
      </w:pPr>
    </w:p>
    <w:p>
      <w:pPr>
        <w:ind w:right="100" w:firstLine="509"/>
        <w:spacing w:after="0" w:line="258" w:lineRule="auto"/>
        <w:rPr>
          <w:sz w:val="20"/>
          <w:szCs w:val="20"/>
          <w:color w:val="auto"/>
        </w:rPr>
      </w:pPr>
      <w:r>
        <w:rPr>
          <w:rFonts w:ascii="Arial" w:cs="Arial" w:eastAsia="Arial" w:hAnsi="Arial"/>
          <w:sz w:val="18"/>
          <w:szCs w:val="18"/>
          <w:color w:val="auto"/>
        </w:rPr>
        <w:t>On May 9, 2023, the Company entered into the Third Amendment to Loan and Security Agreement, or the Third Loan Amendment, with the lenders thereunder and Hercules Capital, Inc., in its capacity as administratve agent and collateral agent and as a lender (in such capacity, the “Agent” or “Hercules”), pursuant to which, among other things, (i) the second tranche availability was extended from through May 15, 2023, to through December 15, 2023, and became available on October 1, 2023, (ii) the third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29" w:name="page30"/>
    <w:bookmarkEnd w:id="29"/>
    <w:p>
      <w:pPr>
        <w:ind w:right="160"/>
        <w:spacing w:after="0" w:line="254" w:lineRule="auto"/>
        <w:rPr>
          <w:sz w:val="20"/>
          <w:szCs w:val="20"/>
          <w:color w:val="auto"/>
        </w:rPr>
      </w:pPr>
      <w:r>
        <w:rPr>
          <w:rFonts w:ascii="Arial" w:cs="Arial" w:eastAsia="Arial" w:hAnsi="Arial"/>
          <w:sz w:val="18"/>
          <w:szCs w:val="18"/>
          <w:color w:val="auto"/>
        </w:rPr>
        <w:t>tranche availability was extended from through September 30, 2023, to through December 15, 2023, and became available on October 1, 2023, (iii) the efectve date of the Performance Covenants was amended to provide an opton to extend the covenant trigger date to May 15, 2024, subject to the achievement of the EE Milestone prior to February 15, 2024, and (iv) the warrant agreement with Hercules was amended as described below. On November 1, 2023 the EE Milestone was achieved and the covenant trigger date was extended to May 15, 2024. In connecton with the Third Loan Amendment, a tranche extension amendment fee of $150,000 and a covenant extension amendment fee of $100,000 was paid to the Agent. These fees have been recorded as debt discount and are being amortzed to interest expense using the efectve interest method over the remaining term of the Term Loan.</w:t>
      </w:r>
    </w:p>
    <w:p>
      <w:pPr>
        <w:spacing w:after="0" w:line="16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 xml:space="preserve">The Loan Agreement provides for term loans in an aggregate principal amount of up to $200.0 million, or the Term Loan, under multple tranches. The tranches consist of (i) a frst tranche consistng of term loans in an aggregate principal amount of $100.0 million, all of which was funded on the Closing Date, or the First Advance, (ii) a second tranche consistng of up to an additonal $50.0 million, available in minimum of $25.0 million per draw, which became available to us through December 15, 2023, on October 1, 2023, (iii) a third tranche consistng of an additonal $25.0 million, which will became available to us through December 15, 2023,on October 1, 2023, and (iv) a fourth tranche consistng of up to an additonal $25.0 million, which will be available, if specifed conditons are met, through March 31, 2024, upon achievement of (a) FDA approval of our NDA for vonoprazan and amoxicillin, or its NDA for vonoprazan, amoxicillin and clarithromycin, in each case for an indicaton relatng to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with an approved indicaton on the claim that is generally consistent with that sought in our NDA submission; and (b) fling of an NDA or supplemental NDA for vonoprazan for indicatons relatng to the healing and maintenance of healing of erosive GERD (milestones (a) and (b), or, together, the Second Performance Milestone). The fourth tranche is currently available as the Second Performance Milestone has been achieved. We intend to use the proceeds of the Term Loan advances for working capital and general corporate purposes.</w:t>
      </w:r>
    </w:p>
    <w:p>
      <w:pPr>
        <w:spacing w:after="0" w:line="14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The Term Loan will mature on October 1, 2026, the Maturity Date. The Term Loan bears (i) cash interest at a variable annual rate equal to the greater of (a) 5.50% and (b) the Prime Rate (as reported in the Wall Street Journal) plus 2.25%, the Interest Rate, and (ii) payment-in-kind interest at a per annum rate of interest equal to 3.35%. We may make payments of interest only through October 1, 2024, which may be extended to October 1, 2025, upon the achievement of the Second Performance Milestone on or prior to September 30, 2024 and the conditon that no default or event of default exists, and which is further extendable to October 1, 2026, subject to FDA approval of our NDA (or supplemental NDA) for vonoprazan for an indicaton relatng to the healing and maintenance of healing of erosive esophagits with an approved indicaton on the label that is generally consistent with that sought in our NDA submission (or supplemental NDA submission), and subject to the achievement of the EE Milestone, on or prior to September 30, 2025 and no default or event of default exists, or the interest only period. On November 1, 2023 the Third Performance Milestone was met and the interest only period was extended to October 1, 2026. Afer the interest-only period, the principal balance and related interest will be required to be repaid in equal monthly installments and contnuing untl the Maturity Date.</w:t>
      </w:r>
    </w:p>
    <w:p>
      <w:pPr>
        <w:spacing w:after="0" w:line="145"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The Loan Agreement contains customary closing fees, prepayment fees and provisions, events of default, and representatons, warrantes and covenants, including a fnancial covenant requiring us to maintain certain levels of cash subject to a control agreement in favor of the Agent (minus accounts payable not paid within 120 days of invoice) (“Qualifed Cash”), and commencing on November 15, 2023, if the outstanding loan amount is greater than $100.0 million, comply with either (a) at all tmes (i) maintain Qualifed Cash in an amount greater than or equal to (x) the outstanding principal amount of the term loans, multplied by (y)(i) at all tmes prior to the Second Performance Milestone and the EE Milestone (together, the Approval Milestone), 65% and (ii) at all tmes afer the Approval Milestone, 45%, (ii) meet market capitalizaton of at least $900.0 million, or (b) meet trailing three-month net product revenue from the sale of vonoprazan and products containing vonoprazan equal to or greater than the least of (x) 50% of projectons, (y) the outstanding loan amount divided by 2.75, and (z) $65,000,000 (both (a) and (b), collectvely, the Performance Covenants). Pursuant to the Third Loan Amendment, the efectve date of the Performance Covenants will be extended from November 15, 2023, to May 15, 2024, if we achieve the EE Milestone prior to February 15, 2024. On November 1, 2023 the EE Milestone was achieved and the covenant trigger date was extended to May 15, 2024.</w:t>
      </w:r>
    </w:p>
    <w:p>
      <w:pPr>
        <w:spacing w:after="0" w:line="174" w:lineRule="exact"/>
        <w:rPr>
          <w:sz w:val="20"/>
          <w:szCs w:val="20"/>
          <w:color w:val="auto"/>
        </w:rPr>
      </w:pPr>
    </w:p>
    <w:p>
      <w:pPr>
        <w:ind w:right="80" w:firstLine="509"/>
        <w:spacing w:after="0" w:line="273" w:lineRule="auto"/>
        <w:rPr>
          <w:sz w:val="20"/>
          <w:szCs w:val="20"/>
          <w:color w:val="auto"/>
        </w:rPr>
      </w:pPr>
      <w:r>
        <w:rPr>
          <w:rFonts w:ascii="Arial" w:cs="Arial" w:eastAsia="Arial" w:hAnsi="Arial"/>
          <w:sz w:val="18"/>
          <w:szCs w:val="18"/>
          <w:color w:val="auto"/>
        </w:rPr>
        <w:t>As collateral for the obligatons, we granted Hercules a senior security interest in all of our right, ttle, and interest in, to and under substantally all of our property, inclusive of intellectual property.</w:t>
      </w:r>
    </w:p>
    <w:p>
      <w:pPr>
        <w:spacing w:after="0" w:line="137"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In connecton with the entry into the Loan Agreement, we issued to Hercules a warrant, or the Warrant, to purchase a number of shares of our common stock equal to 2.5% of the aggregate amount of the Term Loan advances funded, and will issue to Hercules additonal warrants when future Term Loan advances are funded. On the Closing Date, we issued a Warrant for 74,782 shares of common stock. The Warrant is exercisable for a period of seven years from the date of issuance at a per-share exercise price equal to $33.43, which was the closing price of our common stock on September 16, 2021. In connecton with the entry into the Third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0" w:name="page31"/>
    <w:bookmarkEnd w:id="30"/>
    <w:p>
      <w:pPr>
        <w:jc w:val="both"/>
        <w:ind w:right="100"/>
        <w:spacing w:after="0" w:line="309" w:lineRule="auto"/>
        <w:rPr>
          <w:sz w:val="20"/>
          <w:szCs w:val="20"/>
          <w:color w:val="auto"/>
        </w:rPr>
      </w:pPr>
      <w:r>
        <w:rPr>
          <w:rFonts w:ascii="Arial" w:cs="Arial" w:eastAsia="Arial" w:hAnsi="Arial"/>
          <w:sz w:val="16"/>
          <w:szCs w:val="16"/>
          <w:color w:val="auto"/>
        </w:rPr>
        <w:t>Loan Amendment, we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we drawdown future tranches. The exercise price and terms of the outstanding Warrant remain unchanged.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Interest Financing Agreement</w:t>
      </w:r>
    </w:p>
    <w:p>
      <w:pPr>
        <w:spacing w:after="0" w:line="18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On May 3, 2022, we entered into a Revenue Interest Financing Agreement, or the Revenue Interest Financing Agreement, with enttes managed or advised by NovaQuest Capital Management, or NQ, Sagard Holdings Manager LP, or Sagard, and Hercules Capital, Inc., or Hercules, together with NQ and Sagard, the “Inital Investors” pursuant to which we can receive up to $260 million in funding from the Inital Investors. Under the terms of the Revenue Interest Financing Agreement, we received $100 million at the inital closing and can receive an additonal $160 million upon FDA approval of vonoprazan for treatment of Erosive GERD on or before March 31, 2024. In additon, we had the right to obtain a writen commitment from a third party for up to (i) at any tme prior to December 31, 2022, $15,000,000 in additonal funding upon FDA approval of vonoprazan for Erosive GERD, or Approval Additonal Funding, and (ii) at any tme prior to September 30, 2024, $25,000,000 in additonal funding for achievement of a sales milestone, or Milestone Additonal Funding, and, together with the Approval Additonal Funding, or the Additonal Investor Funding. The Inital Investors had a right of frst ofer for any Additonal Investor Funding.</w:t>
      </w:r>
    </w:p>
    <w:p>
      <w:pPr>
        <w:spacing w:after="0" w:line="15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On October 31, 2022, we entered into a Joinder and Waiver Agreement with the Inital Investors and CO Finance LVS XXXVII LLC, or the Additonal Investor, and Hercules Capital, Inc. in its capacity as administratve agent and collateral agent for itself and the lenders under that certain Loan Agreement, or the Joinder Agreement, in respect of the Revenue Interest Financing Agreement. Under the terms of the Joinder Agreement, the Inital Investors waived their rights of frst ofer regarding the Additonal Investor Funding and the Additonal Investor joined the Revenue Interest Financing Agreement to extend commitments for the Additonal Investor Funding. The total amount funded by the Inital Investors and any subsequent investors is referred to herein as the “Investment Amount.”</w:t>
      </w:r>
    </w:p>
    <w:p>
      <w:pPr>
        <w:spacing w:after="0" w:line="165"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Under the Revenue Interest Financing Agreement, the Inital Investors, and subsequent to the payment of the Approval Additonal Funding, the Additonal Investor, are enttled to receive a 10% royalty on net sales of products containing vonoprazan. The royalty rate is subject to a step-down on net sales exceeding certain annual thresholds and if we receive FDA approval for vonoprazan for an indicaton relatng to the treatment of heartburn associated with Non-Erosive GERD. The investors’ right to receive royaltes on net sales will terminate when the investors have aggregate payments equal to 200% of the Investment Amount. In additon, at any tme afer the earlier of (i) April 30, 2024 and (ii) the date that the payment for Erosive GERD regulatory approval is made, we have the right to make a cap payment equal to 200% of the Investment Amount less any royaltes already paid, at which tme the agreement will terminate.</w:t>
      </w:r>
    </w:p>
    <w:p>
      <w:pPr>
        <w:spacing w:after="0" w:line="154" w:lineRule="exact"/>
        <w:rPr>
          <w:sz w:val="20"/>
          <w:szCs w:val="20"/>
          <w:color w:val="auto"/>
        </w:rPr>
      </w:pPr>
    </w:p>
    <w:p>
      <w:pPr>
        <w:ind w:right="80" w:firstLine="509"/>
        <w:spacing w:after="0" w:line="262" w:lineRule="auto"/>
        <w:rPr>
          <w:sz w:val="20"/>
          <w:szCs w:val="20"/>
          <w:color w:val="auto"/>
        </w:rPr>
      </w:pPr>
      <w:r>
        <w:rPr>
          <w:rFonts w:ascii="Arial" w:cs="Arial" w:eastAsia="Arial" w:hAnsi="Arial"/>
          <w:sz w:val="18"/>
          <w:szCs w:val="18"/>
          <w:color w:val="auto"/>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sufcient to gross the investors up to the applicable Minimum Amount.</w:t>
      </w:r>
    </w:p>
    <w:p>
      <w:pPr>
        <w:spacing w:after="0" w:line="146" w:lineRule="exact"/>
        <w:rPr>
          <w:sz w:val="20"/>
          <w:szCs w:val="20"/>
          <w:color w:val="auto"/>
        </w:rPr>
      </w:pPr>
    </w:p>
    <w:p>
      <w:pPr>
        <w:jc w:val="both"/>
        <w:ind w:right="20" w:firstLine="509"/>
        <w:spacing w:after="0" w:line="262" w:lineRule="auto"/>
        <w:rPr>
          <w:sz w:val="20"/>
          <w:szCs w:val="20"/>
          <w:color w:val="auto"/>
        </w:rPr>
      </w:pPr>
      <w:r>
        <w:rPr>
          <w:rFonts w:ascii="Arial" w:cs="Arial" w:eastAsia="Arial" w:hAnsi="Arial"/>
          <w:sz w:val="18"/>
          <w:szCs w:val="18"/>
          <w:color w:val="auto"/>
        </w:rPr>
        <w:t>Upon the occurrence of an event of default taking place prior to April 1, 2025, between April 1, 2025 and April 1, 2028, and afer April 1, 2028, we are obligated to pay 1.30 tmes Investment Amount, 1.65 tmes Investment Amount, and 2.0 tmes investment amount, respectvely, less any amounts the Company previously paid pursuant to the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At-the-Market-Ofering</w:t>
      </w:r>
    </w:p>
    <w:p>
      <w:pPr>
        <w:spacing w:after="0" w:line="200" w:lineRule="exact"/>
        <w:rPr>
          <w:sz w:val="20"/>
          <w:szCs w:val="20"/>
          <w:color w:val="auto"/>
        </w:rPr>
      </w:pPr>
    </w:p>
    <w:p>
      <w:pPr>
        <w:ind w:right="20" w:firstLine="509"/>
        <w:spacing w:after="0" w:line="266" w:lineRule="auto"/>
        <w:rPr>
          <w:sz w:val="20"/>
          <w:szCs w:val="20"/>
          <w:color w:val="auto"/>
        </w:rPr>
      </w:pPr>
      <w:r>
        <w:rPr>
          <w:rFonts w:ascii="Arial" w:cs="Arial" w:eastAsia="Arial" w:hAnsi="Arial"/>
          <w:sz w:val="17"/>
          <w:szCs w:val="17"/>
          <w:color w:val="auto"/>
        </w:rPr>
        <w:t>On November 10, 2020, we entered into an Open Market Sale Agreement</w:t>
      </w:r>
      <w:r>
        <w:rPr>
          <w:rFonts w:ascii="Arial" w:cs="Arial" w:eastAsia="Arial" w:hAnsi="Arial"/>
          <w:sz w:val="19"/>
          <w:szCs w:val="19"/>
          <w:color w:val="auto"/>
          <w:vertAlign w:val="superscript"/>
        </w:rPr>
        <w:t>SM</w:t>
      </w:r>
      <w:r>
        <w:rPr>
          <w:rFonts w:ascii="Arial" w:cs="Arial" w:eastAsia="Arial" w:hAnsi="Arial"/>
          <w:sz w:val="17"/>
          <w:szCs w:val="17"/>
          <w:color w:val="auto"/>
        </w:rPr>
        <w:t>, or the Sales Agreement, with Jeferies LLC, or the Sales Agent, under which we may, from tme to tme, sell shares of our common stock having an aggregate ofering price of up to $125.0 million through the Sales Agent, or the ATM Ofering. Sales of our common stock made pursuant to the Sales Agreement, if any, will be made under our shelf registraton statement on Form S-3 which was fled on November 10, 2020 and declared efectve by the SEC on November 16, 2020. We are not obligated to, and we cannot provide any assurances that we will, make any sales of the shares under the Sales Agreement. The Sales Agreement may be terminated by the Sales Agent or us at any tme. For the year ended December 31, 2022, we sold 2,414,897 shares of our common stock under the ATM Ofering for net proceeds of approximately $24.6 million afer deductng $0.8 million of issuance costs. For the nine months ended September 30, 2023 we sold 1,514,219 shares for net proceeds of approximately $14.1 million afer deductng $0.4 million of issuance costs. As of September 30, 2023, we utlized $39.9 million of the available $125.0 million under the ATM Ofering.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Underwriten Public Oferings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December 16, 2020, we completed an underwriten public ofering, in which we sold 2,250,000 shares of our common stock at a price of</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$42.00 per share for total gross proceeds of $94.5 million. The net purchase price afer deductng underwritng discounts and commissions was $39.48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 share, which generated net proceeds of $88.8 million. We incurred an additonal $0.2 million of ofering expenses in connecton with the public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ofering.</w:t>
      </w:r>
    </w:p>
    <w:p>
      <w:pPr>
        <w:spacing w:after="0" w:line="174" w:lineRule="exact"/>
        <w:rPr>
          <w:sz w:val="20"/>
          <w:szCs w:val="20"/>
          <w:color w:val="auto"/>
        </w:rPr>
      </w:pPr>
    </w:p>
    <w:p>
      <w:pPr>
        <w:ind w:right="120" w:firstLine="509"/>
        <w:spacing w:after="0" w:line="258" w:lineRule="auto"/>
        <w:rPr>
          <w:sz w:val="20"/>
          <w:szCs w:val="20"/>
          <w:color w:val="auto"/>
        </w:rPr>
      </w:pPr>
      <w:r>
        <w:rPr>
          <w:rFonts w:ascii="Arial" w:cs="Arial" w:eastAsia="Arial" w:hAnsi="Arial"/>
          <w:sz w:val="18"/>
          <w:szCs w:val="18"/>
          <w:color w:val="auto"/>
        </w:rPr>
        <w:t>On May 23, 2023, we completed an underwriten public ofering, in which we sold 12,793,750 shares of our common stock, which included the exercise in full by the underwriters of their opton to purchase 1,668,750 shares, at a price of $11.75 per share for total gross proceeds of $150.3 million. The net purchase price afer deductng underwritng discounts and commissions was $11.08 per share, which generated net proceeds of $141.8 million. We incurred an additonal $0.4 million of ofering expenses in connecton with this public ofering.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00"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 xml:space="preserve">Based on our current operatng plan, we believe that our existng cash and cash equivalents together with the drawdown of the remaining $100 million under our Loan Agreement with Hercules are sufcient to fund operatons for at least the next twelve months and receipt of $175 million in additonal milestone payments under our Revenue Interest Financing Agreement together with antcipated product revenues, will be sufcient to fund our operatons through the end of 2025. We expect such amounts will allow us to complete our ongoing Phase 3 clinical trial studying vonoprazan for Non-Erosive GERD (daily dosing), and launch VOQUEZNA for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and Erosive GERD. However, our forecast of the period of tme through which our fnancial resources will be adequate to support our operatons is a forward-looking statement that involves risks and uncertaintes and actual results could vary materially. We have based this estmate on assumptons that may prove to be wrong, and we could deplete our capital resources sooner than we expect. Additonally, the process of testng product candidates in clinical trials is costly, and the tming of progress and expenses in these trials is uncertain.</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020" w:right="320" w:hanging="503"/>
        <w:spacing w:after="0" w:line="303"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initaton, type, number, scope, results, costs and tming of our clinical trials of vonoprazan, and preclinical studies or clinical trials of other potental product candidates we may choose to pursue in the future, including feedback received from regulatory authorites;</w:t>
      </w:r>
    </w:p>
    <w:p>
      <w:pPr>
        <w:spacing w:after="0" w:line="59" w:lineRule="exact"/>
        <w:rPr>
          <w:rFonts w:ascii="Arial" w:cs="Arial" w:eastAsia="Arial" w:hAnsi="Arial"/>
          <w:sz w:val="17"/>
          <w:szCs w:val="17"/>
          <w:color w:val="auto"/>
        </w:rPr>
      </w:pPr>
    </w:p>
    <w:p>
      <w:pPr>
        <w:ind w:left="1020" w:right="260" w:hanging="503"/>
        <w:spacing w:after="0" w:line="27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tming of manufacturing for vonoprazan or any future product candidates, including commercial scale manufacturing if any product candidate is approved;</w:t>
      </w:r>
    </w:p>
    <w:p>
      <w:pPr>
        <w:spacing w:after="0" w:line="8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tming and outcome of regulatory review of vonoprazan or any future product candidates;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30" w:lineRule="exact"/>
        <w:rPr>
          <w:rFonts w:ascii="Arial" w:cs="Arial" w:eastAsia="Arial" w:hAnsi="Arial"/>
          <w:sz w:val="18"/>
          <w:szCs w:val="18"/>
          <w:color w:val="auto"/>
        </w:rPr>
      </w:pPr>
    </w:p>
    <w:p>
      <w:pPr>
        <w:ind w:left="1020" w:right="60" w:hanging="503"/>
        <w:spacing w:after="0" w:line="27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eforts to enhance operatonal systems and hire additonal personnel to satsfy our obligatons as a public company, including enhanced internal controls over fnancial reportng;</w:t>
      </w:r>
    </w:p>
    <w:p>
      <w:pPr>
        <w:spacing w:after="0" w:line="82" w:lineRule="exact"/>
        <w:rPr>
          <w:rFonts w:ascii="Arial" w:cs="Arial" w:eastAsia="Arial" w:hAnsi="Arial"/>
          <w:sz w:val="18"/>
          <w:szCs w:val="18"/>
          <w:color w:val="auto"/>
        </w:rPr>
      </w:pPr>
    </w:p>
    <w:p>
      <w:pPr>
        <w:ind w:left="1020" w:right="420" w:hanging="503"/>
        <w:spacing w:after="0" w:line="27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hiring additonal personnel and consultants as our business grows, including additonal executve ofcers and clinical development personnel;</w:t>
      </w:r>
    </w:p>
    <w:p>
      <w:pPr>
        <w:spacing w:after="0" w:line="8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tming and amount of the milestone or other payments we must make to Takeda and any future licensors;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tming of establishing or securing sales and marketng capabilites for vonoprazan or any future product candidate;</w:t>
      </w:r>
    </w:p>
    <w:p>
      <w:pPr>
        <w:spacing w:after="0" w:line="130" w:lineRule="exact"/>
        <w:rPr>
          <w:rFonts w:ascii="Arial" w:cs="Arial" w:eastAsia="Arial" w:hAnsi="Arial"/>
          <w:sz w:val="18"/>
          <w:szCs w:val="18"/>
          <w:color w:val="auto"/>
        </w:rPr>
      </w:pPr>
    </w:p>
    <w:p>
      <w:pPr>
        <w:ind w:left="1020" w:right="240" w:hanging="503"/>
        <w:spacing w:after="0" w:line="27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achieve sufcient market acceptance, coverage and adequate reimbursement from third-party payers and adequate market share and revenue for any approved products;</w:t>
      </w:r>
    </w:p>
    <w:p>
      <w:pPr>
        <w:spacing w:after="0" w:line="82" w:lineRule="exact"/>
        <w:rPr>
          <w:rFonts w:ascii="Arial" w:cs="Arial" w:eastAsia="Arial" w:hAnsi="Arial"/>
          <w:sz w:val="18"/>
          <w:szCs w:val="18"/>
          <w:color w:val="auto"/>
        </w:rPr>
      </w:pPr>
    </w:p>
    <w:p>
      <w:pPr>
        <w:ind w:left="1020" w:right="420" w:hanging="503"/>
        <w:spacing w:after="0" w:line="27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patents’ willingness to pay out-of-pocket for any approved products in the absence of coverage and/or adequate reimbursement from third-party payers;</w:t>
      </w:r>
    </w:p>
    <w:p>
      <w:pPr>
        <w:spacing w:after="0" w:line="8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and tming of establishing and maintaining collaboratons, licenses and other similar arrangements; and</w:t>
      </w:r>
    </w:p>
    <w:p>
      <w:pPr>
        <w:spacing w:after="0" w:line="198" w:lineRule="exact"/>
        <w:rPr>
          <w:rFonts w:ascii="Arial" w:cs="Arial" w:eastAsia="Arial" w:hAnsi="Arial"/>
          <w:sz w:val="18"/>
          <w:szCs w:val="18"/>
          <w:color w:val="auto"/>
        </w:rPr>
      </w:pPr>
    </w:p>
    <w:p>
      <w:pPr>
        <w:ind w:left="900" w:hanging="38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32" w:name="page33"/>
    <w:bookmarkEnd w:id="32"/>
    <w:p>
      <w:pPr>
        <w:ind w:right="80" w:firstLine="509"/>
        <w:spacing w:after="0" w:line="269" w:lineRule="auto"/>
        <w:rPr>
          <w:sz w:val="20"/>
          <w:szCs w:val="20"/>
          <w:color w:val="auto"/>
        </w:rPr>
      </w:pPr>
      <w:r>
        <w:rPr>
          <w:rFonts w:ascii="Arial" w:cs="Arial" w:eastAsia="Arial" w:hAnsi="Arial"/>
          <w:sz w:val="17"/>
          <w:szCs w:val="17"/>
          <w:color w:val="auto"/>
        </w:rPr>
        <w:t>Untl such tme, if ever, as we can generate substantal product revenues to support our cost structure, we expect to fnance our cash needs through equity oferings, the Loan Agreement, the Revenue Interest Financing Agreement, debt fnancings, or other capital sources, including potental collaboratons, licenses and other similar arrangements. To the extent that we raise additonal capital through the sale of equity or convertble debt securites, the ownership interest of our stockholders will be or could be diluted, and the terms of these securites may include liquidaton or other preferences that adversely afect the rights of our common stockholders. Debt fnancing and equity fnancing, if available, may involve agreements that include covenants limitng or restrictng our ability to take specifc actons, such as incurring additonal debt, making capital expenditures or declaring dividends. If we raise funds through collaboratons, or other similar arrangements with third partes, we may have to relinquish valuable rights to our technologies, future revenue streams, research programs or product candidates or grant licenses on terms that may not be favorable to us and/or may reduce the value of our common stock. If we are unable to raise additonal funds through equity or debt fnancings when needed, we may be required to delay, limit, reduce or terminate our product development or future commercializaton eforts or grant rights to develop and market our product candidates even if we would otherwise prefer to develop and market such product candidates ourselves.</w:t>
      </w:r>
    </w:p>
    <w:p>
      <w:pPr>
        <w:spacing w:after="0" w:line="15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Including our existng cash and cash equivalents, we believe that we have sufcient working capital on hand to fund operatons such that there is no substantal doubt as to our ability to contnue as a going concern at the date the fnancial statements were issued. There can be no assurance that we will be successful in acquiring additonal funding, that our projectons of future working capital needs will prove accurate, or that any additonal funding would be sufcient to contnue operatons in future years. Based on our current operatng plan, we believe that our existng cash and cash equivalents together with the drawdown of the remaining $100 million under our Loan Agreement with Hercules are sufcient to fund operatons for at least the next twelve months and receipt of $175 million in additonal milestone payments under our Revenue Interest Financing Agreement together with antcipated product revenues, will be sufcient to fund our operatons through the end of 2025.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net cash fow actvity for each of the periods indicated (in thousands):</w:t>
      </w:r>
    </w:p>
    <w:p>
      <w:pPr>
        <w:spacing w:after="0" w:line="210"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1"/>
        </w:trPr>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5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 Change</w:t>
            </w:r>
          </w:p>
        </w:tc>
      </w:tr>
      <w:tr>
        <w:trPr>
          <w:trHeight w:val="33"/>
        </w:trPr>
        <w:tc>
          <w:tcPr>
            <w:tcW w:w="5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5"/>
        </w:trPr>
        <w:tc>
          <w:tcPr>
            <w:tcW w:w="5180" w:type="dxa"/>
            <w:vAlign w:val="bottom"/>
          </w:tcPr>
          <w:p>
            <w:pPr>
              <w:ind w:left="200"/>
              <w:spacing w:after="0"/>
              <w:rPr>
                <w:sz w:val="20"/>
                <w:szCs w:val="20"/>
                <w:color w:val="auto"/>
              </w:rPr>
            </w:pPr>
            <w:r>
              <w:rPr>
                <w:rFonts w:ascii="Arial" w:cs="Arial" w:eastAsia="Arial" w:hAnsi="Arial"/>
                <w:sz w:val="18"/>
                <w:szCs w:val="18"/>
                <w:color w:val="auto"/>
              </w:rPr>
              <w:t>Operatng actvites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(93,783 )</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(105,489 )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11,706</w:t>
            </w:r>
          </w:p>
        </w:tc>
      </w:tr>
      <w:tr>
        <w:trPr>
          <w:trHeight w:val="251"/>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Investng actvites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(1,159 )</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(530 )</w:t>
            </w:r>
          </w:p>
        </w:tc>
      </w:tr>
      <w:tr>
        <w:trPr>
          <w:trHeight w:val="236"/>
        </w:trPr>
        <w:tc>
          <w:tcPr>
            <w:tcW w:w="5180" w:type="dxa"/>
            <w:vAlign w:val="bottom"/>
          </w:tcPr>
          <w:p>
            <w:pPr>
              <w:ind w:left="200"/>
              <w:spacing w:after="0"/>
              <w:rPr>
                <w:sz w:val="20"/>
                <w:szCs w:val="20"/>
                <w:color w:val="auto"/>
              </w:rPr>
            </w:pPr>
            <w:r>
              <w:rPr>
                <w:rFonts w:ascii="Arial" w:cs="Arial" w:eastAsia="Arial" w:hAnsi="Arial"/>
                <w:sz w:val="18"/>
                <w:szCs w:val="18"/>
                <w:color w:val="auto"/>
              </w:rPr>
              <w:t>Financing actvites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155,587</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120,042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35,545</w:t>
            </w:r>
          </w:p>
        </w:tc>
      </w:tr>
      <w:tr>
        <w:trPr>
          <w:trHeight w:val="277"/>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increase in cash</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60,645</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13,924</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-25400</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Operatng Actvites</w:t>
      </w:r>
    </w:p>
    <w:p>
      <w:pPr>
        <w:spacing w:after="0" w:line="18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Net cash used in operatng actvites was approximately $93.8 million and $105.5 million for the nine months ended September 30, 2023 and 2022, respectvely. The net cash used in operatng actvites for the nine months ended September 30, 2023 was due to approximately $79.5 million spent on ongoing research and development and general and administratve actvites and a $14.3 million net change in operatng assets and liabilites. The net change in operatng assets and liabilites primarily related to a $3.1 million decrease in accounts payable and accrued expenses (including interest and clinical trial expenses), and a $11.2 million increase in prepaid assets and other current assets, inventory, operatng right-of-use assets and lease liabilites and other long-term assets. The net cash used in operatng actvites for the nine months ended September 30, 2022 was due to approximately $111.1 million spent on ongoing research and development and general and administratve actvites ofset by a $5.6 million net change in operatng assets and liabilites. The net change in operatng assets and liabilites primarily related to a $3.7 million increase in accounts payable and accrued expenses (including clinical trial expenses), a $2.3 million decrease in prepaid assets and other current assets, partally ofset by a $0.4 million increase in other long-term assets.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Investng Actvites</w:t>
      </w:r>
    </w:p>
    <w:p>
      <w:pPr>
        <w:spacing w:after="0" w:line="187" w:lineRule="exact"/>
        <w:rPr>
          <w:sz w:val="20"/>
          <w:szCs w:val="20"/>
          <w:color w:val="auto"/>
        </w:rPr>
      </w:pPr>
    </w:p>
    <w:p>
      <w:pPr>
        <w:ind w:right="80" w:firstLine="509"/>
        <w:spacing w:after="0" w:line="273" w:lineRule="auto"/>
        <w:rPr>
          <w:sz w:val="20"/>
          <w:szCs w:val="20"/>
          <w:color w:val="auto"/>
        </w:rPr>
      </w:pPr>
      <w:r>
        <w:rPr>
          <w:rFonts w:ascii="Arial" w:cs="Arial" w:eastAsia="Arial" w:hAnsi="Arial"/>
          <w:sz w:val="18"/>
          <w:szCs w:val="18"/>
          <w:color w:val="auto"/>
        </w:rPr>
        <w:t>Net cash used in investng actvites for the nine months ended September 30, 2023 and 2022, was primarily due to the cash we paid for acquiring property, plant and equipment.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Actvites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33" w:name="page34"/>
    <w:bookmarkEnd w:id="33"/>
    <w:p>
      <w:pPr>
        <w:ind w:right="100" w:firstLine="562"/>
        <w:spacing w:after="0" w:line="262" w:lineRule="auto"/>
        <w:rPr>
          <w:sz w:val="20"/>
          <w:szCs w:val="20"/>
          <w:color w:val="auto"/>
        </w:rPr>
      </w:pPr>
      <w:r>
        <w:rPr>
          <w:rFonts w:ascii="Arial" w:cs="Arial" w:eastAsia="Arial" w:hAnsi="Arial"/>
          <w:sz w:val="18"/>
          <w:szCs w:val="18"/>
          <w:color w:val="auto"/>
        </w:rPr>
        <w:t>Net cash provided by fnancing actvites for the nine months ended September 30, 2023 was $155.6 million due to the proceeds from the sale of common stock. Net cash provided by fnancing actvites for the nine months ended September 30, 2022 was $120.0 million due to $95.4 million net proceeds from the revenue interest fnancing agreement and $24.6 million of proceeds from the sale of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Obligatons and Commitments</w:t>
      </w:r>
    </w:p>
    <w:p>
      <w:pPr>
        <w:spacing w:after="0" w:line="20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8"/>
          <w:szCs w:val="18"/>
          <w:color w:val="auto"/>
        </w:rPr>
        <w:t>Other than disclosed below, there were no material changes outside the ordinary course of our business during the nine months ended September 30, 2023 to the informaton regarding our contractual obligatons that was disclosed in Management’s Discussion and Analysis of Financial Conditon and Results of Operatons contained in our 2022 Form 10-K.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Critcal Accountng Policies and Signifcant Judgments and Estmates</w:t>
      </w:r>
    </w:p>
    <w:p>
      <w:pPr>
        <w:spacing w:after="0" w:line="18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Our management’s discussion and analysis of our fnancial conditon and results of operatons is based on our fnancial statements, which have been prepared in accordance with generally accepted accountng principles in the United States, or GAAP. The preparaton of our fnancial statements requires us to make estmates and assumptons that afect the reported amounts of assets, liabilites and expenses and the disclosure of contngent assets and liabilites in our fnancial statements and accompanying notes. We evaluate these estmates and judgments on an ongoing basis. We base our estmates on historical experience and on various other factors that we believe are reasonable under the circumstances, the results of which form the basis for making judgments about the carrying value of assets and liabilites that are not readily apparent from other sources. Actual results may difer from these estmates under diferent assumptons or conditons.</w:t>
      </w:r>
    </w:p>
    <w:p>
      <w:pPr>
        <w:spacing w:after="0" w:line="168" w:lineRule="exact"/>
        <w:rPr>
          <w:sz w:val="20"/>
          <w:szCs w:val="20"/>
          <w:color w:val="auto"/>
        </w:rPr>
      </w:pPr>
    </w:p>
    <w:p>
      <w:pPr>
        <w:ind w:right="40" w:firstLine="509"/>
        <w:spacing w:after="0" w:line="284" w:lineRule="auto"/>
        <w:rPr>
          <w:sz w:val="20"/>
          <w:szCs w:val="20"/>
          <w:color w:val="auto"/>
        </w:rPr>
      </w:pPr>
      <w:r>
        <w:rPr>
          <w:rFonts w:ascii="Arial" w:cs="Arial" w:eastAsia="Arial" w:hAnsi="Arial"/>
          <w:sz w:val="17"/>
          <w:szCs w:val="17"/>
          <w:color w:val="auto"/>
        </w:rPr>
        <w:t>For a descripton of our critcal accountng policies, please see the secton enttled “Management’s Discussion and Analysis of Financial Conditon and Results of Operatons — Critcal Accountng Policies and Signifcant Judgments and Estmates” contained in our 2022 Form 10-K. There have not been any material changes to the critcal accountng policies discussed therein during the nine months ended September 30, 2023.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00"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As an emerging growth company under the Jumpstart Our Business Startups Act of 2012, or the JOBS Act, we can take advantage of an extended transiton period for complying with new or revised accountng standards. This allows an emerging growth company to delay the adopton of certain accountng standards untl those standards would otherwise apply to private companies. We have irrevocably elected not to avail ourselves of this exempton and, therefore, we will be subject to the same new or revised accountng standards as other public companies that are not emerging growth companies. We intend to rely on other exemptons provided by the JOBS Act, including without limitaton, not being required to comply with the auditor atestaton requirements of Secton 404(b) of Sarbanes-Oxley.</w:t>
      </w:r>
    </w:p>
    <w:p>
      <w:pPr>
        <w:spacing w:after="0" w:line="152" w:lineRule="exact"/>
        <w:rPr>
          <w:sz w:val="20"/>
          <w:szCs w:val="20"/>
          <w:color w:val="auto"/>
        </w:rPr>
      </w:pPr>
    </w:p>
    <w:p>
      <w:pPr>
        <w:ind w:right="160" w:firstLine="509"/>
        <w:spacing w:after="0" w:line="274" w:lineRule="auto"/>
        <w:rPr>
          <w:sz w:val="20"/>
          <w:szCs w:val="20"/>
          <w:color w:val="auto"/>
        </w:rPr>
      </w:pPr>
      <w:r>
        <w:rPr>
          <w:rFonts w:ascii="Arial" w:cs="Arial" w:eastAsia="Arial" w:hAnsi="Arial"/>
          <w:sz w:val="17"/>
          <w:szCs w:val="17"/>
          <w:color w:val="auto"/>
        </w:rPr>
        <w:t>We will remain an emerging growth company untl the earliest of (i) the last day of the fscal year following the ffh anniversary of the consummaton of our IPO, (ii) the last day of the fscal year in which we have total annual gross revenue of at least $1.235 billion, (iii) the last day of the fscal year in which we are deemed to be a “large accelerated fler” as defned in Rule 12b-2 under the Exchange Act, which would occur if the market value of our common stock held by non-afliates exceeded $700.0 million as of the last business day of the second fscal quarter of such year, or (iv) the date on which we have issued more than $1.0 billion in non-convertble debt securites during the prior three-year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Accountng Pronouncements</w:t>
      </w:r>
    </w:p>
    <w:p>
      <w:pPr>
        <w:spacing w:after="0" w:line="200" w:lineRule="exact"/>
        <w:rPr>
          <w:sz w:val="20"/>
          <w:szCs w:val="20"/>
          <w:color w:val="auto"/>
        </w:rPr>
      </w:pPr>
    </w:p>
    <w:p>
      <w:pPr>
        <w:ind w:right="340" w:firstLine="509"/>
        <w:spacing w:after="0" w:line="273" w:lineRule="auto"/>
        <w:rPr>
          <w:sz w:val="20"/>
          <w:szCs w:val="20"/>
          <w:color w:val="auto"/>
        </w:rPr>
      </w:pPr>
      <w:r>
        <w:rPr>
          <w:rFonts w:ascii="Arial" w:cs="Arial" w:eastAsia="Arial" w:hAnsi="Arial"/>
          <w:sz w:val="18"/>
          <w:szCs w:val="18"/>
          <w:color w:val="auto"/>
        </w:rPr>
        <w:t>The informaton required by this item is included in Note 1, Organizaton, Basis of Presentaton and Summary of Signifcant Accountng Policies included in Part 1, Item 1 of this quarterly report.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Of-Balance Sheet Arrangements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periods presented we did not have, nor do we currently have, any of-balance sheet arrangements as defned under SEC rules.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0"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Quanttatve and Qualitative Disclosures About Market Risk</w:t>
      </w:r>
    </w:p>
    <w:p>
      <w:pPr>
        <w:spacing w:after="0" w:line="200" w:lineRule="exact"/>
        <w:rPr>
          <w:sz w:val="20"/>
          <w:szCs w:val="20"/>
          <w:color w:val="auto"/>
        </w:rPr>
      </w:pPr>
    </w:p>
    <w:p>
      <w:pPr>
        <w:ind w:right="40" w:firstLine="509"/>
        <w:spacing w:after="0" w:line="262" w:lineRule="auto"/>
        <w:rPr>
          <w:sz w:val="20"/>
          <w:szCs w:val="20"/>
          <w:color w:val="auto"/>
        </w:rPr>
      </w:pPr>
      <w:r>
        <w:rPr>
          <w:rFonts w:ascii="Arial" w:cs="Arial" w:eastAsia="Arial" w:hAnsi="Arial"/>
          <w:sz w:val="18"/>
          <w:szCs w:val="18"/>
          <w:color w:val="auto"/>
        </w:rPr>
        <w:t>As of September 30, 2023, there have been no material changes surrounding our market risk, including interest rate risk, foreign currency exchange risk, and infaton risk, from the discussion provided in “Management’s Discussion and Analysis of Financial Conditon and Results of Operatons – Quanttatve and Qualitatve Disclosures About Market Risk” of our 2022 Form 10-K.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Efectveness of Disclosure Controls and Procedures</w:t>
      </w:r>
    </w:p>
    <w:p>
      <w:pPr>
        <w:spacing w:after="0" w:line="200"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We maintain disclosure controls and procedures that are designed to ensure that informaton required to be disclosed in our periodic and current reports that we fle with the SEC is recorded, processed, summarized and reported within the tme periods specifed in the SEC’s rules and forms, and that such informaton is accumulated and communicated to our management, including our principal executve ofcer and principal fnancial ofcer, as appropriate, to allow tmely decisions regarding required disclosure. In designing and evaluatng the disclosure controls and procedures, management recognized that any controls and procedures, no mater how well designed and operated, can provide only reasonable and not absolute assurance of achieving the desired control objectves. In reaching a reasonable level of assurance, management necessarily was required to apply its judgment in evaluatng the cost-beneft relatonship of possible controls and procedures. In additon, the design of any system of controls also is based in part upon certain assumptons about the likelihood of future events, and there can be no assurance that any design will succeed in achieving its stated goals under all potental future conditons; over tme, control may become inadequate because of changes in conditons, or the degree of compliance with policies or procedures may deteriorate. Because of the inherent limitatons in a cost-efectve control system, misstatements due to error or fraud may occur and not be detected.</w:t>
      </w:r>
    </w:p>
    <w:p>
      <w:pPr>
        <w:spacing w:after="0" w:line="161" w:lineRule="exact"/>
        <w:rPr>
          <w:sz w:val="20"/>
          <w:szCs w:val="20"/>
          <w:color w:val="auto"/>
        </w:rPr>
      </w:pPr>
    </w:p>
    <w:p>
      <w:pPr>
        <w:ind w:right="360" w:firstLine="509"/>
        <w:spacing w:after="0" w:line="258" w:lineRule="auto"/>
        <w:rPr>
          <w:sz w:val="20"/>
          <w:szCs w:val="20"/>
          <w:color w:val="auto"/>
        </w:rPr>
      </w:pPr>
      <w:r>
        <w:rPr>
          <w:rFonts w:ascii="Arial" w:cs="Arial" w:eastAsia="Arial" w:hAnsi="Arial"/>
          <w:sz w:val="18"/>
          <w:szCs w:val="18"/>
          <w:color w:val="auto"/>
        </w:rPr>
        <w:t>Our management, with the partcipaton of our principal executve ofcer and principal fnancial ofcer, has evaluated the efectveness of our disclosure controls and procedures as defned in Rules 13a-15(e) and 15d-15(e) under the Exchange Act as of the end of the period covered by this quarterly report. Based on such evaluaton, our principal executve ofcer and principal fnancial ofcer have concluded that as of such date, our disclosure controls and procedures were efectve at the reasonable assurance level.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Reportng</w:t>
      </w:r>
    </w:p>
    <w:p>
      <w:pPr>
        <w:spacing w:after="0" w:line="200" w:lineRule="exact"/>
        <w:rPr>
          <w:sz w:val="20"/>
          <w:szCs w:val="20"/>
          <w:color w:val="auto"/>
        </w:rPr>
      </w:pPr>
    </w:p>
    <w:p>
      <w:pPr>
        <w:ind w:right="740" w:firstLine="509"/>
        <w:spacing w:after="0" w:line="273" w:lineRule="auto"/>
        <w:rPr>
          <w:sz w:val="20"/>
          <w:szCs w:val="20"/>
          <w:color w:val="auto"/>
        </w:rPr>
      </w:pPr>
      <w:r>
        <w:rPr>
          <w:rFonts w:ascii="Arial" w:cs="Arial" w:eastAsia="Arial" w:hAnsi="Arial"/>
          <w:sz w:val="18"/>
          <w:szCs w:val="18"/>
          <w:color w:val="auto"/>
        </w:rPr>
        <w:t>There have been no changes in our internal control over fnancial reportng during the nine months ended September 30, 2023 that have materially afected, or are reasonably likely to materially afect, our internal control over fnancial reportng.</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35" w:name="page36"/>
    <w:bookmarkEnd w:id="35"/>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0"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We are not currently subject to any material legal proceedings. From tme to tme, we may be involved in legal proceedings or subject to claims incident to the ordinary course of business. Regardless of the outcome, such proceedings or claims can have an adverse impact on us because of defense and setlement costs, diversion of resources and other factors, and there can be no assurances that favorable outcomes will be obtained.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material changes to the risk factors disclosed in Part I, Item 1A, “Risk Factors” of our 2022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Securites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8"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00" w:type="dxa"/>
            <w:vAlign w:val="bottom"/>
            <w:gridSpan w:val="4"/>
          </w:tcPr>
          <w:p>
            <w:pPr>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Filed</w:t>
            </w:r>
          </w:p>
        </w:tc>
        <w:tc>
          <w:tcPr>
            <w:tcW w:w="0" w:type="dxa"/>
            <w:vAlign w:val="bottom"/>
          </w:tcPr>
          <w:p>
            <w:pPr>
              <w:spacing w:after="0"/>
              <w:rPr>
                <w:sz w:val="1"/>
                <w:szCs w:val="1"/>
                <w:color w:val="auto"/>
              </w:rPr>
            </w:pPr>
          </w:p>
        </w:tc>
      </w:tr>
      <w:tr>
        <w:trPr>
          <w:trHeight w:val="158"/>
        </w:trPr>
        <w:tc>
          <w:tcPr>
            <w:tcW w:w="10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gridSpan w:val="16"/>
          </w:tcPr>
          <w:p>
            <w:pPr>
              <w:ind w:left="300"/>
              <w:spacing w:after="0"/>
              <w:rPr>
                <w:sz w:val="20"/>
                <w:szCs w:val="20"/>
                <w:color w:val="auto"/>
              </w:rPr>
            </w:pPr>
            <w:r>
              <w:rPr>
                <w:rFonts w:ascii="Arial" w:cs="Arial" w:eastAsia="Arial" w:hAnsi="Arial"/>
                <w:sz w:val="14"/>
                <w:szCs w:val="14"/>
                <w:b w:val="1"/>
                <w:bCs w:val="1"/>
                <w:color w:val="auto"/>
              </w:rPr>
              <w:t>Exhibit Descripton</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Form</w:t>
            </w:r>
          </w:p>
        </w:tc>
        <w:tc>
          <w:tcPr>
            <w:tcW w:w="100" w:type="dxa"/>
            <w:vAlign w:val="bottom"/>
          </w:tcPr>
          <w:p>
            <w:pPr>
              <w:spacing w:after="0"/>
              <w:rPr>
                <w:sz w:val="15"/>
                <w:szCs w:val="15"/>
                <w:color w:val="auto"/>
              </w:rPr>
            </w:pPr>
          </w:p>
        </w:tc>
        <w:tc>
          <w:tcPr>
            <w:tcW w:w="1040" w:type="dxa"/>
            <w:vAlign w:val="bottom"/>
          </w:tcPr>
          <w:p>
            <w:pPr>
              <w:ind w:left="38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5"/>
                <w:szCs w:val="15"/>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06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Borders>
              <w:bottom w:val="single" w:sz="8" w:color="0000FF"/>
            </w:tcBorders>
            <w:gridSpan w:val="8"/>
          </w:tcPr>
          <w:p>
            <w:pPr>
              <w:spacing w:after="0"/>
              <w:rPr>
                <w:rFonts w:ascii="Arial" w:cs="Arial" w:eastAsia="Arial" w:hAnsi="Arial"/>
                <w:sz w:val="14"/>
                <w:szCs w:val="14"/>
                <w:color w:val="0000FF"/>
                <w:w w:val="96"/>
              </w:rPr>
            </w:pPr>
            <w:hyperlink r:id="rId165">
              <w:r>
                <w:rPr>
                  <w:rFonts w:ascii="Arial" w:cs="Arial" w:eastAsia="Arial" w:hAnsi="Arial"/>
                  <w:sz w:val="14"/>
                  <w:szCs w:val="14"/>
                  <w:color w:val="0000FF"/>
                  <w:w w:val="96"/>
                </w:rPr>
                <w:t>Amended and Restated Certfcate of Incorporaton</w:t>
              </w:r>
            </w:hyperlink>
          </w:p>
        </w:tc>
        <w:tc>
          <w:tcPr>
            <w:tcW w:w="20" w:type="dxa"/>
            <w:vAlign w:val="bottom"/>
            <w:tcBorders>
              <w:bottom w:val="single" w:sz="8" w:color="0000EE"/>
            </w:tcBorders>
          </w:tcPr>
          <w:p>
            <w:pPr>
              <w:spacing w:after="0"/>
              <w:rPr>
                <w:sz w:val="24"/>
                <w:szCs w:val="24"/>
                <w:color w:val="auto"/>
              </w:rPr>
            </w:pPr>
          </w:p>
        </w:tc>
        <w:tc>
          <w:tcPr>
            <w:tcW w:w="2900" w:type="dxa"/>
            <w:vAlign w:val="bottom"/>
            <w:gridSpan w:val="14"/>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2"/>
              </w:rPr>
              <w:t>8-K</w:t>
            </w:r>
          </w:p>
        </w:tc>
        <w:tc>
          <w:tcPr>
            <w:tcW w:w="114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10/29/19</w:t>
            </w:r>
          </w:p>
        </w:tc>
        <w:tc>
          <w:tcPr>
            <w:tcW w:w="1160" w:type="dxa"/>
            <w:vAlign w:val="bottom"/>
            <w:gridSpan w:val="2"/>
          </w:tcPr>
          <w:p>
            <w:pPr>
              <w:jc w:val="center"/>
              <w:ind w:left="28"/>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tcBorders>
              <w:bottom w:val="single" w:sz="8" w:color="0000FF"/>
            </w:tcBorders>
            <w:gridSpan w:val="20"/>
          </w:tcPr>
          <w:p>
            <w:pPr>
              <w:spacing w:after="0"/>
              <w:rPr>
                <w:rFonts w:ascii="Arial" w:cs="Arial" w:eastAsia="Arial" w:hAnsi="Arial"/>
                <w:sz w:val="14"/>
                <w:szCs w:val="14"/>
                <w:color w:val="0000FF"/>
                <w:w w:val="98"/>
              </w:rPr>
            </w:pPr>
            <w:hyperlink r:id="rId166">
              <w:r>
                <w:rPr>
                  <w:rFonts w:ascii="Arial" w:cs="Arial" w:eastAsia="Arial" w:hAnsi="Arial"/>
                  <w:sz w:val="14"/>
                  <w:szCs w:val="14"/>
                  <w:color w:val="0000FF"/>
                  <w:w w:val="98"/>
                </w:rPr>
                <w:t>Certfcate of Amendment to Amended and Restated Certfcate of Incorporaton, as fled with the</w:t>
              </w:r>
            </w:hyperlink>
          </w:p>
        </w:tc>
        <w:tc>
          <w:tcPr>
            <w:tcW w:w="200" w:type="dxa"/>
            <w:vAlign w:val="bottom"/>
            <w:gridSpan w:val="3"/>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2"/>
              </w:rPr>
              <w:t>8-K</w:t>
            </w: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rPr>
              <w:t>5/30/23</w:t>
            </w:r>
          </w:p>
        </w:tc>
        <w:tc>
          <w:tcPr>
            <w:tcW w:w="1160" w:type="dxa"/>
            <w:vAlign w:val="bottom"/>
            <w:gridSpan w:val="2"/>
          </w:tcPr>
          <w:p>
            <w:pPr>
              <w:jc w:val="center"/>
              <w:ind w:left="28"/>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00" w:type="dxa"/>
            <w:vAlign w:val="bottom"/>
            <w:gridSpan w:val="23"/>
          </w:tcPr>
          <w:p>
            <w:pPr>
              <w:spacing w:after="0" w:line="155" w:lineRule="exact"/>
              <w:rPr>
                <w:rFonts w:ascii="Arial" w:cs="Arial" w:eastAsia="Arial" w:hAnsi="Arial"/>
                <w:sz w:val="14"/>
                <w:szCs w:val="14"/>
                <w:color w:val="0000FF"/>
              </w:rPr>
            </w:pPr>
            <w:hyperlink r:id="rId166">
              <w:r>
                <w:rPr>
                  <w:rFonts w:ascii="Arial" w:cs="Arial" w:eastAsia="Arial" w:hAnsi="Arial"/>
                  <w:sz w:val="14"/>
                  <w:szCs w:val="14"/>
                  <w:color w:val="0000FF"/>
                </w:rPr>
                <w:t>Secretary of the State of Delaware on May 26, 2023</w:t>
              </w:r>
            </w:hyperlink>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Borders>
              <w:top w:val="single" w:sz="8" w:color="0000FF"/>
              <w:bottom w:val="single" w:sz="8" w:color="0000FF"/>
            </w:tcBorders>
            <w:gridSpan w:val="4"/>
          </w:tcPr>
          <w:p>
            <w:pPr>
              <w:spacing w:after="0"/>
              <w:rPr>
                <w:rFonts w:ascii="Arial" w:cs="Arial" w:eastAsia="Arial" w:hAnsi="Arial"/>
                <w:sz w:val="14"/>
                <w:szCs w:val="14"/>
                <w:color w:val="0000FF"/>
                <w:w w:val="91"/>
              </w:rPr>
            </w:pPr>
            <w:hyperlink r:id="rId167">
              <w:r>
                <w:rPr>
                  <w:rFonts w:ascii="Arial" w:cs="Arial" w:eastAsia="Arial" w:hAnsi="Arial"/>
                  <w:sz w:val="14"/>
                  <w:szCs w:val="14"/>
                  <w:color w:val="0000FF"/>
                  <w:w w:val="91"/>
                </w:rPr>
                <w:t>Amended and Restated Bylaws</w:t>
              </w:r>
            </w:hyperlink>
          </w:p>
        </w:tc>
        <w:tc>
          <w:tcPr>
            <w:tcW w:w="20" w:type="dxa"/>
            <w:vAlign w:val="bottom"/>
            <w:tcBorders>
              <w:top w:val="single" w:sz="8" w:color="0000FF"/>
              <w:bottom w:val="single" w:sz="8" w:color="0000EE"/>
            </w:tcBorders>
          </w:tcPr>
          <w:p>
            <w:pPr>
              <w:spacing w:after="0"/>
              <w:rPr>
                <w:sz w:val="24"/>
                <w:szCs w:val="24"/>
                <w:color w:val="auto"/>
              </w:rPr>
            </w:pPr>
          </w:p>
        </w:tc>
        <w:tc>
          <w:tcPr>
            <w:tcW w:w="1180" w:type="dxa"/>
            <w:vAlign w:val="bottom"/>
            <w:tcBorders>
              <w:top w:val="single" w:sz="8" w:color="0000FF"/>
            </w:tcBorders>
            <w:gridSpan w:val="4"/>
          </w:tcPr>
          <w:p>
            <w:pPr>
              <w:spacing w:after="0"/>
              <w:rPr>
                <w:sz w:val="24"/>
                <w:szCs w:val="24"/>
                <w:color w:val="auto"/>
              </w:rPr>
            </w:pPr>
          </w:p>
        </w:tc>
        <w:tc>
          <w:tcPr>
            <w:tcW w:w="2900" w:type="dxa"/>
            <w:vAlign w:val="bottom"/>
            <w:gridSpan w:val="14"/>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2"/>
              </w:rPr>
              <w:t>8-K</w:t>
            </w: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rPr>
              <w:t>9/25/20</w:t>
            </w:r>
          </w:p>
        </w:tc>
        <w:tc>
          <w:tcPr>
            <w:tcW w:w="1160" w:type="dxa"/>
            <w:vAlign w:val="bottom"/>
            <w:gridSpan w:val="2"/>
          </w:tcPr>
          <w:p>
            <w:pPr>
              <w:jc w:val="center"/>
              <w:ind w:left="28"/>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Borders>
              <w:bottom w:val="single" w:sz="8" w:color="0000FF"/>
            </w:tcBorders>
            <w:gridSpan w:val="6"/>
          </w:tcPr>
          <w:p>
            <w:pPr>
              <w:spacing w:after="0"/>
              <w:rPr>
                <w:rFonts w:ascii="Arial" w:cs="Arial" w:eastAsia="Arial" w:hAnsi="Arial"/>
                <w:sz w:val="14"/>
                <w:szCs w:val="14"/>
                <w:color w:val="0000FF"/>
                <w:w w:val="94"/>
              </w:rPr>
            </w:pPr>
            <w:hyperlink r:id="rId168">
              <w:r>
                <w:rPr>
                  <w:rFonts w:ascii="Arial" w:cs="Arial" w:eastAsia="Arial" w:hAnsi="Arial"/>
                  <w:sz w:val="14"/>
                  <w:szCs w:val="14"/>
                  <w:color w:val="0000FF"/>
                  <w:w w:val="94"/>
                </w:rPr>
                <w:t>Form of Common Stock Certfcate</w:t>
              </w:r>
            </w:hyperlink>
          </w:p>
        </w:tc>
        <w:tc>
          <w:tcPr>
            <w:tcW w:w="20" w:type="dxa"/>
            <w:vAlign w:val="bottom"/>
            <w:tcBorders>
              <w:bottom w:val="single" w:sz="8" w:color="0000EE"/>
            </w:tcBorders>
          </w:tcPr>
          <w:p>
            <w:pPr>
              <w:spacing w:after="0"/>
              <w:rPr>
                <w:sz w:val="24"/>
                <w:szCs w:val="24"/>
                <w:color w:val="auto"/>
              </w:rPr>
            </w:pPr>
          </w:p>
        </w:tc>
        <w:tc>
          <w:tcPr>
            <w:tcW w:w="3880" w:type="dxa"/>
            <w:vAlign w:val="bottom"/>
            <w:gridSpan w:val="16"/>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1"/>
              </w:rPr>
              <w:t>S-1/A</w:t>
            </w:r>
          </w:p>
        </w:tc>
        <w:tc>
          <w:tcPr>
            <w:tcW w:w="114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10/15/19</w:t>
            </w:r>
          </w:p>
        </w:tc>
        <w:tc>
          <w:tcPr>
            <w:tcW w:w="1160" w:type="dxa"/>
            <w:vAlign w:val="bottom"/>
            <w:gridSpan w:val="2"/>
          </w:tcPr>
          <w:p>
            <w:pPr>
              <w:jc w:val="center"/>
              <w:ind w:left="28"/>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rFonts w:ascii="Arial" w:cs="Arial" w:eastAsia="Arial" w:hAnsi="Arial"/>
                <w:sz w:val="14"/>
                <w:szCs w:val="14"/>
                <w:color w:val="0000FF"/>
              </w:rPr>
            </w:pPr>
            <w:hyperlink r:id="rId169">
              <w:r>
                <w:rPr>
                  <w:rFonts w:ascii="Arial" w:cs="Arial" w:eastAsia="Arial" w:hAnsi="Arial"/>
                  <w:sz w:val="14"/>
                  <w:szCs w:val="14"/>
                  <w:color w:val="0000FF"/>
                </w:rPr>
                <w:t>Warrant to purchase stock issued to Silicon Valley Bank, dated May 14, 2019</w:t>
              </w:r>
            </w:hyperlink>
          </w:p>
        </w:tc>
        <w:tc>
          <w:tcPr>
            <w:tcW w:w="700" w:type="dxa"/>
            <w:vAlign w:val="bottom"/>
          </w:tcPr>
          <w:p>
            <w:pPr>
              <w:jc w:val="center"/>
              <w:spacing w:after="0"/>
              <w:rPr>
                <w:sz w:val="20"/>
                <w:szCs w:val="20"/>
                <w:color w:val="auto"/>
              </w:rPr>
            </w:pPr>
            <w:r>
              <w:rPr>
                <w:rFonts w:ascii="Arial" w:cs="Arial" w:eastAsia="Arial" w:hAnsi="Arial"/>
                <w:sz w:val="14"/>
                <w:szCs w:val="14"/>
                <w:color w:val="auto"/>
                <w:w w:val="82"/>
              </w:rPr>
              <w:t>S-1</w:t>
            </w: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rPr>
              <w:t>9/30/19</w:t>
            </w:r>
          </w:p>
        </w:tc>
        <w:tc>
          <w:tcPr>
            <w:tcW w:w="1160" w:type="dxa"/>
            <w:vAlign w:val="bottom"/>
            <w:gridSpan w:val="2"/>
          </w:tcPr>
          <w:p>
            <w:pPr>
              <w:jc w:val="center"/>
              <w:ind w:left="28"/>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40" w:type="dxa"/>
            <w:vAlign w:val="bottom"/>
            <w:gridSpan w:val="7"/>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6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Borders>
              <w:bottom w:val="single" w:sz="8" w:color="0000FF"/>
            </w:tcBorders>
            <w:gridSpan w:val="17"/>
          </w:tcPr>
          <w:p>
            <w:pPr>
              <w:spacing w:after="0"/>
              <w:rPr>
                <w:rFonts w:ascii="Arial" w:cs="Arial" w:eastAsia="Arial" w:hAnsi="Arial"/>
                <w:sz w:val="14"/>
                <w:szCs w:val="14"/>
                <w:color w:val="0000FF"/>
                <w:w w:val="92"/>
              </w:rPr>
            </w:pPr>
            <w:hyperlink r:id="rId170">
              <w:r>
                <w:rPr>
                  <w:rFonts w:ascii="Arial" w:cs="Arial" w:eastAsia="Arial" w:hAnsi="Arial"/>
                  <w:sz w:val="14"/>
                  <w:szCs w:val="14"/>
                  <w:color w:val="0000FF"/>
                  <w:w w:val="92"/>
                </w:rPr>
                <w:t>Warrant to purchase stock issued to WestRiver Innovaton Lending Fund VIII, L.P., dated May 14,</w:t>
              </w:r>
            </w:hyperlink>
          </w:p>
        </w:tc>
        <w:tc>
          <w:tcPr>
            <w:tcW w:w="300" w:type="dxa"/>
            <w:vAlign w:val="bottom"/>
            <w:gridSpan w:val="6"/>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2"/>
              </w:rPr>
              <w:t>S-1</w:t>
            </w: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rPr>
              <w:t>9/30/19</w:t>
            </w:r>
          </w:p>
        </w:tc>
        <w:tc>
          <w:tcPr>
            <w:tcW w:w="1160" w:type="dxa"/>
            <w:vAlign w:val="bottom"/>
            <w:gridSpan w:val="2"/>
          </w:tcPr>
          <w:p>
            <w:pPr>
              <w:jc w:val="center"/>
              <w:ind w:left="28"/>
              <w:spacing w:after="0"/>
              <w:rPr>
                <w:sz w:val="20"/>
                <w:szCs w:val="20"/>
                <w:color w:val="auto"/>
              </w:rPr>
            </w:pPr>
            <w:r>
              <w:rPr>
                <w:rFonts w:ascii="Arial" w:cs="Arial" w:eastAsia="Arial" w:hAnsi="Arial"/>
                <w:sz w:val="14"/>
                <w:szCs w:val="14"/>
                <w:color w:val="auto"/>
                <w:w w:val="92"/>
              </w:rPr>
              <w:t>4.4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440" w:type="dxa"/>
            <w:vAlign w:val="bottom"/>
            <w:gridSpan w:val="3"/>
          </w:tcPr>
          <w:p>
            <w:pPr>
              <w:ind w:left="140"/>
              <w:spacing w:after="0" w:line="155" w:lineRule="exact"/>
              <w:rPr>
                <w:rFonts w:ascii="Arial" w:cs="Arial" w:eastAsia="Arial" w:hAnsi="Arial"/>
                <w:sz w:val="14"/>
                <w:szCs w:val="14"/>
                <w:color w:val="0000FF"/>
                <w:w w:val="83"/>
              </w:rPr>
            </w:pPr>
            <w:hyperlink r:id="rId170">
              <w:r>
                <w:rPr>
                  <w:rFonts w:ascii="Arial" w:cs="Arial" w:eastAsia="Arial" w:hAnsi="Arial"/>
                  <w:sz w:val="14"/>
                  <w:szCs w:val="14"/>
                  <w:color w:val="0000FF"/>
                  <w:w w:val="83"/>
                </w:rPr>
                <w:t>2019</w:t>
              </w:r>
            </w:hyperlink>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6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rFonts w:ascii="Arial" w:cs="Arial" w:eastAsia="Arial" w:hAnsi="Arial"/>
                <w:sz w:val="14"/>
                <w:szCs w:val="14"/>
                <w:color w:val="0000FF"/>
              </w:rPr>
            </w:pPr>
            <w:hyperlink r:id="rId171">
              <w:r>
                <w:rPr>
                  <w:rFonts w:ascii="Arial" w:cs="Arial" w:eastAsia="Arial" w:hAnsi="Arial"/>
                  <w:sz w:val="14"/>
                  <w:szCs w:val="14"/>
                  <w:color w:val="0000FF"/>
                </w:rPr>
                <w:t>Warrant to purchase stock issued to Hercules Capital, dated September 17, 2021</w:t>
              </w:r>
            </w:hyperlink>
          </w:p>
        </w:tc>
        <w:tc>
          <w:tcPr>
            <w:tcW w:w="700" w:type="dxa"/>
            <w:vAlign w:val="bottom"/>
          </w:tcPr>
          <w:p>
            <w:pPr>
              <w:jc w:val="center"/>
              <w:spacing w:after="0"/>
              <w:rPr>
                <w:sz w:val="20"/>
                <w:szCs w:val="20"/>
                <w:color w:val="auto"/>
              </w:rPr>
            </w:pPr>
            <w:r>
              <w:rPr>
                <w:rFonts w:ascii="Arial" w:cs="Arial" w:eastAsia="Arial" w:hAnsi="Arial"/>
                <w:sz w:val="14"/>
                <w:szCs w:val="14"/>
                <w:color w:val="auto"/>
                <w:w w:val="89"/>
              </w:rPr>
              <w:t>10-Q</w:t>
            </w: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rPr>
              <w:t>11/8/21</w:t>
            </w:r>
          </w:p>
        </w:tc>
        <w:tc>
          <w:tcPr>
            <w:tcW w:w="1160" w:type="dxa"/>
            <w:vAlign w:val="bottom"/>
            <w:gridSpan w:val="2"/>
          </w:tcPr>
          <w:p>
            <w:pPr>
              <w:jc w:val="center"/>
              <w:ind w:left="28"/>
              <w:spacing w:after="0"/>
              <w:rPr>
                <w:sz w:val="20"/>
                <w:szCs w:val="20"/>
                <w:color w:val="auto"/>
              </w:rPr>
            </w:pPr>
            <w:r>
              <w:rPr>
                <w:rFonts w:ascii="Arial" w:cs="Arial" w:eastAsia="Arial" w:hAnsi="Arial"/>
                <w:sz w:val="14"/>
                <w:szCs w:val="14"/>
                <w:color w:val="auto"/>
                <w:w w:val="95"/>
              </w:rPr>
              <w:t>10.2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40" w:type="dxa"/>
            <w:vAlign w:val="bottom"/>
            <w:gridSpan w:val="7"/>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6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rFonts w:ascii="Arial" w:cs="Arial" w:eastAsia="Arial" w:hAnsi="Arial"/>
                <w:sz w:val="14"/>
                <w:szCs w:val="14"/>
                <w:color w:val="0000FF"/>
              </w:rPr>
            </w:pPr>
            <w:hyperlink r:id="rId172">
              <w:r>
                <w:rPr>
                  <w:rFonts w:ascii="Arial" w:cs="Arial" w:eastAsia="Arial" w:hAnsi="Arial"/>
                  <w:sz w:val="14"/>
                  <w:szCs w:val="14"/>
                  <w:color w:val="0000FF"/>
                </w:rPr>
                <w:t>First Amendment to Warrant to purchase stock issued to Hercules Capital, dated May 9, 2023</w:t>
              </w:r>
            </w:hyperlink>
          </w:p>
        </w:tc>
        <w:tc>
          <w:tcPr>
            <w:tcW w:w="700" w:type="dxa"/>
            <w:vAlign w:val="bottom"/>
          </w:tcPr>
          <w:p>
            <w:pPr>
              <w:jc w:val="center"/>
              <w:spacing w:after="0"/>
              <w:rPr>
                <w:sz w:val="20"/>
                <w:szCs w:val="20"/>
                <w:color w:val="auto"/>
              </w:rPr>
            </w:pPr>
            <w:r>
              <w:rPr>
                <w:rFonts w:ascii="Arial" w:cs="Arial" w:eastAsia="Arial" w:hAnsi="Arial"/>
                <w:sz w:val="14"/>
                <w:szCs w:val="14"/>
                <w:color w:val="auto"/>
                <w:w w:val="89"/>
              </w:rPr>
              <w:t>10-Q</w:t>
            </w: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rPr>
              <w:t>5/10/23</w:t>
            </w:r>
          </w:p>
        </w:tc>
        <w:tc>
          <w:tcPr>
            <w:tcW w:w="1160" w:type="dxa"/>
            <w:vAlign w:val="bottom"/>
            <w:gridSpan w:val="2"/>
          </w:tcPr>
          <w:p>
            <w:pPr>
              <w:jc w:val="center"/>
              <w:ind w:left="28"/>
              <w:spacing w:after="0"/>
              <w:rPr>
                <w:sz w:val="20"/>
                <w:szCs w:val="20"/>
                <w:color w:val="auto"/>
              </w:rPr>
            </w:pPr>
            <w:r>
              <w:rPr>
                <w:rFonts w:ascii="Arial" w:cs="Arial" w:eastAsia="Arial" w:hAnsi="Arial"/>
                <w:sz w:val="14"/>
                <w:szCs w:val="14"/>
                <w:color w:val="auto"/>
                <w:w w:val="92"/>
              </w:rPr>
              <w:t>4.5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center"/>
              <w:spacing w:after="0"/>
              <w:rPr>
                <w:sz w:val="20"/>
                <w:szCs w:val="20"/>
                <w:color w:val="auto"/>
              </w:rPr>
            </w:pPr>
            <w:r>
              <w:rPr>
                <w:rFonts w:ascii="Arial" w:cs="Arial" w:eastAsia="Arial" w:hAnsi="Arial"/>
                <w:sz w:val="14"/>
                <w:szCs w:val="14"/>
                <w:color w:val="auto"/>
                <w:w w:val="92"/>
              </w:rPr>
              <w:t>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tcBorders>
              <w:top w:val="single" w:sz="8" w:color="0000FF"/>
              <w:bottom w:val="single" w:sz="8" w:color="0000FF"/>
            </w:tcBorders>
            <w:gridSpan w:val="13"/>
          </w:tcPr>
          <w:p>
            <w:pPr>
              <w:spacing w:after="0"/>
              <w:rPr>
                <w:rFonts w:ascii="Arial" w:cs="Arial" w:eastAsia="Arial" w:hAnsi="Arial"/>
                <w:sz w:val="14"/>
                <w:szCs w:val="14"/>
                <w:color w:val="0000FF"/>
                <w:w w:val="93"/>
              </w:rPr>
            </w:pPr>
            <w:hyperlink r:id="rId173">
              <w:r>
                <w:rPr>
                  <w:rFonts w:ascii="Arial" w:cs="Arial" w:eastAsia="Arial" w:hAnsi="Arial"/>
                  <w:sz w:val="14"/>
                  <w:szCs w:val="14"/>
                  <w:color w:val="0000FF"/>
                  <w:w w:val="93"/>
                </w:rPr>
                <w:t>Form of Warrant to purchase stock issuable pursuant to the Loan and Security Agreement, as</w:t>
              </w:r>
            </w:hyperlink>
          </w:p>
        </w:tc>
        <w:tc>
          <w:tcPr>
            <w:tcW w:w="20" w:type="dxa"/>
            <w:vAlign w:val="bottom"/>
            <w:tcBorders>
              <w:bottom w:val="single" w:sz="8" w:color="0000FF"/>
            </w:tcBorders>
          </w:tcPr>
          <w:p>
            <w:pPr>
              <w:spacing w:after="0"/>
              <w:rPr>
                <w:sz w:val="24"/>
                <w:szCs w:val="24"/>
                <w:color w:val="auto"/>
              </w:rPr>
            </w:pPr>
          </w:p>
        </w:tc>
        <w:tc>
          <w:tcPr>
            <w:tcW w:w="460" w:type="dxa"/>
            <w:vAlign w:val="bottom"/>
            <w:gridSpan w:val="9"/>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10-Q</w:t>
            </w: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rPr>
              <w:t>5/10/23</w:t>
            </w:r>
          </w:p>
        </w:tc>
        <w:tc>
          <w:tcPr>
            <w:tcW w:w="1160" w:type="dxa"/>
            <w:vAlign w:val="bottom"/>
            <w:gridSpan w:val="2"/>
          </w:tcPr>
          <w:p>
            <w:pPr>
              <w:jc w:val="center"/>
              <w:ind w:left="28"/>
              <w:spacing w:after="0"/>
              <w:rPr>
                <w:sz w:val="20"/>
                <w:szCs w:val="20"/>
                <w:color w:val="auto"/>
              </w:rPr>
            </w:pPr>
            <w:r>
              <w:rPr>
                <w:rFonts w:ascii="Arial" w:cs="Arial" w:eastAsia="Arial" w:hAnsi="Arial"/>
                <w:sz w:val="14"/>
                <w:szCs w:val="14"/>
                <w:color w:val="auto"/>
                <w:w w:val="92"/>
              </w:rPr>
              <w:t>4.6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bottom w:val="single" w:sz="8" w:color="0000FF"/>
            </w:tcBorders>
            <w:gridSpan w:val="10"/>
          </w:tcPr>
          <w:p>
            <w:pPr>
              <w:spacing w:after="0" w:line="155" w:lineRule="exact"/>
              <w:rPr>
                <w:rFonts w:ascii="Arial" w:cs="Arial" w:eastAsia="Arial" w:hAnsi="Arial"/>
                <w:sz w:val="14"/>
                <w:szCs w:val="14"/>
                <w:color w:val="0000FF"/>
                <w:w w:val="92"/>
              </w:rPr>
            </w:pPr>
            <w:hyperlink r:id="rId173">
              <w:r>
                <w:rPr>
                  <w:rFonts w:ascii="Arial" w:cs="Arial" w:eastAsia="Arial" w:hAnsi="Arial"/>
                  <w:sz w:val="14"/>
                  <w:szCs w:val="14"/>
                  <w:color w:val="0000FF"/>
                  <w:w w:val="92"/>
                </w:rPr>
                <w:t>amended, by and between the Registrant and Hercules Capital, Inc.</w:t>
              </w:r>
            </w:hyperlink>
          </w:p>
        </w:tc>
        <w:tc>
          <w:tcPr>
            <w:tcW w:w="1980" w:type="dxa"/>
            <w:vAlign w:val="bottom"/>
            <w:gridSpan w:val="1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center"/>
              <w:spacing w:after="0"/>
              <w:rPr>
                <w:sz w:val="20"/>
                <w:szCs w:val="20"/>
                <w:color w:val="auto"/>
              </w:rPr>
            </w:pPr>
            <w:r>
              <w:rPr>
                <w:rFonts w:ascii="Arial" w:cs="Arial" w:eastAsia="Arial" w:hAnsi="Arial"/>
                <w:sz w:val="14"/>
                <w:szCs w:val="14"/>
                <w:color w:val="auto"/>
                <w:w w:val="92"/>
              </w:rPr>
              <w:t>4.7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Borders>
              <w:bottom w:val="single" w:sz="8" w:color="0000FF"/>
            </w:tcBorders>
            <w:gridSpan w:val="21"/>
          </w:tcPr>
          <w:p>
            <w:pPr>
              <w:spacing w:after="0"/>
              <w:rPr>
                <w:rFonts w:ascii="Arial" w:cs="Arial" w:eastAsia="Arial" w:hAnsi="Arial"/>
                <w:sz w:val="14"/>
                <w:szCs w:val="14"/>
                <w:color w:val="0000FF"/>
                <w:w w:val="94"/>
              </w:rPr>
            </w:pPr>
            <w:hyperlink r:id="rId174">
              <w:r>
                <w:rPr>
                  <w:rFonts w:ascii="Arial" w:cs="Arial" w:eastAsia="Arial" w:hAnsi="Arial"/>
                  <w:sz w:val="14"/>
                  <w:szCs w:val="14"/>
                  <w:color w:val="0000FF"/>
                  <w:w w:val="94"/>
                </w:rPr>
                <w:t>Note Purchase Agreement, dated May 7, 2019, by and among the Registrant and the other partes</w:t>
              </w:r>
            </w:hyperlink>
          </w:p>
        </w:tc>
        <w:tc>
          <w:tcPr>
            <w:tcW w:w="160" w:type="dxa"/>
            <w:vAlign w:val="bottom"/>
            <w:gridSpan w:val="2"/>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1"/>
              </w:rPr>
              <w:t>S-1/A</w:t>
            </w:r>
          </w:p>
        </w:tc>
        <w:tc>
          <w:tcPr>
            <w:tcW w:w="114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10/15/19</w:t>
            </w:r>
          </w:p>
        </w:tc>
        <w:tc>
          <w:tcPr>
            <w:tcW w:w="1160" w:type="dxa"/>
            <w:vAlign w:val="bottom"/>
            <w:gridSpan w:val="2"/>
          </w:tcPr>
          <w:p>
            <w:pPr>
              <w:jc w:val="center"/>
              <w:ind w:left="28"/>
              <w:spacing w:after="0"/>
              <w:rPr>
                <w:sz w:val="20"/>
                <w:szCs w:val="20"/>
                <w:color w:val="auto"/>
              </w:rPr>
            </w:pPr>
            <w:r>
              <w:rPr>
                <w:rFonts w:ascii="Arial" w:cs="Arial" w:eastAsia="Arial" w:hAnsi="Arial"/>
                <w:sz w:val="14"/>
                <w:szCs w:val="14"/>
                <w:color w:val="auto"/>
                <w:w w:val="92"/>
              </w:rPr>
              <w:t>4.5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Borders>
              <w:bottom w:val="single" w:sz="8" w:color="0000FF"/>
            </w:tcBorders>
            <w:gridSpan w:val="2"/>
          </w:tcPr>
          <w:p>
            <w:pPr>
              <w:spacing w:after="0" w:line="155" w:lineRule="exact"/>
              <w:rPr>
                <w:rFonts w:ascii="Arial" w:cs="Arial" w:eastAsia="Arial" w:hAnsi="Arial"/>
                <w:sz w:val="14"/>
                <w:szCs w:val="14"/>
                <w:color w:val="0000FF"/>
                <w:w w:val="94"/>
              </w:rPr>
            </w:pPr>
            <w:hyperlink r:id="rId174">
              <w:r>
                <w:rPr>
                  <w:rFonts w:ascii="Arial" w:cs="Arial" w:eastAsia="Arial" w:hAnsi="Arial"/>
                  <w:sz w:val="14"/>
                  <w:szCs w:val="14"/>
                  <w:color w:val="0000FF"/>
                  <w:w w:val="94"/>
                </w:rPr>
                <w:t>party thereto, as amended</w:t>
              </w:r>
            </w:hyperlink>
          </w:p>
        </w:tc>
        <w:tc>
          <w:tcPr>
            <w:tcW w:w="20" w:type="dxa"/>
            <w:vAlign w:val="bottom"/>
            <w:tcBorders>
              <w:bottom w:val="single" w:sz="8" w:color="0000EE"/>
            </w:tcBorders>
          </w:tcPr>
          <w:p>
            <w:pPr>
              <w:spacing w:after="0"/>
              <w:rPr>
                <w:sz w:val="13"/>
                <w:szCs w:val="13"/>
                <w:color w:val="auto"/>
              </w:rPr>
            </w:pPr>
          </w:p>
        </w:tc>
        <w:tc>
          <w:tcPr>
            <w:tcW w:w="4320" w:type="dxa"/>
            <w:vAlign w:val="bottom"/>
            <w:gridSpan w:val="20"/>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center"/>
              <w:spacing w:after="0"/>
              <w:rPr>
                <w:sz w:val="20"/>
                <w:szCs w:val="20"/>
                <w:color w:val="auto"/>
              </w:rPr>
            </w:pPr>
            <w:r>
              <w:rPr>
                <w:rFonts w:ascii="Arial" w:cs="Arial" w:eastAsia="Arial" w:hAnsi="Arial"/>
                <w:sz w:val="14"/>
                <w:szCs w:val="14"/>
                <w:color w:val="auto"/>
                <w:w w:val="95"/>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tcBorders>
              <w:bottom w:val="single" w:sz="8" w:color="0000FF"/>
            </w:tcBorders>
            <w:gridSpan w:val="19"/>
          </w:tcPr>
          <w:p>
            <w:pPr>
              <w:spacing w:after="0"/>
              <w:rPr>
                <w:sz w:val="20"/>
                <w:szCs w:val="20"/>
                <w:color w:val="auto"/>
              </w:rPr>
            </w:pPr>
            <w:r>
              <w:rPr>
                <w:rFonts w:ascii="Arial" w:cs="Arial" w:eastAsia="Arial" w:hAnsi="Arial"/>
                <w:sz w:val="14"/>
                <w:szCs w:val="14"/>
                <w:color w:val="0000FF"/>
                <w:w w:val="96"/>
              </w:rPr>
              <w:t>Certfcaton of Chief Executve Ofcer of Phathom Pharmaceutcals, Inc., as required by Rule 13a-</w:t>
            </w:r>
          </w:p>
        </w:tc>
        <w:tc>
          <w:tcPr>
            <w:tcW w:w="22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bottom w:val="single" w:sz="8" w:color="0000FF"/>
            </w:tcBorders>
            <w:gridSpan w:val="15"/>
          </w:tcPr>
          <w:p>
            <w:pPr>
              <w:spacing w:after="0" w:line="155" w:lineRule="exact"/>
              <w:rPr>
                <w:sz w:val="20"/>
                <w:szCs w:val="20"/>
                <w:color w:val="auto"/>
              </w:rPr>
            </w:pPr>
            <w:r>
              <w:rPr>
                <w:rFonts w:ascii="Arial" w:cs="Arial" w:eastAsia="Arial" w:hAnsi="Arial"/>
                <w:sz w:val="14"/>
                <w:szCs w:val="14"/>
                <w:color w:val="0000FF"/>
                <w:w w:val="92"/>
              </w:rPr>
              <w:t>14(a) or Rule 15d-14(a), as adopted pursuant to Secton 302 of the Sarbanes-Oxley Act of 2002.</w:t>
            </w:r>
          </w:p>
        </w:tc>
        <w:tc>
          <w:tcPr>
            <w:tcW w:w="20" w:type="dxa"/>
            <w:vAlign w:val="bottom"/>
            <w:tcBorders>
              <w:bottom w:val="single" w:sz="8" w:color="0000EE"/>
            </w:tcBorders>
          </w:tcPr>
          <w:p>
            <w:pPr>
              <w:spacing w:after="0"/>
              <w:rPr>
                <w:sz w:val="13"/>
                <w:szCs w:val="13"/>
                <w:color w:val="auto"/>
              </w:rPr>
            </w:pPr>
          </w:p>
        </w:tc>
        <w:tc>
          <w:tcPr>
            <w:tcW w:w="340" w:type="dxa"/>
            <w:vAlign w:val="bottom"/>
            <w:gridSpan w:val="7"/>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center"/>
              <w:spacing w:after="0"/>
              <w:rPr>
                <w:sz w:val="20"/>
                <w:szCs w:val="20"/>
                <w:color w:val="auto"/>
              </w:rPr>
            </w:pPr>
            <w:r>
              <w:rPr>
                <w:rFonts w:ascii="Arial" w:cs="Arial" w:eastAsia="Arial" w:hAnsi="Arial"/>
                <w:sz w:val="14"/>
                <w:szCs w:val="14"/>
                <w:color w:val="auto"/>
                <w:w w:val="95"/>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tcBorders>
              <w:bottom w:val="single" w:sz="8" w:color="0000FF"/>
            </w:tcBorders>
            <w:gridSpan w:val="18"/>
          </w:tcPr>
          <w:p>
            <w:pPr>
              <w:spacing w:after="0"/>
              <w:rPr>
                <w:sz w:val="20"/>
                <w:szCs w:val="20"/>
                <w:color w:val="auto"/>
              </w:rPr>
            </w:pPr>
            <w:r>
              <w:rPr>
                <w:rFonts w:ascii="Arial" w:cs="Arial" w:eastAsia="Arial" w:hAnsi="Arial"/>
                <w:sz w:val="14"/>
                <w:szCs w:val="14"/>
                <w:color w:val="0000FF"/>
                <w:w w:val="95"/>
              </w:rPr>
              <w:t>Certfcaton of Chief Financial Ofcer of Phathom Pharmaceutcals, Inc., as required by Rule 13a-</w:t>
            </w:r>
          </w:p>
        </w:tc>
        <w:tc>
          <w:tcPr>
            <w:tcW w:w="260" w:type="dxa"/>
            <w:vAlign w:val="bottom"/>
            <w:gridSpan w:val="5"/>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bottom w:val="single" w:sz="8" w:color="0000FF"/>
            </w:tcBorders>
            <w:gridSpan w:val="15"/>
          </w:tcPr>
          <w:p>
            <w:pPr>
              <w:spacing w:after="0" w:line="155" w:lineRule="exact"/>
              <w:rPr>
                <w:sz w:val="20"/>
                <w:szCs w:val="20"/>
                <w:color w:val="auto"/>
              </w:rPr>
            </w:pPr>
            <w:r>
              <w:rPr>
                <w:rFonts w:ascii="Arial" w:cs="Arial" w:eastAsia="Arial" w:hAnsi="Arial"/>
                <w:sz w:val="14"/>
                <w:szCs w:val="14"/>
                <w:color w:val="0000FF"/>
                <w:w w:val="92"/>
              </w:rPr>
              <w:t>14(a) or Rule 15d-14(a), as adopted pursuant to Secton 302 of the Sarbanes-Oxley Act of 2002.</w:t>
            </w:r>
          </w:p>
        </w:tc>
        <w:tc>
          <w:tcPr>
            <w:tcW w:w="20" w:type="dxa"/>
            <w:vAlign w:val="bottom"/>
            <w:tcBorders>
              <w:bottom w:val="single" w:sz="8" w:color="0000EE"/>
            </w:tcBorders>
          </w:tcPr>
          <w:p>
            <w:pPr>
              <w:spacing w:after="0"/>
              <w:rPr>
                <w:sz w:val="13"/>
                <w:szCs w:val="13"/>
                <w:color w:val="auto"/>
              </w:rPr>
            </w:pPr>
          </w:p>
        </w:tc>
        <w:tc>
          <w:tcPr>
            <w:tcW w:w="340" w:type="dxa"/>
            <w:vAlign w:val="bottom"/>
            <w:gridSpan w:val="7"/>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center"/>
              <w:spacing w:after="0"/>
              <w:rPr>
                <w:sz w:val="20"/>
                <w:szCs w:val="20"/>
                <w:color w:val="auto"/>
              </w:rPr>
            </w:pPr>
            <w:r>
              <w:rPr>
                <w:rFonts w:ascii="Arial" w:cs="Arial" w:eastAsia="Arial" w:hAnsi="Arial"/>
                <w:sz w:val="14"/>
                <w:szCs w:val="14"/>
                <w:color w:val="auto"/>
                <w:w w:val="97"/>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sz w:val="20"/>
                <w:szCs w:val="20"/>
                <w:color w:val="auto"/>
              </w:rPr>
            </w:pPr>
            <w:r>
              <w:rPr>
                <w:rFonts w:ascii="Arial" w:cs="Arial" w:eastAsia="Arial" w:hAnsi="Arial"/>
                <w:sz w:val="14"/>
                <w:szCs w:val="14"/>
                <w:color w:val="0000FF"/>
              </w:rPr>
              <w:t>Certfcaton of Chief Executve Ofcer pursuant to Secton 906 of the Sarbanes-Oxley Act of 2002.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85"/>
        </w:trPr>
        <w:tc>
          <w:tcPr>
            <w:tcW w:w="1060" w:type="dxa"/>
            <w:vAlign w:val="bottom"/>
          </w:tcPr>
          <w:p>
            <w:pPr>
              <w:jc w:val="center"/>
              <w:spacing w:after="0"/>
              <w:rPr>
                <w:sz w:val="20"/>
                <w:szCs w:val="20"/>
                <w:color w:val="auto"/>
              </w:rPr>
            </w:pPr>
            <w:r>
              <w:rPr>
                <w:rFonts w:ascii="Arial" w:cs="Arial" w:eastAsia="Arial" w:hAnsi="Arial"/>
                <w:sz w:val="14"/>
                <w:szCs w:val="14"/>
                <w:color w:val="auto"/>
                <w:w w:val="97"/>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tcBorders>
              <w:top w:val="single" w:sz="8" w:color="0000FF"/>
            </w:tcBorders>
            <w:gridSpan w:val="19"/>
          </w:tcPr>
          <w:p>
            <w:pPr>
              <w:spacing w:after="0"/>
              <w:rPr>
                <w:sz w:val="20"/>
                <w:szCs w:val="20"/>
                <w:color w:val="auto"/>
              </w:rPr>
            </w:pPr>
            <w:r>
              <w:rPr>
                <w:rFonts w:ascii="Arial" w:cs="Arial" w:eastAsia="Arial" w:hAnsi="Arial"/>
                <w:sz w:val="14"/>
                <w:szCs w:val="14"/>
                <w:color w:val="0000FF"/>
                <w:w w:val="96"/>
              </w:rPr>
              <w:t>Certfcaton of Chief Financial Ofcer pursuant to Secton 906 of the Sarbanes-Oxley Act of 2002.</w:t>
            </w:r>
          </w:p>
        </w:tc>
        <w:tc>
          <w:tcPr>
            <w:tcW w:w="22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01"/>
        </w:trPr>
        <w:tc>
          <w:tcPr>
            <w:tcW w:w="1060" w:type="dxa"/>
            <w:vAlign w:val="bottom"/>
          </w:tcPr>
          <w:p>
            <w:pPr>
              <w:jc w:val="center"/>
              <w:spacing w:after="0"/>
              <w:rPr>
                <w:sz w:val="20"/>
                <w:szCs w:val="20"/>
                <w:color w:val="auto"/>
              </w:rPr>
            </w:pPr>
            <w:r>
              <w:rPr>
                <w:rFonts w:ascii="Arial" w:cs="Arial" w:eastAsia="Arial" w:hAnsi="Arial"/>
                <w:sz w:val="14"/>
                <w:szCs w:val="14"/>
                <w:color w:val="auto"/>
                <w:w w:val="90"/>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tcBorders>
              <w:top w:val="single" w:sz="8" w:color="0000FF"/>
            </w:tcBorders>
            <w:gridSpan w:val="18"/>
          </w:tcPr>
          <w:p>
            <w:pPr>
              <w:spacing w:after="0"/>
              <w:rPr>
                <w:sz w:val="20"/>
                <w:szCs w:val="20"/>
                <w:color w:val="auto"/>
              </w:rPr>
            </w:pPr>
            <w:r>
              <w:rPr>
                <w:rFonts w:ascii="Arial" w:cs="Arial" w:eastAsia="Arial" w:hAnsi="Arial"/>
                <w:sz w:val="14"/>
                <w:szCs w:val="14"/>
                <w:color w:val="auto"/>
                <w:w w:val="94"/>
              </w:rPr>
              <w:t>Inline XBRL Instance Document – the instance document does not appear in the Interactve Data</w:t>
            </w:r>
          </w:p>
        </w:tc>
        <w:tc>
          <w:tcPr>
            <w:tcW w:w="260" w:type="dxa"/>
            <w:vAlign w:val="bottom"/>
            <w:gridSpan w:val="5"/>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00" w:type="dxa"/>
            <w:vAlign w:val="bottom"/>
            <w:gridSpan w:val="23"/>
          </w:tcPr>
          <w:p>
            <w:pPr>
              <w:spacing w:after="0"/>
              <w:rPr>
                <w:sz w:val="20"/>
                <w:szCs w:val="20"/>
                <w:color w:val="auto"/>
              </w:rPr>
            </w:pPr>
            <w:r>
              <w:rPr>
                <w:rFonts w:ascii="Arial" w:cs="Arial" w:eastAsia="Arial" w:hAnsi="Arial"/>
                <w:sz w:val="14"/>
                <w:szCs w:val="14"/>
                <w:color w:val="auto"/>
              </w:rPr>
              <w:t>File because XBRL tags are embedded within the Inline XBRL document.</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060" w:type="dxa"/>
            <w:vAlign w:val="bottom"/>
          </w:tcPr>
          <w:p>
            <w:pPr>
              <w:jc w:val="center"/>
              <w:spacing w:after="0"/>
              <w:rPr>
                <w:sz w:val="20"/>
                <w:szCs w:val="20"/>
                <w:color w:val="auto"/>
              </w:rPr>
            </w:pPr>
            <w:r>
              <w:rPr>
                <w:rFonts w:ascii="Arial" w:cs="Arial" w:eastAsia="Arial" w:hAnsi="Arial"/>
                <w:sz w:val="14"/>
                <w:szCs w:val="14"/>
                <w:color w:val="auto"/>
                <w:w w:val="84"/>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sz w:val="20"/>
                <w:szCs w:val="20"/>
                <w:color w:val="auto"/>
              </w:rPr>
            </w:pPr>
            <w:r>
              <w:rPr>
                <w:rFonts w:ascii="Arial" w:cs="Arial" w:eastAsia="Arial" w:hAnsi="Arial"/>
                <w:sz w:val="14"/>
                <w:szCs w:val="14"/>
                <w:color w:val="auto"/>
              </w:rPr>
              <w:t>Inline XBRL Taxonomy Extension Schema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05"/>
        </w:trPr>
        <w:tc>
          <w:tcPr>
            <w:tcW w:w="1060" w:type="dxa"/>
            <w:vAlign w:val="bottom"/>
          </w:tcPr>
          <w:p>
            <w:pPr>
              <w:jc w:val="center"/>
              <w:spacing w:after="0"/>
              <w:rPr>
                <w:sz w:val="20"/>
                <w:szCs w:val="20"/>
                <w:color w:val="auto"/>
              </w:rPr>
            </w:pPr>
            <w:r>
              <w:rPr>
                <w:rFonts w:ascii="Arial" w:cs="Arial" w:eastAsia="Arial" w:hAnsi="Arial"/>
                <w:sz w:val="14"/>
                <w:szCs w:val="14"/>
                <w:color w:val="auto"/>
                <w:w w:val="88"/>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sz w:val="20"/>
                <w:szCs w:val="20"/>
                <w:color w:val="auto"/>
              </w:rPr>
            </w:pPr>
            <w:r>
              <w:rPr>
                <w:rFonts w:ascii="Arial" w:cs="Arial" w:eastAsia="Arial" w:hAnsi="Arial"/>
                <w:sz w:val="14"/>
                <w:szCs w:val="14"/>
                <w:color w:val="auto"/>
              </w:rPr>
              <w:t>Inline XBRL Taxonomy Calculaton Linkbase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05"/>
        </w:trPr>
        <w:tc>
          <w:tcPr>
            <w:tcW w:w="1060" w:type="dxa"/>
            <w:vAlign w:val="bottom"/>
          </w:tcPr>
          <w:p>
            <w:pPr>
              <w:jc w:val="center"/>
              <w:spacing w:after="0"/>
              <w:rPr>
                <w:sz w:val="20"/>
                <w:szCs w:val="20"/>
                <w:color w:val="auto"/>
              </w:rPr>
            </w:pPr>
            <w:r>
              <w:rPr>
                <w:rFonts w:ascii="Arial" w:cs="Arial" w:eastAsia="Arial" w:hAnsi="Arial"/>
                <w:sz w:val="14"/>
                <w:szCs w:val="14"/>
                <w:color w:val="auto"/>
                <w:w w:val="89"/>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sz w:val="20"/>
                <w:szCs w:val="20"/>
                <w:color w:val="auto"/>
              </w:rPr>
            </w:pPr>
            <w:r>
              <w:rPr>
                <w:rFonts w:ascii="Arial" w:cs="Arial" w:eastAsia="Arial" w:hAnsi="Arial"/>
                <w:sz w:val="14"/>
                <w:szCs w:val="14"/>
                <w:color w:val="auto"/>
              </w:rPr>
              <w:t>Inline XBRL Taxonomy Label Linkbase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05"/>
        </w:trPr>
        <w:tc>
          <w:tcPr>
            <w:tcW w:w="1060" w:type="dxa"/>
            <w:vAlign w:val="bottom"/>
          </w:tcPr>
          <w:p>
            <w:pPr>
              <w:jc w:val="center"/>
              <w:spacing w:after="0"/>
              <w:rPr>
                <w:sz w:val="20"/>
                <w:szCs w:val="20"/>
                <w:color w:val="auto"/>
              </w:rPr>
            </w:pPr>
            <w:r>
              <w:rPr>
                <w:rFonts w:ascii="Arial" w:cs="Arial" w:eastAsia="Arial" w:hAnsi="Arial"/>
                <w:sz w:val="14"/>
                <w:szCs w:val="14"/>
                <w:color w:val="auto"/>
                <w:w w:val="85"/>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sz w:val="20"/>
                <w:szCs w:val="20"/>
                <w:color w:val="auto"/>
              </w:rPr>
            </w:pPr>
            <w:r>
              <w:rPr>
                <w:rFonts w:ascii="Arial" w:cs="Arial" w:eastAsia="Arial" w:hAnsi="Arial"/>
                <w:sz w:val="14"/>
                <w:szCs w:val="14"/>
                <w:color w:val="auto"/>
              </w:rPr>
              <w:t>Inline XBRL Presentaton Linkbase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05"/>
        </w:trPr>
        <w:tc>
          <w:tcPr>
            <w:tcW w:w="1060" w:type="dxa"/>
            <w:vAlign w:val="bottom"/>
          </w:tcPr>
          <w:p>
            <w:pPr>
              <w:jc w:val="center"/>
              <w:spacing w:after="0"/>
              <w:rPr>
                <w:sz w:val="20"/>
                <w:szCs w:val="20"/>
                <w:color w:val="auto"/>
              </w:rPr>
            </w:pPr>
            <w:r>
              <w:rPr>
                <w:rFonts w:ascii="Arial" w:cs="Arial" w:eastAsia="Arial" w:hAnsi="Arial"/>
                <w:sz w:val="14"/>
                <w:szCs w:val="14"/>
                <w:color w:val="auto"/>
                <w:w w:val="86"/>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sz w:val="20"/>
                <w:szCs w:val="20"/>
                <w:color w:val="auto"/>
              </w:rPr>
            </w:pPr>
            <w:r>
              <w:rPr>
                <w:rFonts w:ascii="Arial" w:cs="Arial" w:eastAsia="Arial" w:hAnsi="Arial"/>
                <w:sz w:val="14"/>
                <w:szCs w:val="14"/>
                <w:color w:val="auto"/>
              </w:rPr>
              <w:t>Inline XBRL Taxonomy Extension Defniton Linkbase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200" w:hanging="775"/>
        <w:spacing w:after="0"/>
        <w:tabs>
          <w:tab w:leader="none" w:pos="1200" w:val="left"/>
        </w:tabs>
        <w:numPr>
          <w:ilvl w:val="1"/>
          <w:numId w:val="7"/>
        </w:numPr>
        <w:rPr>
          <w:rFonts w:ascii="Arial" w:cs="Arial" w:eastAsia="Arial" w:hAnsi="Arial"/>
          <w:sz w:val="14"/>
          <w:szCs w:val="14"/>
          <w:color w:val="auto"/>
        </w:rPr>
      </w:pPr>
      <w:r>
        <w:rPr>
          <w:rFonts w:ascii="Arial" w:cs="Arial" w:eastAsia="Arial" w:hAnsi="Arial"/>
          <w:sz w:val="14"/>
          <w:szCs w:val="14"/>
          <w:color w:val="auto"/>
        </w:rPr>
        <w:t>Cover Page Interactve Data File (embedded within the Inline XBRL document)</w:t>
      </w:r>
    </w:p>
    <w:p>
      <w:pPr>
        <w:spacing w:after="0" w:line="28" w:lineRule="exact"/>
        <w:rPr>
          <w:rFonts w:ascii="Arial" w:cs="Arial" w:eastAsia="Arial" w:hAnsi="Arial"/>
          <w:sz w:val="14"/>
          <w:szCs w:val="14"/>
          <w:color w:val="auto"/>
        </w:rPr>
      </w:pPr>
    </w:p>
    <w:p>
      <w:pPr>
        <w:ind w:left="120" w:hanging="112"/>
        <w:spacing w:after="0"/>
        <w:tabs>
          <w:tab w:leader="none" w:pos="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21" w:lineRule="exact"/>
        <w:rPr>
          <w:sz w:val="20"/>
          <w:szCs w:val="20"/>
          <w:color w:val="auto"/>
        </w:rPr>
      </w:pPr>
    </w:p>
    <w:p>
      <w:pPr>
        <w:ind w:right="180" w:firstLine="8"/>
        <w:spacing w:after="0" w:line="261" w:lineRule="auto"/>
        <w:tabs>
          <w:tab w:leader="none" w:pos="104"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certfcaton is deemed not fled for purpose of secton 18 of the Exchange Act or otherwise subject to the liability of that secton, nor shall it be deemed incorporated by reference into any fling under the Securites Act or the Exchange Act.</w:t>
      </w:r>
    </w:p>
    <w:p>
      <w:pPr>
        <w:ind w:right="240"/>
        <w:spacing w:after="0" w:line="283" w:lineRule="auto"/>
        <w:rPr>
          <w:rFonts w:ascii="Arial" w:cs="Arial" w:eastAsia="Arial" w:hAnsi="Arial"/>
          <w:sz w:val="14"/>
          <w:szCs w:val="14"/>
          <w:color w:val="auto"/>
        </w:rPr>
      </w:pPr>
      <w:r>
        <w:rPr>
          <w:rFonts w:ascii="Arial" w:cs="Arial" w:eastAsia="Arial" w:hAnsi="Arial"/>
          <w:sz w:val="14"/>
          <w:szCs w:val="14"/>
          <w:color w:val="auto"/>
        </w:rPr>
        <w:t>^Certain exhibits and schedules have been omited pursuant to Item 601(a)(5) of Regulaton S-K. The registrant hereby undertakes to furnish supplementally a copy of any omited exhibit or schedule upon request by the SEC.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187" w:lineRule="exact"/>
        <w:rPr>
          <w:sz w:val="20"/>
          <w:szCs w:val="20"/>
          <w:color w:val="auto"/>
        </w:rPr>
      </w:pPr>
    </w:p>
    <w:p>
      <w:pPr>
        <w:ind w:right="240" w:firstLine="509"/>
        <w:spacing w:after="0" w:line="273" w:lineRule="auto"/>
        <w:rPr>
          <w:sz w:val="20"/>
          <w:szCs w:val="20"/>
          <w:color w:val="auto"/>
        </w:rPr>
      </w:pPr>
      <w:r>
        <w:rPr>
          <w:rFonts w:ascii="Arial" w:cs="Arial" w:eastAsia="Arial" w:hAnsi="Arial"/>
          <w:sz w:val="18"/>
          <w:szCs w:val="18"/>
          <w:color w:val="auto"/>
        </w:rPr>
        <w:t>Pursuant to the requirements of the Securites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440" w:type="dxa"/>
            <w:vAlign w:val="bottom"/>
            <w:gridSpan w:val="2"/>
          </w:tcPr>
          <w:p>
            <w:pPr>
              <w:ind w:left="2260"/>
              <w:spacing w:after="0"/>
              <w:rPr>
                <w:sz w:val="20"/>
                <w:szCs w:val="20"/>
                <w:color w:val="auto"/>
              </w:rPr>
            </w:pPr>
            <w:r>
              <w:rPr>
                <w:rFonts w:ascii="Arial" w:cs="Arial" w:eastAsia="Arial" w:hAnsi="Arial"/>
                <w:sz w:val="18"/>
                <w:szCs w:val="18"/>
                <w:color w:val="auto"/>
              </w:rPr>
              <w:t>PHATHOM PHARMACEUTICALS, INC.</w:t>
            </w:r>
          </w:p>
        </w:tc>
      </w:tr>
      <w:tr>
        <w:trPr>
          <w:trHeight w:val="486"/>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3240" w:type="dxa"/>
            <w:vAlign w:val="bottom"/>
          </w:tcPr>
          <w:p>
            <w:pPr>
              <w:ind w:left="160"/>
              <w:spacing w:after="0"/>
              <w:rPr>
                <w:sz w:val="20"/>
                <w:szCs w:val="20"/>
                <w:color w:val="auto"/>
              </w:rPr>
            </w:pPr>
            <w:r>
              <w:rPr>
                <w:rFonts w:ascii="Arial" w:cs="Arial" w:eastAsia="Arial" w:hAnsi="Arial"/>
                <w:sz w:val="18"/>
                <w:szCs w:val="18"/>
                <w:color w:val="auto"/>
              </w:rPr>
              <w:t>November 9, 2023</w:t>
            </w:r>
          </w:p>
        </w:tc>
        <w:tc>
          <w:tcPr>
            <w:tcW w:w="2680" w:type="dxa"/>
            <w:vAlign w:val="bottom"/>
          </w:tcPr>
          <w:p>
            <w:pPr>
              <w:ind w:left="2260"/>
              <w:spacing w:after="0"/>
              <w:rPr>
                <w:sz w:val="20"/>
                <w:szCs w:val="20"/>
                <w:color w:val="auto"/>
              </w:rPr>
            </w:pPr>
            <w:r>
              <w:rPr>
                <w:rFonts w:ascii="Arial" w:cs="Arial" w:eastAsia="Arial" w:hAnsi="Arial"/>
                <w:sz w:val="18"/>
                <w:szCs w:val="18"/>
                <w:color w:val="auto"/>
              </w:rPr>
              <w:t>By:</w:t>
            </w:r>
          </w:p>
        </w:tc>
        <w:tc>
          <w:tcPr>
            <w:tcW w:w="4760" w:type="dxa"/>
            <w:vAlign w:val="bottom"/>
          </w:tcPr>
          <w:p>
            <w:pPr>
              <w:ind w:left="20"/>
              <w:spacing w:after="0"/>
              <w:rPr>
                <w:sz w:val="20"/>
                <w:szCs w:val="20"/>
                <w:color w:val="auto"/>
              </w:rPr>
            </w:pPr>
            <w:r>
              <w:rPr>
                <w:rFonts w:ascii="Arial" w:cs="Arial" w:eastAsia="Arial" w:hAnsi="Arial"/>
                <w:sz w:val="18"/>
                <w:szCs w:val="18"/>
                <w:color w:val="auto"/>
              </w:rPr>
              <w:t>/s/ Terrie Curran</w:t>
            </w:r>
          </w:p>
        </w:tc>
      </w:tr>
      <w:tr>
        <w:trPr>
          <w:trHeight w:val="35"/>
        </w:trPr>
        <w:tc>
          <w:tcPr>
            <w:tcW w:w="5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2680" w:type="dxa"/>
            <w:vAlign w:val="bottom"/>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r>
      <w:tr>
        <w:trPr>
          <w:trHeight w:val="218"/>
        </w:trPr>
        <w:tc>
          <w:tcPr>
            <w:tcW w:w="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Terrie Curran</w:t>
            </w:r>
          </w:p>
        </w:tc>
      </w:tr>
      <w:tr>
        <w:trPr>
          <w:trHeight w:val="227"/>
        </w:trPr>
        <w:tc>
          <w:tcPr>
            <w:tcW w:w="5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Chief Executve Ofcer and Director</w:t>
            </w:r>
          </w:p>
        </w:tc>
      </w:tr>
      <w:tr>
        <w:trPr>
          <w:trHeight w:val="243"/>
        </w:trPr>
        <w:tc>
          <w:tcPr>
            <w:tcW w:w="5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(Principal Executve Ofcer)</w:t>
            </w:r>
          </w:p>
        </w:tc>
      </w:tr>
      <w:tr>
        <w:trPr>
          <w:trHeight w:val="486"/>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3240" w:type="dxa"/>
            <w:vAlign w:val="bottom"/>
          </w:tcPr>
          <w:p>
            <w:pPr>
              <w:ind w:left="160"/>
              <w:spacing w:after="0"/>
              <w:rPr>
                <w:sz w:val="20"/>
                <w:szCs w:val="20"/>
                <w:color w:val="auto"/>
              </w:rPr>
            </w:pPr>
            <w:r>
              <w:rPr>
                <w:rFonts w:ascii="Arial" w:cs="Arial" w:eastAsia="Arial" w:hAnsi="Arial"/>
                <w:sz w:val="18"/>
                <w:szCs w:val="18"/>
                <w:color w:val="auto"/>
              </w:rPr>
              <w:t>November 9, 2023</w:t>
            </w:r>
          </w:p>
        </w:tc>
        <w:tc>
          <w:tcPr>
            <w:tcW w:w="2680" w:type="dxa"/>
            <w:vAlign w:val="bottom"/>
          </w:tcPr>
          <w:p>
            <w:pPr>
              <w:ind w:left="2260"/>
              <w:spacing w:after="0"/>
              <w:rPr>
                <w:sz w:val="20"/>
                <w:szCs w:val="20"/>
                <w:color w:val="auto"/>
              </w:rPr>
            </w:pPr>
            <w:r>
              <w:rPr>
                <w:rFonts w:ascii="Arial" w:cs="Arial" w:eastAsia="Arial" w:hAnsi="Arial"/>
                <w:sz w:val="18"/>
                <w:szCs w:val="18"/>
                <w:color w:val="auto"/>
              </w:rPr>
              <w:t>By:</w:t>
            </w:r>
          </w:p>
        </w:tc>
        <w:tc>
          <w:tcPr>
            <w:tcW w:w="4760" w:type="dxa"/>
            <w:vAlign w:val="bottom"/>
          </w:tcPr>
          <w:p>
            <w:pPr>
              <w:ind w:left="20"/>
              <w:spacing w:after="0"/>
              <w:rPr>
                <w:sz w:val="20"/>
                <w:szCs w:val="20"/>
                <w:color w:val="auto"/>
              </w:rPr>
            </w:pPr>
            <w:r>
              <w:rPr>
                <w:rFonts w:ascii="Arial" w:cs="Arial" w:eastAsia="Arial" w:hAnsi="Arial"/>
                <w:sz w:val="18"/>
                <w:szCs w:val="18"/>
                <w:color w:val="auto"/>
              </w:rPr>
              <w:t>/s/ Molly Henderson</w:t>
            </w:r>
          </w:p>
        </w:tc>
      </w:tr>
      <w:tr>
        <w:trPr>
          <w:trHeight w:val="35"/>
        </w:trPr>
        <w:tc>
          <w:tcPr>
            <w:tcW w:w="5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2680" w:type="dxa"/>
            <w:vAlign w:val="bottom"/>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r>
      <w:tr>
        <w:trPr>
          <w:trHeight w:val="218"/>
        </w:trPr>
        <w:tc>
          <w:tcPr>
            <w:tcW w:w="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Molly Henderson</w:t>
            </w:r>
          </w:p>
        </w:tc>
      </w:tr>
      <w:tr>
        <w:trPr>
          <w:trHeight w:val="227"/>
        </w:trPr>
        <w:tc>
          <w:tcPr>
            <w:tcW w:w="5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Chief Financial and Business Ofcer</w:t>
            </w:r>
          </w:p>
        </w:tc>
      </w:tr>
      <w:tr>
        <w:trPr>
          <w:trHeight w:val="243"/>
        </w:trPr>
        <w:tc>
          <w:tcPr>
            <w:tcW w:w="5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(Principal Financial and Accountng Ofcer)</w:t>
            </w:r>
          </w:p>
        </w:tc>
      </w:tr>
      <w:tr>
        <w:trPr>
          <w:trHeight w:val="683"/>
        </w:trPr>
        <w:tc>
          <w:tcPr>
            <w:tcW w:w="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80" w:type="dxa"/>
            <w:vAlign w:val="bottom"/>
          </w:tcPr>
          <w:p>
            <w:pPr>
              <w:jc w:val="right"/>
              <w:ind w:right="670"/>
              <w:spacing w:after="0"/>
              <w:rPr>
                <w:sz w:val="20"/>
                <w:szCs w:val="20"/>
                <w:color w:val="auto"/>
              </w:rPr>
            </w:pPr>
            <w:r>
              <w:rPr>
                <w:rFonts w:ascii="Arial" w:cs="Arial" w:eastAsia="Arial" w:hAnsi="Arial"/>
                <w:sz w:val="18"/>
                <w:szCs w:val="18"/>
                <w:color w:val="auto"/>
              </w:rPr>
              <w:t>36</w:t>
            </w:r>
          </w:p>
        </w:tc>
        <w:tc>
          <w:tcPr>
            <w:tcW w:w="4760" w:type="dxa"/>
            <w:vAlign w:val="bottom"/>
          </w:tcPr>
          <w:p>
            <w:pPr>
              <w:spacing w:after="0"/>
              <w:rPr>
                <w:sz w:val="24"/>
                <w:szCs w:val="24"/>
                <w:color w:val="auto"/>
              </w:rPr>
            </w:pPr>
          </w:p>
        </w:tc>
      </w:tr>
      <w:tr>
        <w:trPr>
          <w:trHeight w:val="115"/>
        </w:trPr>
        <w:tc>
          <w:tcPr>
            <w:tcW w:w="56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Terrie Curran, certify that:</w:t>
      </w:r>
    </w:p>
    <w:p>
      <w:pPr>
        <w:spacing w:after="0" w:line="225"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Phathom Pharmaceuticals,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hanging="503"/>
        <w:spacing w:after="0"/>
        <w:tabs>
          <w:tab w:leader="none" w:pos="1020" w:val="left"/>
        </w:tabs>
        <w:numPr>
          <w:ilvl w:val="1"/>
          <w:numId w:val="9"/>
        </w:numPr>
        <w:rPr>
          <w:rFonts w:ascii="Arial" w:cs="Arial" w:eastAsia="Arial" w:hAnsi="Arial"/>
          <w:sz w:val="18"/>
          <w:szCs w:val="18"/>
          <w:color w:val="010000"/>
        </w:rPr>
      </w:pPr>
      <w:r>
        <w:rPr>
          <w:rFonts w:ascii="Arial" w:cs="Arial" w:eastAsia="Arial" w:hAnsi="Arial"/>
          <w:sz w:val="18"/>
          <w:szCs w:val="18"/>
          <w:color w:val="010000"/>
        </w:rPr>
        <w:t>(Paragraph omitted pursuant to SEC Release Nos. 33-8238/34-47986 and 33-8392/34-49313);</w:t>
      </w:r>
    </w:p>
    <w:p>
      <w:pPr>
        <w:spacing w:after="0" w:line="225" w:lineRule="exact"/>
        <w:rPr>
          <w:rFonts w:ascii="Arial" w:cs="Arial" w:eastAsia="Arial" w:hAnsi="Arial"/>
          <w:sz w:val="18"/>
          <w:szCs w:val="18"/>
          <w:color w:val="010000"/>
        </w:rPr>
      </w:pPr>
    </w:p>
    <w:p>
      <w:pPr>
        <w:jc w:val="both"/>
        <w:ind w:left="1020" w:right="480" w:hanging="503"/>
        <w:spacing w:after="0" w:line="342" w:lineRule="auto"/>
        <w:tabs>
          <w:tab w:leader="none" w:pos="102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6"/>
          <w:szCs w:val="16"/>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Terrie Curran</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 and President</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Molly Henderson, certify that:</w:t>
      </w:r>
    </w:p>
    <w:p>
      <w:pPr>
        <w:spacing w:after="0" w:line="225"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Phathom Pharmaceuticals,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hanging="503"/>
        <w:spacing w:after="0"/>
        <w:tabs>
          <w:tab w:leader="none" w:pos="1020" w:val="left"/>
        </w:tabs>
        <w:numPr>
          <w:ilvl w:val="1"/>
          <w:numId w:val="10"/>
        </w:numPr>
        <w:rPr>
          <w:rFonts w:ascii="Arial" w:cs="Arial" w:eastAsia="Arial" w:hAnsi="Arial"/>
          <w:sz w:val="18"/>
          <w:szCs w:val="18"/>
          <w:color w:val="010000"/>
        </w:rPr>
      </w:pPr>
      <w:r>
        <w:rPr>
          <w:rFonts w:ascii="Arial" w:cs="Arial" w:eastAsia="Arial" w:hAnsi="Arial"/>
          <w:sz w:val="18"/>
          <w:szCs w:val="18"/>
          <w:color w:val="010000"/>
        </w:rPr>
        <w:t>(Paragraph omitted pursuant to SEC Release Nos. 33-8238/34-47986 and 33-8392/34-49313);</w:t>
      </w:r>
    </w:p>
    <w:p>
      <w:pPr>
        <w:spacing w:after="0" w:line="225" w:lineRule="exact"/>
        <w:rPr>
          <w:rFonts w:ascii="Arial" w:cs="Arial" w:eastAsia="Arial" w:hAnsi="Arial"/>
          <w:sz w:val="18"/>
          <w:szCs w:val="18"/>
          <w:color w:val="010000"/>
        </w:rPr>
      </w:pPr>
    </w:p>
    <w:p>
      <w:pPr>
        <w:jc w:val="both"/>
        <w:ind w:left="1020" w:right="480" w:hanging="503"/>
        <w:spacing w:after="0" w:line="342"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6"/>
          <w:szCs w:val="16"/>
          <w:color w:val="auto"/>
        </w:rPr>
        <w:t>/s/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Molly Henderson</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and Business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left="10260"/>
        <w:spacing w:after="0"/>
        <w:rPr>
          <w:sz w:val="20"/>
          <w:szCs w:val="20"/>
          <w:color w:val="auto"/>
        </w:rPr>
      </w:pPr>
      <w:r>
        <w:rPr>
          <w:rFonts w:ascii="Arial" w:cs="Arial" w:eastAsia="Arial" w:hAnsi="Arial"/>
          <w:sz w:val="17"/>
          <w:szCs w:val="17"/>
          <w:b w:val="1"/>
          <w:bCs w:val="1"/>
          <w:color w:val="auto"/>
        </w:rPr>
        <w:t>Exhibit 32.1</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jc w:val="both"/>
        <w:ind w:firstLine="823"/>
        <w:spacing w:after="0" w:line="311" w:lineRule="auto"/>
        <w:rPr>
          <w:sz w:val="20"/>
          <w:szCs w:val="20"/>
          <w:color w:val="auto"/>
        </w:rPr>
      </w:pPr>
      <w:r>
        <w:rPr>
          <w:rFonts w:ascii="Arial" w:cs="Arial" w:eastAsia="Arial" w:hAnsi="Arial"/>
          <w:sz w:val="16"/>
          <w:szCs w:val="16"/>
          <w:color w:val="auto"/>
        </w:rPr>
        <w:t>In connection with the Quarterly Report on Form 10-Q of Phathom Pharmaceuticals, Inc. (the “Company”) for the quarter ended September 30, 2023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spacing w:after="0" w:line="176" w:lineRule="exact"/>
        <w:rPr>
          <w:sz w:val="20"/>
          <w:szCs w:val="20"/>
          <w:color w:val="auto"/>
        </w:rPr>
      </w:pPr>
    </w:p>
    <w:p>
      <w:pPr>
        <w:ind w:left="840" w:right="180" w:hanging="832"/>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83" w:lineRule="exact"/>
        <w:rPr>
          <w:rFonts w:ascii="Arial" w:cs="Arial" w:eastAsia="Arial" w:hAnsi="Arial"/>
          <w:sz w:val="18"/>
          <w:szCs w:val="18"/>
          <w:color w:val="auto"/>
        </w:rPr>
      </w:pPr>
    </w:p>
    <w:p>
      <w:pPr>
        <w:ind w:left="840" w:hanging="832"/>
        <w:spacing w:after="0"/>
        <w:tabs>
          <w:tab w:leader="none" w:pos="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1700"/>
        <w:spacing w:after="0"/>
        <w:tabs>
          <w:tab w:leader="none" w:pos="570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6"/>
          <w:szCs w:val="16"/>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23495</wp:posOffset>
            </wp:positionV>
            <wp:extent cx="24428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Terrie Curran</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right="460" w:firstLine="823"/>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ind w:left="10260"/>
        <w:spacing w:after="0"/>
        <w:rPr>
          <w:sz w:val="20"/>
          <w:szCs w:val="20"/>
          <w:color w:val="auto"/>
        </w:rPr>
      </w:pPr>
      <w:r>
        <w:rPr>
          <w:rFonts w:ascii="Arial" w:cs="Arial" w:eastAsia="Arial" w:hAnsi="Arial"/>
          <w:sz w:val="17"/>
          <w:szCs w:val="17"/>
          <w:b w:val="1"/>
          <w:bCs w:val="1"/>
          <w:color w:val="auto"/>
        </w:rPr>
        <w:t>Exhibit 32.2</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ind w:right="20" w:firstLine="823"/>
        <w:spacing w:after="0" w:line="259" w:lineRule="auto"/>
        <w:rPr>
          <w:sz w:val="20"/>
          <w:szCs w:val="20"/>
          <w:color w:val="auto"/>
        </w:rPr>
      </w:pPr>
      <w:r>
        <w:rPr>
          <w:rFonts w:ascii="Arial" w:cs="Arial" w:eastAsia="Arial" w:hAnsi="Arial"/>
          <w:sz w:val="18"/>
          <w:szCs w:val="18"/>
          <w:color w:val="auto"/>
        </w:rPr>
        <w:t>In connection with the Quarterly Report on Form 10-Q of Phathom Pharmaceuticals, Inc. (the “Company”) for the quarter ended September 30, 2023 as filed with the Securities and Exchange Commission on the date hereof (the “Report”), I, Molly Henderson, as Chief Financial and Business Officer of the Company, certify, pursuant to 18 U.S.C. Section 1350, as adopted pursuant to Section 906 of the Sarbanes-Oxley Act of 2002, to my knowledge, that:</w:t>
      </w:r>
    </w:p>
    <w:p>
      <w:pPr>
        <w:spacing w:after="0" w:line="214" w:lineRule="exact"/>
        <w:rPr>
          <w:sz w:val="20"/>
          <w:szCs w:val="20"/>
          <w:color w:val="auto"/>
        </w:rPr>
      </w:pPr>
    </w:p>
    <w:p>
      <w:pPr>
        <w:ind w:left="840" w:right="180" w:hanging="832"/>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83" w:lineRule="exact"/>
        <w:rPr>
          <w:rFonts w:ascii="Arial" w:cs="Arial" w:eastAsia="Arial" w:hAnsi="Arial"/>
          <w:sz w:val="18"/>
          <w:szCs w:val="18"/>
          <w:color w:val="auto"/>
        </w:rPr>
      </w:pPr>
    </w:p>
    <w:p>
      <w:pPr>
        <w:ind w:left="840" w:hanging="832"/>
        <w:spacing w:after="0"/>
        <w:tabs>
          <w:tab w:leader="none" w:pos="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1380"/>
        <w:spacing w:after="0"/>
        <w:tabs>
          <w:tab w:leader="none" w:pos="538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6"/>
          <w:szCs w:val="16"/>
          <w:color w:val="auto"/>
        </w:rPr>
        <w:t>/s/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23495</wp:posOffset>
            </wp:positionV>
            <wp:extent cx="2854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Molly Henderson</w:t>
      </w:r>
    </w:p>
    <w:p>
      <w:pPr>
        <w:spacing w:after="0" w:line="3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Financial and Business Officer</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(Principal Financial and Accounting Officer)</w:t>
      </w:r>
    </w:p>
    <w:p>
      <w:pPr>
        <w:spacing w:after="0" w:line="224" w:lineRule="exact"/>
        <w:rPr>
          <w:sz w:val="20"/>
          <w:szCs w:val="20"/>
          <w:color w:val="auto"/>
        </w:rPr>
      </w:pPr>
    </w:p>
    <w:p>
      <w:pPr>
        <w:ind w:right="460" w:firstLine="823"/>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lvl w:ilvl="1">
      <w:lvlJc w:val="left"/>
      <w:lvlText w:val="%2"/>
      <w:numFmt w:val="decimal"/>
      <w:start w:val="104"/>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65" Type="http://schemas.openxmlformats.org/officeDocument/2006/relationships/hyperlink" Target="https://www.sec.gov/Archives/edgar/data/1783183/000119312519277761/d795888dex31.htm" TargetMode="External"/><Relationship Id="rId166" Type="http://schemas.openxmlformats.org/officeDocument/2006/relationships/hyperlink" Target="https://www.sec.gov/Archives/edgar/data/1783183/000119312523156713/d487635dex31.htm" TargetMode="External"/><Relationship Id="rId167" Type="http://schemas.openxmlformats.org/officeDocument/2006/relationships/hyperlink" Target="https://www.sec.gov/Archives/edgar/data/0001783183/000119312520254563/d10693dex31.htm" TargetMode="External"/><Relationship Id="rId168" Type="http://schemas.openxmlformats.org/officeDocument/2006/relationships/hyperlink" Target="https://www.sec.gov/Archives/edgar/data/1783183/000119312519267053/d63338dex41.htm" TargetMode="External"/><Relationship Id="rId169" Type="http://schemas.openxmlformats.org/officeDocument/2006/relationships/hyperlink" Target="https://www.sec.gov/Archives/edgar/data/1783183/000119312519258922/d63338dex43.htm" TargetMode="External"/><Relationship Id="rId170" Type="http://schemas.openxmlformats.org/officeDocument/2006/relationships/hyperlink" Target="https://www.sec.gov/Archives/edgar/data/1783183/000119312519258922/d63338dex44.htm" TargetMode="External"/><Relationship Id="rId171" Type="http://schemas.openxmlformats.org/officeDocument/2006/relationships/hyperlink" Target="https://www.sec.gov/Archives/edgar/data/1783183/000156459021055073/phat-ex102_212.htm" TargetMode="External"/><Relationship Id="rId172" Type="http://schemas.openxmlformats.org/officeDocument/2006/relationships/hyperlink" Target="https://www.sec.gov/Archives/edgar/data/1783183/000095017023020109/phat-ex4_5.htm" TargetMode="External"/><Relationship Id="rId173" Type="http://schemas.openxmlformats.org/officeDocument/2006/relationships/hyperlink" Target="https://www.sec.gov/Archives/edgar/data/1783183/000095017023020109/phat-ex4_6.htm" TargetMode="External"/><Relationship Id="rId174" Type="http://schemas.openxmlformats.org/officeDocument/2006/relationships/hyperlink" Target="https://www.sec.gov/Archives/edgar/data/1783183/000119312519267053/d63338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2023-11-09T07:14:44Z</dcterms:created>
  <dcterms:modified xsi:type="dcterms:W3CDTF">2023-11-09T07:14:44Z</dcterms:modified>
</cp:coreProperties>
</file>