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phat-20240630.htm"/>
      <w:bookmarkStart w:id="1" w:name="ksphat20240630"/>
      <w:bookmarkEnd w:id="0"/>
      <w:bookmarkEnd w:id="1"/>
      <w:r>
        <w:rPr/>
        <w:t> </w:t>
      </w:r>
    </w:p>
    <w:p>
      <w:pPr>
        <w:pStyle w:val="TextBody"/>
        <w:pBdr>
          <w:top w:val="double" w:sz="4"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8" w:space="1" w:color="000000"/>
        </w:pBdr>
        <w:bidi w:val="0"/>
        <w:jc w:val="center"/>
        <w:rPr/>
      </w:pPr>
      <w:r>
        <w:rPr/>
        <w:t> </w:t>
      </w:r>
    </w:p>
    <w:p>
      <w:pPr>
        <w:pStyle w:val="TextBody"/>
        <w:bidi w:val="0"/>
        <w:spacing w:before="80" w:after="283"/>
        <w:jc w:val="left"/>
        <w:rPr/>
      </w:pPr>
      <w:r>
        <w:rPr>
          <w:color w:val="000000"/>
        </w:rPr>
        <w:t xml:space="preserve">☒ </w:t>
      </w:r>
      <w:r>
        <w:rPr>
          <w:rFonts w:ascii="Times New Roman" w:hAnsi="Times New Roman"/>
          <w:b/>
          <w:color w:val="000000"/>
          <w:sz w:val="24"/>
        </w:rPr>
        <w:t>QUARTERLY REPORT PURSUANT TO SECTION 13 OR 15(d) OF THE SECURITIES EXCHANGE ACT OF 1934</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quarterly period ended June 30, 2024</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80" w:after="283"/>
        <w:jc w:val="left"/>
        <w:rPr/>
      </w:pPr>
      <w:r>
        <w:rPr>
          <w:color w:val="000000"/>
        </w:rPr>
        <w:t xml:space="preserve">☐ </w:t>
      </w:r>
      <w:r>
        <w:rPr>
          <w:rFonts w:ascii="Times New Roman" w:hAnsi="Times New Roman"/>
          <w:b/>
          <w:color w:val="000000"/>
          <w:sz w:val="24"/>
        </w:rPr>
        <w:t>TRANSITION REPORT PURSUANT TO SECTION 13 OR 15(d) OF THE SECURITIES EXCHANGE ACT OF 1934</w:t>
      </w:r>
    </w:p>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u w:val="single"/>
        </w:rPr>
        <w:t xml:space="preserve"> </w:t>
      </w:r>
      <w:r>
        <w:rPr>
          <w:rFonts w:ascii="Times New Roman" w:hAnsi="Times New Roman"/>
          <w:b/>
          <w:color w:val="000000"/>
          <w:sz w:val="20"/>
        </w:rPr>
        <w:t>.</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001-39094</w:t>
      </w:r>
    </w:p>
    <w:p>
      <w:pPr>
        <w:pStyle w:val="TextBody"/>
        <w:pBdr>
          <w:bottom w:val="single" w:sz="8" w:space="1" w:color="000000"/>
        </w:pBdr>
        <w:bidi w:val="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PHATHOM PHARMACEUTICALS, INC.</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jc w:val="left"/>
        <w:rPr/>
      </w:pPr>
      <w:r>
        <w:rPr/>
        <w:t> </w:t>
      </w:r>
    </w:p>
    <w:tbl>
      <w:tblPr>
        <w:tblW w:w="4558" w:type="dxa"/>
        <w:jc w:val="left"/>
        <w:tblInd w:w="0" w:type="dxa"/>
        <w:tblLayout w:type="fixed"/>
        <w:tblCellMar>
          <w:top w:w="28" w:type="dxa"/>
          <w:left w:w="28" w:type="dxa"/>
          <w:bottom w:w="28" w:type="dxa"/>
          <w:right w:w="28" w:type="dxa"/>
        </w:tblCellMar>
      </w:tblPr>
      <w:tblGrid>
        <w:gridCol w:w="2926"/>
        <w:gridCol w:w="14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82-4151574</w:t>
            </w:r>
          </w:p>
        </w:tc>
      </w:tr>
      <w:tr>
        <w:trPr/>
        <w:tc>
          <w:tcPr>
            <w:tcW w:w="292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100 Campus Drive, Suite 102</w:t>
            </w:r>
          </w:p>
          <w:p>
            <w:pPr>
              <w:pStyle w:val="TableContents"/>
              <w:bidi w:val="0"/>
              <w:spacing w:before="0" w:after="283"/>
              <w:jc w:val="center"/>
              <w:rPr>
                <w:rFonts w:ascii="Times New Roman" w:hAnsi="Times New Roman"/>
                <w:sz w:val="20"/>
              </w:rPr>
            </w:pPr>
            <w:r>
              <w:rPr>
                <w:rFonts w:ascii="Times New Roman" w:hAnsi="Times New Roman"/>
                <w:b/>
                <w:color w:val="000000"/>
                <w:sz w:val="20"/>
              </w:rPr>
              <w:t>Florham Park, New Jersey</w:t>
            </w:r>
            <w:r>
              <w:rPr>
                <w:rFonts w:ascii="Times New Roman" w:hAnsi="Times New Roman"/>
                <w:color w:val="000000"/>
                <w:sz w:val="20"/>
              </w:rPr>
              <w:t xml:space="preserve"> </w:t>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07932</w:t>
            </w:r>
          </w:p>
        </w:tc>
      </w:tr>
      <w:tr>
        <w:trPr/>
        <w:tc>
          <w:tcPr>
            <w:tcW w:w="292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vAlign w:val="center"/>
          </w:tcPr>
          <w:p>
            <w:pPr>
              <w:pStyle w:val="TableContents"/>
              <w:bidi w:val="0"/>
              <w:spacing w:before="0" w:after="283"/>
              <w:jc w:val="left"/>
              <w:rPr/>
            </w:pPr>
            <w:r>
              <w:rPr/>
              <w:t> </w:t>
            </w:r>
          </w:p>
        </w:tc>
        <w:tc>
          <w:tcPr>
            <w:tcW w:w="148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 (877) 742-8466</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8140" w:type="dxa"/>
        <w:jc w:val="left"/>
        <w:tblInd w:w="0" w:type="dxa"/>
        <w:tblLayout w:type="fixed"/>
        <w:tblCellMar>
          <w:top w:w="28" w:type="dxa"/>
          <w:left w:w="28" w:type="dxa"/>
          <w:bottom w:w="28" w:type="dxa"/>
          <w:right w:w="28" w:type="dxa"/>
        </w:tblCellMar>
      </w:tblPr>
      <w:tblGrid>
        <w:gridCol w:w="3706"/>
        <w:gridCol w:w="146"/>
        <w:gridCol w:w="826"/>
        <w:gridCol w:w="146"/>
        <w:gridCol w:w="331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70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46" w:type="dxa"/>
            <w:tcBorders/>
            <w:vAlign w:val="center"/>
          </w:tcPr>
          <w:p>
            <w:pPr>
              <w:pStyle w:val="TableContents"/>
              <w:bidi w:val="0"/>
              <w:spacing w:before="0" w:after="283"/>
              <w:jc w:val="center"/>
              <w:rPr/>
            </w:pPr>
            <w:r>
              <w:rPr/>
              <w:t> </w:t>
            </w:r>
          </w:p>
        </w:tc>
        <w:tc>
          <w:tcPr>
            <w:tcW w:w="8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PHAT</w:t>
            </w:r>
          </w:p>
        </w:tc>
        <w:tc>
          <w:tcPr>
            <w:tcW w:w="146" w:type="dxa"/>
            <w:tcBorders/>
            <w:vAlign w:val="center"/>
          </w:tcPr>
          <w:p>
            <w:pPr>
              <w:pStyle w:val="TableContents"/>
              <w:bidi w:val="0"/>
              <w:spacing w:before="0" w:after="283"/>
              <w:jc w:val="center"/>
              <w:rPr/>
            </w:pPr>
            <w:r>
              <w:rPr/>
              <w:t> </w:t>
            </w:r>
          </w:p>
        </w:tc>
        <w:tc>
          <w:tcPr>
            <w:tcW w:w="331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460" w:type="dxa"/>
        <w:jc w:val="left"/>
        <w:tblInd w:w="0" w:type="dxa"/>
        <w:tblLayout w:type="fixed"/>
        <w:tblCellMar>
          <w:top w:w="28" w:type="dxa"/>
          <w:left w:w="28" w:type="dxa"/>
          <w:bottom w:w="28" w:type="dxa"/>
          <w:right w:w="28" w:type="dxa"/>
        </w:tblCellMar>
      </w:tblPr>
      <w:tblGrid>
        <w:gridCol w:w="2326"/>
        <w:gridCol w:w="316"/>
        <w:gridCol w:w="146"/>
        <w:gridCol w:w="2311"/>
        <w:gridCol w:w="361"/>
      </w:tblGrid>
      <w:tr>
        <w:trPr/>
        <w:tc>
          <w:tcPr>
            <w:tcW w:w="23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spacing w:before="80" w:after="283"/>
        <w:jc w:val="left"/>
        <w:rPr>
          <w:rFonts w:ascii="Times New Roman" w:hAnsi="Times New Roman"/>
          <w:sz w:val="20"/>
        </w:rPr>
      </w:pPr>
      <w:r>
        <w:rPr>
          <w:rFonts w:ascii="Times New Roman" w:hAnsi="Times New Roman"/>
          <w:color w:val="000000"/>
          <w:sz w:val="20"/>
        </w:rPr>
        <w:t xml:space="preserve">As of August 6, 2024, the registrant had 59,593,971 </w:t>
      </w:r>
      <w:r>
        <w:rPr>
          <w:rFonts w:ascii="Times New Roman" w:hAnsi="Times New Roman"/>
          <w:color w:val="000000"/>
          <w:sz w:val="18"/>
        </w:rPr>
        <w:t>s</w:t>
      </w:r>
      <w:r>
        <w:rPr>
          <w:rFonts w:ascii="Times New Roman" w:hAnsi="Times New Roman"/>
          <w:color w:val="000000"/>
          <w:sz w:val="20"/>
        </w:rPr>
        <w:t>hares of common stock ($0.0001 par value) outstanding.</w:t>
      </w:r>
    </w:p>
    <w:p>
      <w:pPr>
        <w:pStyle w:val="TextBody"/>
        <w:pBdr>
          <w:bottom w:val="double" w:sz="4" w:space="1" w:color="000000"/>
        </w:pBdr>
        <w:bidi w:val="0"/>
        <w:jc w:val="center"/>
        <w:rPr/>
      </w:pPr>
      <w:r>
        <w:rPr/>
        <w:t> </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Calibri;sans-serif" w:hAnsi="Calibri;sans-serif"/>
          <w:b/>
          <w:color w:val="231F20"/>
          <w:sz w:val="20"/>
        </w:rPr>
      </w:pPr>
      <w:r>
        <w:rPr>
          <w:rFonts w:ascii="Calibri;sans-serif" w:hAnsi="Calibri;sans-serif"/>
          <w:b/>
          <w:color w:val="231F20"/>
          <w:sz w:val="20"/>
        </w:rPr>
        <w:t>TABLE OF CONTENTS</w:t>
      </w:r>
    </w:p>
    <w:p>
      <w:pPr>
        <w:pStyle w:val="TextBody"/>
        <w:bidi w:val="0"/>
        <w:jc w:val="both"/>
        <w:rPr/>
      </w:pPr>
      <w:r>
        <w:rPr/>
        <w:t> </w:t>
      </w:r>
    </w:p>
    <w:tbl>
      <w:tblPr>
        <w:tblW w:w="8309" w:type="dxa"/>
        <w:jc w:val="left"/>
        <w:tblInd w:w="0" w:type="dxa"/>
        <w:tblLayout w:type="fixed"/>
        <w:tblCellMar>
          <w:top w:w="28" w:type="dxa"/>
          <w:left w:w="28" w:type="dxa"/>
          <w:bottom w:w="28" w:type="dxa"/>
          <w:right w:w="28" w:type="dxa"/>
        </w:tblCellMar>
      </w:tblPr>
      <w:tblGrid>
        <w:gridCol w:w="736"/>
        <w:gridCol w:w="146"/>
        <w:gridCol w:w="7021"/>
        <w:gridCol w:w="406"/>
      </w:tblGrid>
      <w:tr>
        <w:trPr/>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2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8309" w:type="dxa"/>
            <w:gridSpan w:val="4"/>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Calibri;sans-serif" w:hAnsi="Calibri;sans-serif"/>
                  <w:b/>
                  <w:color w:val="0000FF"/>
                  <w:sz w:val="20"/>
                  <w:u w:val="single"/>
                </w:rPr>
                <w:t>PART I. FINANCIAL INFORMATION</w:t>
              </w:r>
            </w:hyperlink>
          </w:p>
        </w:tc>
      </w:tr>
      <w:tr>
        <w:trPr/>
        <w:tc>
          <w:tcPr>
            <w:tcW w:w="8309"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Item 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1"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_unaudited">
              <w:r>
                <w:rPr>
                  <w:rStyle w:val="InternetLink"/>
                  <w:rFonts w:ascii="Calibri;sans-serif" w:hAnsi="Calibri;sans-serif"/>
                  <w:color w:val="0000FF"/>
                  <w:sz w:val="20"/>
                  <w:u w:val="single"/>
                </w:rPr>
                <w:t>Financial Statements (unaudited)</w:t>
              </w:r>
            </w:hyperlink>
          </w:p>
        </w:tc>
        <w:tc>
          <w:tcPr>
            <w:tcW w:w="406" w:type="dxa"/>
            <w:tcBorders/>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F-1</w:t>
            </w:r>
          </w:p>
        </w:tc>
      </w:tr>
      <w:tr>
        <w:trPr/>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1" w:type="dxa"/>
            <w:tcBorders/>
            <w:tcMar>
              <w:top w:w="0" w:type="dxa"/>
              <w:left w:w="0" w:type="dxa"/>
              <w:bottom w:w="0" w:type="dxa"/>
              <w:right w:w="0" w:type="dxa"/>
            </w:tcMar>
            <w:vAlign w:val="center"/>
          </w:tcPr>
          <w:p>
            <w:pPr>
              <w:pStyle w:val="TableContents"/>
              <w:bidi w:val="0"/>
              <w:spacing w:before="0" w:after="283"/>
              <w:jc w:val="left"/>
              <w:rPr/>
            </w:pPr>
            <w:hyperlink w:anchor="combined_balance_sheets">
              <w:r>
                <w:rPr>
                  <w:rStyle w:val="InternetLink"/>
                  <w:rFonts w:ascii="Calibri;sans-serif" w:hAnsi="Calibri;sans-serif"/>
                  <w:color w:val="0000FF"/>
                  <w:sz w:val="20"/>
                  <w:u w:val="single"/>
                </w:rPr>
                <w:t>Balance Sheets</w:t>
              </w:r>
            </w:hyperlink>
            <w:hyperlink w:anchor="combined_balance_sheets">
              <w:r>
                <w:rPr>
                  <w:rStyle w:val="InternetLink"/>
                  <w:rFonts w:ascii="Times New Roman" w:hAnsi="Times New Roman"/>
                  <w:color w:val="0000FF"/>
                  <w:sz w:val="20"/>
                </w:rPr>
                <w:t xml:space="preserve"> </w:t>
              </w:r>
            </w:hyperlink>
          </w:p>
        </w:tc>
        <w:tc>
          <w:tcPr>
            <w:tcW w:w="406" w:type="dxa"/>
            <w:tcBorders/>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F-1</w:t>
            </w:r>
          </w:p>
        </w:tc>
      </w:tr>
      <w:tr>
        <w:trPr/>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1" w:type="dxa"/>
            <w:tcBorders/>
            <w:tcMar>
              <w:top w:w="0" w:type="dxa"/>
              <w:left w:w="0" w:type="dxa"/>
              <w:bottom w:w="0" w:type="dxa"/>
              <w:right w:w="0" w:type="dxa"/>
            </w:tcMar>
            <w:vAlign w:val="center"/>
          </w:tcPr>
          <w:p>
            <w:pPr>
              <w:pStyle w:val="TableContents"/>
              <w:bidi w:val="0"/>
              <w:spacing w:before="0" w:after="283"/>
              <w:jc w:val="left"/>
              <w:rPr/>
            </w:pPr>
            <w:hyperlink w:anchor="condensed_combined_statements_operations">
              <w:r>
                <w:rPr>
                  <w:rStyle w:val="InternetLink"/>
                  <w:rFonts w:ascii="Calibri;sans-serif" w:hAnsi="Calibri;sans-serif"/>
                  <w:color w:val="0000FF"/>
                  <w:sz w:val="20"/>
                  <w:u w:val="single"/>
                </w:rPr>
                <w:t>Statements of Operations and Comprehensive Loss</w:t>
              </w:r>
            </w:hyperlink>
            <w:hyperlink w:anchor="condensed_combined_statements_operations">
              <w:r>
                <w:rPr>
                  <w:rStyle w:val="InternetLink"/>
                  <w:rFonts w:ascii="Times New Roman" w:hAnsi="Times New Roman"/>
                  <w:color w:val="0000FF"/>
                  <w:sz w:val="20"/>
                </w:rPr>
                <w:t xml:space="preserve"> </w:t>
              </w:r>
            </w:hyperlink>
          </w:p>
        </w:tc>
        <w:tc>
          <w:tcPr>
            <w:tcW w:w="406" w:type="dxa"/>
            <w:tcBorders/>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F-2</w:t>
            </w:r>
          </w:p>
        </w:tc>
      </w:tr>
      <w:tr>
        <w:trPr/>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21" w:type="dxa"/>
            <w:tcBorders/>
            <w:tcMar>
              <w:top w:w="0" w:type="dxa"/>
              <w:left w:w="0" w:type="dxa"/>
              <w:bottom w:w="0" w:type="dxa"/>
              <w:right w:w="0" w:type="dxa"/>
            </w:tcMar>
            <w:vAlign w:val="center"/>
          </w:tcPr>
          <w:p>
            <w:pPr>
              <w:pStyle w:val="TableContents"/>
              <w:bidi w:val="0"/>
              <w:spacing w:before="0" w:after="283"/>
              <w:jc w:val="left"/>
              <w:rPr/>
            </w:pPr>
            <w:hyperlink w:anchor="condensed_combined_statement_stockholder">
              <w:r>
                <w:rPr>
                  <w:rStyle w:val="InternetLink"/>
                  <w:rFonts w:ascii="Calibri;sans-serif" w:hAnsi="Calibri;sans-serif"/>
                  <w:color w:val="0000FF"/>
                  <w:sz w:val="20"/>
                  <w:u w:val="single"/>
                </w:rPr>
                <w:t>Statements of Stockholders’ Equity (Deficit)</w:t>
              </w:r>
            </w:hyperlink>
          </w:p>
        </w:tc>
        <w:tc>
          <w:tcPr>
            <w:tcW w:w="406" w:type="dxa"/>
            <w:tcBorders/>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F-3</w:t>
            </w:r>
          </w:p>
        </w:tc>
      </w:tr>
      <w:tr>
        <w:trPr/>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21" w:type="dxa"/>
            <w:tcBorders/>
            <w:tcMar>
              <w:top w:w="0" w:type="dxa"/>
              <w:left w:w="0" w:type="dxa"/>
              <w:bottom w:w="0" w:type="dxa"/>
              <w:right w:w="0" w:type="dxa"/>
            </w:tcMar>
            <w:vAlign w:val="center"/>
          </w:tcPr>
          <w:p>
            <w:pPr>
              <w:pStyle w:val="TableContents"/>
              <w:bidi w:val="0"/>
              <w:spacing w:before="0" w:after="283"/>
              <w:jc w:val="left"/>
              <w:rPr/>
            </w:pPr>
            <w:hyperlink w:anchor="consolidated_statements_cash_flows">
              <w:r>
                <w:rPr>
                  <w:rStyle w:val="InternetLink"/>
                  <w:rFonts w:ascii="Calibri;sans-serif" w:hAnsi="Calibri;sans-serif"/>
                  <w:color w:val="0000FF"/>
                  <w:sz w:val="20"/>
                  <w:u w:val="single"/>
                </w:rPr>
                <w:t>Statements of Cash Flows</w:t>
              </w:r>
            </w:hyperlink>
            <w:hyperlink w:anchor="consolidated_statements_cash_flows">
              <w:r>
                <w:rPr>
                  <w:rStyle w:val="InternetLink"/>
                  <w:rFonts w:ascii="Times New Roman" w:hAnsi="Times New Roman"/>
                  <w:color w:val="0000FF"/>
                  <w:sz w:val="20"/>
                </w:rPr>
                <w:t xml:space="preserve"> </w:t>
              </w:r>
            </w:hyperlink>
          </w:p>
        </w:tc>
        <w:tc>
          <w:tcPr>
            <w:tcW w:w="406" w:type="dxa"/>
            <w:tcBorders/>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F-4</w:t>
            </w:r>
          </w:p>
        </w:tc>
      </w:tr>
      <w:tr>
        <w:trPr/>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21" w:type="dxa"/>
            <w:tcBorders/>
            <w:tcMar>
              <w:top w:w="0" w:type="dxa"/>
              <w:left w:w="0" w:type="dxa"/>
              <w:bottom w:w="0" w:type="dxa"/>
              <w:right w:w="0" w:type="dxa"/>
            </w:tcMar>
            <w:vAlign w:val="center"/>
          </w:tcPr>
          <w:p>
            <w:pPr>
              <w:pStyle w:val="TableContents"/>
              <w:bidi w:val="0"/>
              <w:spacing w:before="0" w:after="283"/>
              <w:jc w:val="left"/>
              <w:rPr/>
            </w:pPr>
            <w:hyperlink w:anchor="notes_to_unaudited_financial_statements">
              <w:r>
                <w:rPr>
                  <w:rStyle w:val="InternetLink"/>
                  <w:rFonts w:ascii="Calibri;sans-serif" w:hAnsi="Calibri;sans-serif"/>
                  <w:color w:val="0000FF"/>
                  <w:sz w:val="20"/>
                  <w:u w:val="single"/>
                </w:rPr>
                <w:t>Notes to Unaudited Financial Statements</w:t>
              </w:r>
            </w:hyperlink>
          </w:p>
        </w:tc>
        <w:tc>
          <w:tcPr>
            <w:tcW w:w="406" w:type="dxa"/>
            <w:tcBorders/>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F-5</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Item 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1"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Calibri;sans-serif" w:hAnsi="Calibri;sans-serif"/>
                  <w:color w:val="0000FF"/>
                  <w:sz w:val="20"/>
                  <w:u w:val="single"/>
                </w:rPr>
                <w:t>Management’s Discussion and Analysis of Financial Condition and Results of Operations</w:t>
              </w:r>
            </w:hyperlink>
          </w:p>
        </w:tc>
        <w:tc>
          <w:tcPr>
            <w:tcW w:w="406" w:type="dxa"/>
            <w:tcBorders/>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22</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Item 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1"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Calibri;sans-serif" w:hAnsi="Calibri;sans-serif"/>
                  <w:color w:val="0000FF"/>
                  <w:sz w:val="20"/>
                  <w:u w:val="single"/>
                </w:rPr>
                <w:t>Quantitative and Qualitative Disclosures About Market Risk</w:t>
              </w:r>
            </w:hyperlink>
          </w:p>
        </w:tc>
        <w:tc>
          <w:tcPr>
            <w:tcW w:w="406" w:type="dxa"/>
            <w:tcBorders/>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33</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Item 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1"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Calibri;sans-serif" w:hAnsi="Calibri;sans-serif"/>
                  <w:color w:val="0000FF"/>
                  <w:sz w:val="20"/>
                  <w:u w:val="single"/>
                </w:rPr>
                <w:t>Controls and Procedures</w:t>
              </w:r>
            </w:hyperlink>
          </w:p>
        </w:tc>
        <w:tc>
          <w:tcPr>
            <w:tcW w:w="406" w:type="dxa"/>
            <w:tcBorders/>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34</w:t>
            </w:r>
          </w:p>
        </w:tc>
      </w:tr>
      <w:tr>
        <w:trPr/>
        <w:tc>
          <w:tcPr>
            <w:tcW w:w="8309"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09" w:type="dxa"/>
            <w:gridSpan w:val="4"/>
            <w:tcBorders/>
            <w:tcMar>
              <w:top w:w="0" w:type="dxa"/>
              <w:left w:w="0" w:type="dxa"/>
              <w:bottom w:w="0" w:type="dxa"/>
              <w:right w:w="0" w:type="dxa"/>
            </w:tcMar>
            <w:vAlign w:val="center"/>
          </w:tcPr>
          <w:p>
            <w:pPr>
              <w:pStyle w:val="TableContents"/>
              <w:bidi w:val="0"/>
              <w:spacing w:before="0" w:after="283"/>
              <w:jc w:val="left"/>
              <w:rPr/>
            </w:pPr>
            <w:hyperlink w:anchor="part_ii_or_information">
              <w:r>
                <w:rPr>
                  <w:rStyle w:val="InternetLink"/>
                  <w:rFonts w:ascii="Calibri;sans-serif" w:hAnsi="Calibri;sans-serif"/>
                  <w:b/>
                  <w:color w:val="0000FF"/>
                  <w:sz w:val="20"/>
                  <w:u w:val="single"/>
                </w:rPr>
                <w:t>PART II. OTHER INFORMATION</w:t>
              </w:r>
            </w:hyperlink>
          </w:p>
        </w:tc>
      </w:tr>
      <w:tr>
        <w:trPr/>
        <w:tc>
          <w:tcPr>
            <w:tcW w:w="8309"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Item 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1"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Calibri;sans-serif" w:hAnsi="Calibri;sans-serif"/>
                  <w:color w:val="0000FF"/>
                  <w:sz w:val="20"/>
                  <w:u w:val="single"/>
                </w:rPr>
                <w:t>Legal Proceedings</w:t>
              </w:r>
            </w:hyperlink>
          </w:p>
        </w:tc>
        <w:tc>
          <w:tcPr>
            <w:tcW w:w="406" w:type="dxa"/>
            <w:tcBorders/>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35</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Item 1A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1"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Calibri;sans-serif" w:hAnsi="Calibri;sans-serif"/>
                  <w:color w:val="0000FF"/>
                  <w:sz w:val="20"/>
                  <w:u w:val="single"/>
                </w:rPr>
                <w:t>Risk Factors</w:t>
              </w:r>
            </w:hyperlink>
          </w:p>
        </w:tc>
        <w:tc>
          <w:tcPr>
            <w:tcW w:w="406" w:type="dxa"/>
            <w:tcBorders/>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35</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Item 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1"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_1">
              <w:r>
                <w:rPr>
                  <w:rStyle w:val="InternetLink"/>
                  <w:rFonts w:ascii="Calibri;sans-serif" w:hAnsi="Calibri;sans-serif"/>
                  <w:color w:val="0000FF"/>
                  <w:sz w:val="20"/>
                  <w:u w:val="single"/>
                </w:rPr>
                <w:t>Unregistered Sales of Equity Securities and Use of Proceeds</w:t>
              </w:r>
            </w:hyperlink>
          </w:p>
        </w:tc>
        <w:tc>
          <w:tcPr>
            <w:tcW w:w="406" w:type="dxa"/>
            <w:tcBorders/>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35</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Item 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1"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_1">
              <w:r>
                <w:rPr>
                  <w:rStyle w:val="InternetLink"/>
                  <w:rFonts w:ascii="Calibri;sans-serif" w:hAnsi="Calibri;sans-serif"/>
                  <w:color w:val="0000FF"/>
                  <w:sz w:val="20"/>
                  <w:u w:val="single"/>
                </w:rPr>
                <w:t>Defaults Upon Senior Securities</w:t>
              </w:r>
            </w:hyperlink>
          </w:p>
        </w:tc>
        <w:tc>
          <w:tcPr>
            <w:tcW w:w="406" w:type="dxa"/>
            <w:tcBorders/>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35</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Item 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1"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_1">
              <w:r>
                <w:rPr>
                  <w:rStyle w:val="InternetLink"/>
                  <w:rFonts w:ascii="Calibri;sans-serif" w:hAnsi="Calibri;sans-serif"/>
                  <w:color w:val="0000FF"/>
                  <w:sz w:val="20"/>
                  <w:u w:val="single"/>
                </w:rPr>
                <w:t>Mine Safety Disclosures</w:t>
              </w:r>
            </w:hyperlink>
          </w:p>
        </w:tc>
        <w:tc>
          <w:tcPr>
            <w:tcW w:w="406" w:type="dxa"/>
            <w:tcBorders/>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35</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Item 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1" w:type="dxa"/>
            <w:tcBorders/>
            <w:tcMar>
              <w:top w:w="0" w:type="dxa"/>
              <w:left w:w="0" w:type="dxa"/>
              <w:bottom w:w="0" w:type="dxa"/>
              <w:right w:w="0" w:type="dxa"/>
            </w:tcMar>
            <w:vAlign w:val="center"/>
          </w:tcPr>
          <w:p>
            <w:pPr>
              <w:pStyle w:val="TableContents"/>
              <w:bidi w:val="0"/>
              <w:spacing w:before="0" w:after="283"/>
              <w:jc w:val="left"/>
              <w:rPr/>
            </w:pPr>
            <w:hyperlink w:anchor="item_5_or_information_1">
              <w:r>
                <w:rPr>
                  <w:rStyle w:val="InternetLink"/>
                  <w:rFonts w:ascii="Calibri;sans-serif" w:hAnsi="Calibri;sans-serif"/>
                  <w:color w:val="0000FF"/>
                  <w:sz w:val="20"/>
                  <w:u w:val="single"/>
                </w:rPr>
                <w:t>Other Information</w:t>
              </w:r>
            </w:hyperlink>
          </w:p>
        </w:tc>
        <w:tc>
          <w:tcPr>
            <w:tcW w:w="406" w:type="dxa"/>
            <w:tcBorders/>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35</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Item 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1" w:type="dxa"/>
            <w:tcBorders/>
            <w:tcMar>
              <w:top w:w="0" w:type="dxa"/>
              <w:left w:w="0" w:type="dxa"/>
              <w:bottom w:w="0" w:type="dxa"/>
              <w:right w:w="0" w:type="dxa"/>
            </w:tcMar>
            <w:vAlign w:val="center"/>
          </w:tcPr>
          <w:p>
            <w:pPr>
              <w:pStyle w:val="TableContents"/>
              <w:bidi w:val="0"/>
              <w:spacing w:before="0" w:after="283"/>
              <w:jc w:val="left"/>
              <w:rPr/>
            </w:pPr>
            <w:hyperlink w:anchor="item_6_exhibits_1">
              <w:r>
                <w:rPr>
                  <w:rStyle w:val="InternetLink"/>
                  <w:rFonts w:ascii="Calibri;sans-serif" w:hAnsi="Calibri;sans-serif"/>
                  <w:color w:val="0000FF"/>
                  <w:sz w:val="20"/>
                  <w:u w:val="single"/>
                </w:rPr>
                <w:t>Exhibits</w:t>
              </w:r>
            </w:hyperlink>
          </w:p>
        </w:tc>
        <w:tc>
          <w:tcPr>
            <w:tcW w:w="406" w:type="dxa"/>
            <w:tcBorders/>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36</w:t>
            </w:r>
          </w:p>
        </w:tc>
      </w:tr>
      <w:tr>
        <w:trPr/>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21" w:type="dxa"/>
            <w:tcBorders/>
            <w:tcMar>
              <w:top w:w="0" w:type="dxa"/>
              <w:left w:w="0" w:type="dxa"/>
              <w:bottom w:w="0" w:type="dxa"/>
              <w:right w:w="0" w:type="dxa"/>
            </w:tcMar>
            <w:vAlign w:val="center"/>
          </w:tcPr>
          <w:p>
            <w:pPr>
              <w:pStyle w:val="TableContents"/>
              <w:bidi w:val="0"/>
              <w:spacing w:before="0" w:after="283"/>
              <w:jc w:val="left"/>
              <w:rPr/>
            </w:pPr>
            <w:hyperlink w:anchor="signatures_1">
              <w:r>
                <w:rPr>
                  <w:rStyle w:val="InternetLink"/>
                  <w:rFonts w:ascii="Calibri;sans-serif" w:hAnsi="Calibri;sans-serif"/>
                  <w:color w:val="0000FF"/>
                  <w:sz w:val="20"/>
                  <w:u w:val="single"/>
                </w:rPr>
                <w:t>Signatures</w:t>
              </w:r>
            </w:hyperlink>
          </w:p>
        </w:tc>
        <w:tc>
          <w:tcPr>
            <w:tcW w:w="406" w:type="dxa"/>
            <w:tcBorders/>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37</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Calibri;sans-serif" w:hAnsi="Calibri;sans-serif"/>
          <w:b/>
          <w:color w:val="000000"/>
          <w:sz w:val="20"/>
        </w:rPr>
      </w:pPr>
      <w:bookmarkStart w:id="2" w:name="part_i_financial_information"/>
      <w:bookmarkEnd w:id="2"/>
      <w:r>
        <w:rPr>
          <w:rFonts w:ascii="Calibri;sans-serif" w:hAnsi="Calibri;sans-serif"/>
          <w:b/>
          <w:color w:val="000000"/>
          <w:sz w:val="20"/>
        </w:rPr>
        <w:t>PART I. FINANCIAL INFORMATION</w:t>
      </w:r>
    </w:p>
    <w:p>
      <w:pPr>
        <w:pStyle w:val="TextBody"/>
        <w:bidi w:val="0"/>
        <w:spacing w:before="120" w:after="283"/>
        <w:jc w:val="left"/>
        <w:rPr>
          <w:rFonts w:ascii="Calibri;sans-serif" w:hAnsi="Calibri;sans-serif"/>
          <w:b/>
          <w:color w:val="000000"/>
          <w:sz w:val="20"/>
        </w:rPr>
      </w:pPr>
      <w:bookmarkStart w:id="3" w:name="item_1_financial_statements_unaudited"/>
      <w:bookmarkEnd w:id="3"/>
      <w:r>
        <w:rPr>
          <w:rFonts w:ascii="Calibri;sans-serif" w:hAnsi="Calibri;sans-serif"/>
          <w:b/>
          <w:color w:val="000000"/>
          <w:sz w:val="20"/>
        </w:rPr>
        <w:t>Item 1. Financial Statements (unaudited)</w:t>
      </w:r>
    </w:p>
    <w:p>
      <w:pPr>
        <w:pStyle w:val="TextBody"/>
        <w:bidi w:val="0"/>
        <w:jc w:val="center"/>
        <w:rPr>
          <w:rFonts w:ascii="Calibri;sans-serif" w:hAnsi="Calibri;sans-serif"/>
          <w:b/>
          <w:color w:val="000000"/>
          <w:sz w:val="20"/>
        </w:rPr>
      </w:pPr>
      <w:r>
        <w:rPr>
          <w:rFonts w:ascii="Calibri;sans-serif" w:hAnsi="Calibri;sans-serif"/>
          <w:b/>
          <w:color w:val="000000"/>
          <w:sz w:val="20"/>
        </w:rPr>
        <w:t>PHATHOM PHARMACEUTICALS, INC.</w:t>
      </w:r>
    </w:p>
    <w:p>
      <w:pPr>
        <w:pStyle w:val="TextBody"/>
        <w:bidi w:val="0"/>
        <w:jc w:val="center"/>
        <w:rPr>
          <w:rFonts w:ascii="Times New Roman" w:hAnsi="Times New Roman"/>
          <w:sz w:val="20"/>
        </w:rPr>
      </w:pPr>
      <w:bookmarkStart w:id="4" w:name="combined_balance_sheets"/>
      <w:bookmarkEnd w:id="4"/>
      <w:r>
        <w:rPr>
          <w:rFonts w:ascii="Calibri;sans-serif" w:hAnsi="Calibri;sans-serif"/>
          <w:b/>
          <w:color w:val="000000"/>
          <w:sz w:val="20"/>
        </w:rPr>
        <w:t>Balance Sheets</w:t>
      </w:r>
      <w:r>
        <w:rPr>
          <w:rFonts w:ascii="Times New Roman" w:hAnsi="Times New Roman"/>
          <w:color w:val="000000"/>
          <w:sz w:val="20"/>
        </w:rPr>
        <w:t xml:space="preserve"> </w:t>
      </w:r>
    </w:p>
    <w:p>
      <w:pPr>
        <w:pStyle w:val="TextBody"/>
        <w:bidi w:val="0"/>
        <w:jc w:val="center"/>
        <w:rPr>
          <w:rFonts w:ascii="Calibri;sans-serif" w:hAnsi="Calibri;sans-serif"/>
          <w:b/>
          <w:color w:val="000000"/>
          <w:sz w:val="20"/>
        </w:rPr>
      </w:pPr>
      <w:r>
        <w:rPr>
          <w:rFonts w:ascii="Calibri;sans-serif" w:hAnsi="Calibri;sans-serif"/>
          <w:b/>
          <w:color w:val="000000"/>
          <w:sz w:val="20"/>
        </w:rPr>
        <w:t>(Unaudited)</w:t>
      </w:r>
    </w:p>
    <w:p>
      <w:pPr>
        <w:pStyle w:val="TextBody"/>
        <w:bidi w:val="0"/>
        <w:jc w:val="center"/>
        <w:rPr>
          <w:rFonts w:ascii="Calibri;sans-serif" w:hAnsi="Calibri;sans-serif"/>
          <w:b/>
          <w:color w:val="000000"/>
          <w:sz w:val="20"/>
        </w:rPr>
      </w:pPr>
      <w:r>
        <w:rPr>
          <w:rFonts w:ascii="Calibri;sans-serif" w:hAnsi="Calibri;sans-serif"/>
          <w:b/>
          <w:color w:val="000000"/>
          <w:sz w:val="20"/>
        </w:rPr>
        <w:t>(in thousands, except share and par value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036"/>
        <w:gridCol w:w="146"/>
        <w:gridCol w:w="211"/>
        <w:gridCol w:w="991"/>
        <w:gridCol w:w="166"/>
        <w:gridCol w:w="146"/>
        <w:gridCol w:w="223"/>
        <w:gridCol w:w="893"/>
        <w:gridCol w:w="393"/>
      </w:tblGrid>
      <w:tr>
        <w:trPr/>
        <w:tc>
          <w:tcPr>
            <w:tcW w:w="7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70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June 30,</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December 31,</w:t>
              <w:br/>
              <w:t>2023</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6"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6" w:type="dxa"/>
            <w:gridSpan w:val="2"/>
            <w:tcBorders/>
            <w:shd w:fill="CFF0FC" w:val="clear"/>
            <w:vAlign w:val="center"/>
          </w:tcPr>
          <w:p>
            <w:pPr>
              <w:pStyle w:val="TableContents"/>
              <w:bidi w:val="0"/>
              <w:spacing w:before="0" w:after="283"/>
              <w:jc w:val="left"/>
              <w:rPr/>
            </w:pPr>
            <w:r>
              <w:rPr/>
              <w:t> </w:t>
            </w:r>
          </w:p>
        </w:tc>
        <w:tc>
          <w:tcPr>
            <w:tcW w:w="393" w:type="dxa"/>
            <w:tcBorders/>
            <w:shd w:fill="CFF0FC" w:val="clear"/>
            <w:vAlign w:val="center"/>
          </w:tcPr>
          <w:p>
            <w:pPr>
              <w:pStyle w:val="TableContents"/>
              <w:bidi w:val="0"/>
              <w:spacing w:before="0" w:after="283"/>
              <w:jc w:val="left"/>
              <w:rPr/>
            </w:pPr>
            <w:r>
              <w:rPr/>
              <w:t> </w:t>
            </w:r>
          </w:p>
        </w:tc>
      </w:tr>
      <w:tr>
        <w:trPr/>
        <w:tc>
          <w:tcPr>
            <w:tcW w:w="703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16" w:type="dxa"/>
            <w:gridSpan w:val="2"/>
            <w:tcBorders/>
            <w:shd w:fill="FFFFFF" w:val="clear"/>
            <w:vAlign w:val="center"/>
          </w:tcPr>
          <w:p>
            <w:pPr>
              <w:pStyle w:val="TableContents"/>
              <w:bidi w:val="0"/>
              <w:spacing w:before="0" w:after="283"/>
              <w:jc w:val="right"/>
              <w:rPr/>
            </w:pPr>
            <w:r>
              <w:rPr/>
              <w:t> </w:t>
            </w:r>
          </w:p>
        </w:tc>
        <w:tc>
          <w:tcPr>
            <w:tcW w:w="393" w:type="dxa"/>
            <w:tcBorders/>
            <w:shd w:fill="FFFFFF" w:val="clear"/>
            <w:vAlign w:val="center"/>
          </w:tcPr>
          <w:p>
            <w:pPr>
              <w:pStyle w:val="TableContents"/>
              <w:bidi w:val="0"/>
              <w:spacing w:before="0" w:after="283"/>
              <w:ind w:left="0" w:right="0" w:firstLine="200"/>
              <w:jc w:val="right"/>
              <w:rPr/>
            </w:pPr>
            <w:r>
              <w:rPr/>
              <w:t> </w:t>
            </w:r>
          </w:p>
        </w:tc>
      </w:tr>
      <w:tr>
        <w:trPr/>
        <w:tc>
          <w:tcPr>
            <w:tcW w:w="703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9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276,237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93"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381,393</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703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15,497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13,194</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703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Accounts receivable,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10,877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1,637</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703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Inventory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1,208</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304,788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397,432</w:t>
            </w:r>
          </w:p>
        </w:tc>
        <w:tc>
          <w:tcPr>
            <w:tcW w:w="393" w:type="dxa"/>
            <w:tcBorders/>
            <w:shd w:fill="CFF0FC" w:val="clear"/>
            <w:vAlign w:val="center"/>
          </w:tcPr>
          <w:p>
            <w:pPr>
              <w:pStyle w:val="TableContents"/>
              <w:bidi w:val="0"/>
              <w:spacing w:before="0" w:after="283"/>
              <w:jc w:val="left"/>
              <w:rPr/>
            </w:pPr>
            <w:r>
              <w:rPr/>
              <w:t> </w:t>
            </w:r>
          </w:p>
        </w:tc>
      </w:tr>
      <w:tr>
        <w:trPr/>
        <w:tc>
          <w:tcPr>
            <w:tcW w:w="703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Property and equipment,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2,146</w:t>
            </w:r>
          </w:p>
        </w:tc>
        <w:tc>
          <w:tcPr>
            <w:tcW w:w="393" w:type="dxa"/>
            <w:tcBorders/>
            <w:shd w:fill="FFFFFF" w:val="clear"/>
            <w:vAlign w:val="center"/>
          </w:tcPr>
          <w:p>
            <w:pPr>
              <w:pStyle w:val="TableContents"/>
              <w:bidi w:val="0"/>
              <w:spacing w:before="0" w:after="283"/>
              <w:jc w:val="left"/>
              <w:rPr/>
            </w:pPr>
            <w:r>
              <w:rPr/>
              <w:t> </w:t>
            </w:r>
          </w:p>
        </w:tc>
      </w:tr>
      <w:tr>
        <w:trPr/>
        <w:tc>
          <w:tcPr>
            <w:tcW w:w="703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Operating lease right-of-use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1,475</w:t>
            </w:r>
          </w:p>
        </w:tc>
        <w:tc>
          <w:tcPr>
            <w:tcW w:w="393" w:type="dxa"/>
            <w:tcBorders/>
            <w:shd w:fill="CFF0FC" w:val="clear"/>
            <w:vAlign w:val="center"/>
          </w:tcPr>
          <w:p>
            <w:pPr>
              <w:pStyle w:val="TableContents"/>
              <w:bidi w:val="0"/>
              <w:spacing w:before="0" w:after="283"/>
              <w:jc w:val="left"/>
              <w:rPr/>
            </w:pPr>
            <w:r>
              <w:rPr/>
              <w:t> </w:t>
            </w:r>
          </w:p>
        </w:tc>
      </w:tr>
      <w:tr>
        <w:trPr/>
        <w:tc>
          <w:tcPr>
            <w:tcW w:w="703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Restricted cash</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2,863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2,863</w:t>
            </w:r>
          </w:p>
        </w:tc>
        <w:tc>
          <w:tcPr>
            <w:tcW w:w="393" w:type="dxa"/>
            <w:tcBorders/>
            <w:shd w:fill="FFFFFF" w:val="clear"/>
            <w:vAlign w:val="center"/>
          </w:tcPr>
          <w:p>
            <w:pPr>
              <w:pStyle w:val="TableContents"/>
              <w:bidi w:val="0"/>
              <w:spacing w:before="0" w:after="283"/>
              <w:jc w:val="left"/>
              <w:rPr/>
            </w:pPr>
            <w:r>
              <w:rPr/>
              <w:t> </w:t>
            </w:r>
          </w:p>
        </w:tc>
      </w:tr>
      <w:tr>
        <w:trPr/>
        <w:tc>
          <w:tcPr>
            <w:tcW w:w="703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Inventory, noncurrent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7,170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8,234</w:t>
            </w:r>
          </w:p>
        </w:tc>
        <w:tc>
          <w:tcPr>
            <w:tcW w:w="393" w:type="dxa"/>
            <w:tcBorders/>
            <w:shd w:fill="CFF0FC" w:val="clear"/>
            <w:vAlign w:val="center"/>
          </w:tcPr>
          <w:p>
            <w:pPr>
              <w:pStyle w:val="TableContents"/>
              <w:bidi w:val="0"/>
              <w:spacing w:before="0" w:after="283"/>
              <w:jc w:val="left"/>
              <w:rPr/>
            </w:pPr>
            <w:r>
              <w:rPr/>
              <w:t> </w:t>
            </w:r>
          </w:p>
        </w:tc>
      </w:tr>
      <w:tr>
        <w:trPr/>
        <w:tc>
          <w:tcPr>
            <w:tcW w:w="703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 long-term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1,692</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319,376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413,842</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36" w:type="dxa"/>
            <w:tcBorders/>
            <w:shd w:fill="FFFFFF"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Liabilities and Stockholders’ Deficit</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16" w:type="dxa"/>
            <w:gridSpan w:val="2"/>
            <w:tcBorders/>
            <w:shd w:fill="FFFFFF" w:val="clear"/>
            <w:vAlign w:val="center"/>
          </w:tcPr>
          <w:p>
            <w:pPr>
              <w:pStyle w:val="TableContents"/>
              <w:bidi w:val="0"/>
              <w:spacing w:before="0" w:after="283"/>
              <w:jc w:val="right"/>
              <w:rPr/>
            </w:pPr>
            <w:r>
              <w:rPr/>
              <w:t> </w:t>
            </w:r>
          </w:p>
        </w:tc>
        <w:tc>
          <w:tcPr>
            <w:tcW w:w="393" w:type="dxa"/>
            <w:tcBorders/>
            <w:shd w:fill="FFFFFF" w:val="clear"/>
            <w:vAlign w:val="center"/>
          </w:tcPr>
          <w:p>
            <w:pPr>
              <w:pStyle w:val="TableContents"/>
              <w:bidi w:val="0"/>
              <w:spacing w:before="0" w:after="283"/>
              <w:jc w:val="right"/>
              <w:rPr/>
            </w:pPr>
            <w:r>
              <w:rPr/>
              <w:t> </w:t>
            </w:r>
          </w:p>
        </w:tc>
      </w:tr>
      <w:tr>
        <w:trPr/>
        <w:tc>
          <w:tcPr>
            <w:tcW w:w="703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16" w:type="dxa"/>
            <w:gridSpan w:val="2"/>
            <w:tcBorders/>
            <w:shd w:fill="CFF0FC" w:val="clear"/>
            <w:vAlign w:val="center"/>
          </w:tcPr>
          <w:p>
            <w:pPr>
              <w:pStyle w:val="TableContents"/>
              <w:bidi w:val="0"/>
              <w:spacing w:before="0" w:after="283"/>
              <w:jc w:val="right"/>
              <w:rPr/>
            </w:pPr>
            <w:r>
              <w:rPr/>
              <w:t> </w:t>
            </w:r>
          </w:p>
        </w:tc>
        <w:tc>
          <w:tcPr>
            <w:tcW w:w="393" w:type="dxa"/>
            <w:tcBorders/>
            <w:shd w:fill="CFF0FC" w:val="clear"/>
            <w:vAlign w:val="center"/>
          </w:tcPr>
          <w:p>
            <w:pPr>
              <w:pStyle w:val="TableContents"/>
              <w:bidi w:val="0"/>
              <w:spacing w:before="0" w:after="283"/>
              <w:ind w:left="0" w:right="0" w:firstLine="200"/>
              <w:jc w:val="right"/>
              <w:rPr/>
            </w:pPr>
            <w:r>
              <w:rPr/>
              <w:t> </w:t>
            </w:r>
          </w:p>
        </w:tc>
      </w:tr>
      <w:tr>
        <w:trPr/>
        <w:tc>
          <w:tcPr>
            <w:tcW w:w="703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9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7,656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93"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12,601</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703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Accrued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27,298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17,197</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703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Accrued interest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1,146</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703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Operating lease liabilities, current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726</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703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Current portion of revenue interest financing liability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9,910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7,111</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current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47,009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38,781</w:t>
            </w:r>
          </w:p>
        </w:tc>
        <w:tc>
          <w:tcPr>
            <w:tcW w:w="393" w:type="dxa"/>
            <w:tcBorders/>
            <w:shd w:fill="CFF0FC" w:val="clear"/>
            <w:vAlign w:val="center"/>
          </w:tcPr>
          <w:p>
            <w:pPr>
              <w:pStyle w:val="TableContents"/>
              <w:bidi w:val="0"/>
              <w:spacing w:before="0" w:after="283"/>
              <w:jc w:val="left"/>
              <w:rPr/>
            </w:pPr>
            <w:r>
              <w:rPr/>
              <w:t> </w:t>
            </w:r>
          </w:p>
        </w:tc>
      </w:tr>
      <w:tr>
        <w:trPr/>
        <w:tc>
          <w:tcPr>
            <w:tcW w:w="703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Long-term debt, net of discount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174,423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137,842</w:t>
            </w:r>
          </w:p>
        </w:tc>
        <w:tc>
          <w:tcPr>
            <w:tcW w:w="393" w:type="dxa"/>
            <w:tcBorders/>
            <w:shd w:fill="FFFFFF" w:val="clear"/>
            <w:vAlign w:val="center"/>
          </w:tcPr>
          <w:p>
            <w:pPr>
              <w:pStyle w:val="TableContents"/>
              <w:bidi w:val="0"/>
              <w:spacing w:before="0" w:after="283"/>
              <w:jc w:val="left"/>
              <w:rPr/>
            </w:pPr>
            <w:r>
              <w:rPr/>
              <w:t> </w:t>
            </w:r>
          </w:p>
        </w:tc>
      </w:tr>
      <w:tr>
        <w:trPr/>
        <w:tc>
          <w:tcPr>
            <w:tcW w:w="703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Revenue interest financing liability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321,190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299,816</w:t>
            </w:r>
          </w:p>
        </w:tc>
        <w:tc>
          <w:tcPr>
            <w:tcW w:w="393" w:type="dxa"/>
            <w:tcBorders/>
            <w:shd w:fill="CFF0FC" w:val="clear"/>
            <w:vAlign w:val="center"/>
          </w:tcPr>
          <w:p>
            <w:pPr>
              <w:pStyle w:val="TableContents"/>
              <w:bidi w:val="0"/>
              <w:spacing w:before="0" w:after="283"/>
              <w:jc w:val="left"/>
              <w:rPr/>
            </w:pPr>
            <w:r>
              <w:rPr/>
              <w:t> </w:t>
            </w:r>
          </w:p>
        </w:tc>
      </w:tr>
      <w:tr>
        <w:trPr/>
        <w:tc>
          <w:tcPr>
            <w:tcW w:w="703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Operating lease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462</w:t>
            </w:r>
          </w:p>
        </w:tc>
        <w:tc>
          <w:tcPr>
            <w:tcW w:w="393" w:type="dxa"/>
            <w:tcBorders/>
            <w:shd w:fill="FFFFFF" w:val="clear"/>
            <w:vAlign w:val="center"/>
          </w:tcPr>
          <w:p>
            <w:pPr>
              <w:pStyle w:val="TableContents"/>
              <w:bidi w:val="0"/>
              <w:spacing w:before="0" w:after="283"/>
              <w:jc w:val="left"/>
              <w:rPr/>
            </w:pPr>
            <w:r>
              <w:rPr/>
              <w:t> </w:t>
            </w:r>
          </w:p>
        </w:tc>
      </w:tr>
      <w:tr>
        <w:trPr/>
        <w:tc>
          <w:tcPr>
            <w:tcW w:w="703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 long-term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10,450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9,700</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3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553,205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486,601</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6" w:type="dxa"/>
            <w:tcBorders/>
            <w:shd w:fill="CFF0FC" w:val="clear"/>
            <w:vAlign w:val="center"/>
          </w:tcPr>
          <w:p>
            <w:pPr>
              <w:pStyle w:val="TableContents"/>
              <w:bidi w:val="0"/>
              <w:spacing w:before="0" w:after="283"/>
              <w:jc w:val="left"/>
              <w:rPr>
                <w:rFonts w:ascii="Times New Roman" w:hAnsi="Times New Roman"/>
                <w:sz w:val="20"/>
              </w:rPr>
            </w:pPr>
            <w:r>
              <w:rPr>
                <w:rFonts w:ascii="Calibri;sans-serif" w:hAnsi="Calibri;sans-serif"/>
                <w:color w:val="000000"/>
                <w:sz w:val="20"/>
              </w:rPr>
              <w:t>Commitments and contingencies</w:t>
            </w:r>
            <w:r>
              <w:rPr>
                <w:rFonts w:ascii="Times New Roman" w:hAnsi="Times New Roman"/>
                <w:color w:val="000000"/>
                <w:sz w:val="20"/>
              </w:rPr>
              <w:t> </w:t>
            </w:r>
            <w:r>
              <w:rPr>
                <w:rFonts w:ascii="Calibri;sans-serif" w:hAnsi="Calibri;sans-serif"/>
                <w:color w:val="000000"/>
                <w:sz w:val="20"/>
              </w:rPr>
              <w:t>(Note 4)</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16" w:type="dxa"/>
            <w:gridSpan w:val="2"/>
            <w:tcBorders/>
            <w:shd w:fill="CFF0FC" w:val="clear"/>
            <w:vAlign w:val="center"/>
          </w:tcPr>
          <w:p>
            <w:pPr>
              <w:pStyle w:val="TableContents"/>
              <w:bidi w:val="0"/>
              <w:spacing w:before="0" w:after="283"/>
              <w:jc w:val="right"/>
              <w:rPr/>
            </w:pPr>
            <w:r>
              <w:rPr/>
              <w:t> </w:t>
            </w:r>
          </w:p>
        </w:tc>
        <w:tc>
          <w:tcPr>
            <w:tcW w:w="393" w:type="dxa"/>
            <w:tcBorders/>
            <w:shd w:fill="CFF0FC" w:val="clear"/>
            <w:vAlign w:val="center"/>
          </w:tcPr>
          <w:p>
            <w:pPr>
              <w:pStyle w:val="TableContents"/>
              <w:bidi w:val="0"/>
              <w:spacing w:before="0" w:after="283"/>
              <w:jc w:val="right"/>
              <w:rPr/>
            </w:pPr>
            <w:r>
              <w:rPr/>
              <w:t> </w:t>
            </w:r>
          </w:p>
        </w:tc>
      </w:tr>
      <w:tr>
        <w:trPr/>
        <w:tc>
          <w:tcPr>
            <w:tcW w:w="703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Stockholders’ deficit:</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16" w:type="dxa"/>
            <w:gridSpan w:val="2"/>
            <w:tcBorders/>
            <w:shd w:fill="FFFFFF" w:val="clear"/>
            <w:vAlign w:val="center"/>
          </w:tcPr>
          <w:p>
            <w:pPr>
              <w:pStyle w:val="TableContents"/>
              <w:bidi w:val="0"/>
              <w:spacing w:before="0" w:after="283"/>
              <w:jc w:val="right"/>
              <w:rPr/>
            </w:pPr>
            <w:r>
              <w:rPr/>
              <w:t> </w:t>
            </w:r>
          </w:p>
        </w:tc>
        <w:tc>
          <w:tcPr>
            <w:tcW w:w="393" w:type="dxa"/>
            <w:tcBorders/>
            <w:shd w:fill="FFFFFF" w:val="clear"/>
            <w:vAlign w:val="center"/>
          </w:tcPr>
          <w:p>
            <w:pPr>
              <w:pStyle w:val="TableContents"/>
              <w:bidi w:val="0"/>
              <w:spacing w:before="0" w:after="283"/>
              <w:ind w:left="0" w:right="0" w:firstLine="200"/>
              <w:jc w:val="right"/>
              <w:rPr/>
            </w:pPr>
            <w:r>
              <w:rPr/>
              <w:t> </w:t>
            </w:r>
          </w:p>
        </w:tc>
      </w:tr>
      <w:tr>
        <w:trPr/>
        <w:tc>
          <w:tcPr>
            <w:tcW w:w="7036"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Calibri;sans-serif" w:hAnsi="Calibri;sans-serif"/>
                <w:color w:val="000000"/>
                <w:sz w:val="20"/>
              </w:rPr>
              <w:t>Preferred stock, $0.0001</w:t>
            </w:r>
            <w:r>
              <w:rPr>
                <w:rFonts w:ascii="Times New Roman" w:hAnsi="Times New Roman"/>
                <w:color w:val="000000"/>
                <w:sz w:val="20"/>
              </w:rPr>
              <w:t> </w:t>
            </w:r>
            <w:r>
              <w:rPr>
                <w:rFonts w:ascii="Calibri;sans-serif" w:hAnsi="Calibri;sans-serif"/>
                <w:color w:val="000000"/>
                <w:sz w:val="20"/>
              </w:rPr>
              <w:t>par value; authorized shares — 40,000,000</w:t>
            </w:r>
            <w:r>
              <w:rPr>
                <w:rFonts w:ascii="Times New Roman" w:hAnsi="Times New Roman"/>
                <w:color w:val="000000"/>
                <w:sz w:val="20"/>
              </w:rPr>
              <w:t> </w:t>
            </w:r>
            <w:r>
              <w:rPr>
                <w:rFonts w:ascii="Calibri;sans-serif" w:hAnsi="Calibri;sans-serif"/>
                <w:color w:val="000000"/>
                <w:sz w:val="20"/>
              </w:rPr>
              <w:t>at June 30, 2024 and December 31, 2023; no</w:t>
            </w:r>
            <w:r>
              <w:rPr>
                <w:rFonts w:ascii="Times New Roman" w:hAnsi="Times New Roman"/>
                <w:color w:val="000000"/>
                <w:sz w:val="20"/>
              </w:rPr>
              <w:t> </w:t>
            </w:r>
            <w:r>
              <w:rPr>
                <w:rFonts w:ascii="Calibri;sans-serif" w:hAnsi="Calibri;sans-serif"/>
                <w:color w:val="000000"/>
                <w:sz w:val="20"/>
              </w:rPr>
              <w:t>shares issued and outstanding at June 30, 2024 and December 31, 2023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7036"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Calibri;sans-serif" w:hAnsi="Calibri;sans-serif"/>
                <w:color w:val="000000"/>
                <w:sz w:val="20"/>
              </w:rPr>
              <w:t>Common stock, $0.0001</w:t>
            </w:r>
            <w:r>
              <w:rPr>
                <w:rFonts w:ascii="Times New Roman" w:hAnsi="Times New Roman"/>
                <w:color w:val="000000"/>
                <w:sz w:val="20"/>
              </w:rPr>
              <w:t> </w:t>
            </w:r>
            <w:r>
              <w:rPr>
                <w:rFonts w:ascii="Calibri;sans-serif" w:hAnsi="Calibri;sans-serif"/>
                <w:color w:val="000000"/>
                <w:sz w:val="20"/>
              </w:rPr>
              <w:t>par value; authorized shares — 400,000,000</w:t>
            </w:r>
            <w:r>
              <w:rPr>
                <w:rFonts w:ascii="Times New Roman" w:hAnsi="Times New Roman"/>
                <w:color w:val="000000"/>
                <w:sz w:val="20"/>
              </w:rPr>
              <w:t> </w:t>
            </w:r>
            <w:r>
              <w:rPr>
                <w:rFonts w:ascii="Calibri;sans-serif" w:hAnsi="Calibri;sans-serif"/>
                <w:color w:val="000000"/>
                <w:sz w:val="20"/>
              </w:rPr>
              <w:t>at June 30, 2024 and December 31, 2023; issued and outstanding shares — 58,601,025</w:t>
            </w:r>
            <w:r>
              <w:rPr>
                <w:rFonts w:ascii="Times New Roman" w:hAnsi="Times New Roman"/>
                <w:color w:val="000000"/>
                <w:sz w:val="20"/>
              </w:rPr>
              <w:t> </w:t>
            </w:r>
            <w:r>
              <w:rPr>
                <w:rFonts w:ascii="Calibri;sans-serif" w:hAnsi="Calibri;sans-serif"/>
                <w:color w:val="000000"/>
                <w:sz w:val="20"/>
              </w:rPr>
              <w:t>and 57,970,044</w:t>
            </w:r>
            <w:r>
              <w:rPr>
                <w:rFonts w:ascii="Times New Roman" w:hAnsi="Times New Roman"/>
                <w:color w:val="000000"/>
                <w:sz w:val="20"/>
              </w:rPr>
              <w:t> </w:t>
            </w:r>
            <w:r>
              <w:rPr>
                <w:rFonts w:ascii="Calibri;sans-serif" w:hAnsi="Calibri;sans-serif"/>
                <w:color w:val="000000"/>
                <w:sz w:val="20"/>
              </w:rPr>
              <w:t>at June 30, 2024 and December 31, 2023, respectively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7036"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Calibri;sans-serif" w:hAnsi="Calibri;sans-serif"/>
                <w:color w:val="000000"/>
                <w:sz w:val="20"/>
              </w:rPr>
              <w:t>Treasury stock — 19</w:t>
            </w:r>
            <w:r>
              <w:rPr>
                <w:rFonts w:ascii="Times New Roman" w:hAnsi="Times New Roman"/>
                <w:color w:val="000000"/>
                <w:sz w:val="20"/>
              </w:rPr>
              <w:t> </w:t>
            </w:r>
            <w:r>
              <w:rPr>
                <w:rFonts w:ascii="Calibri;sans-serif" w:hAnsi="Calibri;sans-serif"/>
                <w:color w:val="000000"/>
                <w:sz w:val="20"/>
              </w:rPr>
              <w:t>shares at June 30, 2024 and December 31, 2023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703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Additional paid-in capital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869,149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855,921</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703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Accumulated deficit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(1,102,983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(928,685</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703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stockholders’ deficit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(233,829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(72,759</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703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liabilities and stockholders’ deficit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319,376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413,842</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Calibri;sans-serif" w:hAnsi="Calibri;sans-serif"/>
          <w:i/>
          <w:color w:val="000000"/>
          <w:sz w:val="20"/>
        </w:rPr>
      </w:pPr>
      <w:r>
        <w:rPr>
          <w:rFonts w:ascii="Calibri;sans-serif" w:hAnsi="Calibri;sans-serif"/>
          <w:i/>
          <w:color w:val="000000"/>
          <w:sz w:val="20"/>
        </w:rPr>
        <w:t>See accompanying 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Calibri;sans-serif" w:hAnsi="Calibri;sans-serif"/>
          <w:b/>
          <w:color w:val="000000"/>
          <w:sz w:val="20"/>
        </w:rPr>
        <w:t>PHATHOM PHARMACEUTICALS,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ndensed_combined_statements_operations"/>
      <w:bookmarkEnd w:id="5"/>
      <w:r>
        <w:rPr>
          <w:rFonts w:ascii="Calibri;sans-serif" w:hAnsi="Calibri;sans-serif"/>
          <w:b/>
          <w:color w:val="000000"/>
          <w:sz w:val="20"/>
        </w:rPr>
        <w:t>Statements of Operations and Comprehensive Loss</w:t>
      </w:r>
      <w:r>
        <w:rPr>
          <w:rFonts w:ascii="Times New Roman" w:hAnsi="Times New Roman"/>
          <w:color w:val="000000"/>
          <w:sz w:val="20"/>
        </w:rPr>
        <w:t xml:space="preserve"> </w:t>
      </w:r>
    </w:p>
    <w:p>
      <w:pPr>
        <w:pStyle w:val="TextBody"/>
        <w:bidi w:val="0"/>
        <w:jc w:val="center"/>
        <w:rPr>
          <w:rFonts w:ascii="Calibri;sans-serif" w:hAnsi="Calibri;sans-serif"/>
          <w:b/>
          <w:color w:val="000000"/>
          <w:sz w:val="20"/>
        </w:rPr>
      </w:pPr>
      <w:r>
        <w:rPr>
          <w:rFonts w:ascii="Calibri;sans-serif" w:hAnsi="Calibri;sans-serif"/>
          <w:b/>
          <w:color w:val="000000"/>
          <w:sz w:val="20"/>
        </w:rPr>
        <w:t>(Unaudited)</w:t>
      </w:r>
    </w:p>
    <w:p>
      <w:pPr>
        <w:pStyle w:val="TextBody"/>
        <w:bidi w:val="0"/>
        <w:jc w:val="center"/>
        <w:rPr>
          <w:rFonts w:ascii="Calibri;sans-serif" w:hAnsi="Calibri;sans-serif"/>
          <w:b/>
          <w:color w:val="000000"/>
          <w:sz w:val="20"/>
        </w:rPr>
      </w:pPr>
      <w:r>
        <w:rPr>
          <w:rFonts w:ascii="Calibri;sans-serif" w:hAnsi="Calibri;sans-serif"/>
          <w:b/>
          <w:color w:val="000000"/>
          <w:sz w:val="20"/>
        </w:rPr>
        <w:t>(in thousands, except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24"/>
        <w:gridCol w:w="146"/>
        <w:gridCol w:w="211"/>
        <w:gridCol w:w="1036"/>
        <w:gridCol w:w="166"/>
        <w:gridCol w:w="146"/>
        <w:gridCol w:w="211"/>
        <w:gridCol w:w="1036"/>
        <w:gridCol w:w="166"/>
        <w:gridCol w:w="146"/>
        <w:gridCol w:w="211"/>
        <w:gridCol w:w="1036"/>
        <w:gridCol w:w="166"/>
        <w:gridCol w:w="146"/>
        <w:gridCol w:w="211"/>
        <w:gridCol w:w="1036"/>
        <w:gridCol w:w="311"/>
      </w:tblGrid>
      <w:tr>
        <w:trPr/>
        <w:tc>
          <w:tcPr>
            <w:tcW w:w="38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8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6" w:type="dxa"/>
            <w:gridSpan w:val="6"/>
            <w:tcBorders/>
            <w:shd w:fill="FFFFFF" w:val="cle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Six Months Ended</w:t>
              <w:br/>
              <w:t>June 30,</w:t>
            </w:r>
          </w:p>
        </w:tc>
        <w:tc>
          <w:tcPr>
            <w:tcW w:w="311" w:type="dxa"/>
            <w:tcBorders/>
            <w:shd w:fill="FFFFFF" w:val="clear"/>
            <w:vAlign w:val="center"/>
          </w:tcPr>
          <w:p>
            <w:pPr>
              <w:pStyle w:val="TableContents"/>
              <w:bidi w:val="0"/>
              <w:spacing w:before="0" w:after="283"/>
              <w:jc w:val="center"/>
              <w:rPr/>
            </w:pPr>
            <w:r>
              <w:rPr/>
              <w:t> </w:t>
            </w:r>
          </w:p>
        </w:tc>
      </w:tr>
      <w:tr>
        <w:trPr/>
        <w:tc>
          <w:tcPr>
            <w:tcW w:w="38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2024</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24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2023</w:t>
            </w:r>
          </w:p>
        </w:tc>
        <w:tc>
          <w:tcPr>
            <w:tcW w:w="3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82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Product revenue,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0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7,324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0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9,236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311" w:type="dxa"/>
            <w:tcBorders/>
            <w:shd w:fill="CFF0FC" w:val="clear"/>
            <w:vAlign w:val="center"/>
          </w:tcPr>
          <w:p>
            <w:pPr>
              <w:pStyle w:val="TableContents"/>
              <w:bidi w:val="0"/>
              <w:spacing w:before="0" w:after="283"/>
              <w:jc w:val="left"/>
              <w:rPr/>
            </w:pPr>
            <w:r>
              <w:rPr/>
              <w:t> </w:t>
            </w:r>
          </w:p>
        </w:tc>
      </w:tr>
      <w:tr>
        <w:trPr/>
        <w:tc>
          <w:tcPr>
            <w:tcW w:w="382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Cost of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2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5,948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7,434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311" w:type="dxa"/>
            <w:tcBorders/>
            <w:shd w:fill="CFF0FC" w:val="clear"/>
            <w:vAlign w:val="center"/>
          </w:tcPr>
          <w:p>
            <w:pPr>
              <w:pStyle w:val="TableContents"/>
              <w:bidi w:val="0"/>
              <w:spacing w:before="0" w:after="283"/>
              <w:jc w:val="left"/>
              <w:rPr/>
            </w:pPr>
            <w:r>
              <w:rPr/>
              <w:t> </w:t>
            </w:r>
          </w:p>
        </w:tc>
      </w:tr>
      <w:tr>
        <w:trPr/>
        <w:tc>
          <w:tcPr>
            <w:tcW w:w="382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311" w:type="dxa"/>
            <w:tcBorders/>
            <w:shd w:fill="FFFFFF" w:val="clear"/>
            <w:vAlign w:val="center"/>
          </w:tcPr>
          <w:p>
            <w:pPr>
              <w:pStyle w:val="TableContents"/>
              <w:bidi w:val="0"/>
              <w:spacing w:before="0" w:after="283"/>
              <w:ind w:left="0" w:right="0" w:firstLine="100"/>
              <w:jc w:val="right"/>
              <w:rPr/>
            </w:pPr>
            <w:r>
              <w:rPr/>
              <w:t> </w:t>
            </w:r>
          </w:p>
        </w:tc>
      </w:tr>
      <w:tr>
        <w:trPr/>
        <w:tc>
          <w:tcPr>
            <w:tcW w:w="3824"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7,376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12,764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16,806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24,242</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3824"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Selling, 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75,872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18,937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137,882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37,536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2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83,248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31,701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154,688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61,778</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2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(77,300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(31,701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(147,254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(61,778</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82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 (expense) income:</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311" w:type="dxa"/>
            <w:tcBorders/>
            <w:shd w:fill="CFF0FC" w:val="clear"/>
            <w:vAlign w:val="center"/>
          </w:tcPr>
          <w:p>
            <w:pPr>
              <w:pStyle w:val="TableContents"/>
              <w:bidi w:val="0"/>
              <w:spacing w:before="0" w:after="283"/>
              <w:ind w:left="0" w:right="0" w:firstLine="100"/>
              <w:jc w:val="right"/>
              <w:rPr/>
            </w:pPr>
            <w:r>
              <w:rPr/>
              <w:t> </w:t>
            </w:r>
          </w:p>
        </w:tc>
      </w:tr>
      <w:tr>
        <w:trPr/>
        <w:tc>
          <w:tcPr>
            <w:tcW w:w="3824"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3,624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7,937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1,808</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3824"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(17,764</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(9,615</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(34,932</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(18,832</w:t>
            </w:r>
          </w:p>
        </w:tc>
        <w:tc>
          <w:tcPr>
            <w:tcW w:w="311" w:type="dxa"/>
            <w:tcBorders/>
            <w:shd w:fill="CFF0FC" w:val="clear"/>
            <w:vAlign w:val="center"/>
          </w:tcPr>
          <w:p>
            <w:pPr>
              <w:pStyle w:val="TableContents"/>
              <w:bidi w:val="0"/>
              <w:spacing w:before="0" w:after="283"/>
              <w:ind w:left="0" w:right="0" w:firstLine="100"/>
              <w:jc w:val="left"/>
              <w:rPr>
                <w:rFonts w:ascii="Calibri;sans-serif" w:hAnsi="Calibri;sans-serif"/>
                <w:color w:val="000000"/>
                <w:sz w:val="20"/>
              </w:rPr>
            </w:pPr>
            <w:r>
              <w:rPr>
                <w:rFonts w:ascii="Calibri;sans-serif" w:hAnsi="Calibri;sans-serif"/>
                <w:color w:val="000000"/>
                <w:sz w:val="20"/>
              </w:rPr>
              <w:t>)</w:t>
            </w:r>
          </w:p>
        </w:tc>
      </w:tr>
      <w:tr>
        <w:trPr/>
        <w:tc>
          <w:tcPr>
            <w:tcW w:w="3824"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Other (expense) income,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2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other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(14,146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(9,264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(27,044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(17,001</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82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loss and comprehensive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(91,446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(40,965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(174,298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(78,779</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82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loss per share,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(1.73</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82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Weighted-average shares of common stock outstanding,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58,558,145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48,500,516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58,464,813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45,444,496</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Calibri;sans-serif" w:hAnsi="Calibri;sans-serif"/>
          <w:i/>
          <w:color w:val="000000"/>
          <w:sz w:val="20"/>
        </w:rPr>
      </w:pPr>
      <w:r>
        <w:rPr>
          <w:rFonts w:ascii="Calibri;sans-serif" w:hAnsi="Calibri;sans-serif"/>
          <w:i/>
          <w:color w:val="000000"/>
          <w:sz w:val="20"/>
        </w:rPr>
        <w:t>See accompanying 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Calibri;sans-serif" w:hAnsi="Calibri;sans-serif"/>
          <w:b/>
          <w:color w:val="000000"/>
          <w:sz w:val="20"/>
        </w:rPr>
        <w:t>PHATHOM PHARMACEUTICALS, INC.</w:t>
      </w:r>
      <w:r>
        <w:rPr>
          <w:rFonts w:ascii="Times New Roman" w:hAnsi="Times New Roman"/>
          <w:color w:val="000000"/>
          <w:sz w:val="20"/>
        </w:rPr>
        <w:t xml:space="preserve"> </w:t>
      </w:r>
    </w:p>
    <w:p>
      <w:pPr>
        <w:pStyle w:val="TextBody"/>
        <w:bidi w:val="0"/>
        <w:jc w:val="center"/>
        <w:rPr>
          <w:rFonts w:ascii="Calibri;sans-serif" w:hAnsi="Calibri;sans-serif"/>
          <w:b/>
          <w:color w:val="000000"/>
          <w:sz w:val="20"/>
        </w:rPr>
      </w:pPr>
      <w:bookmarkStart w:id="6" w:name="condensed_combined_statement_stockholder"/>
      <w:bookmarkEnd w:id="6"/>
      <w:r>
        <w:rPr>
          <w:rFonts w:ascii="Calibri;sans-serif" w:hAnsi="Calibri;sans-serif"/>
          <w:b/>
          <w:color w:val="000000"/>
          <w:sz w:val="20"/>
        </w:rPr>
        <w:t>Statements of Stockholders’ Equity (Deficit)</w:t>
      </w:r>
    </w:p>
    <w:p>
      <w:pPr>
        <w:pStyle w:val="TextBody"/>
        <w:bidi w:val="0"/>
        <w:jc w:val="center"/>
        <w:rPr>
          <w:rFonts w:ascii="Calibri;sans-serif" w:hAnsi="Calibri;sans-serif"/>
          <w:b/>
          <w:color w:val="000000"/>
          <w:sz w:val="20"/>
        </w:rPr>
      </w:pPr>
      <w:r>
        <w:rPr>
          <w:rFonts w:ascii="Calibri;sans-serif" w:hAnsi="Calibri;sans-serif"/>
          <w:b/>
          <w:color w:val="000000"/>
          <w:sz w:val="20"/>
        </w:rPr>
        <w:t>(Unaudited)</w:t>
      </w:r>
    </w:p>
    <w:p>
      <w:pPr>
        <w:pStyle w:val="TextBody"/>
        <w:bidi w:val="0"/>
        <w:jc w:val="center"/>
        <w:rPr>
          <w:rFonts w:ascii="Times New Roman" w:hAnsi="Times New Roman"/>
          <w:sz w:val="20"/>
        </w:rPr>
      </w:pPr>
      <w:r>
        <w:rPr>
          <w:rFonts w:ascii="Calibri;sans-serif" w:hAnsi="Calibri;sans-serif"/>
          <w:b/>
          <w:color w:val="000000"/>
          <w:sz w:val="20"/>
        </w:rPr>
        <w:t>(in thousands, except share amounts)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31"/>
        <w:gridCol w:w="146"/>
        <w:gridCol w:w="146"/>
        <w:gridCol w:w="916"/>
        <w:gridCol w:w="146"/>
        <w:gridCol w:w="146"/>
        <w:gridCol w:w="282"/>
        <w:gridCol w:w="499"/>
        <w:gridCol w:w="146"/>
        <w:gridCol w:w="146"/>
        <w:gridCol w:w="287"/>
        <w:gridCol w:w="683"/>
        <w:gridCol w:w="146"/>
        <w:gridCol w:w="146"/>
        <w:gridCol w:w="209"/>
        <w:gridCol w:w="737"/>
        <w:gridCol w:w="146"/>
        <w:gridCol w:w="146"/>
        <w:gridCol w:w="212"/>
        <w:gridCol w:w="959"/>
        <w:gridCol w:w="166"/>
        <w:gridCol w:w="146"/>
        <w:gridCol w:w="249"/>
        <w:gridCol w:w="956"/>
        <w:gridCol w:w="213"/>
      </w:tblGrid>
      <w:tr>
        <w:trPr/>
        <w:tc>
          <w:tcPr>
            <w:tcW w:w="2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2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Treasury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shd w:fill="FFFFFF" w:val="cle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Additional</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shd w:fill="FFFFFF" w:val="cle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5" w:type="dxa"/>
            <w:gridSpan w:val="2"/>
            <w:tcBorders/>
            <w:shd w:fill="FFFFFF" w:val="cle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Total</w:t>
              <w:br/>
              <w:t>Stockholders’</w:t>
            </w:r>
          </w:p>
        </w:tc>
        <w:tc>
          <w:tcPr>
            <w:tcW w:w="213" w:type="dxa"/>
            <w:tcBorders/>
            <w:shd w:fill="FFFFFF" w:val="clear"/>
            <w:vAlign w:val="center"/>
          </w:tcPr>
          <w:p>
            <w:pPr>
              <w:pStyle w:val="TableContents"/>
              <w:bidi w:val="0"/>
              <w:spacing w:before="0" w:after="283"/>
              <w:jc w:val="center"/>
              <w:rPr/>
            </w:pPr>
            <w:r>
              <w:rPr/>
              <w:t> </w:t>
            </w:r>
          </w:p>
        </w:tc>
      </w:tr>
      <w:tr>
        <w:trPr/>
        <w:tc>
          <w:tcPr>
            <w:tcW w:w="22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Equity (Deficit)</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1"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Balance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57,970,044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499"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7"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737"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855,921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959"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(928,685</w:t>
            </w:r>
          </w:p>
        </w:tc>
        <w:tc>
          <w:tcPr>
            <w:tcW w:w="166"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956"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(72,759</w:t>
            </w:r>
          </w:p>
        </w:tc>
        <w:tc>
          <w:tcPr>
            <w:tcW w:w="213"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r>
      <w:tr>
        <w:trPr/>
        <w:tc>
          <w:tcPr>
            <w:tcW w:w="2231"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401(k) matching contribution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93,736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712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712</w:t>
            </w:r>
          </w:p>
        </w:tc>
        <w:tc>
          <w:tcPr>
            <w:tcW w:w="213" w:type="dxa"/>
            <w:tcBorders/>
            <w:shd w:fill="FFFFFF" w:val="clear"/>
            <w:vAlign w:val="center"/>
          </w:tcPr>
          <w:p>
            <w:pPr>
              <w:pStyle w:val="TableContents"/>
              <w:bidi w:val="0"/>
              <w:spacing w:before="0" w:after="283"/>
              <w:jc w:val="left"/>
              <w:rPr/>
            </w:pPr>
            <w:r>
              <w:rPr/>
              <w:t> </w:t>
            </w:r>
          </w:p>
        </w:tc>
      </w:tr>
      <w:tr>
        <w:trPr/>
        <w:tc>
          <w:tcPr>
            <w:tcW w:w="2231"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Vesting of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340,542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49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7"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95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956" w:type="dxa"/>
            <w:tcBorders/>
            <w:shd w:fill="CFF0FC" w:val="clear"/>
            <w:vAlign w:val="center"/>
          </w:tcPr>
          <w:p>
            <w:pPr>
              <w:pStyle w:val="TableContents"/>
              <w:bidi w:val="0"/>
              <w:spacing w:before="0" w:after="283"/>
              <w:jc w:val="right"/>
              <w:rPr>
                <w:color w:val="000000"/>
              </w:rPr>
            </w:pPr>
            <w:r>
              <w:rPr>
                <w:color w:val="000000"/>
              </w:rPr>
              <w:t>—</w:t>
            </w:r>
          </w:p>
        </w:tc>
        <w:tc>
          <w:tcPr>
            <w:tcW w:w="213" w:type="dxa"/>
            <w:tcBorders/>
            <w:shd w:fill="CFF0FC" w:val="clear"/>
            <w:vAlign w:val="center"/>
          </w:tcPr>
          <w:p>
            <w:pPr>
              <w:pStyle w:val="TableContents"/>
              <w:bidi w:val="0"/>
              <w:spacing w:before="0" w:after="283"/>
              <w:jc w:val="left"/>
              <w:rPr/>
            </w:pPr>
            <w:r>
              <w:rPr/>
              <w:t> </w:t>
            </w:r>
          </w:p>
        </w:tc>
      </w:tr>
      <w:tr>
        <w:trPr/>
        <w:tc>
          <w:tcPr>
            <w:tcW w:w="2231"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5,626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5,626</w:t>
            </w:r>
          </w:p>
        </w:tc>
        <w:tc>
          <w:tcPr>
            <w:tcW w:w="213" w:type="dxa"/>
            <w:tcBorders/>
            <w:shd w:fill="FFFFFF" w:val="clear"/>
            <w:vAlign w:val="center"/>
          </w:tcPr>
          <w:p>
            <w:pPr>
              <w:pStyle w:val="TableContents"/>
              <w:bidi w:val="0"/>
              <w:spacing w:before="0" w:after="283"/>
              <w:jc w:val="left"/>
              <w:rPr/>
            </w:pPr>
            <w:r>
              <w:rPr/>
              <w:t> </w:t>
            </w:r>
          </w:p>
        </w:tc>
      </w:tr>
      <w:tr>
        <w:trPr/>
        <w:tc>
          <w:tcPr>
            <w:tcW w:w="2231"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ESPP shares issued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119,779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49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7"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770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95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956"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770</w:t>
            </w:r>
          </w:p>
        </w:tc>
        <w:tc>
          <w:tcPr>
            <w:tcW w:w="213" w:type="dxa"/>
            <w:tcBorders/>
            <w:shd w:fill="CFF0FC" w:val="clear"/>
            <w:vAlign w:val="center"/>
          </w:tcPr>
          <w:p>
            <w:pPr>
              <w:pStyle w:val="TableContents"/>
              <w:bidi w:val="0"/>
              <w:spacing w:before="0" w:after="283"/>
              <w:jc w:val="left"/>
              <w:rPr/>
            </w:pPr>
            <w:r>
              <w:rPr/>
              <w:t> </w:t>
            </w:r>
          </w:p>
        </w:tc>
      </w:tr>
      <w:tr>
        <w:trPr/>
        <w:tc>
          <w:tcPr>
            <w:tcW w:w="2231"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(82,852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(82,852</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r>
      <w:tr>
        <w:trPr/>
        <w:tc>
          <w:tcPr>
            <w:tcW w:w="2231"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Balance at March 31,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58,524,101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4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7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863,029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9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(1,011,537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9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(148,503</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r>
      <w:tr>
        <w:trPr/>
        <w:tc>
          <w:tcPr>
            <w:tcW w:w="2231"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Vesting of 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74,492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color w:val="000000"/>
              </w:rPr>
            </w:pPr>
            <w:r>
              <w:rPr>
                <w:color w:val="000000"/>
              </w:rPr>
              <w:t>—</w:t>
            </w:r>
          </w:p>
        </w:tc>
        <w:tc>
          <w:tcPr>
            <w:tcW w:w="213" w:type="dxa"/>
            <w:tcBorders/>
            <w:shd w:fill="FFFFFF" w:val="clear"/>
            <w:vAlign w:val="center"/>
          </w:tcPr>
          <w:p>
            <w:pPr>
              <w:pStyle w:val="TableContents"/>
              <w:bidi w:val="0"/>
              <w:spacing w:before="0" w:after="283"/>
              <w:jc w:val="left"/>
              <w:rPr/>
            </w:pPr>
            <w:r>
              <w:rPr/>
              <w:t> </w:t>
            </w:r>
          </w:p>
        </w:tc>
      </w:tr>
      <w:tr>
        <w:trPr/>
        <w:tc>
          <w:tcPr>
            <w:tcW w:w="2231"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49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7"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6,099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95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956"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6,099</w:t>
            </w:r>
          </w:p>
        </w:tc>
        <w:tc>
          <w:tcPr>
            <w:tcW w:w="213" w:type="dxa"/>
            <w:tcBorders/>
            <w:shd w:fill="CFF0FC" w:val="clear"/>
            <w:vAlign w:val="center"/>
          </w:tcPr>
          <w:p>
            <w:pPr>
              <w:pStyle w:val="TableContents"/>
              <w:bidi w:val="0"/>
              <w:spacing w:before="0" w:after="283"/>
              <w:jc w:val="left"/>
              <w:rPr/>
            </w:pPr>
            <w:r>
              <w:rPr/>
              <w:t> </w:t>
            </w:r>
          </w:p>
        </w:tc>
      </w:tr>
      <w:tr>
        <w:trPr/>
        <w:tc>
          <w:tcPr>
            <w:tcW w:w="2231"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Issuance of common stock from exercises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2,432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21</w:t>
            </w:r>
          </w:p>
        </w:tc>
        <w:tc>
          <w:tcPr>
            <w:tcW w:w="213" w:type="dxa"/>
            <w:tcBorders/>
            <w:shd w:fill="FFFFFF" w:val="clear"/>
            <w:vAlign w:val="center"/>
          </w:tcPr>
          <w:p>
            <w:pPr>
              <w:pStyle w:val="TableContents"/>
              <w:bidi w:val="0"/>
              <w:spacing w:before="0" w:after="283"/>
              <w:jc w:val="left"/>
              <w:rPr/>
            </w:pPr>
            <w:r>
              <w:rPr/>
              <w:t> </w:t>
            </w:r>
          </w:p>
        </w:tc>
      </w:tr>
      <w:tr>
        <w:trPr/>
        <w:tc>
          <w:tcPr>
            <w:tcW w:w="2231"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(91,446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(91,446</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r>
      <w:tr>
        <w:trPr/>
        <w:tc>
          <w:tcPr>
            <w:tcW w:w="2231"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Balance at June 30,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58,601,025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4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7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869,149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9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(1,102,983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9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(233,829</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r>
    </w:tbl>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3551"/>
        <w:gridCol w:w="146"/>
        <w:gridCol w:w="146"/>
        <w:gridCol w:w="916"/>
        <w:gridCol w:w="146"/>
        <w:gridCol w:w="146"/>
        <w:gridCol w:w="196"/>
        <w:gridCol w:w="346"/>
        <w:gridCol w:w="146"/>
        <w:gridCol w:w="146"/>
        <w:gridCol w:w="146"/>
        <w:gridCol w:w="346"/>
        <w:gridCol w:w="146"/>
        <w:gridCol w:w="146"/>
        <w:gridCol w:w="196"/>
        <w:gridCol w:w="691"/>
        <w:gridCol w:w="146"/>
        <w:gridCol w:w="146"/>
        <w:gridCol w:w="196"/>
        <w:gridCol w:w="751"/>
        <w:gridCol w:w="166"/>
        <w:gridCol w:w="146"/>
        <w:gridCol w:w="196"/>
        <w:gridCol w:w="691"/>
        <w:gridCol w:w="211"/>
      </w:tblGrid>
      <w:tr>
        <w:trPr/>
        <w:tc>
          <w:tcPr>
            <w:tcW w:w="3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51"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Balance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41,468,871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346"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691"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652,276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751"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(727,093</w:t>
            </w:r>
          </w:p>
        </w:tc>
        <w:tc>
          <w:tcPr>
            <w:tcW w:w="166"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691"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(74,814</w:t>
            </w:r>
          </w:p>
        </w:tc>
        <w:tc>
          <w:tcPr>
            <w:tcW w:w="211"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r>
      <w:tr>
        <w:trPr/>
        <w:tc>
          <w:tcPr>
            <w:tcW w:w="3551"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401(k) matching contribution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52,130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456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456</w:t>
            </w:r>
          </w:p>
        </w:tc>
        <w:tc>
          <w:tcPr>
            <w:tcW w:w="211" w:type="dxa"/>
            <w:tcBorders/>
            <w:shd w:fill="FFFFFF" w:val="clear"/>
            <w:vAlign w:val="center"/>
          </w:tcPr>
          <w:p>
            <w:pPr>
              <w:pStyle w:val="TableContents"/>
              <w:bidi w:val="0"/>
              <w:spacing w:before="0" w:after="283"/>
              <w:jc w:val="left"/>
              <w:rPr/>
            </w:pPr>
            <w:r>
              <w:rPr/>
              <w:t> </w:t>
            </w:r>
          </w:p>
        </w:tc>
      </w:tr>
      <w:tr>
        <w:trPr/>
        <w:tc>
          <w:tcPr>
            <w:tcW w:w="3551"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Vesting of restricted shares and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414,119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3551"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7,048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7,048</w:t>
            </w:r>
          </w:p>
        </w:tc>
        <w:tc>
          <w:tcPr>
            <w:tcW w:w="211" w:type="dxa"/>
            <w:tcBorders/>
            <w:shd w:fill="FFFFFF" w:val="clear"/>
            <w:vAlign w:val="center"/>
          </w:tcPr>
          <w:p>
            <w:pPr>
              <w:pStyle w:val="TableContents"/>
              <w:bidi w:val="0"/>
              <w:spacing w:before="0" w:after="283"/>
              <w:jc w:val="left"/>
              <w:rPr/>
            </w:pPr>
            <w:r>
              <w:rPr/>
              <w:t> </w:t>
            </w:r>
          </w:p>
        </w:tc>
      </w:tr>
      <w:tr>
        <w:trPr/>
        <w:tc>
          <w:tcPr>
            <w:tcW w:w="3551"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ESPP shares issued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121,801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856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856</w:t>
            </w:r>
          </w:p>
        </w:tc>
        <w:tc>
          <w:tcPr>
            <w:tcW w:w="211" w:type="dxa"/>
            <w:tcBorders/>
            <w:shd w:fill="CFF0FC" w:val="clear"/>
            <w:vAlign w:val="center"/>
          </w:tcPr>
          <w:p>
            <w:pPr>
              <w:pStyle w:val="TableContents"/>
              <w:bidi w:val="0"/>
              <w:spacing w:before="0" w:after="283"/>
              <w:jc w:val="left"/>
              <w:rPr/>
            </w:pPr>
            <w:r>
              <w:rPr/>
              <w:t> </w:t>
            </w:r>
          </w:p>
        </w:tc>
      </w:tr>
      <w:tr>
        <w:trPr/>
        <w:tc>
          <w:tcPr>
            <w:tcW w:w="3551"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Issuance of common stock under ATM facility</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1,514,219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14,072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14,073</w:t>
            </w:r>
          </w:p>
        </w:tc>
        <w:tc>
          <w:tcPr>
            <w:tcW w:w="211" w:type="dxa"/>
            <w:tcBorders/>
            <w:shd w:fill="FFFFFF" w:val="clear"/>
            <w:vAlign w:val="center"/>
          </w:tcPr>
          <w:p>
            <w:pPr>
              <w:pStyle w:val="TableContents"/>
              <w:bidi w:val="0"/>
              <w:spacing w:before="0" w:after="283"/>
              <w:jc w:val="left"/>
              <w:rPr/>
            </w:pPr>
            <w:r>
              <w:rPr/>
              <w:t> </w:t>
            </w:r>
          </w:p>
        </w:tc>
      </w:tr>
      <w:tr>
        <w:trPr/>
        <w:tc>
          <w:tcPr>
            <w:tcW w:w="3551"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(37,814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(37,814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r>
      <w:tr>
        <w:trPr/>
        <w:tc>
          <w:tcPr>
            <w:tcW w:w="3551"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Balance at March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43,571,140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674,708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(764,907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(90,195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r>
      <w:tr>
        <w:trPr/>
        <w:tc>
          <w:tcPr>
            <w:tcW w:w="3551"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Vesting of restricted shares and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259,195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6</w:t>
            </w:r>
          </w:p>
        </w:tc>
        <w:tc>
          <w:tcPr>
            <w:tcW w:w="211" w:type="dxa"/>
            <w:tcBorders/>
            <w:shd w:fill="CFF0FC" w:val="clear"/>
            <w:vAlign w:val="center"/>
          </w:tcPr>
          <w:p>
            <w:pPr>
              <w:pStyle w:val="TableContents"/>
              <w:bidi w:val="0"/>
              <w:spacing w:before="0" w:after="283"/>
              <w:jc w:val="left"/>
              <w:rPr/>
            </w:pPr>
            <w:r>
              <w:rPr/>
              <w:t> </w:t>
            </w:r>
          </w:p>
        </w:tc>
      </w:tr>
      <w:tr>
        <w:trPr/>
        <w:tc>
          <w:tcPr>
            <w:tcW w:w="3551"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7,253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7,253</w:t>
            </w:r>
          </w:p>
        </w:tc>
        <w:tc>
          <w:tcPr>
            <w:tcW w:w="211" w:type="dxa"/>
            <w:tcBorders/>
            <w:shd w:fill="FFFFFF" w:val="clear"/>
            <w:vAlign w:val="center"/>
          </w:tcPr>
          <w:p>
            <w:pPr>
              <w:pStyle w:val="TableContents"/>
              <w:bidi w:val="0"/>
              <w:spacing w:before="0" w:after="283"/>
              <w:jc w:val="left"/>
              <w:rPr/>
            </w:pPr>
            <w:r>
              <w:rPr/>
              <w:t> </w:t>
            </w:r>
          </w:p>
        </w:tc>
      </w:tr>
      <w:tr>
        <w:trPr/>
        <w:tc>
          <w:tcPr>
            <w:tcW w:w="3551"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Issuance of common stock in connection with underwritten public offering, net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12,793,750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141,389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141,390</w:t>
            </w:r>
          </w:p>
        </w:tc>
        <w:tc>
          <w:tcPr>
            <w:tcW w:w="211" w:type="dxa"/>
            <w:tcBorders/>
            <w:shd w:fill="CFF0FC" w:val="clear"/>
            <w:vAlign w:val="center"/>
          </w:tcPr>
          <w:p>
            <w:pPr>
              <w:pStyle w:val="TableContents"/>
              <w:bidi w:val="0"/>
              <w:spacing w:before="0" w:after="283"/>
              <w:jc w:val="left"/>
              <w:rPr/>
            </w:pPr>
            <w:r>
              <w:rPr/>
              <w:t> </w:t>
            </w:r>
          </w:p>
        </w:tc>
      </w:tr>
      <w:tr>
        <w:trPr/>
        <w:tc>
          <w:tcPr>
            <w:tcW w:w="3551"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Issuance of common stock from exercises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111</w:t>
            </w:r>
          </w:p>
        </w:tc>
        <w:tc>
          <w:tcPr>
            <w:tcW w:w="211" w:type="dxa"/>
            <w:tcBorders/>
            <w:shd w:fill="FFFFFF" w:val="clear"/>
            <w:vAlign w:val="center"/>
          </w:tcPr>
          <w:p>
            <w:pPr>
              <w:pStyle w:val="TableContents"/>
              <w:bidi w:val="0"/>
              <w:spacing w:before="0" w:after="283"/>
              <w:jc w:val="left"/>
              <w:rPr/>
            </w:pPr>
            <w:r>
              <w:rPr/>
              <w:t> </w:t>
            </w:r>
          </w:p>
        </w:tc>
      </w:tr>
      <w:tr>
        <w:trPr/>
        <w:tc>
          <w:tcPr>
            <w:tcW w:w="3551"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(40,965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(40,965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r>
      <w:tr>
        <w:trPr/>
        <w:tc>
          <w:tcPr>
            <w:tcW w:w="3551"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Balance at June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56,639,085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823,467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(805,872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17,600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Calibri;sans-serif" w:hAnsi="Calibri;sans-serif"/>
          <w:i/>
          <w:color w:val="000000"/>
          <w:sz w:val="20"/>
        </w:rPr>
      </w:pPr>
      <w:r>
        <w:rPr>
          <w:rFonts w:ascii="Calibri;sans-serif" w:hAnsi="Calibri;sans-serif"/>
          <w:i/>
          <w:color w:val="000000"/>
          <w:sz w:val="20"/>
        </w:rPr>
        <w:t>See accompanying notes.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Calibri;sans-serif" w:hAnsi="Calibri;sans-serif"/>
          <w:b/>
          <w:color w:val="000000"/>
          <w:sz w:val="20"/>
        </w:rPr>
        <w:t>PHATHOM PHARMACEUTICALS,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 w:name="consolidated_statements_cash_flows"/>
      <w:bookmarkEnd w:id="7"/>
      <w:r>
        <w:rPr>
          <w:rFonts w:ascii="Calibri;sans-serif" w:hAnsi="Calibri;sans-serif"/>
          <w:b/>
          <w:color w:val="000000"/>
          <w:sz w:val="20"/>
        </w:rPr>
        <w:t>Statements of Cash Flows</w:t>
      </w:r>
      <w:r>
        <w:rPr>
          <w:rFonts w:ascii="Times New Roman" w:hAnsi="Times New Roman"/>
          <w:color w:val="000000"/>
          <w:sz w:val="20"/>
        </w:rPr>
        <w:t xml:space="preserve"> </w:t>
      </w:r>
    </w:p>
    <w:p>
      <w:pPr>
        <w:pStyle w:val="TextBody"/>
        <w:bidi w:val="0"/>
        <w:jc w:val="center"/>
        <w:rPr>
          <w:rFonts w:ascii="Calibri;sans-serif" w:hAnsi="Calibri;sans-serif"/>
          <w:b/>
          <w:color w:val="000000"/>
          <w:sz w:val="20"/>
        </w:rPr>
      </w:pPr>
      <w:r>
        <w:rPr>
          <w:rFonts w:ascii="Calibri;sans-serif" w:hAnsi="Calibri;sans-serif"/>
          <w:b/>
          <w:color w:val="000000"/>
          <w:sz w:val="20"/>
        </w:rPr>
        <w:t>(Unaudited)</w:t>
      </w:r>
    </w:p>
    <w:p>
      <w:pPr>
        <w:pStyle w:val="TextBody"/>
        <w:bidi w:val="0"/>
        <w:jc w:val="center"/>
        <w:rPr>
          <w:rFonts w:ascii="Times New Roman" w:hAnsi="Times New Roman"/>
          <w:sz w:val="20"/>
        </w:rPr>
      </w:pPr>
      <w:r>
        <w:rPr>
          <w:rFonts w:ascii="Calibri;sans-serif" w:hAnsi="Calibri;sans-serif"/>
          <w:b/>
          <w:color w:val="000000"/>
          <w:sz w:val="20"/>
        </w:rPr>
        <w:t>(in thousands)</w:t>
      </w:r>
      <w:r>
        <w:rPr>
          <w:rFonts w:ascii="Times New Roman" w:hAnsi="Times New Roman"/>
          <w:color w:val="000000"/>
          <w:sz w:val="20"/>
        </w:rPr>
        <w:t xml:space="preserve"> </w:t>
      </w:r>
    </w:p>
    <w:p>
      <w:pPr>
        <w:pStyle w:val="TextBody"/>
        <w:bidi w:val="0"/>
        <w:jc w:val="left"/>
        <w:rPr/>
      </w:pPr>
      <w:r>
        <w:rPr/>
        <w:t> </w:t>
      </w:r>
    </w:p>
    <w:tbl>
      <w:tblPr>
        <w:tblW w:w="10104" w:type="dxa"/>
        <w:jc w:val="left"/>
        <w:tblInd w:w="0" w:type="dxa"/>
        <w:tblLayout w:type="fixed"/>
        <w:tblCellMar>
          <w:top w:w="28" w:type="dxa"/>
          <w:left w:w="28" w:type="dxa"/>
          <w:bottom w:w="28" w:type="dxa"/>
          <w:right w:w="28" w:type="dxa"/>
        </w:tblCellMar>
      </w:tblPr>
      <w:tblGrid>
        <w:gridCol w:w="6991"/>
        <w:gridCol w:w="146"/>
        <w:gridCol w:w="211"/>
        <w:gridCol w:w="841"/>
        <w:gridCol w:w="166"/>
        <w:gridCol w:w="146"/>
        <w:gridCol w:w="211"/>
        <w:gridCol w:w="781"/>
        <w:gridCol w:w="611"/>
      </w:tblGrid>
      <w:tr>
        <w:trPr/>
        <w:tc>
          <w:tcPr>
            <w:tcW w:w="6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9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Six Months Ended</w:t>
              <w:br/>
              <w:t>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91"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69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(174,298</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(78,779</w:t>
            </w:r>
          </w:p>
        </w:tc>
        <w:tc>
          <w:tcPr>
            <w:tcW w:w="6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69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6991"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269</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991"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Stock-based compensation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11,725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14,301</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991"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Issuance of PIK interest debt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1,772</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991"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Accrued interest on revenue interest financing liability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24,173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10,550</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991"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Amortization of debt discount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769</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991"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Inventory reserve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991"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2,971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1,157</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991"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Changes in operating assets and liabilities: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400"/>
              <w:jc w:val="right"/>
              <w:rPr/>
            </w:pPr>
            <w:r>
              <w:rPr/>
              <w:t> </w:t>
            </w:r>
          </w:p>
        </w:tc>
      </w:tr>
      <w:tr>
        <w:trPr/>
        <w:tc>
          <w:tcPr>
            <w:tcW w:w="6991" w:type="dxa"/>
            <w:tcBorders/>
            <w:shd w:fill="FFFFFF" w:val="clear"/>
            <w:vAlign w:val="center"/>
          </w:tcPr>
          <w:p>
            <w:pPr>
              <w:pStyle w:val="TableContents"/>
              <w:bidi w:val="0"/>
              <w:spacing w:before="0" w:after="283"/>
              <w:ind w:left="400" w:right="0" w:firstLine="400"/>
              <w:jc w:val="left"/>
              <w:rPr>
                <w:rFonts w:ascii="Calibri;sans-serif" w:hAnsi="Calibri;sans-serif"/>
                <w:color w:val="000000"/>
                <w:sz w:val="20"/>
              </w:rPr>
            </w:pPr>
            <w:r>
              <w:rPr>
                <w:rFonts w:ascii="Calibri;sans-serif" w:hAnsi="Calibri;sans-serif"/>
                <w:color w:val="000000"/>
                <w:sz w:val="20"/>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(2,303</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(3,633</w:t>
            </w:r>
          </w:p>
        </w:tc>
        <w:tc>
          <w:tcPr>
            <w:tcW w:w="611" w:type="dxa"/>
            <w:tcBorders/>
            <w:shd w:fill="FFFFFF" w:val="clear"/>
            <w:vAlign w:val="center"/>
          </w:tcPr>
          <w:p>
            <w:pPr>
              <w:pStyle w:val="TableContents"/>
              <w:bidi w:val="0"/>
              <w:spacing w:before="0" w:after="283"/>
              <w:ind w:left="0" w:right="0" w:firstLine="400"/>
              <w:jc w:val="left"/>
              <w:rPr>
                <w:rFonts w:ascii="Calibri;sans-serif" w:hAnsi="Calibri;sans-serif"/>
                <w:color w:val="000000"/>
                <w:sz w:val="20"/>
              </w:rPr>
            </w:pPr>
            <w:r>
              <w:rPr>
                <w:rFonts w:ascii="Calibri;sans-serif" w:hAnsi="Calibri;sans-serif"/>
                <w:color w:val="000000"/>
                <w:sz w:val="20"/>
              </w:rPr>
              <w:t>)</w:t>
            </w:r>
          </w:p>
        </w:tc>
      </w:tr>
      <w:tr>
        <w:trPr/>
        <w:tc>
          <w:tcPr>
            <w:tcW w:w="6991" w:type="dxa"/>
            <w:tcBorders/>
            <w:shd w:fill="CFF0FC" w:val="clear"/>
            <w:vAlign w:val="center"/>
          </w:tcPr>
          <w:p>
            <w:pPr>
              <w:pStyle w:val="TableContents"/>
              <w:bidi w:val="0"/>
              <w:spacing w:before="0" w:after="283"/>
              <w:ind w:left="400" w:right="0" w:firstLine="400"/>
              <w:jc w:val="left"/>
              <w:rPr>
                <w:rFonts w:ascii="Calibri;sans-serif" w:hAnsi="Calibri;sans-serif"/>
                <w:color w:val="000000"/>
                <w:sz w:val="20"/>
              </w:rPr>
            </w:pPr>
            <w:r>
              <w:rPr>
                <w:rFonts w:ascii="Calibri;sans-serif" w:hAnsi="Calibri;sans-serif"/>
                <w:color w:val="000000"/>
                <w:sz w:val="20"/>
              </w:rPr>
              <w:t>Accounts receivable,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(9,240</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6991" w:type="dxa"/>
            <w:tcBorders/>
            <w:shd w:fill="FFFFFF" w:val="clear"/>
            <w:vAlign w:val="center"/>
          </w:tcPr>
          <w:p>
            <w:pPr>
              <w:pStyle w:val="TableContents"/>
              <w:bidi w:val="0"/>
              <w:spacing w:before="0" w:after="283"/>
              <w:ind w:left="400" w:right="0" w:firstLine="400"/>
              <w:jc w:val="left"/>
              <w:rPr>
                <w:rFonts w:ascii="Calibri;sans-serif" w:hAnsi="Calibri;sans-serif"/>
                <w:color w:val="000000"/>
                <w:sz w:val="20"/>
              </w:rPr>
            </w:pPr>
            <w:r>
              <w:rPr>
                <w:rFonts w:ascii="Calibri;sans-serif" w:hAnsi="Calibri;sans-serif"/>
                <w:color w:val="000000"/>
                <w:sz w:val="20"/>
              </w:rPr>
              <w:t>Accounts payable and accrued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3,675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(8,447</w:t>
            </w:r>
          </w:p>
        </w:tc>
        <w:tc>
          <w:tcPr>
            <w:tcW w:w="611" w:type="dxa"/>
            <w:tcBorders/>
            <w:shd w:fill="FFFFFF" w:val="clear"/>
            <w:vAlign w:val="center"/>
          </w:tcPr>
          <w:p>
            <w:pPr>
              <w:pStyle w:val="TableContents"/>
              <w:bidi w:val="0"/>
              <w:spacing w:before="0" w:after="283"/>
              <w:ind w:left="0" w:right="0" w:firstLine="400"/>
              <w:jc w:val="left"/>
              <w:rPr>
                <w:rFonts w:ascii="Calibri;sans-serif" w:hAnsi="Calibri;sans-serif"/>
                <w:color w:val="000000"/>
                <w:sz w:val="20"/>
              </w:rPr>
            </w:pPr>
            <w:r>
              <w:rPr>
                <w:rFonts w:ascii="Calibri;sans-serif" w:hAnsi="Calibri;sans-serif"/>
                <w:color w:val="000000"/>
                <w:sz w:val="20"/>
              </w:rPr>
              <w:t>)</w:t>
            </w:r>
          </w:p>
        </w:tc>
      </w:tr>
      <w:tr>
        <w:trPr/>
        <w:tc>
          <w:tcPr>
            <w:tcW w:w="6991" w:type="dxa"/>
            <w:tcBorders/>
            <w:shd w:fill="CFF0FC" w:val="clear"/>
            <w:vAlign w:val="center"/>
          </w:tcPr>
          <w:p>
            <w:pPr>
              <w:pStyle w:val="TableContents"/>
              <w:bidi w:val="0"/>
              <w:spacing w:before="0" w:after="283"/>
              <w:ind w:left="400" w:right="0" w:firstLine="400"/>
              <w:jc w:val="left"/>
              <w:rPr>
                <w:rFonts w:ascii="Calibri;sans-serif" w:hAnsi="Calibri;sans-serif"/>
                <w:color w:val="000000"/>
                <w:sz w:val="20"/>
              </w:rPr>
            </w:pPr>
            <w:r>
              <w:rPr>
                <w:rFonts w:ascii="Calibri;sans-serif" w:hAnsi="Calibri;sans-serif"/>
                <w:color w:val="000000"/>
                <w:sz w:val="20"/>
              </w:rPr>
              <w:t>Accrued interest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73</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6991" w:type="dxa"/>
            <w:tcBorders/>
            <w:shd w:fill="FFFFFF" w:val="clear"/>
            <w:vAlign w:val="center"/>
          </w:tcPr>
          <w:p>
            <w:pPr>
              <w:pStyle w:val="TableContents"/>
              <w:bidi w:val="0"/>
              <w:spacing w:before="0" w:after="283"/>
              <w:ind w:left="400" w:right="0" w:firstLine="400"/>
              <w:jc w:val="left"/>
              <w:rPr>
                <w:rFonts w:ascii="Calibri;sans-serif" w:hAnsi="Calibri;sans-serif"/>
                <w:color w:val="000000"/>
                <w:sz w:val="20"/>
              </w:rPr>
            </w:pPr>
            <w:r>
              <w:rPr>
                <w:rFonts w:ascii="Calibri;sans-serif" w:hAnsi="Calibri;sans-serif"/>
                <w:color w:val="000000"/>
                <w:sz w:val="20"/>
              </w:rPr>
              <w:t>Operating right-of-use assets and lease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99</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6991" w:type="dxa"/>
            <w:tcBorders/>
            <w:shd w:fill="CFF0FC" w:val="clear"/>
            <w:vAlign w:val="center"/>
          </w:tcPr>
          <w:p>
            <w:pPr>
              <w:pStyle w:val="TableContents"/>
              <w:bidi w:val="0"/>
              <w:spacing w:before="0" w:after="283"/>
              <w:ind w:left="400" w:right="0" w:firstLine="400"/>
              <w:jc w:val="left"/>
              <w:rPr>
                <w:rFonts w:ascii="Calibri;sans-serif" w:hAnsi="Calibri;sans-serif"/>
                <w:color w:val="000000"/>
                <w:sz w:val="20"/>
              </w:rPr>
            </w:pPr>
            <w:r>
              <w:rPr>
                <w:rFonts w:ascii="Calibri;sans-serif" w:hAnsi="Calibri;sans-serif"/>
                <w:color w:val="000000"/>
                <w:sz w:val="20"/>
              </w:rPr>
              <w:t>Inventory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(148</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jc w:val="left"/>
              <w:rPr/>
            </w:pPr>
            <w:r>
              <w:rPr/>
              <w:t> </w:t>
            </w:r>
          </w:p>
        </w:tc>
      </w:tr>
      <w:tr>
        <w:trPr/>
        <w:tc>
          <w:tcPr>
            <w:tcW w:w="69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cash used in operating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(139,741</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(61,869</w:t>
            </w:r>
          </w:p>
        </w:tc>
        <w:tc>
          <w:tcPr>
            <w:tcW w:w="6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6991"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Cash flows from investing activities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69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Cash paid for property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(220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69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cash used in investing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(220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6991" w:type="dxa"/>
            <w:tcBorders/>
            <w:shd w:fill="FFFFFF"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Cash flows from financing activities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69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Proceeds from issuance of common stock from exercise of stock options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111</w:t>
            </w:r>
          </w:p>
        </w:tc>
        <w:tc>
          <w:tcPr>
            <w:tcW w:w="611" w:type="dxa"/>
            <w:tcBorders/>
            <w:shd w:fill="CFF0FC" w:val="clear"/>
            <w:vAlign w:val="center"/>
          </w:tcPr>
          <w:p>
            <w:pPr>
              <w:pStyle w:val="TableContents"/>
              <w:bidi w:val="0"/>
              <w:spacing w:before="0" w:after="283"/>
              <w:jc w:val="left"/>
              <w:rPr/>
            </w:pPr>
            <w:r>
              <w:rPr/>
              <w:t> </w:t>
            </w:r>
          </w:p>
        </w:tc>
      </w:tr>
      <w:tr>
        <w:trPr/>
        <w:tc>
          <w:tcPr>
            <w:tcW w:w="69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proceeds from issuance of debt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34,650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jc w:val="left"/>
              <w:rPr/>
            </w:pPr>
            <w:r>
              <w:rPr/>
              <w:t> </w:t>
            </w:r>
          </w:p>
        </w:tc>
      </w:tr>
      <w:tr>
        <w:trPr/>
        <w:tc>
          <w:tcPr>
            <w:tcW w:w="69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proceeds from underwritten public offering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141,390</w:t>
            </w:r>
          </w:p>
        </w:tc>
        <w:tc>
          <w:tcPr>
            <w:tcW w:w="611" w:type="dxa"/>
            <w:tcBorders/>
            <w:shd w:fill="CFF0FC" w:val="clear"/>
            <w:vAlign w:val="center"/>
          </w:tcPr>
          <w:p>
            <w:pPr>
              <w:pStyle w:val="TableContents"/>
              <w:bidi w:val="0"/>
              <w:spacing w:before="0" w:after="283"/>
              <w:jc w:val="left"/>
              <w:rPr/>
            </w:pPr>
            <w:r>
              <w:rPr/>
              <w:t> </w:t>
            </w:r>
          </w:p>
        </w:tc>
      </w:tr>
      <w:tr>
        <w:trPr/>
        <w:tc>
          <w:tcPr>
            <w:tcW w:w="69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proceeds from issuance of common stock under ATM facility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14,073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34,671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155,574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(decrease) increase in cash and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(105,156</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93,485</w:t>
            </w:r>
          </w:p>
        </w:tc>
        <w:tc>
          <w:tcPr>
            <w:tcW w:w="611" w:type="dxa"/>
            <w:tcBorders/>
            <w:shd w:fill="FFFFFF" w:val="clear"/>
            <w:vAlign w:val="center"/>
          </w:tcPr>
          <w:p>
            <w:pPr>
              <w:pStyle w:val="TableContents"/>
              <w:bidi w:val="0"/>
              <w:spacing w:before="0" w:after="283"/>
              <w:jc w:val="left"/>
              <w:rPr/>
            </w:pPr>
            <w:r>
              <w:rPr/>
              <w:t> </w:t>
            </w:r>
          </w:p>
        </w:tc>
      </w:tr>
      <w:tr>
        <w:trPr/>
        <w:tc>
          <w:tcPr>
            <w:tcW w:w="69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Cash and cash equivalents and restricted cash – beginning of period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384,256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155,890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Cash and cash equivalents and restricted cash – end of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279,100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249,375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9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6991" w:type="dxa"/>
            <w:tcBorders/>
            <w:shd w:fill="FFFFFF"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Supplemental disclosure of cash flow information</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69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Interest paid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7,819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5,310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91" w:type="dxa"/>
            <w:tcBorders/>
            <w:shd w:fill="FFFFFF"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Supplemental disclosure of noncash investing and financing activities: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69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Property and equipment purchases included in accounts payable and accrued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Final interest payment fee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Settlement of ESPP liability in common stock</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856</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Settlement of 401(k) liability in common stock</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456</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Calibri;sans-serif" w:hAnsi="Calibri;sans-serif"/>
          <w:i/>
          <w:color w:val="000000"/>
          <w:sz w:val="20"/>
        </w:rPr>
      </w:pPr>
      <w:r>
        <w:rPr>
          <w:rFonts w:ascii="Calibri;sans-serif" w:hAnsi="Calibri;sans-serif"/>
          <w:i/>
          <w:color w:val="000000"/>
          <w:sz w:val="20"/>
        </w:rPr>
        <w:t>See accompanying 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Calibri;sans-serif" w:hAnsi="Calibri;sans-serif"/>
          <w:b/>
          <w:color w:val="000000"/>
          <w:sz w:val="20"/>
        </w:rPr>
      </w:pPr>
      <w:r>
        <w:rPr>
          <w:rFonts w:ascii="Calibri;sans-serif" w:hAnsi="Calibri;sans-serif"/>
          <w:b/>
          <w:color w:val="000000"/>
          <w:sz w:val="20"/>
        </w:rPr>
        <w:t>PHATHOM PHARMACEUTICALS, INC.</w:t>
      </w:r>
    </w:p>
    <w:p>
      <w:pPr>
        <w:pStyle w:val="TextBody"/>
        <w:bidi w:val="0"/>
        <w:jc w:val="center"/>
        <w:rPr>
          <w:rFonts w:ascii="Times New Roman" w:hAnsi="Times New Roman"/>
          <w:sz w:val="20"/>
        </w:rPr>
      </w:pPr>
      <w:bookmarkStart w:id="8" w:name="notes_to_unaudited_financial_statements"/>
      <w:bookmarkEnd w:id="8"/>
      <w:r>
        <w:rPr>
          <w:rFonts w:ascii="Calibri;sans-serif" w:hAnsi="Calibri;sans-serif"/>
          <w:b/>
          <w:color w:val="000000"/>
          <w:sz w:val="20"/>
        </w:rPr>
        <w:t>Notes to Unaudited Financial Statements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bookmarkStart w:id="9" w:name="n1_organization_basis_presentation_summa"/>
      <w:bookmarkEnd w:id="9"/>
      <w:r>
        <w:rPr>
          <w:rFonts w:ascii="Calibri;sans-serif" w:hAnsi="Calibri;sans-serif"/>
          <w:b/>
          <w:color w:val="000000"/>
          <w:sz w:val="20"/>
        </w:rPr>
        <w:t>1. Organization, Basis of Presentation and Summary of Significant Accounting Policies</w:t>
      </w:r>
      <w:r>
        <w:rPr>
          <w:rFonts w:ascii="Times New Roman" w:hAnsi="Times New Roman"/>
          <w:color w:val="000000"/>
          <w:sz w:val="20"/>
        </w:rPr>
        <w:t xml:space="preserve"> </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Organization and Basis of Presentation</w:t>
      </w:r>
    </w:p>
    <w:p>
      <w:pPr>
        <w:pStyle w:val="TextBody"/>
        <w:bidi w:val="0"/>
        <w:spacing w:before="200" w:after="283"/>
        <w:jc w:val="left"/>
        <w:rPr>
          <w:rFonts w:ascii="Times New Roman" w:hAnsi="Times New Roman"/>
          <w:sz w:val="20"/>
        </w:rPr>
      </w:pPr>
      <w:r>
        <w:rPr>
          <w:rFonts w:ascii="Calibri;sans-serif" w:hAnsi="Calibri;sans-serif"/>
          <w:color w:val="000000"/>
          <w:sz w:val="20"/>
        </w:rPr>
        <w:t>Phathom Pharmaceuticals, Inc., or the Company or Phathom, was incorporated in the state of Delaware in January 2018. The Company is a biopharmaceutical company focused on developing and commercializing novel treatments for gastrointestinal diseases. The Company’s financial statements are prepared in accordance with U.S. generally accepted accounting principles, or GAAP.</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 xml:space="preserve">On October 27, 2023, the U.S. Food and Drug Administration, or FDA, approved the prior approval supplements to the Company's new drug applications, or NDAs, for VOQUEZNA TRIPLE PAK and VOQUEZNA DUAL PAK. Additionally, on November 1, 2023, the FDA approved the Company's NDA for VOQUEZNA tablets. As a result, the Company initiated commercial launch for VOQUEZNA for both the Erosive GERD and </w:t>
      </w:r>
      <w:r>
        <w:rPr>
          <w:rFonts w:ascii="Calibri;sans-serif" w:hAnsi="Calibri;sans-serif"/>
          <w:i/>
          <w:color w:val="000000"/>
          <w:sz w:val="20"/>
        </w:rPr>
        <w:t>H. pylori</w:t>
      </w:r>
      <w:r>
        <w:rPr>
          <w:rFonts w:ascii="Times New Roman" w:hAnsi="Times New Roman"/>
          <w:color w:val="000000"/>
          <w:sz w:val="20"/>
        </w:rPr>
        <w:t xml:space="preserve"> </w:t>
      </w:r>
      <w:r>
        <w:rPr>
          <w:rFonts w:ascii="Calibri;sans-serif" w:hAnsi="Calibri;sans-serif"/>
          <w:color w:val="000000"/>
          <w:sz w:val="20"/>
        </w:rPr>
        <w:t xml:space="preserve">indications, and VOQUEZNA TRIPLE PAK and VOQUEZNA DUAL PAK for treatment of </w:t>
      </w:r>
      <w:r>
        <w:rPr>
          <w:rFonts w:ascii="Calibri;sans-serif" w:hAnsi="Calibri;sans-serif"/>
          <w:i/>
          <w:color w:val="000000"/>
          <w:sz w:val="20"/>
        </w:rPr>
        <w:t>H. pylori</w:t>
      </w:r>
      <w:r>
        <w:rPr>
          <w:rFonts w:ascii="Times New Roman" w:hAnsi="Times New Roman"/>
          <w:color w:val="000000"/>
          <w:sz w:val="20"/>
        </w:rPr>
        <w:t xml:space="preserve"> </w:t>
      </w:r>
      <w:r>
        <w:rPr>
          <w:rFonts w:ascii="Calibri;sans-serif" w:hAnsi="Calibri;sans-serif"/>
          <w:color w:val="000000"/>
          <w:sz w:val="20"/>
        </w:rPr>
        <w:t>infection in the fourth quarter of 2023.</w:t>
      </w:r>
      <w:r>
        <w:rPr>
          <w:rFonts w:ascii="Times New Roman" w:hAnsi="Times New Roman"/>
          <w:color w:val="000000"/>
          <w:sz w:val="20"/>
        </w:rPr>
        <w:t xml:space="preserve"> </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On July 17, 2024, the FDA approved the NDA supplement, or sNDA, for VOQUEZNA 10 mg tablets for the relief of heartburn associated with Non-Erosive GERD.</w:t>
      </w:r>
    </w:p>
    <w:p>
      <w:pPr>
        <w:pStyle w:val="TextBody"/>
        <w:bidi w:val="0"/>
        <w:spacing w:before="200" w:after="283"/>
        <w:jc w:val="left"/>
        <w:rPr>
          <w:rFonts w:ascii="Times New Roman" w:hAnsi="Times New Roman"/>
          <w:sz w:val="20"/>
        </w:rPr>
      </w:pPr>
      <w:r>
        <w:rPr>
          <w:rFonts w:ascii="Calibri;sans-serif" w:hAnsi="Calibri;sans-serif"/>
          <w:b/>
          <w:i/>
          <w:color w:val="000000"/>
          <w:sz w:val="20"/>
        </w:rPr>
        <w:t>Liquidity and Capital Resources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From inception to June 30, 2024, the Company has devoted substantially all of its efforts to organizing and staffing the Company, business planning, raising capital, in-licensing its initial and approved product candidate, vonoprazan, meeting with regulatory authorities, managing the clinical trials of vonoprazan, preparing for commercialization of its initial products containing vonoprazan, commercially launching its approved products, and providing other selling, general and administrative support for these operations. The Company has a limited operating history, has generated limited revenue to date, and the sales and income potential of its business is unproven. The Company has incurred net losses and negative cash flows from operating activities since its inception and expects to continue to incur additional net losses in the future. The Company has funded its operations primarily through commercial bank debt, the revenue interest financing debt and various equity offerings, including the Company's at-the-market, or ATM, offerings. From inception through June 30, 2024, the Company sold 26,041,380</w:t>
      </w:r>
      <w:r>
        <w:rPr>
          <w:rFonts w:ascii="Times New Roman" w:hAnsi="Times New Roman"/>
          <w:color w:val="000000"/>
          <w:sz w:val="20"/>
        </w:rPr>
        <w:t xml:space="preserve"> </w:t>
      </w:r>
      <w:r>
        <w:rPr>
          <w:rFonts w:ascii="Calibri;sans-serif" w:hAnsi="Calibri;sans-serif"/>
          <w:color w:val="000000"/>
          <w:sz w:val="20"/>
        </w:rPr>
        <w:t>shares of common stock, generating net proceeds of approximately $421.5</w:t>
      </w:r>
      <w:r>
        <w:rPr>
          <w:rFonts w:ascii="Times New Roman" w:hAnsi="Times New Roman"/>
          <w:color w:val="000000"/>
          <w:sz w:val="20"/>
        </w:rPr>
        <w:t xml:space="preserve"> </w:t>
      </w:r>
      <w:r>
        <w:rPr>
          <w:rFonts w:ascii="Calibri;sans-serif" w:hAnsi="Calibri;sans-serif"/>
          <w:color w:val="000000"/>
          <w:sz w:val="20"/>
        </w:rPr>
        <w:t>million, after deducting underwriting discounts, commissions and offering costs.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The accompanying financial statements have been prepared assuming the Company will continue as a going concern, which contemplates the realization of assets and the satisfaction of liabilities in the normal course of business, and do not include any adjustments to reflect the possible future effects on the recoverability and classification of assets or amounts and classification of liabilities in accordance with GAAP. Management is required to perform a two-step analysis over the Company’s ability to continue as a going concern. Management must first evaluate whether there are conditions and events that raise substantial doubt about the Company’s ability to continue as a going concern (Step 1). If management concludes that substantial doubt is raised, management is also required to consider whether its plans alleviate that doubt (Step 2).</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Management believes that it has sufficient working capital on hand to fund operations through at least the next twelve months from the date these financial statements were issued. There can be no assurance that the Company will be successful in acquiring additional funding, if needed, that the Company’s projections of its future working capital needs will prove accurate, or that any additional funding would be sufficient to continue operations in future years.</w:t>
      </w:r>
      <w:r>
        <w:rPr>
          <w:rFonts w:ascii="Times New Roman" w:hAnsi="Times New Roman"/>
          <w:color w:val="000000"/>
          <w:sz w:val="20"/>
        </w:rPr>
        <w:t xml:space="preserve"> </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Use of Estimates</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The preparation of the Company’s financial statements requires management to make estimates and assumptions that impact the reported amounts of assets, liabilities, revenues and expenses, and the disclosure of contingent assets and liabilities in the Company’s financial statements and accompanying notes. The most significant estimates in the Company’s financial statements relate to accruals for net product revenues, research and development expenses, and the valuation for the revenue interest financing liability. In addition, management’s assessment of the Company’s ability to continue as a going concern involves the estimation of the amount and timing of future cash inflows and outflows. Although these estimates are based on the Company’s knowledge of current events and actions it may undertake in the future, actual results could differ materially from those estimates and assumptions.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Fair Value Measurements</w:t>
      </w:r>
    </w:p>
    <w:p>
      <w:pPr>
        <w:pStyle w:val="TextBody"/>
        <w:bidi w:val="0"/>
        <w:spacing w:before="200" w:after="283"/>
        <w:jc w:val="left"/>
        <w:rPr>
          <w:rFonts w:ascii="Times New Roman" w:hAnsi="Times New Roman"/>
          <w:sz w:val="20"/>
        </w:rPr>
      </w:pPr>
      <w:r>
        <w:rPr>
          <w:rFonts w:ascii="Calibri;sans-serif" w:hAnsi="Calibri;sans-serif"/>
          <w:color w:val="000000"/>
          <w:sz w:val="20"/>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Level 1: Observable inputs such as quoted prices in active markets.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Level 2: Inputs, other than the quoted prices in active markets that are observable either directly or indirectly.</w:t>
      </w:r>
      <w:r>
        <w:rPr>
          <w:rFonts w:ascii="Times New Roman" w:hAnsi="Times New Roman"/>
          <w:color w:val="000000"/>
          <w:sz w:val="20"/>
        </w:rPr>
        <w:t xml:space="preserve"> </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Level 3: Unobservable inputs in which there is little or no market data, which require the reporting entity to develop its own assumptions.</w:t>
      </w:r>
    </w:p>
    <w:p>
      <w:pPr>
        <w:pStyle w:val="TextBody"/>
        <w:bidi w:val="0"/>
        <w:spacing w:before="200" w:after="283"/>
        <w:jc w:val="left"/>
        <w:rPr>
          <w:rFonts w:ascii="Times New Roman" w:hAnsi="Times New Roman"/>
          <w:sz w:val="20"/>
        </w:rPr>
      </w:pPr>
      <w:r>
        <w:rPr>
          <w:rFonts w:ascii="Calibri;sans-serif" w:hAnsi="Calibri;sans-serif"/>
          <w:color w:val="000000"/>
          <w:sz w:val="20"/>
        </w:rPr>
        <w:t>The carrying amounts of the Company’s financial instruments, including cash and cash equivalents, are classified within the Level 1 designation discussed above, while accounts receivable, prepaid and other current assets, accounts payable, and accrued liabilities, approximate fair value due to their short maturities.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The Company has no</w:t>
      </w:r>
      <w:r>
        <w:rPr>
          <w:rFonts w:ascii="Times New Roman" w:hAnsi="Times New Roman"/>
          <w:color w:val="000000"/>
          <w:sz w:val="20"/>
        </w:rPr>
        <w:t xml:space="preserve"> </w:t>
      </w:r>
      <w:r>
        <w:rPr>
          <w:rFonts w:ascii="Calibri;sans-serif" w:hAnsi="Calibri;sans-serif"/>
          <w:color w:val="000000"/>
          <w:sz w:val="20"/>
        </w:rPr>
        <w:t>financial assets measured at fair value on a recurring basis. None of the Company’s non-financial assets or liabilities are recorded at fair value on a non-recurring basis. No transfers between levels have occurred during the periods presented.</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As of June 30, 2024 and December 31, 2023, the estimated fair value of the Company’s long-term debt approximated the carrying amount given its floating interest rate basis. The fair value of the Company’s long-term debt was estimated for disclosure purposes only and was determined based on quoted market data for valuation, and thus categorized as Level 2 in the fair value hierarchy.</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Cash and Cash Equivalents</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The Company considers all highly liquid investments with original maturities of three months or less when purchased to be cash equivalents. Cash and cash equivalents include cash in readily available checking accounts and money market funds. Restricted cash primarily consists of cash deposited by the Company to secure corporate leased vehicles.</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Accounts Receivable, Net</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Accounts receivable consists of amounts due from customers, primarily wholesale distributors, net of customer allowances for prompt pay discounts, distribution service fees, and other adjustments. Our contracts with customers have standard payment terms. The Company assesses the need for an allowance for credit losses primarily based on creditworthiness, historical payment experience and general economic conditions. The Company has not experienced any credit losses to date given our limited commercial operations with any of its customers, and has not currently recognized a material allowance for credit losses.</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Concentrations of Credit Risk</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Financial instruments that potentially subject the Company to significant concentrations of credit risk consist primarily of cash and cash equivalents. The Company maintains deposits in federally insured financial institutions in excess of federally insured limits. The Company has not experienced any losses in such accounts and management believes that the Company is not exposed to significant credit risk due to the financial position of the depository institutions in which those deposits are held.</w:t>
      </w:r>
    </w:p>
    <w:p>
      <w:pPr>
        <w:pStyle w:val="TextBody"/>
        <w:bidi w:val="0"/>
        <w:spacing w:before="200" w:after="283"/>
        <w:jc w:val="left"/>
        <w:rPr>
          <w:rFonts w:ascii="Times New Roman" w:hAnsi="Times New Roman"/>
          <w:sz w:val="20"/>
        </w:rPr>
      </w:pPr>
      <w:r>
        <w:rPr>
          <w:rFonts w:ascii="Calibri;sans-serif" w:hAnsi="Calibri;sans-serif"/>
          <w:color w:val="000000"/>
          <w:sz w:val="20"/>
        </w:rPr>
        <w:t>The Company is also subject to credit risk from our accounts receivable related to our product sales. The Company monitors exposure within accounts receivable and records a reserve against uncollectible accounts receivable as necessary. The Company extends credit primarily to wholesale distributors. Customer creditworthiness is monitored and collateral is not required. The allowance for credit losses reflects the best estimate of expected credit losses of the accounts receivable portfolio determined on the basis of historical experience, current information, and forecasts of future economic conditions. The Company determines its allowance methodology by pooling receivable balances at the customer level. The Company considers various factors, including its previous loss history, individual credit risk associated to each customer, and the current and future conditions of the general economy. These credit risk factors are monitored on a quarterly basis and updated as necessary. To the extent that any individual</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Calibri;sans-serif" w:hAnsi="Calibri;sans-serif"/>
          <w:color w:val="000000"/>
          <w:sz w:val="20"/>
        </w:rPr>
        <w:t>debtor is identified whose credit quality has deteriorated, the Company establishes allowances based on the individual risk characteristics of such customer. The Company makes concerted efforts to collect all outstanding balances due from customers; however, account balances are charged off against the allowance when management believes it is probable the receivable will not be recovered. The Company does not have any off-balance-sheet credit exposure related to customers.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As of June 30, 2024, three</w:t>
      </w:r>
      <w:r>
        <w:rPr>
          <w:rFonts w:ascii="Times New Roman" w:hAnsi="Times New Roman"/>
          <w:color w:val="000000"/>
          <w:sz w:val="20"/>
        </w:rPr>
        <w:t xml:space="preserve"> </w:t>
      </w:r>
      <w:r>
        <w:rPr>
          <w:rFonts w:ascii="Calibri;sans-serif" w:hAnsi="Calibri;sans-serif"/>
          <w:color w:val="000000"/>
          <w:sz w:val="20"/>
        </w:rPr>
        <w:t>customers accounted for 84% of the accounts receivable balance, with each of these individual customers ranging from 24% to 30% of the accounts receivable balance. As of December 31, 2023, three</w:t>
      </w:r>
      <w:r>
        <w:rPr>
          <w:rFonts w:ascii="Times New Roman" w:hAnsi="Times New Roman"/>
          <w:color w:val="000000"/>
          <w:sz w:val="20"/>
        </w:rPr>
        <w:t xml:space="preserve"> </w:t>
      </w:r>
      <w:r>
        <w:rPr>
          <w:rFonts w:ascii="Calibri;sans-serif" w:hAnsi="Calibri;sans-serif"/>
          <w:color w:val="000000"/>
          <w:sz w:val="20"/>
        </w:rPr>
        <w:t>customers accounted for 87% of the accounts receivable balance, with each of these individual customers ranging from 28% to 30% of the accounts receivable balance. For the three and six months ended June 30, 2024, three</w:t>
      </w:r>
      <w:r>
        <w:rPr>
          <w:rFonts w:ascii="Times New Roman" w:hAnsi="Times New Roman"/>
          <w:color w:val="000000"/>
          <w:sz w:val="20"/>
        </w:rPr>
        <w:t xml:space="preserve"> </w:t>
      </w:r>
      <w:r>
        <w:rPr>
          <w:rFonts w:ascii="Calibri;sans-serif" w:hAnsi="Calibri;sans-serif"/>
          <w:color w:val="000000"/>
          <w:sz w:val="20"/>
        </w:rPr>
        <w:t>customers accounted for 67% and 68% of the product sales, respectively, with each of these individual customers ranging from 21% to 24% of the product sales in both periods.</w:t>
      </w:r>
    </w:p>
    <w:p>
      <w:pPr>
        <w:pStyle w:val="TextBody"/>
        <w:bidi w:val="0"/>
        <w:spacing w:before="200" w:after="200"/>
        <w:jc w:val="left"/>
        <w:rPr>
          <w:rFonts w:ascii="Calibri;sans-serif" w:hAnsi="Calibri;sans-serif"/>
          <w:b/>
          <w:i/>
          <w:color w:val="000000"/>
          <w:sz w:val="20"/>
        </w:rPr>
      </w:pPr>
      <w:r>
        <w:rPr>
          <w:rFonts w:ascii="Calibri;sans-serif" w:hAnsi="Calibri;sans-serif"/>
          <w:b/>
          <w:i/>
          <w:color w:val="000000"/>
          <w:sz w:val="20"/>
        </w:rPr>
        <w:t>Inventory</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The Company capitalizes inventory costs related to products to be sold in the ordinary course of business. The Company makes a determination of capitalizing inventory costs for a product based on, among other factors, status of regulatory approval, information regarding safety, efficacy and expectations relating to commercial sales and recoverability of costs. Inventory consists of bulk active pharmaceutical ingredients that are used to manufacture vonoprazan tablets. Inventory related to indications prior to regulatory approval has been included in research and development expense in the period of purchase.</w:t>
      </w:r>
    </w:p>
    <w:p>
      <w:pPr>
        <w:pStyle w:val="TextBody"/>
        <w:bidi w:val="0"/>
        <w:spacing w:before="200" w:after="283"/>
        <w:jc w:val="left"/>
        <w:rPr>
          <w:rFonts w:ascii="Times New Roman" w:hAnsi="Times New Roman"/>
          <w:sz w:val="20"/>
        </w:rPr>
      </w:pPr>
      <w:r>
        <w:rPr>
          <w:rFonts w:ascii="Calibri;sans-serif" w:hAnsi="Calibri;sans-serif"/>
          <w:color w:val="000000"/>
          <w:sz w:val="20"/>
        </w:rPr>
        <w:t>The Company states its inventory at the lower of cost or net realizable value.</w:t>
      </w:r>
      <w:r>
        <w:rPr>
          <w:rFonts w:ascii="Times New Roman" w:hAnsi="Times New Roman"/>
          <w:color w:val="000000"/>
          <w:sz w:val="20"/>
        </w:rPr>
        <w:t xml:space="preserve"> </w:t>
      </w:r>
      <w:r>
        <w:rPr>
          <w:rFonts w:ascii="Calibri;sans-serif" w:hAnsi="Calibri;sans-serif"/>
          <w:color w:val="000000"/>
          <w:sz w:val="20"/>
        </w:rPr>
        <w:t>The Company measures inventory cost using actual cost under a first-in, first-out basis. The Company assesses recoverability of inventory each reporting period to determine any write-down to net realizable value resulting from excess or obsolete inventories. During the three and six months ended June 30, 2024, the Company recorded approximately $0.2</w:t>
      </w:r>
      <w:r>
        <w:rPr>
          <w:rFonts w:ascii="Times New Roman" w:hAnsi="Times New Roman"/>
          <w:color w:val="000000"/>
          <w:sz w:val="20"/>
        </w:rPr>
        <w:t xml:space="preserve"> </w:t>
      </w:r>
      <w:r>
        <w:rPr>
          <w:rFonts w:ascii="Calibri;sans-serif" w:hAnsi="Calibri;sans-serif"/>
          <w:color w:val="000000"/>
          <w:sz w:val="20"/>
        </w:rPr>
        <w:t>million of charges for inventory not expected to be sold prior to its expiration date. No</w:t>
      </w:r>
      <w:r>
        <w:rPr>
          <w:rFonts w:ascii="Times New Roman" w:hAnsi="Times New Roman"/>
          <w:color w:val="000000"/>
          <w:sz w:val="20"/>
        </w:rPr>
        <w:t xml:space="preserve"> </w:t>
      </w:r>
      <w:r>
        <w:rPr>
          <w:rFonts w:ascii="Calibri;sans-serif" w:hAnsi="Calibri;sans-serif"/>
          <w:color w:val="000000"/>
          <w:sz w:val="20"/>
        </w:rPr>
        <w:t>inventory adjustments or charges were recorded in the comparable prior periods.</w:t>
      </w:r>
    </w:p>
    <w:p>
      <w:pPr>
        <w:pStyle w:val="TextBody"/>
        <w:bidi w:val="0"/>
        <w:spacing w:before="200" w:after="283"/>
        <w:jc w:val="left"/>
        <w:rPr>
          <w:rFonts w:ascii="Times New Roman" w:hAnsi="Times New Roman"/>
          <w:sz w:val="20"/>
        </w:rPr>
      </w:pPr>
      <w:r>
        <w:rPr>
          <w:rFonts w:ascii="Calibri;sans-serif" w:hAnsi="Calibri;sans-serif"/>
          <w:b/>
          <w:i/>
          <w:color w:val="000000"/>
          <w:sz w:val="20"/>
        </w:rPr>
        <w:t>Property and Equipment, Net</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Property and equipment are recorded at cost, less accumulated depreciation. Depreciation expense is recognized using the straight-line method over the useful life of the asset. Computer equipment and related software are depreciated over two</w:t>
      </w:r>
      <w:r>
        <w:rPr>
          <w:rFonts w:ascii="Times New Roman" w:hAnsi="Times New Roman"/>
          <w:color w:val="000000"/>
          <w:sz w:val="20"/>
        </w:rPr>
        <w:t xml:space="preserve"> </w:t>
      </w:r>
      <w:r>
        <w:rPr>
          <w:rFonts w:ascii="Calibri;sans-serif" w:hAnsi="Calibri;sans-serif"/>
          <w:color w:val="000000"/>
          <w:sz w:val="20"/>
        </w:rPr>
        <w:t>to three years. Equipment is depreciated over five years. Furniture and fixtures are depreciated over three years. Leasehold improvements are amortized over the lesser of the lease term or the estimated useful lives of the related assets. Expenditures for repairs and maintenance of assets are charged to expense as incurred. Upon retirement or sale, the cost and related accumulated depreciation of assets disposed of are removed from the accounts and any resulting gain or loss is included in loss from operations.</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Impairment of Long-Lived Assets</w:t>
      </w:r>
    </w:p>
    <w:p>
      <w:pPr>
        <w:pStyle w:val="TextBody"/>
        <w:bidi w:val="0"/>
        <w:spacing w:before="200" w:after="283"/>
        <w:jc w:val="left"/>
        <w:rPr>
          <w:rFonts w:ascii="Times New Roman" w:hAnsi="Times New Roman"/>
          <w:sz w:val="20"/>
        </w:rPr>
      </w:pPr>
      <w:r>
        <w:rPr>
          <w:rFonts w:ascii="Calibri;sans-serif" w:hAnsi="Calibri;sans-serif"/>
          <w:color w:val="000000"/>
          <w:sz w:val="20"/>
        </w:rPr>
        <w:t>The Company reviews long-lived assets, including property and equipment, for impairment whenever events or changes in business circumstances indicate that the carrying amount of the assets may not be fully recoverable. An impairment loss would be recognized when estimated undiscounted future cash flows expected to result from the use of the asset and its eventual disposition are less than the carrying amount. The impairment loss, if recognized, would be based on the excess of the carrying value of the impaired asset over its respective fair value. No</w:t>
      </w:r>
      <w:r>
        <w:rPr>
          <w:rFonts w:ascii="Times New Roman" w:hAnsi="Times New Roman"/>
          <w:color w:val="000000"/>
          <w:sz w:val="20"/>
        </w:rPr>
        <w:t xml:space="preserve"> </w:t>
      </w:r>
      <w:r>
        <w:rPr>
          <w:rFonts w:ascii="Calibri;sans-serif" w:hAnsi="Calibri;sans-serif"/>
          <w:color w:val="000000"/>
          <w:sz w:val="20"/>
        </w:rPr>
        <w:t>impairment losses have been recorded</w:t>
      </w:r>
      <w:r>
        <w:rPr>
          <w:rFonts w:ascii="Times New Roman" w:hAnsi="Times New Roman"/>
          <w:color w:val="000000"/>
          <w:sz w:val="20"/>
        </w:rPr>
        <w:t xml:space="preserve"> </w:t>
      </w:r>
      <w:r>
        <w:rPr>
          <w:rFonts w:ascii="Calibri;sans-serif" w:hAnsi="Calibri;sans-serif"/>
          <w:color w:val="000000"/>
          <w:sz w:val="20"/>
        </w:rPr>
        <w:t>for the six months ended June 30, 2024 and 2023.</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Other Long-Term Assets</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Other long-term assets consist of deposits relating to our co-pay and patient support programs and security deposits on our leased properties.</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Leases</w:t>
      </w:r>
    </w:p>
    <w:p>
      <w:pPr>
        <w:pStyle w:val="TextBody"/>
        <w:bidi w:val="0"/>
        <w:spacing w:before="200" w:after="283"/>
        <w:jc w:val="left"/>
        <w:rPr>
          <w:rFonts w:ascii="Times New Roman" w:hAnsi="Times New Roman"/>
          <w:sz w:val="20"/>
        </w:rPr>
      </w:pPr>
      <w:r>
        <w:rPr>
          <w:rFonts w:ascii="Calibri;sans-serif" w:hAnsi="Calibri;sans-serif"/>
          <w:color w:val="000000"/>
          <w:sz w:val="20"/>
        </w:rPr>
        <w:t>At the inception of a contractual arrangement, the Company determines whether the contract contains a lease by assessing whether there is an identified asset and whether the contract conveys the right to control the use of the identified asset in exchange for consideration over a period of time. If both criteria are met, the Company records the associated lease liability and corresponding right-of-use asset upon commencement of the lease using the implicit rate or a discount rate based on a credit-adjusted secured borrowing rate commensurate with the term of the lease. The Company additionally evaluates leases at their inception to determine if they are to be accounted for as an operating lease or a finance lease. A lease is accounted for as a finance lease if it meets one of the following five criteria: the lease has a purchase option that is reasonably certain of being exercised, the present value of the future cash flows is substantially all of the fair market value of the underlying asset, the lease term is for a</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Calibri;sans-serif" w:hAnsi="Calibri;sans-serif"/>
          <w:color w:val="000000"/>
          <w:sz w:val="20"/>
        </w:rPr>
        <w:t>significant portion of the remaining economic life of the underlying asset, the title to the underlying asset transfers at the end of the lease term, or if the underlying asset is of such a specialized nature that it is expected to have no alternative uses to the lessor at the end of the term. Leases that do not meet the finance lease criteria are accounted for as an operating lease. Operating lease assets represent a right to use an underlying asset for the lease term and operating lease liabilities represent an obligation to make lease payments arising from the lease. Operating lease liabilities with a term greater than one year and their corresponding right-of-use assets are recognized on the balance sheet at the commencement date of the lease based on the present value of lease payments over the expected lease term. Certain adjustments to the right-of-use asset may be required for items such as initial direct costs paid or incentives received. As the Company’s leases do not typically provide an implicit rate, the Company utilizes the appropriate incremental borrowing rate, determined as the rate of interest that the Company would have to pay to borrow on a collateralized basis over a similar term and in a similar economic environment. Lease cost is recognized on a straight-line basis over the lease term and variable lease payments are recognized as operating expenses in the period in which the obligation for those payments is incurred. Variable lease payments primarily include common area maintenance, utilities, real estate taxes, insurance, and other operating costs that are passed on from the lessor in proportion to the space leased by the Company. The Company has elected the practical expedient to not separate between lease and non-lease components.</w:t>
      </w:r>
      <w:r>
        <w:rPr>
          <w:rFonts w:ascii="Times New Roman" w:hAnsi="Times New Roman"/>
          <w:color w:val="000000"/>
          <w:sz w:val="20"/>
        </w:rPr>
        <w:t xml:space="preserve"> </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Revenue Interest Financing Liability</w:t>
      </w:r>
    </w:p>
    <w:p>
      <w:pPr>
        <w:pStyle w:val="TextBody"/>
        <w:bidi w:val="0"/>
        <w:spacing w:before="200" w:after="283"/>
        <w:jc w:val="left"/>
        <w:rPr>
          <w:rFonts w:ascii="Times New Roman" w:hAnsi="Times New Roman"/>
          <w:sz w:val="20"/>
        </w:rPr>
      </w:pPr>
      <w:r>
        <w:rPr>
          <w:rFonts w:ascii="Calibri;sans-serif" w:hAnsi="Calibri;sans-serif"/>
          <w:color w:val="000000"/>
          <w:sz w:val="20"/>
        </w:rPr>
        <w:t>The Company entered into a revenue interest financing agreement, or the Revenue Interest Financing Agreement, with entities managed or advised by NovaQuest Capital Management, or NQ, Sagard Holdings Manager LP, or Sagard, and Hercules Capital, Inc., or Hercules, together with NQ and Sagard, the Initial Investors, in which the Company received funds in return for royalties on net sales of products containing vonoprazan, in May 2022. Subsequently, in October 2022, the Company entered into a Joinder Agreement with the Initial Investors and CO Finance LVS XXXVII LLC, or the Additional Investor, together as the Investors. The net proceeds received under the transactions are recognized as short-term and long-term liabilities with interest expense based on an imputed effective rate derived from the expected future payments to the Investors. The Company recalculates the effective interest rate each period based on the current carrying value and the revised estimated future payments to the Investors. Changes in future payments to the Investors from previous estimates are included in current and future interest expense.</w:t>
      </w:r>
      <w:r>
        <w:rPr>
          <w:rFonts w:ascii="Times New Roman" w:hAnsi="Times New Roman"/>
          <w:color w:val="000000"/>
          <w:sz w:val="20"/>
        </w:rPr>
        <w:t xml:space="preserve"> </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Revenue Recognition</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Pursuant to Accounting Standards Codification 606, Revenue from Contracts with Customers, or ASC 606, the Company recognizes revenue when a customer obtains control of promised goods or services. The Company records the amount of revenue that reflects the consideration that it expects to receive in exchange for those goods or services. The Company applies the following five-step model in order to determine this amount: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The Company only applies the five-step model to contracts when it is probable that it will collect the consideration to which it is entitled in exchange for the goods or services that it transfers to the customer. Once a contract is determined to be within the scope of ASC 606 at contract inception, the Company reviews the contract to determine which performance obligations it must deliver and which of these performance obligations are distinct. The Company recognizes as revenue the amount of the transaction price that is allocated to each performance obligation when that performance obligation is satisfied or as it is satisfied. Generally, the Company’s performance obligations are transferred to customers at a point in time, typically upon delivery.</w:t>
      </w:r>
    </w:p>
    <w:p>
      <w:pPr>
        <w:pStyle w:val="TextBody"/>
        <w:bidi w:val="0"/>
        <w:spacing w:before="200" w:after="283"/>
        <w:jc w:val="left"/>
        <w:rPr>
          <w:rFonts w:ascii="Calibri;sans-serif" w:hAnsi="Calibri;sans-serif"/>
          <w:i/>
          <w:color w:val="000000"/>
          <w:sz w:val="20"/>
        </w:rPr>
      </w:pPr>
      <w:r>
        <w:rPr>
          <w:rFonts w:ascii="Calibri;sans-serif" w:hAnsi="Calibri;sans-serif"/>
          <w:i/>
          <w:color w:val="000000"/>
          <w:sz w:val="20"/>
        </w:rPr>
        <w:t>Product Revenue, Net</w:t>
      </w:r>
    </w:p>
    <w:p>
      <w:pPr>
        <w:pStyle w:val="TextBody"/>
        <w:bidi w:val="0"/>
        <w:spacing w:before="200" w:after="283"/>
        <w:jc w:val="left"/>
        <w:rPr>
          <w:rFonts w:ascii="Times New Roman" w:hAnsi="Times New Roman"/>
          <w:sz w:val="20"/>
        </w:rPr>
      </w:pPr>
      <w:r>
        <w:rPr>
          <w:rFonts w:ascii="Calibri;sans-serif" w:hAnsi="Calibri;sans-serif"/>
          <w:color w:val="000000"/>
          <w:sz w:val="20"/>
        </w:rPr>
        <w:t>The Company sells its product to its customers, primarily wholesale distributors, in the United States. The Company’s customers subsequently resell the products to pharmacies and health care providers. In accordance with ASC 606, the Company recognizes net product revenues from sales when the customers obtain control of the Company’s products, which typically occurs upon delivery to the customer.</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Revenues from product sales are recorded at the net sales price, or transaction price, which includes estimates of variable consideration that result from (a) invoice discounts for prompt payment and distribution service fees, (b) government and private payor rebates, chargebacks, discounts and fees, (c) product returns and (d) costs of co-pay assistance programs for patients, as well as other incentives for certain indirect customers. Reserves are established for the estimates of variable consideration based on the amounts earned or to be claimed on the related sales. The reserves are classified as reductions to accounts receivable, net if payable to a customer or accrued expenses if payable to a third-party or related to product returns. Where appropriate, the Company utilizes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the expected value method to determine the appropriate amount for estimates of variable consideration based on factors such as current contractual and statutory requirements, specific known market events and trends, industry data and forecasted customer buying and payment patterns. The amount of variable consideration that is included in the transaction price may be constrained and is included in net product revenues only to the extent that it is probable that a significant reversal in the amount of the cumulative revenue recognized will not occur in a future period. Actual amounts of consideration ultimately received may differ from the Company’s estimates. If actual results vary from the Company’s estimates, the Company will adjust these estimates, which would affect net product revenue and earnings in the period such variances become known.</w:t>
      </w:r>
    </w:p>
    <w:p>
      <w:pPr>
        <w:pStyle w:val="TextBody"/>
        <w:bidi w:val="0"/>
        <w:spacing w:before="200" w:after="283"/>
        <w:jc w:val="left"/>
        <w:rPr>
          <w:rFonts w:ascii="Times New Roman" w:hAnsi="Times New Roman"/>
          <w:sz w:val="20"/>
        </w:rPr>
      </w:pPr>
      <w:r>
        <w:rPr>
          <w:rFonts w:ascii="Calibri;sans-serif" w:hAnsi="Calibri;sans-serif"/>
          <w:i/>
          <w:color w:val="000000"/>
          <w:sz w:val="20"/>
        </w:rPr>
        <w:t>Distribution Service Fees:</w:t>
      </w:r>
      <w:r>
        <w:rPr>
          <w:rFonts w:ascii="Times New Roman" w:hAnsi="Times New Roman"/>
          <w:color w:val="000000"/>
          <w:sz w:val="20"/>
        </w:rPr>
        <w:t xml:space="preserve"> </w:t>
      </w:r>
      <w:r>
        <w:rPr>
          <w:rFonts w:ascii="Calibri;sans-serif" w:hAnsi="Calibri;sans-serif"/>
          <w:color w:val="000000"/>
          <w:sz w:val="20"/>
        </w:rPr>
        <w:t>The Company engages with wholesalers to distribute its products to end customers. The Company pays the wholesalers a fee for services such as: Data Reporting, Inventory Management, Chargeback Administration and Service Level Commitment. The Company estimates the amount of distribution services fees to be paid to the customers based on a contractually fixed percentage of wholesaler acquisition costs and are calculated at the time of sale based on the purchase amount and the transaction price is adjusted with the amount of such estimate at the time of sale to the customer. Estimated distribution service fees are recorded within accounts receivable, net on the balance sheet.</w:t>
      </w:r>
    </w:p>
    <w:p>
      <w:pPr>
        <w:pStyle w:val="TextBody"/>
        <w:bidi w:val="0"/>
        <w:spacing w:before="200" w:after="283"/>
        <w:jc w:val="left"/>
        <w:rPr>
          <w:rFonts w:ascii="Times New Roman" w:hAnsi="Times New Roman"/>
          <w:sz w:val="20"/>
        </w:rPr>
      </w:pPr>
      <w:r>
        <w:rPr>
          <w:rFonts w:ascii="Calibri;sans-serif" w:hAnsi="Calibri;sans-serif"/>
          <w:i/>
          <w:color w:val="000000"/>
          <w:sz w:val="20"/>
        </w:rPr>
        <w:t>Prompt Pay Discounts:</w:t>
      </w:r>
      <w:r>
        <w:rPr>
          <w:rFonts w:ascii="Times New Roman" w:hAnsi="Times New Roman"/>
          <w:color w:val="000000"/>
          <w:sz w:val="20"/>
        </w:rPr>
        <w:t xml:space="preserve"> </w:t>
      </w:r>
      <w:r>
        <w:rPr>
          <w:rFonts w:ascii="Calibri;sans-serif" w:hAnsi="Calibri;sans-serif"/>
          <w:color w:val="000000"/>
          <w:sz w:val="20"/>
        </w:rPr>
        <w:t>The Company provides its customers with a percentage discount on their invoice if the customers pay within the agreed upon timeframe. The Company estimates the probability of customers paying promptly and the percentage of discount outlined in the agreement, and deducts the full amount of these discounts. Estimated prompt pay discounts are recorded within accounts receivable, net on the balance sheet.</w:t>
      </w:r>
    </w:p>
    <w:p>
      <w:pPr>
        <w:pStyle w:val="TextBody"/>
        <w:bidi w:val="0"/>
        <w:spacing w:before="200" w:after="283"/>
        <w:jc w:val="left"/>
        <w:rPr>
          <w:rFonts w:ascii="Times New Roman" w:hAnsi="Times New Roman"/>
          <w:sz w:val="20"/>
        </w:rPr>
      </w:pPr>
      <w:r>
        <w:rPr>
          <w:rFonts w:ascii="Calibri;sans-serif" w:hAnsi="Calibri;sans-serif"/>
          <w:i/>
          <w:color w:val="000000"/>
          <w:sz w:val="20"/>
        </w:rPr>
        <w:t>Product Returns:</w:t>
      </w:r>
      <w:r>
        <w:rPr>
          <w:rFonts w:ascii="Times New Roman" w:hAnsi="Times New Roman"/>
          <w:color w:val="000000"/>
          <w:sz w:val="20"/>
        </w:rPr>
        <w:t xml:space="preserve"> </w:t>
      </w:r>
      <w:r>
        <w:rPr>
          <w:rFonts w:ascii="Calibri;sans-serif" w:hAnsi="Calibri;sans-serif"/>
          <w:color w:val="000000"/>
          <w:sz w:val="20"/>
        </w:rPr>
        <w:t>The Company provides customers a return credit in the amount of the purchase price paid by customers for all products returned in accordance with the Company’s returned goods policy. In the initial sales period, the Company estimates its provision for sales returns based on industry data and adjusts the transaction price with such estimate at the time of sale to the customer. Once sufficient history has been collected for product returns, the Company will utilize that history to inform its estimate assumptions. Once the product is returned, it is destroyed. The Company does not record a right-of-return asset. Estimated product returns are recorded as accrued expenses on the balance sheet.</w:t>
      </w:r>
    </w:p>
    <w:p>
      <w:pPr>
        <w:pStyle w:val="TextBody"/>
        <w:bidi w:val="0"/>
        <w:spacing w:before="200" w:after="283"/>
        <w:jc w:val="left"/>
        <w:rPr>
          <w:rFonts w:ascii="Times New Roman" w:hAnsi="Times New Roman"/>
          <w:sz w:val="20"/>
        </w:rPr>
      </w:pPr>
      <w:r>
        <w:rPr>
          <w:rFonts w:ascii="Calibri;sans-serif" w:hAnsi="Calibri;sans-serif"/>
          <w:i/>
          <w:color w:val="000000"/>
          <w:sz w:val="20"/>
        </w:rPr>
        <w:t>Chargebacks:</w:t>
      </w:r>
      <w:r>
        <w:rPr>
          <w:rFonts w:ascii="Times New Roman" w:hAnsi="Times New Roman"/>
          <w:color w:val="000000"/>
          <w:sz w:val="20"/>
        </w:rPr>
        <w:t xml:space="preserve"> </w:t>
      </w:r>
      <w:r>
        <w:rPr>
          <w:rFonts w:ascii="Calibri;sans-serif" w:hAnsi="Calibri;sans-serif"/>
          <w:color w:val="000000"/>
          <w:sz w:val="20"/>
        </w:rPr>
        <w:t>A chargeback is the difference between the manufacturer's invoice price to the wholesaler and the contract price the wholesaler’s customer has negotiated directly with the manufacturer. The wholesaler tracks these sales and "charges back" the manufacturer for the difference between the negotiated prices paid between the wholesaler's customers and wholesaler's acquisition cost. The Company estimates the percentage of goods sold that are eligible for chargeback and adjusts the transaction price for such discount at the time of sale to the customer. Estimated chargebacks are recorded within accounts receivable, net on the balance sheet.</w:t>
      </w:r>
    </w:p>
    <w:p>
      <w:pPr>
        <w:pStyle w:val="TextBody"/>
        <w:bidi w:val="0"/>
        <w:spacing w:before="200" w:after="283"/>
        <w:jc w:val="left"/>
        <w:rPr>
          <w:rFonts w:ascii="Times New Roman" w:hAnsi="Times New Roman"/>
          <w:sz w:val="20"/>
        </w:rPr>
      </w:pPr>
      <w:r>
        <w:rPr>
          <w:rFonts w:ascii="Calibri;sans-serif" w:hAnsi="Calibri;sans-serif"/>
          <w:i/>
          <w:color w:val="000000"/>
          <w:sz w:val="20"/>
        </w:rPr>
        <w:t>Administration Fees:</w:t>
      </w:r>
      <w:r>
        <w:rPr>
          <w:rFonts w:ascii="Times New Roman" w:hAnsi="Times New Roman"/>
          <w:color w:val="000000"/>
          <w:sz w:val="20"/>
        </w:rPr>
        <w:t xml:space="preserve"> </w:t>
      </w:r>
      <w:r>
        <w:rPr>
          <w:rFonts w:ascii="Calibri;sans-serif" w:hAnsi="Calibri;sans-serif"/>
          <w:color w:val="000000"/>
          <w:sz w:val="20"/>
        </w:rPr>
        <w:t>The Company engages with Pharmacy Benefit Managers, or PBMs, to administer prescription-drug plans for people with third-party insurance through a self-insured employer, health insurance plan, labor union or government plan. The Company pays PBMs “administrative fees” for their role in providing utilization data, administering rebates, and administering claims payments. The Company estimates the amount of administration fees to be paid to PBMs and adjusts the transaction price with the amount of such estimate at the time of sale to the customer. Estimated administration fees are recorded within accrued expenses on the balance sheet.</w:t>
      </w:r>
    </w:p>
    <w:p>
      <w:pPr>
        <w:pStyle w:val="TextBody"/>
        <w:bidi w:val="0"/>
        <w:spacing w:before="200" w:after="283"/>
        <w:jc w:val="left"/>
        <w:rPr>
          <w:rFonts w:ascii="Times New Roman" w:hAnsi="Times New Roman"/>
          <w:sz w:val="20"/>
        </w:rPr>
      </w:pPr>
      <w:r>
        <w:rPr>
          <w:rFonts w:ascii="Calibri;sans-serif" w:hAnsi="Calibri;sans-serif"/>
          <w:i/>
          <w:color w:val="000000"/>
          <w:sz w:val="20"/>
        </w:rPr>
        <w:t>Rebates</w:t>
      </w:r>
      <w:r>
        <w:rPr>
          <w:rFonts w:ascii="Calibri;sans-serif" w:hAnsi="Calibri;sans-serif"/>
          <w:color w:val="000000"/>
          <w:sz w:val="20"/>
        </w:rPr>
        <w:t>: Rebates apply to:</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Medicaid, managed care, and supplemental rebates to all applicable states as defined by the statutory government pricing calculation requirements under the Medicaid Drug Rebate Program, and</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 xml:space="preserve">Medicare Part D and Commercial Managed Care rebates are paid based on the contracts with PBMs and Managed Care Organizations. Rebates are paid to these entities upon receipt of an invoice from the contracted entity which is based on the utilization of the product by the members of the contracted entity. </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The Company estimates the percentage of goods sold that are eligible for rebates and adjusts the transaction price for such discounts at the time of sale to the customers. Estimated rebates are recorded as accrued expenses on the balance sheet.</w:t>
      </w:r>
    </w:p>
    <w:p>
      <w:pPr>
        <w:pStyle w:val="TextBody"/>
        <w:bidi w:val="0"/>
        <w:spacing w:before="200" w:after="283"/>
        <w:jc w:val="left"/>
        <w:rPr>
          <w:rFonts w:ascii="Times New Roman" w:hAnsi="Times New Roman"/>
          <w:sz w:val="20"/>
        </w:rPr>
      </w:pPr>
      <w:r>
        <w:rPr>
          <w:rFonts w:ascii="Calibri;sans-serif" w:hAnsi="Calibri;sans-serif"/>
          <w:i/>
          <w:color w:val="000000"/>
          <w:sz w:val="20"/>
        </w:rPr>
        <w:t>Coverage Gap:</w:t>
      </w:r>
      <w:r>
        <w:rPr>
          <w:rFonts w:ascii="Times New Roman" w:hAnsi="Times New Roman"/>
          <w:color w:val="000000"/>
          <w:sz w:val="20"/>
        </w:rPr>
        <w:t xml:space="preserve"> </w:t>
      </w:r>
      <w:r>
        <w:rPr>
          <w:rFonts w:ascii="Calibri;sans-serif" w:hAnsi="Calibri;sans-serif"/>
          <w:color w:val="000000"/>
          <w:sz w:val="20"/>
        </w:rPr>
        <w:t>The Medicare Part D coverage gap, also called the donut hole, is a period of consumer payment for prescription medication costs which lies between the initial coverage limit and the catastrophic-coverage threshold, when the patient is a member of a Medicare Part D prescription-drug program administered by the Centers for Medicare &amp; Medicaid Services. The Company estimates the percentage of goods sold under Coverage Gap and adjusts the transaction price for such discount at the time of sale to the customer. Estimated coverage gap accruals are recorded as accrued expenses on the balance sheet.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The Company makes significant estimates and judgments that materially affect its recognition of net product revenue. Claims by third-party payors for rebates, chargebacks and discounts frequently are submitted to the Company significantly after the related sales, potentially resulting in adjustments in the period in which the new information becomes known. The Company will adjust its estimates based on new information, including information regarding actual rebates, chargebacks, co-pays and discounts for its products, as it becomes available.</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Cost of Revenue</w:t>
      </w:r>
    </w:p>
    <w:p>
      <w:pPr>
        <w:pStyle w:val="TextBody"/>
        <w:bidi w:val="0"/>
        <w:spacing w:before="200" w:after="283"/>
        <w:jc w:val="left"/>
        <w:rPr>
          <w:rFonts w:ascii="Times New Roman" w:hAnsi="Times New Roman"/>
          <w:sz w:val="20"/>
        </w:rPr>
      </w:pPr>
      <w:r>
        <w:rPr>
          <w:rFonts w:ascii="Calibri;sans-serif" w:hAnsi="Calibri;sans-serif"/>
          <w:color w:val="000000"/>
          <w:sz w:val="20"/>
        </w:rPr>
        <w:t>Cost of revenue includes the cost of producing and distributing inventories that are related to product sales. This also includes royalties payable to Takeda Pharmaceutical Company Limited, or Takeda, pursuant to the Takeda License Agreement (Refer to Note 4 for further details). In addition, shipping and handling costs for product sales are recorded as incurred. Cost of revenue also includes costs related to excess or obsolete inventory adjustment charges.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In connection with the FDA approvals of VOQUEZNA, VOQUEZNA TRIPLE PAK, and VOQUEZNA DUAL PAK, the Company began capitalizing inventory manufactured by or purchased from third parties. Prior to receiving FDA approvals, manufacturing costs related to inventory purchased were expensed as research and development expense and therefore are excluded from cost of revenue during the current periods. These previously expensed costs were not material.</w:t>
      </w:r>
      <w:r>
        <w:rPr>
          <w:rFonts w:ascii="Times New Roman" w:hAnsi="Times New Roman"/>
          <w:color w:val="000000"/>
          <w:sz w:val="20"/>
        </w:rPr>
        <w:t xml:space="preserve"> </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Research and Development Expenses and Accruals</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All research and development costs are expensed in the period incurred and consist primarily of salaries, payroll taxes, employee benefits, stock-based compensation charges for those individuals involved in research and development efforts, external research and development costs incurred under agreements with contract research organizations, or CROs, and consultants to conduct and support the Company’s ongoing clinical trials of vonoprazan, and costs related to manufacturing vonoprazan for clinical trials.</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The Company has entered into various research and development contracts with clinical research organizations, clinical manufacturing organizations and other companies. Payments for these activities are based on the terms of the individual agreements, which may differ from the pattern of costs incurred, and payments made in advance of or after performance are reflected in the accompanying balance sheets as prepaid expenses or accrued liabilities, respectively. The Company records accruals for estimated costs incurred for ongoing research and development activities. When evaluating the adequacy of the accrued liabilities, the Company analyzes progress of the services, including the phase or completion of events, invoices received and contracted costs. Significant judgments and estimates may be made in determining the prepaid or accrued balances at the end of any reporting period. Actual results could differ from the Company’s estimates.</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Selling, General and Administrative Expenses</w:t>
      </w:r>
    </w:p>
    <w:p>
      <w:pPr>
        <w:pStyle w:val="TextBody"/>
        <w:bidi w:val="0"/>
        <w:spacing w:before="200" w:after="283"/>
        <w:jc w:val="left"/>
        <w:rPr>
          <w:rFonts w:ascii="Times New Roman" w:hAnsi="Times New Roman"/>
          <w:sz w:val="20"/>
        </w:rPr>
      </w:pPr>
      <w:r>
        <w:rPr>
          <w:rFonts w:ascii="Calibri;sans-serif" w:hAnsi="Calibri;sans-serif"/>
          <w:color w:val="000000"/>
          <w:sz w:val="20"/>
        </w:rPr>
        <w:t>Selling, general and administrative expenses consist of salaries and employee-related costs, including stock-based compensation, for personnel in commercial, executive, finance, accounting, information technology, legal, medical affairs and human resources functions.</w:t>
      </w:r>
      <w:r>
        <w:rPr>
          <w:rFonts w:ascii="Times New Roman" w:hAnsi="Times New Roman"/>
          <w:color w:val="000000"/>
          <w:sz w:val="20"/>
        </w:rPr>
        <w:t xml:space="preserve"> </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Advertising and Marketing Costs</w:t>
      </w:r>
    </w:p>
    <w:p>
      <w:pPr>
        <w:pStyle w:val="TextBody"/>
        <w:bidi w:val="0"/>
        <w:spacing w:before="200" w:after="283"/>
        <w:jc w:val="left"/>
        <w:rPr>
          <w:rFonts w:ascii="Times New Roman" w:hAnsi="Times New Roman"/>
          <w:sz w:val="20"/>
        </w:rPr>
      </w:pPr>
      <w:r>
        <w:rPr>
          <w:rFonts w:ascii="Calibri;sans-serif" w:hAnsi="Calibri;sans-serif"/>
          <w:color w:val="000000"/>
          <w:sz w:val="20"/>
        </w:rPr>
        <w:t>Advertising and marketing costs are expensed as incurred. Advertising and marketing costs for the three and six months ended June 30, 2024</w:t>
      </w:r>
      <w:r>
        <w:rPr>
          <w:rFonts w:ascii="Times New Roman" w:hAnsi="Times New Roman"/>
          <w:color w:val="000000"/>
          <w:sz w:val="20"/>
        </w:rPr>
        <w:t xml:space="preserve"> </w:t>
      </w:r>
      <w:r>
        <w:rPr>
          <w:rFonts w:ascii="Calibri;sans-serif" w:hAnsi="Calibri;sans-serif"/>
          <w:color w:val="000000"/>
          <w:sz w:val="20"/>
        </w:rPr>
        <w:t>were approximately $16.7</w:t>
      </w:r>
      <w:r>
        <w:rPr>
          <w:rFonts w:ascii="Times New Roman" w:hAnsi="Times New Roman"/>
          <w:color w:val="000000"/>
          <w:sz w:val="20"/>
        </w:rPr>
        <w:t xml:space="preserve"> </w:t>
      </w:r>
      <w:r>
        <w:rPr>
          <w:rFonts w:ascii="Calibri;sans-serif" w:hAnsi="Calibri;sans-serif"/>
          <w:color w:val="000000"/>
          <w:sz w:val="20"/>
        </w:rPr>
        <w:t>million and $23.5</w:t>
      </w:r>
      <w:r>
        <w:rPr>
          <w:rFonts w:ascii="Times New Roman" w:hAnsi="Times New Roman"/>
          <w:color w:val="000000"/>
          <w:sz w:val="20"/>
        </w:rPr>
        <w:t xml:space="preserve"> </w:t>
      </w:r>
      <w:r>
        <w:rPr>
          <w:rFonts w:ascii="Calibri;sans-serif" w:hAnsi="Calibri;sans-serif"/>
          <w:color w:val="000000"/>
          <w:sz w:val="20"/>
        </w:rPr>
        <w:t>million, respectively, and are included in selling, general and administrative expenses. Advertising and marketing costs were not material for the three and six months ended June 30, 2023.</w:t>
      </w:r>
    </w:p>
    <w:p>
      <w:pPr>
        <w:pStyle w:val="TextBody"/>
        <w:bidi w:val="0"/>
        <w:spacing w:before="200" w:after="283"/>
        <w:jc w:val="left"/>
        <w:rPr>
          <w:rFonts w:ascii="Times New Roman" w:hAnsi="Times New Roman"/>
          <w:sz w:val="20"/>
        </w:rPr>
      </w:pPr>
      <w:r>
        <w:rPr>
          <w:rFonts w:ascii="Calibri;sans-serif" w:hAnsi="Calibri;sans-serif"/>
          <w:b/>
          <w:i/>
          <w:color w:val="000000"/>
          <w:sz w:val="20"/>
        </w:rPr>
        <w:t>Stock-Based Compensation</w:t>
      </w:r>
      <w:r>
        <w:rPr>
          <w:rFonts w:ascii="Times New Roman" w:hAnsi="Times New Roman"/>
          <w:color w:val="000000"/>
          <w:sz w:val="20"/>
        </w:rPr>
        <w:t xml:space="preserve"> </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Stock-based compensation expense represents the cost of the grant date fair value of equity awards recognized over the requisite service period of the awards (generally the vesting period) on a straight-line basis with forfeitures recognized as they occur.</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The Company also maintains an employee stock purchase program, or ESPP, under which it may issue shares. The Company estimates the fair value of shares that will be issued under the ESPP, and of stock options using the Black-Scholes valuation model, which requires the use of estimates. The Company recognizes stock-based compensation cost for shares that it will issue under the ESPP on a straight-line basis over the requisite service period of the award.</w:t>
      </w:r>
    </w:p>
    <w:p>
      <w:pPr>
        <w:pStyle w:val="TextBody"/>
        <w:bidi w:val="0"/>
        <w:spacing w:before="20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Income Taxes</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statements and tax basis of assets and liabilities using enacted tax rates in effect for the year in which the differences are expected to reverse. The effect of a change in tax rates on deferred tax assets and liabilities is recognized in the statements of operations in the period that includes the enactment date.</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The Company recognizes net deferred tax assets to the extent that the Company believes these assets are more likely than not to be realized. In making such a determination, management considers all available positive and negative evidence, including future reversals of existing taxable temporary differences, projected future taxable income, tax-planning strategies, and results of recent operations. If management determines that the Company would be able to realize its deferred tax assets in the future in excess of their net recorded amount, management would make an adjustment to the deferred tax asset valuation allowance, which would reduce the provision for income taxes.</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The Company records uncertain tax positions on the basis of a two-step process whereby (i) management determines whether it is more likely than not that the tax positions will be sustained on the basis of the technical merits of the position and (ii) for those tax positions that meet the more-likely-than-not recognition threshold, management recognizes the largest amount of tax benefit that is more than 50 percent likely to be realized upon ultimate settlement with the related tax authority. The Company recognizes interest and penalties related to unrecognized tax benefits within income tax expense. Any accrued interest and penalties are included within the related tax liability.</w:t>
      </w:r>
    </w:p>
    <w:p>
      <w:pPr>
        <w:pStyle w:val="TextBody"/>
        <w:bidi w:val="0"/>
        <w:spacing w:before="200" w:after="283"/>
        <w:jc w:val="left"/>
        <w:rPr>
          <w:rFonts w:ascii="Times New Roman" w:hAnsi="Times New Roman"/>
          <w:sz w:val="20"/>
        </w:rPr>
      </w:pPr>
      <w:r>
        <w:rPr>
          <w:rFonts w:ascii="Calibri;sans-serif" w:hAnsi="Calibri;sans-serif"/>
          <w:color w:val="000000"/>
          <w:sz w:val="20"/>
        </w:rPr>
        <w:t>Beginning in 2022, the Tax Cuts and Jobs Act eliminates the option to deduct research and development expenditures currently and requires taxpayers to amortize domestic and foreign research and development expenditures over 5 years</w:t>
      </w:r>
      <w:r>
        <w:rPr>
          <w:rFonts w:ascii="Times New Roman" w:hAnsi="Times New Roman"/>
          <w:color w:val="000000"/>
          <w:sz w:val="20"/>
        </w:rPr>
        <w:t xml:space="preserve"> </w:t>
      </w:r>
      <w:r>
        <w:rPr>
          <w:rFonts w:ascii="Calibri;sans-serif" w:hAnsi="Calibri;sans-serif"/>
          <w:color w:val="000000"/>
          <w:sz w:val="20"/>
        </w:rPr>
        <w:t>and 15 years, respectively. The requirement did not impact cash from operations in the periods presented.</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Comprehensive Loss</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Comprehensive loss is defined as a change in equity during a period from transactions and other events and circumstances from non-owner sources. The Company’s comprehensive loss was the same as its reported net loss for all periods presented.</w:t>
      </w:r>
    </w:p>
    <w:p>
      <w:pPr>
        <w:pStyle w:val="TextBody"/>
        <w:bidi w:val="0"/>
        <w:spacing w:before="200" w:after="283"/>
        <w:jc w:val="left"/>
        <w:rPr>
          <w:rFonts w:ascii="Times New Roman" w:hAnsi="Times New Roman"/>
          <w:sz w:val="20"/>
        </w:rPr>
      </w:pPr>
      <w:r>
        <w:rPr>
          <w:rFonts w:ascii="Calibri;sans-serif" w:hAnsi="Calibri;sans-serif"/>
          <w:b/>
          <w:i/>
          <w:color w:val="000000"/>
          <w:sz w:val="20"/>
        </w:rPr>
        <w:t>Segment Reporting</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Operating segments are identified as components of an enterprise about which separate discrete financial information is available for evaluation by the chief operating decision maker in making decisions on how to allocate resources and assess performance. The Company views its operations and manages its business as one</w:t>
      </w:r>
      <w:r>
        <w:rPr>
          <w:rFonts w:ascii="Times New Roman" w:hAnsi="Times New Roman"/>
          <w:color w:val="000000"/>
          <w:sz w:val="20"/>
        </w:rPr>
        <w:t xml:space="preserve"> </w:t>
      </w:r>
      <w:r>
        <w:rPr>
          <w:rFonts w:ascii="Calibri;sans-serif" w:hAnsi="Calibri;sans-serif"/>
          <w:color w:val="000000"/>
          <w:sz w:val="20"/>
        </w:rPr>
        <w:t>operating segment.</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b/>
          <w:i/>
          <w:color w:val="000000"/>
          <w:sz w:val="20"/>
        </w:rPr>
        <w:t>Net Loss Per Share</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Basic net loss per share is computed by dividing the net loss by the weighted-average number of common shares outstanding for the period, without consideration for potentially dilutive securities. For the three and six months ended June 30, 2024, the Company had no</w:t>
      </w:r>
      <w:r>
        <w:rPr>
          <w:rFonts w:ascii="Times New Roman" w:hAnsi="Times New Roman"/>
          <w:color w:val="000000"/>
          <w:sz w:val="20"/>
        </w:rPr>
        <w:t xml:space="preserve"> </w:t>
      </w:r>
      <w:r>
        <w:rPr>
          <w:rFonts w:ascii="Calibri;sans-serif" w:hAnsi="Calibri;sans-serif"/>
          <w:color w:val="000000"/>
          <w:sz w:val="20"/>
        </w:rPr>
        <w:t>weighted-average unvested shares to exclude from the weighted-average number of common shares outstanding, compared to 7,334</w:t>
      </w:r>
      <w:r>
        <w:rPr>
          <w:rFonts w:ascii="Times New Roman" w:hAnsi="Times New Roman"/>
          <w:color w:val="000000"/>
          <w:sz w:val="20"/>
        </w:rPr>
        <w:t xml:space="preserve"> </w:t>
      </w:r>
      <w:r>
        <w:rPr>
          <w:rFonts w:ascii="Calibri;sans-serif" w:hAnsi="Calibri;sans-serif"/>
          <w:color w:val="000000"/>
          <w:sz w:val="20"/>
        </w:rPr>
        <w:t>and 69,578, respectively, for the same periods in 2023. Diluted net loss per share is computed by dividing the net loss by the weighted-average number of common shares and dilutive common stock equivalents outstanding for the period determined using the treasury-stock and if-converted methods. Dilutive common stock equivalents are comprised of unvested common stock, options and warrants. For the periods presented, there is no difference in the number of shares used to calculate basic and diluted shares outstanding as inclusion of the potentially dilutive securities (warrants, stock options, and common shares subject to repurchase) would be antidilutive.</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b/>
          <w:color w:val="000000"/>
          <w:sz w:val="20"/>
        </w:rPr>
        <w:t>Recently Adopted Accounting Standards</w:t>
      </w:r>
      <w:r>
        <w:rPr>
          <w:rFonts w:ascii="Times New Roman" w:hAnsi="Times New Roman"/>
          <w:color w:val="000000"/>
          <w:sz w:val="20"/>
        </w:rPr>
        <w:t xml:space="preserve"> </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There were no recently adopted accounting standards which would have a material impact on the Company's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Calibri;sans-serif" w:hAnsi="Calibri;sans-serif"/>
          <w:b/>
          <w:color w:val="000000"/>
          <w:sz w:val="20"/>
        </w:rPr>
      </w:pPr>
      <w:r>
        <w:rPr>
          <w:rFonts w:ascii="Calibri;sans-serif" w:hAnsi="Calibri;sans-serif"/>
          <w:b/>
          <w:color w:val="000000"/>
          <w:sz w:val="20"/>
        </w:rPr>
        <w:t>Recently Issued Accounting Pronouncements</w:t>
      </w:r>
    </w:p>
    <w:p>
      <w:pPr>
        <w:pStyle w:val="TextBody"/>
        <w:bidi w:val="0"/>
        <w:spacing w:before="200" w:after="283"/>
        <w:jc w:val="left"/>
        <w:rPr>
          <w:rFonts w:ascii="Times New Roman" w:hAnsi="Times New Roman"/>
          <w:sz w:val="20"/>
        </w:rPr>
      </w:pPr>
      <w:r>
        <w:rPr>
          <w:rFonts w:ascii="Calibri;sans-serif" w:hAnsi="Calibri;sans-serif"/>
          <w:color w:val="000000"/>
          <w:sz w:val="20"/>
        </w:rPr>
        <w:t>The Company assesses the adoption impacts of recently issued accounting standards by the Financial Accounting Standards Board or other standard setting bodies on the Company's financial statements as well as material updates to previous assessments, if any, from the Company’s Annual Report on Form 10-K for the year ended December 31, 2023. There were no new material accounting standards issued in the second quarter of 2024</w:t>
      </w:r>
      <w:r>
        <w:rPr>
          <w:rFonts w:ascii="Times New Roman" w:hAnsi="Times New Roman"/>
          <w:color w:val="000000"/>
          <w:sz w:val="20"/>
        </w:rPr>
        <w:t xml:space="preserve"> </w:t>
      </w:r>
      <w:r>
        <w:rPr>
          <w:rFonts w:ascii="Calibri;sans-serif" w:hAnsi="Calibri;sans-serif"/>
          <w:color w:val="000000"/>
          <w:sz w:val="20"/>
        </w:rPr>
        <w:t>that impacted the Company.</w:t>
      </w:r>
    </w:p>
    <w:p>
      <w:pPr>
        <w:pStyle w:val="TextBody"/>
        <w:bidi w:val="0"/>
        <w:spacing w:before="200" w:after="283"/>
        <w:jc w:val="left"/>
        <w:rPr>
          <w:rFonts w:ascii="Calibri;sans-serif" w:hAnsi="Calibri;sans-serif"/>
          <w:b/>
          <w:color w:val="000000"/>
          <w:sz w:val="20"/>
        </w:rPr>
      </w:pPr>
      <w:r>
        <w:rPr>
          <w:rFonts w:ascii="Calibri;sans-serif" w:hAnsi="Calibri;sans-serif"/>
          <w:b/>
          <w:color w:val="000000"/>
          <w:sz w:val="20"/>
        </w:rPr>
        <w:t>2. Balance Sheet Details</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Property and Equipment, Net</w:t>
      </w:r>
    </w:p>
    <w:p>
      <w:pPr>
        <w:pStyle w:val="TextBody"/>
        <w:bidi w:val="0"/>
        <w:spacing w:before="200" w:after="200"/>
        <w:jc w:val="left"/>
        <w:rPr>
          <w:rFonts w:ascii="Calibri;sans-serif" w:hAnsi="Calibri;sans-serif"/>
          <w:color w:val="000000"/>
          <w:sz w:val="20"/>
        </w:rPr>
      </w:pPr>
      <w:r>
        <w:rPr>
          <w:rFonts w:ascii="Calibri;sans-serif" w:hAnsi="Calibri;sans-serif"/>
          <w:color w:val="000000"/>
          <w:sz w:val="20"/>
        </w:rPr>
        <w:t>Property and equipment, net, consist of the following (in thousands):</w:t>
      </w:r>
    </w:p>
    <w:tbl>
      <w:tblPr>
        <w:tblW w:w="6717" w:type="dxa"/>
        <w:jc w:val="left"/>
        <w:tblInd w:w="0" w:type="dxa"/>
        <w:tblLayout w:type="fixed"/>
        <w:tblCellMar>
          <w:top w:w="28" w:type="dxa"/>
          <w:left w:w="28" w:type="dxa"/>
          <w:bottom w:w="28" w:type="dxa"/>
          <w:right w:w="28" w:type="dxa"/>
        </w:tblCellMar>
      </w:tblPr>
      <w:tblGrid>
        <w:gridCol w:w="3946"/>
        <w:gridCol w:w="146"/>
        <w:gridCol w:w="211"/>
        <w:gridCol w:w="631"/>
        <w:gridCol w:w="166"/>
        <w:gridCol w:w="146"/>
        <w:gridCol w:w="314"/>
        <w:gridCol w:w="946"/>
        <w:gridCol w:w="211"/>
      </w:tblGrid>
      <w:tr>
        <w:trP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June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December 31,</w:t>
            </w:r>
          </w:p>
        </w:tc>
        <w:tc>
          <w:tcPr>
            <w:tcW w:w="211" w:type="dxa"/>
            <w:tcBorders/>
            <w:shd w:fill="FFFFFF" w:val="clear"/>
            <w:vAlign w:val="center"/>
          </w:tcPr>
          <w:p>
            <w:pPr>
              <w:pStyle w:val="TableContents"/>
              <w:bidi w:val="0"/>
              <w:spacing w:before="0" w:after="283"/>
              <w:jc w:val="center"/>
              <w:rPr/>
            </w:pPr>
            <w:r>
              <w:rPr/>
              <w:t> </w:t>
            </w:r>
          </w:p>
        </w:tc>
      </w:tr>
      <w:tr>
        <w:trPr/>
        <w:tc>
          <w:tcPr>
            <w:tcW w:w="39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Computer equipment and software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3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4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1,477</w:t>
            </w:r>
          </w:p>
        </w:tc>
        <w:tc>
          <w:tcPr>
            <w:tcW w:w="211" w:type="dxa"/>
            <w:tcBorders/>
            <w:shd w:fill="CFF0FC" w:val="clear"/>
            <w:vAlign w:val="center"/>
          </w:tcPr>
          <w:p>
            <w:pPr>
              <w:pStyle w:val="TableContents"/>
              <w:bidi w:val="0"/>
              <w:spacing w:before="0" w:after="283"/>
              <w:jc w:val="left"/>
              <w:rPr/>
            </w:pPr>
            <w:r>
              <w:rPr/>
              <w:t> </w:t>
            </w:r>
          </w:p>
        </w:tc>
      </w:tr>
      <w:tr>
        <w:trPr/>
        <w:tc>
          <w:tcPr>
            <w:tcW w:w="394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Furniture and fixtures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1,114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1,089</w:t>
            </w:r>
          </w:p>
        </w:tc>
        <w:tc>
          <w:tcPr>
            <w:tcW w:w="211" w:type="dxa"/>
            <w:tcBorders/>
            <w:shd w:fill="FFFFFF" w:val="clear"/>
            <w:vAlign w:val="center"/>
          </w:tcPr>
          <w:p>
            <w:pPr>
              <w:pStyle w:val="TableContents"/>
              <w:bidi w:val="0"/>
              <w:spacing w:before="0" w:after="283"/>
              <w:jc w:val="left"/>
              <w:rPr/>
            </w:pPr>
            <w:r>
              <w:rPr/>
              <w:t> </w:t>
            </w:r>
          </w:p>
        </w:tc>
      </w:tr>
      <w:tr>
        <w:trPr/>
        <w:tc>
          <w:tcPr>
            <w:tcW w:w="394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Leasehold improvements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4"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139</w:t>
            </w:r>
          </w:p>
        </w:tc>
        <w:tc>
          <w:tcPr>
            <w:tcW w:w="211" w:type="dxa"/>
            <w:tcBorders/>
            <w:shd w:fill="CFF0FC" w:val="clear"/>
            <w:vAlign w:val="center"/>
          </w:tcPr>
          <w:p>
            <w:pPr>
              <w:pStyle w:val="TableContents"/>
              <w:bidi w:val="0"/>
              <w:spacing w:before="0" w:after="283"/>
              <w:jc w:val="left"/>
              <w:rPr/>
            </w:pPr>
            <w:r>
              <w:rPr/>
              <w:t> </w:t>
            </w:r>
          </w:p>
        </w:tc>
      </w:tr>
      <w:tr>
        <w:trPr/>
        <w:tc>
          <w:tcPr>
            <w:tcW w:w="394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1,487</w:t>
            </w:r>
          </w:p>
        </w:tc>
        <w:tc>
          <w:tcPr>
            <w:tcW w:w="211" w:type="dxa"/>
            <w:tcBorders/>
            <w:shd w:fill="FFFFFF" w:val="clear"/>
            <w:vAlign w:val="center"/>
          </w:tcPr>
          <w:p>
            <w:pPr>
              <w:pStyle w:val="TableContents"/>
              <w:bidi w:val="0"/>
              <w:spacing w:before="0" w:after="283"/>
              <w:jc w:val="left"/>
              <w:rPr/>
            </w:pPr>
            <w:r>
              <w:rPr/>
              <w:t> </w:t>
            </w:r>
          </w:p>
        </w:tc>
      </w:tr>
      <w:tr>
        <w:trPr/>
        <w:tc>
          <w:tcPr>
            <w:tcW w:w="394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property and equipment, gross</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6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4,270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31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4,192</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Less: accumulated depreciation and 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(2,046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94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property and equipment,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2,146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sz w:val="20"/>
        </w:rPr>
      </w:pPr>
      <w:r>
        <w:rPr>
          <w:rFonts w:ascii="Calibri;sans-serif" w:hAnsi="Calibri;sans-serif"/>
          <w:color w:val="000000"/>
          <w:sz w:val="20"/>
        </w:rPr>
        <w:t>Depreciation and amortization expense for the three months ended June 30, 2024 and 2023 was approximately $0.2</w:t>
      </w:r>
      <w:r>
        <w:rPr>
          <w:rFonts w:ascii="Times New Roman" w:hAnsi="Times New Roman"/>
          <w:color w:val="000000"/>
          <w:sz w:val="20"/>
        </w:rPr>
        <w:t xml:space="preserve"> </w:t>
      </w:r>
      <w:r>
        <w:rPr>
          <w:rFonts w:ascii="Calibri;sans-serif" w:hAnsi="Calibri;sans-serif"/>
          <w:color w:val="000000"/>
          <w:sz w:val="20"/>
        </w:rPr>
        <w:t>million and $0.1</w:t>
      </w:r>
      <w:r>
        <w:rPr>
          <w:rFonts w:ascii="Times New Roman" w:hAnsi="Times New Roman"/>
          <w:color w:val="000000"/>
          <w:sz w:val="20"/>
        </w:rPr>
        <w:t xml:space="preserve"> </w:t>
      </w:r>
      <w:r>
        <w:rPr>
          <w:rFonts w:ascii="Calibri;sans-serif" w:hAnsi="Calibri;sans-serif"/>
          <w:color w:val="000000"/>
          <w:sz w:val="20"/>
        </w:rPr>
        <w:t>million, respectively. Depreciation and amortization expense for the six months ended June 30, 2024 and 2023 was approximately $0.4</w:t>
      </w:r>
      <w:r>
        <w:rPr>
          <w:rFonts w:ascii="Times New Roman" w:hAnsi="Times New Roman"/>
          <w:color w:val="000000"/>
          <w:sz w:val="20"/>
        </w:rPr>
        <w:t xml:space="preserve"> </w:t>
      </w:r>
      <w:r>
        <w:rPr>
          <w:rFonts w:ascii="Calibri;sans-serif" w:hAnsi="Calibri;sans-serif"/>
          <w:color w:val="000000"/>
          <w:sz w:val="20"/>
        </w:rPr>
        <w:t>million and $0.3</w:t>
      </w:r>
      <w:r>
        <w:rPr>
          <w:rFonts w:ascii="Times New Roman" w:hAnsi="Times New Roman"/>
          <w:color w:val="000000"/>
          <w:sz w:val="20"/>
        </w:rPr>
        <w:t xml:space="preserve"> </w:t>
      </w:r>
      <w:r>
        <w:rPr>
          <w:rFonts w:ascii="Calibri;sans-serif" w:hAnsi="Calibri;sans-serif"/>
          <w:color w:val="000000"/>
          <w:sz w:val="20"/>
        </w:rPr>
        <w:t>million, respectively. No</w:t>
      </w:r>
      <w:r>
        <w:rPr>
          <w:rFonts w:ascii="Times New Roman" w:hAnsi="Times New Roman"/>
          <w:color w:val="000000"/>
          <w:sz w:val="20"/>
        </w:rPr>
        <w:t xml:space="preserve"> </w:t>
      </w:r>
      <w:r>
        <w:rPr>
          <w:rFonts w:ascii="Calibri;sans-serif" w:hAnsi="Calibri;sans-serif"/>
          <w:color w:val="000000"/>
          <w:sz w:val="20"/>
        </w:rPr>
        <w:t>property or equipment was disposed of during the six months ended June 30, 2024 or for the year ended December 31, 2023.</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Accrued Expenses</w:t>
      </w:r>
    </w:p>
    <w:p>
      <w:pPr>
        <w:pStyle w:val="TextBody"/>
        <w:bidi w:val="0"/>
        <w:spacing w:before="200" w:after="200"/>
        <w:jc w:val="left"/>
        <w:rPr>
          <w:rFonts w:ascii="Calibri;sans-serif" w:hAnsi="Calibri;sans-serif"/>
          <w:color w:val="000000"/>
          <w:sz w:val="20"/>
        </w:rPr>
      </w:pPr>
      <w:r>
        <w:rPr>
          <w:rFonts w:ascii="Calibri;sans-serif" w:hAnsi="Calibri;sans-serif"/>
          <w:color w:val="000000"/>
          <w:sz w:val="20"/>
        </w:rPr>
        <w:t>Accrued expenses consist of the following (in thousands):</w:t>
      </w:r>
    </w:p>
    <w:tbl>
      <w:tblPr>
        <w:tblW w:w="6452" w:type="dxa"/>
        <w:jc w:val="left"/>
        <w:tblInd w:w="0" w:type="dxa"/>
        <w:tblLayout w:type="fixed"/>
        <w:tblCellMar>
          <w:top w:w="28" w:type="dxa"/>
          <w:left w:w="28" w:type="dxa"/>
          <w:bottom w:w="28" w:type="dxa"/>
          <w:right w:w="28" w:type="dxa"/>
        </w:tblCellMar>
      </w:tblPr>
      <w:tblGrid>
        <w:gridCol w:w="3676"/>
        <w:gridCol w:w="146"/>
        <w:gridCol w:w="211"/>
        <w:gridCol w:w="676"/>
        <w:gridCol w:w="146"/>
        <w:gridCol w:w="146"/>
        <w:gridCol w:w="299"/>
        <w:gridCol w:w="961"/>
        <w:gridCol w:w="19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June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December 31,</w:t>
            </w:r>
          </w:p>
        </w:tc>
        <w:tc>
          <w:tcPr>
            <w:tcW w:w="191" w:type="dxa"/>
            <w:tcBorders/>
            <w:shd w:fill="FFFFFF" w:val="clear"/>
            <w:vAlign w:val="center"/>
          </w:tcPr>
          <w:p>
            <w:pPr>
              <w:pStyle w:val="TableContents"/>
              <w:bidi w:val="0"/>
              <w:spacing w:before="0" w:after="283"/>
              <w:jc w:val="center"/>
              <w:rPr/>
            </w:pPr>
            <w:r>
              <w:rPr/>
              <w:t> </w:t>
            </w:r>
          </w:p>
        </w:tc>
      </w:tr>
      <w:tr>
        <w:trPr/>
        <w:tc>
          <w:tcPr>
            <w:tcW w:w="36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Accrued compensation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14,805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6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13,318</w:t>
            </w:r>
          </w:p>
        </w:tc>
        <w:tc>
          <w:tcPr>
            <w:tcW w:w="191" w:type="dxa"/>
            <w:tcBorders/>
            <w:shd w:fill="CFF0FC" w:val="clear"/>
            <w:vAlign w:val="center"/>
          </w:tcPr>
          <w:p>
            <w:pPr>
              <w:pStyle w:val="TableContents"/>
              <w:bidi w:val="0"/>
              <w:spacing w:before="0" w:after="283"/>
              <w:jc w:val="left"/>
              <w:rPr/>
            </w:pPr>
            <w:r>
              <w:rPr/>
              <w:t> </w:t>
            </w:r>
          </w:p>
        </w:tc>
      </w:tr>
      <w:tr>
        <w:trPr/>
        <w:tc>
          <w:tcPr>
            <w:tcW w:w="367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Accrued professional &amp; consulting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1,771</w:t>
            </w:r>
          </w:p>
        </w:tc>
        <w:tc>
          <w:tcPr>
            <w:tcW w:w="191" w:type="dxa"/>
            <w:tcBorders/>
            <w:shd w:fill="FFFFFF" w:val="clear"/>
            <w:vAlign w:val="center"/>
          </w:tcPr>
          <w:p>
            <w:pPr>
              <w:pStyle w:val="TableContents"/>
              <w:bidi w:val="0"/>
              <w:spacing w:before="0" w:after="283"/>
              <w:jc w:val="left"/>
              <w:rPr/>
            </w:pPr>
            <w:r>
              <w:rPr/>
              <w:t> </w:t>
            </w:r>
          </w:p>
        </w:tc>
      </w:tr>
      <w:tr>
        <w:trPr/>
        <w:tc>
          <w:tcPr>
            <w:tcW w:w="367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Accrued research and development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1,009</w:t>
            </w:r>
          </w:p>
        </w:tc>
        <w:tc>
          <w:tcPr>
            <w:tcW w:w="191" w:type="dxa"/>
            <w:tcBorders/>
            <w:shd w:fill="CFF0FC" w:val="clear"/>
            <w:vAlign w:val="center"/>
          </w:tcPr>
          <w:p>
            <w:pPr>
              <w:pStyle w:val="TableContents"/>
              <w:bidi w:val="0"/>
              <w:spacing w:before="0" w:after="283"/>
              <w:jc w:val="left"/>
              <w:rPr/>
            </w:pPr>
            <w:r>
              <w:rPr/>
              <w:t> </w:t>
            </w:r>
          </w:p>
        </w:tc>
      </w:tr>
      <w:tr>
        <w:trPr/>
        <w:tc>
          <w:tcPr>
            <w:tcW w:w="367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Accrued revenue allowances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8,600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982</w:t>
            </w:r>
          </w:p>
        </w:tc>
        <w:tc>
          <w:tcPr>
            <w:tcW w:w="191" w:type="dxa"/>
            <w:tcBorders/>
            <w:shd w:fill="FFFFFF" w:val="clear"/>
            <w:vAlign w:val="center"/>
          </w:tcPr>
          <w:p>
            <w:pPr>
              <w:pStyle w:val="TableContents"/>
              <w:bidi w:val="0"/>
              <w:spacing w:before="0" w:after="283"/>
              <w:jc w:val="left"/>
              <w:rPr/>
            </w:pPr>
            <w:r>
              <w:rPr/>
              <w:t> </w:t>
            </w:r>
          </w:p>
        </w:tc>
      </w:tr>
      <w:tr>
        <w:trPr/>
        <w:tc>
          <w:tcPr>
            <w:tcW w:w="367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Accrued 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accrued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27,298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17,197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Inventory</w:t>
      </w:r>
    </w:p>
    <w:p>
      <w:pPr>
        <w:pStyle w:val="TextBody"/>
        <w:bidi w:val="0"/>
        <w:spacing w:before="200" w:after="200"/>
        <w:jc w:val="left"/>
        <w:rPr>
          <w:rFonts w:ascii="Calibri;sans-serif" w:hAnsi="Calibri;sans-serif"/>
          <w:color w:val="000000"/>
          <w:sz w:val="20"/>
        </w:rPr>
      </w:pPr>
      <w:r>
        <w:rPr>
          <w:rFonts w:ascii="Calibri;sans-serif" w:hAnsi="Calibri;sans-serif"/>
          <w:color w:val="000000"/>
          <w:sz w:val="20"/>
        </w:rPr>
        <w:t>Inventory consist of the following (in thousands):</w:t>
      </w:r>
    </w:p>
    <w:tbl>
      <w:tblPr>
        <w:tblW w:w="4877" w:type="dxa"/>
        <w:jc w:val="left"/>
        <w:tblInd w:w="0" w:type="dxa"/>
        <w:tblLayout w:type="fixed"/>
        <w:tblCellMar>
          <w:top w:w="28" w:type="dxa"/>
          <w:left w:w="28" w:type="dxa"/>
          <w:bottom w:w="28" w:type="dxa"/>
          <w:right w:w="28" w:type="dxa"/>
        </w:tblCellMar>
      </w:tblPr>
      <w:tblGrid>
        <w:gridCol w:w="2206"/>
        <w:gridCol w:w="146"/>
        <w:gridCol w:w="211"/>
        <w:gridCol w:w="571"/>
        <w:gridCol w:w="146"/>
        <w:gridCol w:w="146"/>
        <w:gridCol w:w="339"/>
        <w:gridCol w:w="921"/>
        <w:gridCol w:w="19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June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December 31,</w:t>
            </w:r>
          </w:p>
        </w:tc>
        <w:tc>
          <w:tcPr>
            <w:tcW w:w="191" w:type="dxa"/>
            <w:tcBorders/>
            <w:shd w:fill="FFFFFF" w:val="clear"/>
            <w:vAlign w:val="center"/>
          </w:tcPr>
          <w:p>
            <w:pPr>
              <w:pStyle w:val="TableContents"/>
              <w:bidi w:val="0"/>
              <w:spacing w:before="0" w:after="283"/>
              <w:jc w:val="center"/>
              <w:rPr/>
            </w:pPr>
            <w:r>
              <w:rPr/>
              <w:t> </w:t>
            </w:r>
          </w:p>
        </w:tc>
      </w:tr>
      <w:tr>
        <w:trPr/>
        <w:tc>
          <w:tcPr>
            <w:tcW w:w="22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Finished goods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2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647</w:t>
            </w:r>
          </w:p>
        </w:tc>
        <w:tc>
          <w:tcPr>
            <w:tcW w:w="191" w:type="dxa"/>
            <w:tcBorders/>
            <w:shd w:fill="CFF0FC" w:val="clear"/>
            <w:vAlign w:val="center"/>
          </w:tcPr>
          <w:p>
            <w:pPr>
              <w:pStyle w:val="TableContents"/>
              <w:bidi w:val="0"/>
              <w:spacing w:before="0" w:after="283"/>
              <w:jc w:val="left"/>
              <w:rPr/>
            </w:pPr>
            <w:r>
              <w:rPr/>
              <w:t> </w:t>
            </w:r>
          </w:p>
        </w:tc>
      </w:tr>
      <w:tr>
        <w:trPr/>
        <w:tc>
          <w:tcPr>
            <w:tcW w:w="220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Raw materials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561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0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inventory, current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pPr>
            <w:r>
              <w:rPr/>
              <w:t> </w:t>
            </w:r>
          </w:p>
        </w:tc>
        <w:tc>
          <w:tcPr>
            <w:tcW w:w="92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1,208</w:t>
            </w:r>
          </w:p>
        </w:tc>
        <w:tc>
          <w:tcPr>
            <w:tcW w:w="191" w:type="dxa"/>
            <w:tcBorders/>
            <w:shd w:fill="CFF0FC" w:val="clear"/>
            <w:vAlign w:val="center"/>
          </w:tcPr>
          <w:p>
            <w:pPr>
              <w:pStyle w:val="TableContents"/>
              <w:bidi w:val="0"/>
              <w:spacing w:before="0" w:after="283"/>
              <w:jc w:val="left"/>
              <w:rPr/>
            </w:pPr>
            <w:r>
              <w:rPr/>
              <w:t> </w:t>
            </w:r>
          </w:p>
        </w:tc>
      </w:tr>
      <w:tr>
        <w:trPr/>
        <w:tc>
          <w:tcPr>
            <w:tcW w:w="220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Raw materials, noncurrent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7,170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8,234</w:t>
            </w:r>
          </w:p>
        </w:tc>
        <w:tc>
          <w:tcPr>
            <w:tcW w:w="191" w:type="dxa"/>
            <w:tcBorders/>
            <w:shd w:fill="FFFFFF" w:val="clear"/>
            <w:vAlign w:val="center"/>
          </w:tcPr>
          <w:p>
            <w:pPr>
              <w:pStyle w:val="TableContents"/>
              <w:bidi w:val="0"/>
              <w:spacing w:before="0" w:after="283"/>
              <w:jc w:val="left"/>
              <w:rPr/>
            </w:pPr>
            <w:r>
              <w:rPr/>
              <w:t> </w:t>
            </w:r>
          </w:p>
        </w:tc>
      </w:tr>
      <w:tr>
        <w:trPr/>
        <w:tc>
          <w:tcPr>
            <w:tcW w:w="220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inventory</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9,347</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33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2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9,442</w:t>
            </w:r>
          </w:p>
        </w:tc>
        <w:tc>
          <w:tcPr>
            <w:tcW w:w="1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Raw materials consist of materials, including active pharmaceutical ingredients, to be consumed in the production of inventory related to FDA-approved products. Inventory that is used for clinical development purposes is expensed to research and development expense when consumed. Inventory, noncurrent includes inventory expected to remain on-hand beyond one year from the balance sheet date presented.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Calibri;sans-serif" w:hAnsi="Calibri;sans-serif"/>
          <w:b/>
          <w:color w:val="000000"/>
          <w:sz w:val="20"/>
        </w:rPr>
        <w:t>3. Commitments and Contingencies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b/>
          <w:i/>
          <w:color w:val="000000"/>
          <w:sz w:val="20"/>
        </w:rPr>
        <w:t>License Agreement</w:t>
      </w:r>
      <w:r>
        <w:rPr>
          <w:rFonts w:ascii="Times New Roman" w:hAnsi="Times New Roman"/>
          <w:color w:val="000000"/>
          <w:sz w:val="20"/>
        </w:rPr>
        <w:t xml:space="preserve"> </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On May 7, 2019, the Company entered into the Takeda License. The Company also has the right to sublicense its rights under the agreement, subject to certain conditions. The agreement will remain in effect, on a country-by-country and product-by-product basis, until the later of (i) the expiration of the last to expire valid patent claim covering vonoprazan fumarate alone or in combination with at least one other therapeutically active ingredient, (ii) the expiration of the applicable regulatory exclusivity and (iii) 15 years from the date of first commercial sale, unless earlier terminated. The Company may terminate the Takeda License upon six months’ written notice. The Company and Takeda may terminate the Takeda License in the case of the other party’s insolvency or material uncured breach. Takeda may terminate the Takeda License if the Company challenges, or assists in challenging, licensed patents.</w:t>
      </w:r>
    </w:p>
    <w:p>
      <w:pPr>
        <w:pStyle w:val="TextBody"/>
        <w:bidi w:val="0"/>
        <w:spacing w:before="200" w:after="283"/>
        <w:jc w:val="left"/>
        <w:rPr>
          <w:rFonts w:ascii="Times New Roman" w:hAnsi="Times New Roman"/>
          <w:sz w:val="20"/>
        </w:rPr>
      </w:pPr>
      <w:r>
        <w:rPr>
          <w:rFonts w:ascii="Calibri;sans-serif" w:hAnsi="Calibri;sans-serif"/>
          <w:color w:val="000000"/>
          <w:sz w:val="20"/>
        </w:rPr>
        <w:t>In consideration of the Takeda License, the Company (i) paid Takeda $25</w:t>
      </w:r>
      <w:r>
        <w:rPr>
          <w:rFonts w:ascii="Times New Roman" w:hAnsi="Times New Roman"/>
          <w:color w:val="000000"/>
          <w:sz w:val="20"/>
        </w:rPr>
        <w:t xml:space="preserve"> </w:t>
      </w:r>
      <w:r>
        <w:rPr>
          <w:rFonts w:ascii="Calibri;sans-serif" w:hAnsi="Calibri;sans-serif"/>
          <w:color w:val="000000"/>
          <w:sz w:val="20"/>
        </w:rPr>
        <w:t>million in cash, (ii) issued Takeda 1,084,000</w:t>
      </w:r>
      <w:r>
        <w:rPr>
          <w:rFonts w:ascii="Times New Roman" w:hAnsi="Times New Roman"/>
          <w:color w:val="000000"/>
          <w:sz w:val="20"/>
        </w:rPr>
        <w:t xml:space="preserve"> </w:t>
      </w:r>
      <w:r>
        <w:rPr>
          <w:rFonts w:ascii="Calibri;sans-serif" w:hAnsi="Calibri;sans-serif"/>
          <w:color w:val="000000"/>
          <w:sz w:val="20"/>
        </w:rPr>
        <w:t>shares of its common stock at a fair value of $5.9</w:t>
      </w:r>
      <w:r>
        <w:rPr>
          <w:rFonts w:ascii="Times New Roman" w:hAnsi="Times New Roman"/>
          <w:color w:val="000000"/>
          <w:sz w:val="20"/>
        </w:rPr>
        <w:t xml:space="preserve"> </w:t>
      </w:r>
      <w:r>
        <w:rPr>
          <w:rFonts w:ascii="Calibri;sans-serif" w:hAnsi="Calibri;sans-serif"/>
          <w:color w:val="000000"/>
          <w:sz w:val="20"/>
        </w:rPr>
        <w:t>million, (iii) issued the Takeda Warrant to purchase 7,588,000</w:t>
      </w:r>
      <w:r>
        <w:rPr>
          <w:rFonts w:ascii="Times New Roman" w:hAnsi="Times New Roman"/>
          <w:color w:val="000000"/>
          <w:sz w:val="20"/>
        </w:rPr>
        <w:t xml:space="preserve"> </w:t>
      </w:r>
      <w:r>
        <w:rPr>
          <w:rFonts w:ascii="Calibri;sans-serif" w:hAnsi="Calibri;sans-serif"/>
          <w:color w:val="000000"/>
          <w:sz w:val="20"/>
        </w:rPr>
        <w:t>shares of its common stock at an exercise price of $0.00004613</w:t>
      </w:r>
      <w:r>
        <w:rPr>
          <w:rFonts w:ascii="Times New Roman" w:hAnsi="Times New Roman"/>
          <w:color w:val="000000"/>
          <w:sz w:val="20"/>
        </w:rPr>
        <w:t xml:space="preserve"> </w:t>
      </w:r>
      <w:r>
        <w:rPr>
          <w:rFonts w:ascii="Calibri;sans-serif" w:hAnsi="Calibri;sans-serif"/>
          <w:color w:val="000000"/>
          <w:sz w:val="20"/>
        </w:rPr>
        <w:t>per share at an initial fair value of $47.9</w:t>
      </w:r>
      <w:r>
        <w:rPr>
          <w:rFonts w:ascii="Times New Roman" w:hAnsi="Times New Roman"/>
          <w:color w:val="000000"/>
          <w:sz w:val="20"/>
        </w:rPr>
        <w:t xml:space="preserve"> </w:t>
      </w:r>
      <w:r>
        <w:rPr>
          <w:rFonts w:ascii="Calibri;sans-serif" w:hAnsi="Calibri;sans-serif"/>
          <w:color w:val="000000"/>
          <w:sz w:val="20"/>
        </w:rPr>
        <w:t>million, and (iv) issued a right to receive an additional common stock warrant, or the Takeda Warrant Right, should Takeda’s fully-diluted ownership of the Company represent less than a certain specified percentage of the fully-diluted capitalization, including shares issuable upon conversion of then outstanding convertible promissory notes, calculated immediately before the closing of the Company’s initial public offering, or IPO, with a nominal initial fair value due to the low probability of issuance. The Takeda Warrant Right expired without effect since no fair value had been allocated to it upon completion of the IPO, and no</w:t>
      </w:r>
      <w:r>
        <w:rPr>
          <w:rFonts w:ascii="Times New Roman" w:hAnsi="Times New Roman"/>
          <w:color w:val="000000"/>
          <w:sz w:val="20"/>
        </w:rPr>
        <w:t xml:space="preserve"> </w:t>
      </w:r>
      <w:r>
        <w:rPr>
          <w:rFonts w:ascii="Calibri;sans-serif" w:hAnsi="Calibri;sans-serif"/>
          <w:color w:val="000000"/>
          <w:sz w:val="20"/>
        </w:rPr>
        <w:t>additional warrant was issued. In addition, the Company is obligated to pay Takeda up to an aggregate of $250</w:t>
      </w:r>
      <w:r>
        <w:rPr>
          <w:rFonts w:ascii="Times New Roman" w:hAnsi="Times New Roman"/>
          <w:color w:val="000000"/>
          <w:sz w:val="20"/>
        </w:rPr>
        <w:t xml:space="preserve"> </w:t>
      </w:r>
      <w:r>
        <w:rPr>
          <w:rFonts w:ascii="Calibri;sans-serif" w:hAnsi="Calibri;sans-serif"/>
          <w:color w:val="000000"/>
          <w:sz w:val="20"/>
        </w:rPr>
        <w:t>million in sales milestones upon the achievement of specified levels of product sales, and a low double-digit royalty rate on aggregate net sales of licensed products, subject to certain adjustments. The Takeda Warrant had an exercise price of $0.00004613</w:t>
      </w:r>
      <w:r>
        <w:rPr>
          <w:rFonts w:ascii="Times New Roman" w:hAnsi="Times New Roman"/>
          <w:color w:val="000000"/>
          <w:sz w:val="20"/>
        </w:rPr>
        <w:t xml:space="preserve"> </w:t>
      </w:r>
      <w:r>
        <w:rPr>
          <w:rFonts w:ascii="Calibri;sans-serif" w:hAnsi="Calibri;sans-serif"/>
          <w:color w:val="000000"/>
          <w:sz w:val="20"/>
        </w:rPr>
        <w:t>per share, and was to expire on May 7, 2029</w:t>
      </w:r>
      <w:r>
        <w:rPr>
          <w:rFonts w:ascii="Times New Roman" w:hAnsi="Times New Roman"/>
          <w:color w:val="000000"/>
          <w:sz w:val="20"/>
        </w:rPr>
        <w:t xml:space="preserve"> </w:t>
      </w:r>
      <w:r>
        <w:rPr>
          <w:rFonts w:ascii="Calibri;sans-serif" w:hAnsi="Calibri;sans-serif"/>
          <w:color w:val="000000"/>
          <w:sz w:val="20"/>
        </w:rPr>
        <w:t>and became exercisable upon the consummation of the IPO. All Takeda Warrants were exercised by March 2022.</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During the three and six months ended June 30, 2024, the Company recorded $0.7</w:t>
      </w:r>
      <w:r>
        <w:rPr>
          <w:rFonts w:ascii="Times New Roman" w:hAnsi="Times New Roman"/>
          <w:color w:val="000000"/>
          <w:sz w:val="20"/>
        </w:rPr>
        <w:t xml:space="preserve"> </w:t>
      </w:r>
      <w:r>
        <w:rPr>
          <w:rFonts w:ascii="Calibri;sans-serif" w:hAnsi="Calibri;sans-serif"/>
          <w:color w:val="000000"/>
          <w:sz w:val="20"/>
        </w:rPr>
        <w:t>million and $0.9</w:t>
      </w:r>
      <w:r>
        <w:rPr>
          <w:rFonts w:ascii="Times New Roman" w:hAnsi="Times New Roman"/>
          <w:color w:val="000000"/>
          <w:sz w:val="20"/>
        </w:rPr>
        <w:t xml:space="preserve"> </w:t>
      </w:r>
      <w:r>
        <w:rPr>
          <w:rFonts w:ascii="Calibri;sans-serif" w:hAnsi="Calibri;sans-serif"/>
          <w:color w:val="000000"/>
          <w:sz w:val="20"/>
        </w:rPr>
        <w:t>million, respectively, of royalty expense under the Takeda License, of which $0.7</w:t>
      </w:r>
      <w:r>
        <w:rPr>
          <w:rFonts w:ascii="Times New Roman" w:hAnsi="Times New Roman"/>
          <w:color w:val="000000"/>
          <w:sz w:val="20"/>
        </w:rPr>
        <w:t xml:space="preserve"> </w:t>
      </w:r>
      <w:r>
        <w:rPr>
          <w:rFonts w:ascii="Calibri;sans-serif" w:hAnsi="Calibri;sans-serif"/>
          <w:color w:val="000000"/>
          <w:sz w:val="20"/>
        </w:rPr>
        <w:t>million is included within accrued expenses as of June 30, 2024.</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Purchase Commitments</w:t>
      </w:r>
    </w:p>
    <w:p>
      <w:pPr>
        <w:pStyle w:val="TextBody"/>
        <w:bidi w:val="0"/>
        <w:spacing w:before="200" w:after="283"/>
        <w:jc w:val="left"/>
        <w:rPr>
          <w:rFonts w:ascii="Times New Roman" w:hAnsi="Times New Roman"/>
          <w:sz w:val="20"/>
        </w:rPr>
      </w:pPr>
      <w:r>
        <w:rPr>
          <w:rFonts w:ascii="Calibri;sans-serif" w:hAnsi="Calibri;sans-serif"/>
          <w:color w:val="000000"/>
          <w:sz w:val="20"/>
        </w:rPr>
        <w:t>In December 2020, the Company entered into a supply agreement with Sandoz pursuant to which Sandoz will supply commercial quantities of amoxicillin capsules and clarithromycin tablets, package these antibiotics with vonoprazan, and provide in finished convenience packs. The supply agreement commits the Company to a minimum purchase obligation of €2.9</w:t>
      </w:r>
      <w:r>
        <w:rPr>
          <w:rFonts w:ascii="Times New Roman" w:hAnsi="Times New Roman"/>
          <w:color w:val="000000"/>
          <w:sz w:val="20"/>
        </w:rPr>
        <w:t xml:space="preserve"> </w:t>
      </w:r>
      <w:r>
        <w:rPr>
          <w:rFonts w:ascii="Calibri;sans-serif" w:hAnsi="Calibri;sans-serif"/>
          <w:color w:val="000000"/>
          <w:sz w:val="20"/>
        </w:rPr>
        <w:t>million, or approximately $3.2</w:t>
      </w:r>
      <w:r>
        <w:rPr>
          <w:rFonts w:ascii="Times New Roman" w:hAnsi="Times New Roman"/>
          <w:color w:val="000000"/>
          <w:sz w:val="20"/>
        </w:rPr>
        <w:t xml:space="preserve"> </w:t>
      </w:r>
      <w:r>
        <w:rPr>
          <w:rFonts w:ascii="Calibri;sans-serif" w:hAnsi="Calibri;sans-serif"/>
          <w:color w:val="000000"/>
          <w:sz w:val="20"/>
        </w:rPr>
        <w:t>million, in the first 24-month period following the launch of the final product.</w:t>
      </w:r>
      <w:r>
        <w:rPr>
          <w:rFonts w:ascii="Times New Roman" w:hAnsi="Times New Roman"/>
          <w:color w:val="000000"/>
          <w:sz w:val="20"/>
        </w:rPr>
        <w:t xml:space="preserve"> </w:t>
      </w:r>
      <w:r>
        <w:rPr>
          <w:rFonts w:ascii="Calibri;sans-serif" w:hAnsi="Calibri;sans-serif"/>
          <w:color w:val="000000"/>
          <w:sz w:val="20"/>
        </w:rPr>
        <w:t>The Company incurred no</w:t>
      </w:r>
      <w:r>
        <w:rPr>
          <w:rFonts w:ascii="Times New Roman" w:hAnsi="Times New Roman"/>
          <w:color w:val="000000"/>
          <w:sz w:val="20"/>
        </w:rPr>
        <w:t xml:space="preserve"> </w:t>
      </w:r>
      <w:r>
        <w:rPr>
          <w:rFonts w:ascii="Calibri;sans-serif" w:hAnsi="Calibri;sans-serif"/>
          <w:color w:val="000000"/>
          <w:sz w:val="20"/>
        </w:rPr>
        <w:t>expenses under the agreement during the six months ended June 30, 2024 and 2023. As of June 30, 2024, €2.6</w:t>
      </w:r>
      <w:r>
        <w:rPr>
          <w:rFonts w:ascii="Times New Roman" w:hAnsi="Times New Roman"/>
          <w:color w:val="000000"/>
          <w:sz w:val="20"/>
        </w:rPr>
        <w:t xml:space="preserve"> </w:t>
      </w:r>
      <w:r>
        <w:rPr>
          <w:rFonts w:ascii="Calibri;sans-serif" w:hAnsi="Calibri;sans-serif"/>
          <w:color w:val="000000"/>
          <w:sz w:val="20"/>
        </w:rPr>
        <w:t>million, or approximately $2.8</w:t>
      </w:r>
      <w:r>
        <w:rPr>
          <w:rFonts w:ascii="Times New Roman" w:hAnsi="Times New Roman"/>
          <w:color w:val="000000"/>
          <w:sz w:val="20"/>
        </w:rPr>
        <w:t xml:space="preserve"> </w:t>
      </w:r>
      <w:r>
        <w:rPr>
          <w:rFonts w:ascii="Calibri;sans-serif" w:hAnsi="Calibri;sans-serif"/>
          <w:color w:val="000000"/>
          <w:sz w:val="20"/>
        </w:rPr>
        <w:t>million, remains of the minimum purchase obligation.</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Contingencies</w:t>
      </w:r>
    </w:p>
    <w:p>
      <w:pPr>
        <w:pStyle w:val="TextBody"/>
        <w:bidi w:val="0"/>
        <w:spacing w:before="200" w:after="283"/>
        <w:jc w:val="left"/>
        <w:rPr>
          <w:rFonts w:ascii="Times New Roman" w:hAnsi="Times New Roman"/>
          <w:sz w:val="20"/>
        </w:rPr>
      </w:pPr>
      <w:r>
        <w:rPr>
          <w:rFonts w:ascii="Calibri;sans-serif" w:hAnsi="Calibri;sans-serif"/>
          <w:color w:val="000000"/>
          <w:sz w:val="20"/>
        </w:rPr>
        <w:t>In the event the Company becomes subject to claims or suits arising in the ordinary course of business, the Company would accrue a liability for such matters when it is probable that future expenditures will be made and such expenditures can be reasonably estimated.</w:t>
      </w:r>
      <w:r>
        <w:rPr>
          <w:rFonts w:ascii="Times New Roman" w:hAnsi="Times New Roman"/>
          <w:color w:val="000000"/>
          <w:sz w:val="20"/>
        </w:rPr>
        <w:t xml:space="preserve"> </w:t>
      </w:r>
    </w:p>
    <w:p>
      <w:pPr>
        <w:pStyle w:val="TextBody"/>
        <w:bidi w:val="0"/>
        <w:spacing w:before="200" w:after="283"/>
        <w:jc w:val="left"/>
        <w:rPr>
          <w:rFonts w:ascii="Calibri;sans-serif" w:hAnsi="Calibri;sans-serif"/>
          <w:b/>
          <w:color w:val="000000"/>
          <w:sz w:val="20"/>
        </w:rPr>
      </w:pPr>
      <w:r>
        <w:rPr>
          <w:rFonts w:ascii="Calibri;sans-serif" w:hAnsi="Calibri;sans-serif"/>
          <w:b/>
          <w:color w:val="000000"/>
          <w:sz w:val="20"/>
        </w:rPr>
        <w:t>4. Lease Commitments</w:t>
      </w:r>
    </w:p>
    <w:p>
      <w:pPr>
        <w:pStyle w:val="TextBody"/>
        <w:bidi w:val="0"/>
        <w:spacing w:before="200" w:after="283"/>
        <w:jc w:val="left"/>
        <w:rPr>
          <w:rFonts w:ascii="Times New Roman" w:hAnsi="Times New Roman"/>
          <w:sz w:val="20"/>
        </w:rPr>
      </w:pPr>
      <w:r>
        <w:rPr>
          <w:rFonts w:ascii="Calibri;sans-serif" w:hAnsi="Calibri;sans-serif"/>
          <w:color w:val="000000"/>
          <w:sz w:val="20"/>
        </w:rPr>
        <w:t>As of June 30, 2024, the Company had operating leases for office space in both Buffalo Grove, Illinois and Florham Park, New Jersey, with weighted average remaining lease terms of 0.8</w:t>
      </w:r>
      <w:r>
        <w:rPr>
          <w:rFonts w:ascii="Times New Roman" w:hAnsi="Times New Roman"/>
          <w:color w:val="000000"/>
          <w:sz w:val="20"/>
        </w:rPr>
        <w:t xml:space="preserve"> </w:t>
      </w:r>
      <w:r>
        <w:rPr>
          <w:rFonts w:ascii="Calibri;sans-serif" w:hAnsi="Calibri;sans-serif"/>
          <w:color w:val="000000"/>
          <w:sz w:val="20"/>
        </w:rPr>
        <w:t>years and 1.2</w:t>
      </w:r>
      <w:r>
        <w:rPr>
          <w:rFonts w:ascii="Times New Roman" w:hAnsi="Times New Roman"/>
          <w:color w:val="000000"/>
          <w:sz w:val="20"/>
        </w:rPr>
        <w:t xml:space="preserve"> </w:t>
      </w:r>
      <w:r>
        <w:rPr>
          <w:rFonts w:ascii="Calibri;sans-serif" w:hAnsi="Calibri;sans-serif"/>
          <w:color w:val="000000"/>
          <w:sz w:val="20"/>
        </w:rPr>
        <w:t>years, respectively.</w:t>
      </w:r>
      <w:r>
        <w:rPr>
          <w:rFonts w:ascii="Times New Roman" w:hAnsi="Times New Roman"/>
          <w:color w:val="000000"/>
          <w:sz w:val="20"/>
        </w:rPr>
        <w:t xml:space="preserve"> </w:t>
      </w:r>
      <w:r>
        <w:rPr>
          <w:rFonts w:ascii="Calibri;sans-serif" w:hAnsi="Calibri;sans-serif"/>
          <w:color w:val="000000"/>
          <w:sz w:val="20"/>
        </w:rPr>
        <w:t>All</w:t>
      </w:r>
      <w:r>
        <w:rPr>
          <w:rFonts w:ascii="Times New Roman" w:hAnsi="Times New Roman"/>
          <w:color w:val="000000"/>
          <w:sz w:val="20"/>
        </w:rPr>
        <w:t xml:space="preserve"> </w:t>
      </w:r>
      <w:r>
        <w:rPr>
          <w:rFonts w:ascii="Calibri;sans-serif" w:hAnsi="Calibri;sans-serif"/>
          <w:color w:val="000000"/>
          <w:sz w:val="20"/>
        </w:rPr>
        <w:t>operating leases contain an option to extend the term for one additional five year period, which was not considered in the determination of the right-of-use asset or lease liability as the Company did not consider it reasonably certain that it would exercise such options.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The total rent expense for each of the three months ended June 30, 2024 and 2023 was $0.3</w:t>
      </w:r>
      <w:r>
        <w:rPr>
          <w:rFonts w:ascii="Times New Roman" w:hAnsi="Times New Roman"/>
          <w:color w:val="000000"/>
          <w:sz w:val="20"/>
        </w:rPr>
        <w:t xml:space="preserve"> </w:t>
      </w:r>
      <w:r>
        <w:rPr>
          <w:rFonts w:ascii="Calibri;sans-serif" w:hAnsi="Calibri;sans-serif"/>
          <w:color w:val="000000"/>
          <w:sz w:val="20"/>
        </w:rPr>
        <w:t>million. Total rent expense for each of the six months ended June 30, 2024 and 2023</w:t>
      </w:r>
      <w:r>
        <w:rPr>
          <w:rFonts w:ascii="Times New Roman" w:hAnsi="Times New Roman"/>
          <w:color w:val="000000"/>
          <w:sz w:val="20"/>
        </w:rPr>
        <w:t xml:space="preserve"> </w:t>
      </w:r>
      <w:r>
        <w:rPr>
          <w:rFonts w:ascii="Calibri;sans-serif" w:hAnsi="Calibri;sans-serif"/>
          <w:color w:val="000000"/>
          <w:sz w:val="20"/>
        </w:rPr>
        <w:t>was $0.6</w:t>
      </w:r>
      <w:r>
        <w:rPr>
          <w:rFonts w:ascii="Times New Roman" w:hAnsi="Times New Roman"/>
          <w:color w:val="000000"/>
          <w:sz w:val="20"/>
        </w:rPr>
        <w:t xml:space="preserve"> </w:t>
      </w:r>
      <w:r>
        <w:rPr>
          <w:rFonts w:ascii="Calibri;sans-serif" w:hAnsi="Calibri;sans-serif"/>
          <w:color w:val="000000"/>
          <w:sz w:val="20"/>
        </w:rPr>
        <w:t>million. Total short-term lease costs relating to leased vehicles was approximately $2.8</w:t>
      </w:r>
      <w:r>
        <w:rPr>
          <w:rFonts w:ascii="Times New Roman" w:hAnsi="Times New Roman"/>
          <w:color w:val="000000"/>
          <w:sz w:val="20"/>
        </w:rPr>
        <w:t xml:space="preserve"> </w:t>
      </w:r>
      <w:r>
        <w:rPr>
          <w:rFonts w:ascii="Calibri;sans-serif" w:hAnsi="Calibri;sans-serif"/>
          <w:color w:val="000000"/>
          <w:sz w:val="20"/>
        </w:rPr>
        <w:t>million and $5.1</w:t>
      </w:r>
      <w:r>
        <w:rPr>
          <w:rFonts w:ascii="Times New Roman" w:hAnsi="Times New Roman"/>
          <w:color w:val="000000"/>
          <w:sz w:val="20"/>
        </w:rPr>
        <w:t xml:space="preserve"> </w:t>
      </w:r>
      <w:r>
        <w:rPr>
          <w:rFonts w:ascii="Calibri;sans-serif" w:hAnsi="Calibri;sans-serif"/>
          <w:color w:val="000000"/>
          <w:sz w:val="20"/>
        </w:rPr>
        <w:t>million for the three and six months ended June 30, 2024, respectively, and was not material for either of the three and six months ended June 30, 2023.</w:t>
      </w:r>
    </w:p>
    <w:p>
      <w:pPr>
        <w:pStyle w:val="TextBody"/>
        <w:bidi w:val="0"/>
        <w:spacing w:before="200" w:after="20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left"/>
        <w:rPr>
          <w:rFonts w:ascii="Calibri;sans-serif" w:hAnsi="Calibri;sans-serif"/>
          <w:color w:val="000000"/>
          <w:sz w:val="20"/>
        </w:rPr>
      </w:pPr>
      <w:r>
        <w:rPr>
          <w:rFonts w:ascii="Calibri;sans-serif" w:hAnsi="Calibri;sans-serif"/>
          <w:color w:val="000000"/>
          <w:sz w:val="20"/>
        </w:rPr>
        <w:t>As of June 30, 2024, the future minimum annual lease payments under the operating leases were as follows (in thousands):</w:t>
      </w:r>
    </w:p>
    <w:tbl>
      <w:tblPr>
        <w:tblW w:w="5265" w:type="dxa"/>
        <w:jc w:val="left"/>
        <w:tblInd w:w="0" w:type="dxa"/>
        <w:tblLayout w:type="fixed"/>
        <w:tblCellMar>
          <w:top w:w="28" w:type="dxa"/>
          <w:left w:w="28" w:type="dxa"/>
          <w:bottom w:w="28" w:type="dxa"/>
          <w:right w:w="28" w:type="dxa"/>
        </w:tblCellMar>
      </w:tblPr>
      <w:tblGrid>
        <w:gridCol w:w="4036"/>
        <w:gridCol w:w="146"/>
        <w:gridCol w:w="211"/>
        <w:gridCol w:w="481"/>
        <w:gridCol w:w="391"/>
      </w:tblGrid>
      <w:tr>
        <w:trPr/>
        <w:tc>
          <w:tcPr>
            <w:tcW w:w="4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403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4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378</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03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513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3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minimum lease payments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891</w:t>
            </w:r>
          </w:p>
        </w:tc>
        <w:tc>
          <w:tcPr>
            <w:tcW w:w="391" w:type="dxa"/>
            <w:tcBorders/>
            <w:shd w:fill="CFF0FC" w:val="clear"/>
            <w:vAlign w:val="center"/>
          </w:tcPr>
          <w:p>
            <w:pPr>
              <w:pStyle w:val="TableContents"/>
              <w:bidi w:val="0"/>
              <w:spacing w:before="0" w:after="283"/>
              <w:jc w:val="left"/>
              <w:rPr/>
            </w:pPr>
            <w:r>
              <w:rPr/>
              <w:t> </w:t>
            </w:r>
          </w:p>
        </w:tc>
      </w:tr>
      <w:tr>
        <w:trPr/>
        <w:tc>
          <w:tcPr>
            <w:tcW w:w="403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Less: amount representing interest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403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Present value of operating lease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853</w:t>
            </w:r>
          </w:p>
        </w:tc>
        <w:tc>
          <w:tcPr>
            <w:tcW w:w="391" w:type="dxa"/>
            <w:tcBorders/>
            <w:shd w:fill="CFF0FC" w:val="clear"/>
            <w:vAlign w:val="center"/>
          </w:tcPr>
          <w:p>
            <w:pPr>
              <w:pStyle w:val="TableContents"/>
              <w:bidi w:val="0"/>
              <w:spacing w:before="0" w:after="283"/>
              <w:jc w:val="left"/>
              <w:rPr/>
            </w:pPr>
            <w:r>
              <w:rPr/>
              <w:t> </w:t>
            </w:r>
          </w:p>
        </w:tc>
      </w:tr>
      <w:tr>
        <w:trPr/>
        <w:tc>
          <w:tcPr>
            <w:tcW w:w="403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Less: operating lease liabilities, current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(720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403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Operating lease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403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Weighted-average remaining lease term (in years)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1.10</w:t>
            </w:r>
          </w:p>
        </w:tc>
        <w:tc>
          <w:tcPr>
            <w:tcW w:w="391" w:type="dxa"/>
            <w:tcBorders/>
            <w:shd w:fill="CFF0FC" w:val="clear"/>
            <w:vAlign w:val="center"/>
          </w:tcPr>
          <w:p>
            <w:pPr>
              <w:pStyle w:val="TableContents"/>
              <w:bidi w:val="0"/>
              <w:spacing w:before="0" w:after="283"/>
              <w:jc w:val="left"/>
              <w:rPr/>
            </w:pPr>
            <w:r>
              <w:rPr/>
              <w:t> </w:t>
            </w:r>
          </w:p>
        </w:tc>
      </w:tr>
      <w:tr>
        <w:trPr/>
        <w:tc>
          <w:tcPr>
            <w:tcW w:w="403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Weighted-average incremental borrowing rate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8.23</w:t>
            </w:r>
          </w:p>
        </w:tc>
        <w:tc>
          <w:tcPr>
            <w:tcW w:w="3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bl>
    <w:p>
      <w:pPr>
        <w:pStyle w:val="TextBody"/>
        <w:bidi w:val="0"/>
        <w:spacing w:before="200" w:after="283"/>
        <w:jc w:val="left"/>
        <w:rPr>
          <w:rFonts w:ascii="Times New Roman" w:hAnsi="Times New Roman"/>
          <w:sz w:val="20"/>
        </w:rPr>
      </w:pPr>
      <w:r>
        <w:rPr>
          <w:rFonts w:ascii="Calibri;sans-serif" w:hAnsi="Calibri;sans-serif"/>
          <w:color w:val="000000"/>
          <w:sz w:val="20"/>
        </w:rPr>
        <w:t>Operating cash flows for each of the six months ended June 30, 2024 and 2023 included cash payments for operating leases of approximately $0.5</w:t>
      </w:r>
      <w:r>
        <w:rPr>
          <w:rFonts w:ascii="Times New Roman" w:hAnsi="Times New Roman"/>
          <w:color w:val="000000"/>
          <w:sz w:val="20"/>
        </w:rPr>
        <w:t xml:space="preserve"> </w:t>
      </w:r>
      <w:r>
        <w:rPr>
          <w:rFonts w:ascii="Calibri;sans-serif" w:hAnsi="Calibri;sans-serif"/>
          <w:color w:val="000000"/>
          <w:sz w:val="20"/>
        </w:rPr>
        <w:t>million.</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b/>
          <w:color w:val="000000"/>
          <w:sz w:val="22"/>
        </w:rPr>
        <w:t>5</w:t>
      </w:r>
      <w:r>
        <w:rPr>
          <w:rFonts w:ascii="Calibri;sans-serif" w:hAnsi="Calibri;sans-serif"/>
          <w:b/>
          <w:color w:val="000000"/>
          <w:sz w:val="20"/>
        </w:rPr>
        <w:t>. Debt</w:t>
      </w:r>
      <w:r>
        <w:rPr>
          <w:rFonts w:ascii="Times New Roman" w:hAnsi="Times New Roman"/>
          <w:color w:val="000000"/>
          <w:sz w:val="20"/>
        </w:rPr>
        <w:t xml:space="preserve"> </w:t>
      </w:r>
    </w:p>
    <w:p>
      <w:pPr>
        <w:pStyle w:val="TextBody"/>
        <w:bidi w:val="0"/>
        <w:spacing w:before="200" w:after="200"/>
        <w:jc w:val="left"/>
        <w:rPr>
          <w:rFonts w:ascii="Calibri;sans-serif" w:hAnsi="Calibri;sans-serif"/>
          <w:color w:val="000000"/>
          <w:sz w:val="20"/>
        </w:rPr>
      </w:pPr>
      <w:r>
        <w:rPr>
          <w:rFonts w:ascii="Calibri;sans-serif" w:hAnsi="Calibri;sans-serif"/>
          <w:color w:val="000000"/>
          <w:sz w:val="20"/>
        </w:rPr>
        <w:t>Total debt consists of the following (in thousands):</w:t>
      </w:r>
    </w:p>
    <w:tbl>
      <w:tblPr>
        <w:tblW w:w="5952" w:type="dxa"/>
        <w:jc w:val="left"/>
        <w:tblInd w:w="0" w:type="dxa"/>
        <w:tblLayout w:type="fixed"/>
        <w:tblCellMar>
          <w:top w:w="28" w:type="dxa"/>
          <w:left w:w="28" w:type="dxa"/>
          <w:bottom w:w="28" w:type="dxa"/>
          <w:right w:w="28" w:type="dxa"/>
        </w:tblCellMar>
      </w:tblPr>
      <w:tblGrid>
        <w:gridCol w:w="3031"/>
        <w:gridCol w:w="146"/>
        <w:gridCol w:w="211"/>
        <w:gridCol w:w="781"/>
        <w:gridCol w:w="166"/>
        <w:gridCol w:w="146"/>
        <w:gridCol w:w="268"/>
        <w:gridCol w:w="992"/>
        <w:gridCol w:w="211"/>
      </w:tblGrid>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June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shd w:fill="FFFFFF" w:val="cle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December 31,</w:t>
            </w:r>
          </w:p>
        </w:tc>
        <w:tc>
          <w:tcPr>
            <w:tcW w:w="211" w:type="dxa"/>
            <w:tcBorders/>
            <w:shd w:fill="FFFFFF" w:val="clear"/>
            <w:vAlign w:val="center"/>
          </w:tcPr>
          <w:p>
            <w:pPr>
              <w:pStyle w:val="TableContents"/>
              <w:bidi w:val="0"/>
              <w:spacing w:before="0" w:after="283"/>
              <w:jc w:val="center"/>
              <w:rPr/>
            </w:pPr>
            <w:r>
              <w:rPr/>
              <w:t> </w:t>
            </w:r>
          </w:p>
        </w:tc>
      </w:tr>
      <w:tr>
        <w:trPr/>
        <w:tc>
          <w:tcPr>
            <w:tcW w:w="30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Long-term debt, current portion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92"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303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Long-term debt, non-current portion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184,763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148,057</w:t>
            </w:r>
          </w:p>
        </w:tc>
        <w:tc>
          <w:tcPr>
            <w:tcW w:w="211" w:type="dxa"/>
            <w:tcBorders/>
            <w:shd w:fill="FFFFFF" w:val="clear"/>
            <w:vAlign w:val="center"/>
          </w:tcPr>
          <w:p>
            <w:pPr>
              <w:pStyle w:val="TableContents"/>
              <w:bidi w:val="0"/>
              <w:spacing w:before="0" w:after="283"/>
              <w:jc w:val="left"/>
              <w:rPr/>
            </w:pPr>
            <w:r>
              <w:rPr/>
              <w:t> </w:t>
            </w:r>
          </w:p>
        </w:tc>
      </w:tr>
      <w:tr>
        <w:trPr/>
        <w:tc>
          <w:tcPr>
            <w:tcW w:w="303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Unamortized debt discount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(10,340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(10,215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03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debt, net of debt discount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174,423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137,842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sz w:val="20"/>
        </w:rPr>
      </w:pPr>
      <w:r>
        <w:rPr>
          <w:rFonts w:ascii="Calibri;sans-serif" w:hAnsi="Calibri;sans-serif"/>
          <w:color w:val="000000"/>
          <w:sz w:val="20"/>
        </w:rPr>
        <w:t>On September 17, 2021, or the Closing Date, the Company entered into a Loan and Security Agreement, or the Loan Agreement, with Hercules Capital, Inc., in its capacity as administrative agent and collateral agent and as a lender, or, in such capacity, the Agent or Hercules, and the other financial institutions that from time to time become parties to the Loan Agreement as lenders, or, collectively, the Lenders.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The Loan Agreement provides for term loans in an aggregate principal amount of up to $200</w:t>
      </w:r>
      <w:r>
        <w:rPr>
          <w:rFonts w:ascii="Times New Roman" w:hAnsi="Times New Roman"/>
          <w:color w:val="000000"/>
          <w:sz w:val="20"/>
        </w:rPr>
        <w:t xml:space="preserve"> </w:t>
      </w:r>
      <w:r>
        <w:rPr>
          <w:rFonts w:ascii="Calibri;sans-serif" w:hAnsi="Calibri;sans-serif"/>
          <w:color w:val="000000"/>
          <w:sz w:val="20"/>
        </w:rPr>
        <w:t>million, or the Term Loan, under multiple tranches. The tranches consist of (i) a first tranche consisting of term loans in an aggregate principal amount of $100</w:t>
      </w:r>
      <w:r>
        <w:rPr>
          <w:rFonts w:ascii="Times New Roman" w:hAnsi="Times New Roman"/>
          <w:color w:val="000000"/>
          <w:sz w:val="20"/>
        </w:rPr>
        <w:t xml:space="preserve"> </w:t>
      </w:r>
      <w:r>
        <w:rPr>
          <w:rFonts w:ascii="Calibri;sans-serif" w:hAnsi="Calibri;sans-serif"/>
          <w:color w:val="000000"/>
          <w:sz w:val="20"/>
        </w:rPr>
        <w:t>million, all of which was funded on the Closing Date, or the First Advance, (ii) a second tranche consisting of up to an additional $50</w:t>
      </w:r>
      <w:r>
        <w:rPr>
          <w:rFonts w:ascii="Times New Roman" w:hAnsi="Times New Roman"/>
          <w:color w:val="000000"/>
          <w:sz w:val="20"/>
        </w:rPr>
        <w:t xml:space="preserve"> </w:t>
      </w:r>
      <w:r>
        <w:rPr>
          <w:rFonts w:ascii="Calibri;sans-serif" w:hAnsi="Calibri;sans-serif"/>
          <w:color w:val="000000"/>
          <w:sz w:val="20"/>
        </w:rPr>
        <w:t>million, (iii) a third and fourth tranches consisting of an additional total $50</w:t>
      </w:r>
      <w:r>
        <w:rPr>
          <w:rFonts w:ascii="Times New Roman" w:hAnsi="Times New Roman"/>
          <w:color w:val="000000"/>
          <w:sz w:val="20"/>
        </w:rPr>
        <w:t xml:space="preserve"> </w:t>
      </w:r>
      <w:r>
        <w:rPr>
          <w:rFonts w:ascii="Calibri;sans-serif" w:hAnsi="Calibri;sans-serif"/>
          <w:color w:val="000000"/>
          <w:sz w:val="20"/>
        </w:rPr>
        <w:t>million, which became available in May 2022.</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Calibri;sans-serif" w:hAnsi="Calibri;sans-serif"/>
          <w:color w:val="000000"/>
          <w:sz w:val="20"/>
        </w:rPr>
        <w:t>On September 27, 2022, the Company entered into an amendment to the Loan Agreement, or the Second Loan Amendment, pursuant to which the date the second tranche of funding of $50</w:t>
      </w:r>
      <w:r>
        <w:rPr>
          <w:rFonts w:ascii="Times New Roman" w:hAnsi="Times New Roman"/>
          <w:color w:val="000000"/>
          <w:sz w:val="20"/>
        </w:rPr>
        <w:t xml:space="preserve"> </w:t>
      </w:r>
      <w:r>
        <w:rPr>
          <w:rFonts w:ascii="Calibri;sans-serif" w:hAnsi="Calibri;sans-serif"/>
          <w:color w:val="000000"/>
          <w:sz w:val="20"/>
        </w:rPr>
        <w:t>million was available to the Company and has been moved until May 15, 2023, rather than December 15, 2022.</w:t>
      </w:r>
      <w:r>
        <w:rPr>
          <w:rFonts w:ascii="Times New Roman" w:hAnsi="Times New Roman"/>
          <w:color w:val="000000"/>
          <w:sz w:val="20"/>
        </w:rPr>
        <w:t xml:space="preserve"> </w:t>
      </w:r>
    </w:p>
    <w:p>
      <w:pPr>
        <w:pStyle w:val="TextBody"/>
        <w:bidi w:val="0"/>
        <w:spacing w:before="200" w:after="120"/>
        <w:jc w:val="left"/>
        <w:rPr>
          <w:rFonts w:ascii="Times New Roman" w:hAnsi="Times New Roman"/>
          <w:sz w:val="20"/>
        </w:rPr>
      </w:pPr>
      <w:r>
        <w:rPr>
          <w:rFonts w:ascii="Calibri;sans-serif" w:hAnsi="Calibri;sans-serif"/>
          <w:color w:val="000000"/>
          <w:sz w:val="20"/>
        </w:rPr>
        <w:t>On May 9, 2023, the Company entered into the Third Amendment to Loan and Security Agreement, or the Third Loan Amendment, with the lenders, pursuant to which, among other things, (i) the second tranche availability was extended from through May 15, 2023, to through December 15, 2023, and became available on October 1, 2023, (ii) the third tranche availability was extended from through September 30, 2023, to through December 15, 2023, and became available on October 1, 2023, (iii) the effective date of the performance covenants was amended to provide an option to extend the covenant trigger date to May 15, 2024, subject to the achievement of the FDA approval of vonoprazan for Erosive GERD or the</w:t>
      </w:r>
      <w:r>
        <w:rPr>
          <w:rFonts w:ascii="Times New Roman" w:hAnsi="Times New Roman"/>
          <w:color w:val="000000"/>
          <w:sz w:val="20"/>
        </w:rPr>
        <w:t xml:space="preserve"> </w:t>
      </w:r>
      <w:r>
        <w:rPr>
          <w:rFonts w:ascii="Calibri;sans-serif" w:hAnsi="Calibri;sans-serif"/>
          <w:color w:val="000000"/>
          <w:sz w:val="20"/>
        </w:rPr>
        <w:t>EE Milestone, prior to February 15, 2024, and (iv) the warrant agreement with Hercules was amended as described below. On November 1, 2023, the EE Milestone was achieved and the covenant trigger date was extended to May 15, 2024. In connection with the Third Loan Amendment, a tranche extension amendment fee of $150,000</w:t>
      </w:r>
      <w:r>
        <w:rPr>
          <w:rFonts w:ascii="Times New Roman" w:hAnsi="Times New Roman"/>
          <w:color w:val="000000"/>
          <w:sz w:val="20"/>
        </w:rPr>
        <w:t xml:space="preserve"> </w:t>
      </w:r>
      <w:r>
        <w:rPr>
          <w:rFonts w:ascii="Calibri;sans-serif" w:hAnsi="Calibri;sans-serif"/>
          <w:color w:val="000000"/>
          <w:sz w:val="20"/>
        </w:rPr>
        <w:t>and a covenant extension amendment fee of $100,000</w:t>
      </w:r>
      <w:r>
        <w:rPr>
          <w:rFonts w:ascii="Times New Roman" w:hAnsi="Times New Roman"/>
          <w:color w:val="000000"/>
          <w:sz w:val="20"/>
        </w:rPr>
        <w:t xml:space="preserve"> </w:t>
      </w:r>
      <w:r>
        <w:rPr>
          <w:rFonts w:ascii="Calibri;sans-serif" w:hAnsi="Calibri;sans-serif"/>
          <w:color w:val="000000"/>
          <w:sz w:val="20"/>
        </w:rPr>
        <w:t>was paid to the Agent. These fees have been recorded as debt discount and are being amortized to interest expense using the effective interest method over the remaining term of the Term Loan.</w:t>
      </w:r>
    </w:p>
    <w:p>
      <w:pPr>
        <w:pStyle w:val="TextBody"/>
        <w:bidi w:val="0"/>
        <w:spacing w:before="200" w:after="120"/>
        <w:jc w:val="left"/>
        <w:rPr>
          <w:rFonts w:ascii="Times New Roman" w:hAnsi="Times New Roman"/>
          <w:sz w:val="20"/>
        </w:rPr>
      </w:pPr>
      <w:r>
        <w:rPr>
          <w:rFonts w:ascii="Calibri;sans-serif" w:hAnsi="Calibri;sans-serif"/>
          <w:color w:val="000000"/>
          <w:sz w:val="20"/>
        </w:rPr>
        <w:t>On December 14, 2023, the Company entered into a Fourth Amendment to Loan and Security Agreement, or the Fourth Loan Amendment, with the lenders, which, among other things, (i) increases the aggregate principal amount of the term loans from $200</w:t>
      </w:r>
      <w:r>
        <w:rPr>
          <w:rFonts w:ascii="Times New Roman" w:hAnsi="Times New Roman"/>
          <w:color w:val="000000"/>
          <w:sz w:val="20"/>
        </w:rPr>
        <w:t xml:space="preserve"> </w:t>
      </w:r>
      <w:r>
        <w:rPr>
          <w:rFonts w:ascii="Calibri;sans-serif" w:hAnsi="Calibri;sans-serif"/>
          <w:color w:val="000000"/>
          <w:sz w:val="20"/>
        </w:rPr>
        <w:t>million to $300</w:t>
      </w:r>
      <w:r>
        <w:rPr>
          <w:rFonts w:ascii="Times New Roman" w:hAnsi="Times New Roman"/>
          <w:color w:val="000000"/>
          <w:sz w:val="20"/>
        </w:rPr>
        <w:t xml:space="preserve"> </w:t>
      </w:r>
      <w:r>
        <w:rPr>
          <w:rFonts w:ascii="Calibri;sans-serif" w:hAnsi="Calibri;sans-serif"/>
          <w:color w:val="000000"/>
          <w:sz w:val="20"/>
        </w:rPr>
        <w:t>million; (ii) provides for the possibility of accessing the remaining $200</w:t>
      </w:r>
      <w:r>
        <w:rPr>
          <w:rFonts w:ascii="Times New Roman" w:hAnsi="Times New Roman"/>
          <w:color w:val="000000"/>
          <w:sz w:val="20"/>
        </w:rPr>
        <w:t xml:space="preserve"> </w:t>
      </w:r>
      <w:r>
        <w:rPr>
          <w:rFonts w:ascii="Calibri;sans-serif" w:hAnsi="Calibri;sans-serif"/>
          <w:color w:val="000000"/>
          <w:sz w:val="20"/>
        </w:rPr>
        <w:t>million commitment through five tranches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120"/>
        <w:jc w:val="left"/>
        <w:rPr>
          <w:rFonts w:ascii="Times New Roman" w:hAnsi="Times New Roman"/>
          <w:sz w:val="20"/>
        </w:rPr>
      </w:pPr>
      <w:r>
        <w:rPr>
          <w:rFonts w:ascii="Calibri;sans-serif" w:hAnsi="Calibri;sans-serif"/>
          <w:color w:val="000000"/>
          <w:sz w:val="20"/>
        </w:rPr>
        <w:t>referred to as the second through sixth tranches, which are available subject to certain milestones and conditions: (a) Second Tranche: $50</w:t>
      </w:r>
      <w:r>
        <w:rPr>
          <w:rFonts w:ascii="Times New Roman" w:hAnsi="Times New Roman"/>
          <w:color w:val="000000"/>
          <w:sz w:val="20"/>
        </w:rPr>
        <w:t xml:space="preserve"> </w:t>
      </w:r>
      <w:r>
        <w:rPr>
          <w:rFonts w:ascii="Calibri;sans-serif" w:hAnsi="Calibri;sans-serif"/>
          <w:color w:val="000000"/>
          <w:sz w:val="20"/>
        </w:rPr>
        <w:t>million, $40</w:t>
      </w:r>
      <w:r>
        <w:rPr>
          <w:rFonts w:ascii="Times New Roman" w:hAnsi="Times New Roman"/>
          <w:color w:val="000000"/>
          <w:sz w:val="20"/>
        </w:rPr>
        <w:t xml:space="preserve"> </w:t>
      </w:r>
      <w:r>
        <w:rPr>
          <w:rFonts w:ascii="Calibri;sans-serif" w:hAnsi="Calibri;sans-serif"/>
          <w:color w:val="000000"/>
          <w:sz w:val="20"/>
        </w:rPr>
        <w:t>million of which was funded on December 14, 2023, available through March 15, 2024, (b) Third Tranche: $25</w:t>
      </w:r>
      <w:r>
        <w:rPr>
          <w:rFonts w:ascii="Times New Roman" w:hAnsi="Times New Roman"/>
          <w:color w:val="000000"/>
          <w:sz w:val="20"/>
        </w:rPr>
        <w:t xml:space="preserve"> </w:t>
      </w:r>
      <w:r>
        <w:rPr>
          <w:rFonts w:ascii="Calibri;sans-serif" w:hAnsi="Calibri;sans-serif"/>
          <w:color w:val="000000"/>
          <w:sz w:val="20"/>
        </w:rPr>
        <w:t>million available through June 15, 2024, (c) Fourth Tranche: $25</w:t>
      </w:r>
      <w:r>
        <w:rPr>
          <w:rFonts w:ascii="Times New Roman" w:hAnsi="Times New Roman"/>
          <w:color w:val="000000"/>
          <w:sz w:val="20"/>
        </w:rPr>
        <w:t xml:space="preserve"> </w:t>
      </w:r>
      <w:r>
        <w:rPr>
          <w:rFonts w:ascii="Calibri;sans-serif" w:hAnsi="Calibri;sans-serif"/>
          <w:color w:val="000000"/>
          <w:sz w:val="20"/>
        </w:rPr>
        <w:t>million available through December 15, 2024, (d) Fifth Tranche: $50</w:t>
      </w:r>
      <w:r>
        <w:rPr>
          <w:rFonts w:ascii="Times New Roman" w:hAnsi="Times New Roman"/>
          <w:color w:val="000000"/>
          <w:sz w:val="20"/>
        </w:rPr>
        <w:t xml:space="preserve"> </w:t>
      </w:r>
      <w:r>
        <w:rPr>
          <w:rFonts w:ascii="Calibri;sans-serif" w:hAnsi="Calibri;sans-serif"/>
          <w:color w:val="000000"/>
          <w:sz w:val="20"/>
        </w:rPr>
        <w:t>million available, subject to the achievement of a specified revenue milestone, or the Fifth Tranche milestone, through June 30, 2025, and (e) Sixth Tranche: $50</w:t>
      </w:r>
      <w:r>
        <w:rPr>
          <w:rFonts w:ascii="Times New Roman" w:hAnsi="Times New Roman"/>
          <w:color w:val="000000"/>
          <w:sz w:val="20"/>
        </w:rPr>
        <w:t xml:space="preserve"> </w:t>
      </w:r>
      <w:r>
        <w:rPr>
          <w:rFonts w:ascii="Calibri;sans-serif" w:hAnsi="Calibri;sans-serif"/>
          <w:color w:val="000000"/>
          <w:sz w:val="20"/>
        </w:rPr>
        <w:t>million available, subject to the achievement of a specific revenue milestone, or the Sixth Tranche milestone, through December 31, 2025; (iii) extends the interest only period and the maturity date from October 2026 to December 2027, (iv) reduces the cash interest rate from 10.75% (floating annual rate equal to the greater of (a) 5.50% and (b) the Prime Rate (as reported in the Wall Street Journal) plus 2.25% to 9.85% (floating rate based on the greater of (a) 9.85% or (b) US WSJ Prime + 1.35%), provided that the cash interest rate shall be capped at 10.35% and upon the Company achieving the Sixth Tranche milestone, the cash interest floating rated shall be decreased by 0.35% to 9.50%, and (v) decreases the payment-in-kind interest rate from 3.35% per annum to 2.15% per annum. In connection with the Fourth Loan Amendment, an amendment fee of $250,000</w:t>
      </w:r>
      <w:r>
        <w:rPr>
          <w:rFonts w:ascii="Times New Roman" w:hAnsi="Times New Roman"/>
          <w:color w:val="000000"/>
          <w:sz w:val="20"/>
        </w:rPr>
        <w:t xml:space="preserve"> </w:t>
      </w:r>
      <w:r>
        <w:rPr>
          <w:rFonts w:ascii="Calibri;sans-serif" w:hAnsi="Calibri;sans-serif"/>
          <w:color w:val="000000"/>
          <w:sz w:val="20"/>
        </w:rPr>
        <w:t>was paid to the Agent and was recorded as a debt discount and is being amortized to interest expense using the effective interest method over the remaining term of the Term Loan.</w:t>
      </w:r>
    </w:p>
    <w:p>
      <w:pPr>
        <w:pStyle w:val="TextBody"/>
        <w:bidi w:val="0"/>
        <w:spacing w:before="200" w:after="283"/>
        <w:jc w:val="left"/>
        <w:rPr>
          <w:rFonts w:ascii="Times New Roman" w:hAnsi="Times New Roman"/>
          <w:sz w:val="20"/>
        </w:rPr>
      </w:pPr>
      <w:r>
        <w:rPr>
          <w:rFonts w:ascii="Calibri;sans-serif" w:hAnsi="Calibri;sans-serif"/>
          <w:color w:val="000000"/>
          <w:sz w:val="20"/>
        </w:rPr>
        <w:t>On March 15, 2024, the Company drew down on the remaining $10</w:t>
      </w:r>
      <w:r>
        <w:rPr>
          <w:rFonts w:ascii="Times New Roman" w:hAnsi="Times New Roman"/>
          <w:color w:val="000000"/>
          <w:sz w:val="20"/>
        </w:rPr>
        <w:t xml:space="preserve"> </w:t>
      </w:r>
      <w:r>
        <w:rPr>
          <w:rFonts w:ascii="Calibri;sans-serif" w:hAnsi="Calibri;sans-serif"/>
          <w:color w:val="000000"/>
          <w:sz w:val="20"/>
        </w:rPr>
        <w:t>million available under the Second Tranche. In addition, on June 14, 2024, the Company drew down the $25</w:t>
      </w:r>
      <w:r>
        <w:rPr>
          <w:rFonts w:ascii="Times New Roman" w:hAnsi="Times New Roman"/>
          <w:color w:val="000000"/>
          <w:sz w:val="20"/>
        </w:rPr>
        <w:t xml:space="preserve"> </w:t>
      </w:r>
      <w:r>
        <w:rPr>
          <w:rFonts w:ascii="Calibri;sans-serif" w:hAnsi="Calibri;sans-serif"/>
          <w:color w:val="000000"/>
          <w:sz w:val="20"/>
        </w:rPr>
        <w:t>million available under the Third Tranche.</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The Term Loan will mature on December 1, 2027, or the Maturity Date. The Term Loan bears (i) cash interest at a variable annual rate equal to the greater of (a) 9.85% and (b) the Prime Rate (as reported in the Wall Street Journal) plus 1.35%, or the Interest Rate, and (ii) payment-in-kind interest at a per annum rate of interest equal to 2.15%. The Company may make payments of interest only through the Maturity Date. After the interest-only period, the principal balance and related interest will be required to be repaid in full on the Maturity Date.</w:t>
      </w:r>
    </w:p>
    <w:p>
      <w:pPr>
        <w:pStyle w:val="TextBody"/>
        <w:bidi w:val="0"/>
        <w:spacing w:before="200" w:after="283"/>
        <w:jc w:val="left"/>
        <w:rPr>
          <w:rFonts w:ascii="Times New Roman" w:hAnsi="Times New Roman"/>
          <w:sz w:val="20"/>
        </w:rPr>
      </w:pPr>
      <w:r>
        <w:rPr>
          <w:rFonts w:ascii="Calibri;sans-serif" w:hAnsi="Calibri;sans-serif"/>
          <w:color w:val="000000"/>
          <w:sz w:val="20"/>
        </w:rPr>
        <w:t>In addition, the Company is obligated to pay a final payment fee of 7.50% of the original principal amount of amounts actually advanced under the Term Loan, or each a Term Loan Advance and together, the Term Loan Advances. In connection with the Fourth Loan Amendment, the final payment fee was amended to be $1</w:t>
      </w:r>
      <w:r>
        <w:rPr>
          <w:rFonts w:ascii="Times New Roman" w:hAnsi="Times New Roman"/>
          <w:color w:val="000000"/>
          <w:sz w:val="20"/>
        </w:rPr>
        <w:t xml:space="preserve"> </w:t>
      </w:r>
      <w:r>
        <w:rPr>
          <w:rFonts w:ascii="Calibri;sans-serif" w:hAnsi="Calibri;sans-serif"/>
          <w:color w:val="000000"/>
          <w:sz w:val="20"/>
        </w:rPr>
        <w:t>million plus 3.00% of any future tranche drawdowns under the agreement, due upon final maturity. Additionally, the initial final payment fee for the first term Loan advance was amended to become payable on October 1, 2026. As of June 30, 2024, the aggregate final payment fee for the first Term Loan Advance of $7.5</w:t>
      </w:r>
      <w:r>
        <w:rPr>
          <w:rFonts w:ascii="Times New Roman" w:hAnsi="Times New Roman"/>
          <w:color w:val="000000"/>
          <w:sz w:val="20"/>
        </w:rPr>
        <w:t xml:space="preserve"> </w:t>
      </w:r>
      <w:r>
        <w:rPr>
          <w:rFonts w:ascii="Calibri;sans-serif" w:hAnsi="Calibri;sans-serif"/>
          <w:color w:val="000000"/>
          <w:sz w:val="20"/>
        </w:rPr>
        <w:t>million, $2.2</w:t>
      </w:r>
      <w:r>
        <w:rPr>
          <w:rFonts w:ascii="Times New Roman" w:hAnsi="Times New Roman"/>
          <w:color w:val="000000"/>
          <w:sz w:val="20"/>
        </w:rPr>
        <w:t xml:space="preserve"> </w:t>
      </w:r>
      <w:r>
        <w:rPr>
          <w:rFonts w:ascii="Calibri;sans-serif" w:hAnsi="Calibri;sans-serif"/>
          <w:color w:val="000000"/>
          <w:sz w:val="20"/>
        </w:rPr>
        <w:t>million for the second Term Loan Advance, and $0.8</w:t>
      </w:r>
      <w:r>
        <w:rPr>
          <w:rFonts w:ascii="Times New Roman" w:hAnsi="Times New Roman"/>
          <w:color w:val="000000"/>
          <w:sz w:val="20"/>
        </w:rPr>
        <w:t xml:space="preserve"> </w:t>
      </w:r>
      <w:r>
        <w:rPr>
          <w:rFonts w:ascii="Calibri;sans-serif" w:hAnsi="Calibri;sans-serif"/>
          <w:color w:val="000000"/>
          <w:sz w:val="20"/>
        </w:rPr>
        <w:t>million for the third Term Loan Advance have been recorded within other long-term liabilities.</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Under the Fourth Loan Amendment the Company may elect to prepay all or a portion of the Term Loan Advances prior to maturity, subject to a prepayment fee of up to 1.25% of the then outstanding principal balance of the Term Loan Advances being prepaid when such prepayment occurs prior to October 1, 2026, or 0.50% if such prepayment occurs on or after October 1, 2026. After repayment, no Term Loan amounts may be borrowed again.</w:t>
      </w:r>
    </w:p>
    <w:p>
      <w:pPr>
        <w:pStyle w:val="TextBody"/>
        <w:bidi w:val="0"/>
        <w:spacing w:before="200" w:after="283"/>
        <w:jc w:val="left"/>
        <w:rPr>
          <w:rFonts w:ascii="Times New Roman" w:hAnsi="Times New Roman"/>
          <w:sz w:val="20"/>
        </w:rPr>
      </w:pPr>
      <w:r>
        <w:rPr>
          <w:rFonts w:ascii="Calibri;sans-serif" w:hAnsi="Calibri;sans-serif"/>
          <w:color w:val="000000"/>
          <w:sz w:val="20"/>
        </w:rPr>
        <w:t>As collateral for the obligations, the Company has granted to Hercules a senior security interest in all of Company’s right, title, and interest in, to and under substantially all of Company’s property, inclusive of intellectual property.</w:t>
      </w:r>
      <w:r>
        <w:rPr>
          <w:rFonts w:ascii="Times New Roman" w:hAnsi="Times New Roman"/>
          <w:color w:val="000000"/>
          <w:sz w:val="20"/>
        </w:rPr>
        <w:t xml:space="preserve"> </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The Loan Agreement contains customary closing fees, prepayment fees and provisions, events of default, and representations, warranties and covenants, including financial covenants. The financial covenants under the Fourth Loan Amendment include (i) a minimum cash covenant and (ii) a performance covenant as follows:</w:t>
      </w:r>
    </w:p>
    <w:p>
      <w:pPr>
        <w:pStyle w:val="TextBody"/>
        <w:bidi w:val="0"/>
        <w:spacing w:before="120" w:after="283"/>
        <w:jc w:val="left"/>
        <w:rPr>
          <w:rFonts w:ascii="Calibri" w:hAnsi="Calibri"/>
          <w:color w:val="000000"/>
          <w:sz w:val="20"/>
        </w:rPr>
      </w:pPr>
      <w:r>
        <w:rPr>
          <w:rFonts w:ascii="Calibri" w:hAnsi="Calibri"/>
          <w:color w:val="000000"/>
          <w:sz w:val="20"/>
        </w:rPr>
        <w:t>(i)</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 xml:space="preserve">Minimum cash covenant - The Company must maintain a minimum cash balance of 20% of the outstanding principal balance at all times. The minimum cash balance may be increased to 35% or 50% under performance covenant (b) below if the performance covenants (a) or (c) are not met beginning September 30, 2024 and all times thereafter. </w:t>
      </w:r>
    </w:p>
    <w:p>
      <w:pPr>
        <w:pStyle w:val="TextBody"/>
        <w:bidi w:val="0"/>
        <w:spacing w:before="120" w:after="283"/>
        <w:jc w:val="left"/>
        <w:rPr>
          <w:rFonts w:ascii="Calibri" w:hAnsi="Calibri"/>
          <w:color w:val="000000"/>
          <w:sz w:val="20"/>
        </w:rPr>
      </w:pPr>
      <w:r>
        <w:rPr>
          <w:rFonts w:ascii="Calibri" w:hAnsi="Calibri"/>
          <w:color w:val="000000"/>
          <w:sz w:val="20"/>
        </w:rPr>
        <w:t>(ii)</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Performance covenant - Beginning September 30, 2024 and all times thereafter the Company must satisfy any one of the following:</w:t>
      </w:r>
    </w:p>
    <w:p>
      <w:pPr>
        <w:pStyle w:val="TextBody"/>
        <w:bidi w:val="0"/>
        <w:spacing w:before="120" w:after="283"/>
        <w:jc w:val="left"/>
        <w:rPr>
          <w:rFonts w:ascii="Calibri" w:hAnsi="Calibri"/>
          <w:color w:val="000000"/>
          <w:sz w:val="20"/>
        </w:rPr>
      </w:pPr>
      <w:r>
        <w:rPr>
          <w:rFonts w:ascii="Calibri" w:hAnsi="Calibri"/>
          <w:color w:val="000000"/>
          <w:sz w:val="20"/>
        </w:rPr>
        <w:t>a.</w:t>
      </w:r>
    </w:p>
    <w:p>
      <w:pPr>
        <w:pStyle w:val="TextBody"/>
        <w:bidi w:val="0"/>
        <w:spacing w:before="120" w:after="283"/>
        <w:jc w:val="left"/>
        <w:rPr>
          <w:rFonts w:ascii="Times New Roman" w:hAnsi="Times New Roman"/>
          <w:sz w:val="24"/>
        </w:rPr>
      </w:pPr>
      <w:r>
        <w:rPr>
          <w:rFonts w:ascii="Calibri;sans-serif" w:hAnsi="Calibri;sans-serif"/>
          <w:color w:val="000000"/>
          <w:sz w:val="20"/>
        </w:rPr>
        <w:t>Market capitalization exceeding $900</w:t>
      </w:r>
      <w:r>
        <w:rPr>
          <w:rFonts w:ascii="Times New Roman" w:hAnsi="Times New Roman"/>
          <w:color w:val="000000"/>
          <w:sz w:val="24"/>
        </w:rPr>
        <w:t xml:space="preserve"> </w:t>
      </w:r>
      <w:r>
        <w:rPr>
          <w:rFonts w:ascii="Calibri;sans-serif" w:hAnsi="Calibri;sans-serif"/>
          <w:color w:val="000000"/>
          <w:sz w:val="20"/>
        </w:rPr>
        <w:t>million;</w:t>
      </w:r>
    </w:p>
    <w:p>
      <w:pPr>
        <w:pStyle w:val="TextBody"/>
        <w:bidi w:val="0"/>
        <w:spacing w:before="120" w:after="283"/>
        <w:jc w:val="left"/>
        <w:rPr>
          <w:rFonts w:ascii="Calibri" w:hAnsi="Calibri"/>
          <w:color w:val="000000"/>
          <w:sz w:val="20"/>
        </w:rPr>
      </w:pPr>
      <w:r>
        <w:rPr>
          <w:rFonts w:ascii="Calibri" w:hAnsi="Calibri"/>
          <w:color w:val="000000"/>
          <w:sz w:val="20"/>
        </w:rPr>
        <w:t>b.</w:t>
      </w:r>
    </w:p>
    <w:p>
      <w:pPr>
        <w:pStyle w:val="TextBody"/>
        <w:bidi w:val="0"/>
        <w:spacing w:before="120" w:after="283"/>
        <w:jc w:val="left"/>
        <w:rPr>
          <w:rFonts w:ascii="Times New Roman" w:hAnsi="Times New Roman"/>
          <w:sz w:val="24"/>
        </w:rPr>
      </w:pPr>
      <w:r>
        <w:rPr>
          <w:rFonts w:ascii="Calibri;sans-serif" w:hAnsi="Calibri;sans-serif"/>
          <w:color w:val="000000"/>
          <w:sz w:val="20"/>
        </w:rPr>
        <w:t>Minimum cash balance exceeding (x) outstanding principal amount of term loans, multiplied by (y) (A) 50%, prior to achieving trailing three months</w:t>
      </w:r>
      <w:r>
        <w:rPr>
          <w:rFonts w:ascii="Times New Roman" w:hAnsi="Times New Roman"/>
          <w:color w:val="000000"/>
          <w:sz w:val="24"/>
        </w:rPr>
        <w:t xml:space="preserve"> </w:t>
      </w:r>
      <w:r>
        <w:rPr>
          <w:rFonts w:ascii="Calibri;sans-serif" w:hAnsi="Calibri;sans-serif"/>
          <w:color w:val="000000"/>
          <w:sz w:val="20"/>
        </w:rPr>
        <w:t>net product revenue of greater than $35</w:t>
      </w:r>
      <w:r>
        <w:rPr>
          <w:rFonts w:ascii="Times New Roman" w:hAnsi="Times New Roman"/>
          <w:color w:val="000000"/>
          <w:sz w:val="24"/>
        </w:rPr>
        <w:t xml:space="preserve"> </w:t>
      </w:r>
      <w:r>
        <w:rPr>
          <w:rFonts w:ascii="Calibri;sans-serif" w:hAnsi="Calibri;sans-serif"/>
          <w:color w:val="000000"/>
          <w:sz w:val="20"/>
        </w:rPr>
        <w:t>million, and (B) 35% thereafter; or</w:t>
      </w:r>
    </w:p>
    <w:p>
      <w:pPr>
        <w:pStyle w:val="TextBody"/>
        <w:bidi w:val="0"/>
        <w:spacing w:before="120" w:after="283"/>
        <w:jc w:val="left"/>
        <w:rPr>
          <w:rFonts w:ascii="Calibri" w:hAnsi="Calibri"/>
          <w:color w:val="000000"/>
          <w:sz w:val="20"/>
        </w:rPr>
      </w:pPr>
      <w:r>
        <w:rPr>
          <w:rFonts w:ascii="Calibri" w:hAnsi="Calibri"/>
          <w:color w:val="000000"/>
          <w:sz w:val="20"/>
        </w:rPr>
        <w:t>c.</w:t>
      </w:r>
    </w:p>
    <w:p>
      <w:pPr>
        <w:pStyle w:val="TextBody"/>
        <w:bidi w:val="0"/>
        <w:spacing w:before="120" w:after="283"/>
        <w:jc w:val="left"/>
        <w:rPr>
          <w:rFonts w:ascii="Times New Roman" w:hAnsi="Times New Roman"/>
          <w:sz w:val="24"/>
        </w:rPr>
      </w:pPr>
      <w:r>
        <w:rPr>
          <w:rFonts w:ascii="Calibri;sans-serif" w:hAnsi="Calibri;sans-serif"/>
          <w:color w:val="000000"/>
          <w:sz w:val="20"/>
        </w:rPr>
        <w:t>Trailing three months</w:t>
      </w:r>
      <w:r>
        <w:rPr>
          <w:rFonts w:ascii="Times New Roman" w:hAnsi="Times New Roman"/>
          <w:color w:val="000000"/>
          <w:sz w:val="24"/>
        </w:rPr>
        <w:t xml:space="preserve"> </w:t>
      </w:r>
      <w:r>
        <w:rPr>
          <w:rFonts w:ascii="Calibri;sans-serif" w:hAnsi="Calibri;sans-serif"/>
          <w:color w:val="000000"/>
          <w:sz w:val="20"/>
        </w:rPr>
        <w:t>net product revenue of at least (x) 30% of agreed upon projected net revenues for periods in the calendar year 2024 and 25% for all periods thereafter or (y) $120</w:t>
      </w:r>
      <w:r>
        <w:rPr>
          <w:rFonts w:ascii="Times New Roman" w:hAnsi="Times New Roman"/>
          <w:color w:val="000000"/>
          <w:sz w:val="24"/>
        </w:rPr>
        <w:t xml:space="preserve"> </w:t>
      </w:r>
      <w:r>
        <w:rPr>
          <w:rFonts w:ascii="Calibri;sans-serif" w:hAnsi="Calibri;sans-serif"/>
          <w:color w:val="000000"/>
          <w:sz w:val="20"/>
        </w:rPr>
        <w:t>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Upon the occurrence of an event of default, subject to any specified cure periods, all amounts owed by the Company may be declared immediately due and payable by Hercules, as collateral agent. As of June 30, 2024, the Company was in compliance with all applicable covenants under the Loan Agreement.</w:t>
      </w:r>
    </w:p>
    <w:p>
      <w:pPr>
        <w:pStyle w:val="TextBody"/>
        <w:bidi w:val="0"/>
        <w:spacing w:before="200" w:after="283"/>
        <w:jc w:val="left"/>
        <w:rPr>
          <w:rFonts w:ascii="Times New Roman" w:hAnsi="Times New Roman"/>
          <w:sz w:val="20"/>
        </w:rPr>
      </w:pPr>
      <w:r>
        <w:rPr>
          <w:rFonts w:ascii="Calibri;sans-serif" w:hAnsi="Calibri;sans-serif"/>
          <w:color w:val="000000"/>
          <w:sz w:val="20"/>
        </w:rPr>
        <w:t>In connection with the entry into the Loan Agreement, the Company issued to Hercules a warrant, or the Warrant, to purchase a number of shares of the Company’s common stock equal to 2.5% of the aggregate amount of the Term Loan advances funded, and will issue to Hercules additional warrants when future Term Loan advances are funded. On the Closing Date, the Company issued a Warrant for 74,782</w:t>
      </w:r>
      <w:r>
        <w:rPr>
          <w:rFonts w:ascii="Times New Roman" w:hAnsi="Times New Roman"/>
          <w:color w:val="000000"/>
          <w:sz w:val="20"/>
        </w:rPr>
        <w:t xml:space="preserve"> </w:t>
      </w:r>
      <w:r>
        <w:rPr>
          <w:rFonts w:ascii="Calibri;sans-serif" w:hAnsi="Calibri;sans-serif"/>
          <w:color w:val="000000"/>
          <w:sz w:val="20"/>
        </w:rPr>
        <w:t>shares of common stock. The Warrant will be exercisable for a period of seven years</w:t>
      </w:r>
      <w:r>
        <w:rPr>
          <w:rFonts w:ascii="Times New Roman" w:hAnsi="Times New Roman"/>
          <w:color w:val="000000"/>
          <w:sz w:val="20"/>
        </w:rPr>
        <w:t xml:space="preserve"> </w:t>
      </w:r>
      <w:r>
        <w:rPr>
          <w:rFonts w:ascii="Calibri;sans-serif" w:hAnsi="Calibri;sans-serif"/>
          <w:color w:val="000000"/>
          <w:sz w:val="20"/>
        </w:rPr>
        <w:t>from the date of issuance at a per-share exercise price equal to $33.43, which was the closing price of the Company’s common stock on September 16, 2021. In connection with the entry into the Third Loan Amendment, the Company amended the form of warrants to be issued upon drawdowns of future tranches such that the exercise price of such warrants shall be equal to the lesser (i) of $11.6783, which was the trailing ten-day VWAP prior to entering into the Third Loan Amendment and (ii) the trailing ten-day VWAP preceding the date on which the Company drawdown future tranches. In connection with the entry into the Fourth Loan Amendment, the Company eliminated the warrant agreement for all future tranches. The Warrant issued with the initial tranche was not modified as part of this amendment. The exercise price and terms of the outstanding Warrant remain unchanged.</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The initial $1.3</w:t>
      </w:r>
      <w:r>
        <w:rPr>
          <w:rFonts w:ascii="Times New Roman" w:hAnsi="Times New Roman"/>
          <w:color w:val="000000"/>
          <w:sz w:val="20"/>
        </w:rPr>
        <w:t xml:space="preserve"> </w:t>
      </w:r>
      <w:r>
        <w:rPr>
          <w:rFonts w:ascii="Calibri;sans-serif" w:hAnsi="Calibri;sans-serif"/>
          <w:color w:val="000000"/>
          <w:sz w:val="20"/>
        </w:rPr>
        <w:t>million fair value of the Warrant, the $10.5</w:t>
      </w:r>
      <w:r>
        <w:rPr>
          <w:rFonts w:ascii="Times New Roman" w:hAnsi="Times New Roman"/>
          <w:color w:val="000000"/>
          <w:sz w:val="20"/>
        </w:rPr>
        <w:t xml:space="preserve"> </w:t>
      </w:r>
      <w:r>
        <w:rPr>
          <w:rFonts w:ascii="Calibri;sans-serif" w:hAnsi="Calibri;sans-serif"/>
          <w:color w:val="000000"/>
          <w:sz w:val="20"/>
        </w:rPr>
        <w:t>million final interest payment fees and $4.4</w:t>
      </w:r>
      <w:r>
        <w:rPr>
          <w:rFonts w:ascii="Times New Roman" w:hAnsi="Times New Roman"/>
          <w:color w:val="000000"/>
          <w:sz w:val="20"/>
        </w:rPr>
        <w:t xml:space="preserve"> </w:t>
      </w:r>
      <w:r>
        <w:rPr>
          <w:rFonts w:ascii="Calibri;sans-serif" w:hAnsi="Calibri;sans-serif"/>
          <w:color w:val="000000"/>
          <w:sz w:val="20"/>
        </w:rPr>
        <w:t>million of debt issuance costs have been recorded as debt discount and are being amortized to interest expense using the effective interest method over the term of the Term Loan.</w:t>
      </w:r>
      <w:r>
        <w:rPr>
          <w:rFonts w:ascii="Times New Roman" w:hAnsi="Times New Roman"/>
          <w:color w:val="000000"/>
          <w:sz w:val="20"/>
        </w:rPr>
        <w:t xml:space="preserve"> </w:t>
      </w:r>
    </w:p>
    <w:p>
      <w:pPr>
        <w:pStyle w:val="TextBody"/>
        <w:bidi w:val="0"/>
        <w:spacing w:before="200" w:after="200"/>
        <w:jc w:val="left"/>
        <w:rPr>
          <w:rFonts w:ascii="Calibri;sans-serif" w:hAnsi="Calibri;sans-serif"/>
          <w:color w:val="000000"/>
          <w:sz w:val="20"/>
        </w:rPr>
      </w:pPr>
      <w:r>
        <w:rPr>
          <w:rFonts w:ascii="Calibri;sans-serif" w:hAnsi="Calibri;sans-serif"/>
          <w:color w:val="000000"/>
          <w:sz w:val="20"/>
        </w:rPr>
        <w:t>Future minimum principal payments under the Term Loan, including the final payment fee, as of June 30, 2024 are as follows (in thousands):</w:t>
      </w:r>
    </w:p>
    <w:tbl>
      <w:tblPr>
        <w:tblW w:w="5115" w:type="dxa"/>
        <w:jc w:val="left"/>
        <w:tblInd w:w="0" w:type="dxa"/>
        <w:tblLayout w:type="fixed"/>
        <w:tblCellMar>
          <w:top w:w="28" w:type="dxa"/>
          <w:left w:w="28" w:type="dxa"/>
          <w:bottom w:w="28" w:type="dxa"/>
          <w:right w:w="28" w:type="dxa"/>
        </w:tblCellMar>
      </w:tblPr>
      <w:tblGrid>
        <w:gridCol w:w="3586"/>
        <w:gridCol w:w="146"/>
        <w:gridCol w:w="211"/>
        <w:gridCol w:w="781"/>
        <w:gridCol w:w="391"/>
      </w:tblGrid>
      <w:tr>
        <w:trPr/>
        <w:tc>
          <w:tcPr>
            <w:tcW w:w="3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8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Year ending December 31:</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58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2024</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58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2025</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58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7,500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58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2027</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201,987</w:t>
            </w:r>
          </w:p>
        </w:tc>
        <w:tc>
          <w:tcPr>
            <w:tcW w:w="391" w:type="dxa"/>
            <w:tcBorders/>
            <w:shd w:fill="CFF0FC" w:val="clear"/>
            <w:vAlign w:val="center"/>
          </w:tcPr>
          <w:p>
            <w:pPr>
              <w:pStyle w:val="TableContents"/>
              <w:bidi w:val="0"/>
              <w:spacing w:before="0" w:after="283"/>
              <w:jc w:val="left"/>
              <w:rPr/>
            </w:pPr>
            <w:r>
              <w:rPr/>
              <w:t> </w:t>
            </w:r>
          </w:p>
        </w:tc>
      </w:tr>
      <w:tr>
        <w:trPr/>
        <w:tc>
          <w:tcPr>
            <w:tcW w:w="358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principal and interest payments</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209,487</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58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Less: payment-in-kind and final payment fee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(34,487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58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term loan borrowings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175,000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sz w:val="20"/>
        </w:rPr>
      </w:pPr>
      <w:r>
        <w:rPr>
          <w:rFonts w:ascii="Calibri;sans-serif" w:hAnsi="Calibri;sans-serif"/>
          <w:color w:val="000000"/>
          <w:sz w:val="20"/>
        </w:rPr>
        <w:t>During the three months ended June 30, 2024 and 2023, the Company recognized $5.5</w:t>
      </w:r>
      <w:r>
        <w:rPr>
          <w:rFonts w:ascii="Times New Roman" w:hAnsi="Times New Roman"/>
          <w:color w:val="000000"/>
          <w:sz w:val="20"/>
        </w:rPr>
        <w:t xml:space="preserve"> </w:t>
      </w:r>
      <w:r>
        <w:rPr>
          <w:rFonts w:ascii="Calibri;sans-serif" w:hAnsi="Calibri;sans-serif"/>
          <w:color w:val="000000"/>
          <w:sz w:val="20"/>
        </w:rPr>
        <w:t>million and $4.2</w:t>
      </w:r>
      <w:r>
        <w:rPr>
          <w:rFonts w:ascii="Times New Roman" w:hAnsi="Times New Roman"/>
          <w:color w:val="000000"/>
          <w:sz w:val="20"/>
        </w:rPr>
        <w:t xml:space="preserve"> </w:t>
      </w:r>
      <w:r>
        <w:rPr>
          <w:rFonts w:ascii="Calibri;sans-serif" w:hAnsi="Calibri;sans-serif"/>
          <w:color w:val="000000"/>
          <w:sz w:val="20"/>
        </w:rPr>
        <w:t>million, respectively, of interest expense, including amortization of the debt discount, in connection with the Hercules Loan Agreement. During the six months ended June 30, 2024 and 2023, the Company recognized $10.5</w:t>
      </w:r>
      <w:r>
        <w:rPr>
          <w:rFonts w:ascii="Times New Roman" w:hAnsi="Times New Roman"/>
          <w:color w:val="000000"/>
          <w:sz w:val="20"/>
        </w:rPr>
        <w:t xml:space="preserve"> </w:t>
      </w:r>
      <w:r>
        <w:rPr>
          <w:rFonts w:ascii="Calibri;sans-serif" w:hAnsi="Calibri;sans-serif"/>
          <w:color w:val="000000"/>
          <w:sz w:val="20"/>
        </w:rPr>
        <w:t>million and $8.2</w:t>
      </w:r>
      <w:r>
        <w:rPr>
          <w:rFonts w:ascii="Times New Roman" w:hAnsi="Times New Roman"/>
          <w:color w:val="000000"/>
          <w:sz w:val="20"/>
        </w:rPr>
        <w:t xml:space="preserve"> </w:t>
      </w:r>
      <w:r>
        <w:rPr>
          <w:rFonts w:ascii="Calibri;sans-serif" w:hAnsi="Calibri;sans-serif"/>
          <w:color w:val="000000"/>
          <w:sz w:val="20"/>
        </w:rPr>
        <w:t>million, respectively, of interest expense, including amortization of the debt discount, in connection with the Hercules Loan Agreement. As of June 30, 2024, the Company had an outstanding loan balance of $184.8</w:t>
      </w:r>
      <w:r>
        <w:rPr>
          <w:rFonts w:ascii="Times New Roman" w:hAnsi="Times New Roman"/>
          <w:color w:val="000000"/>
          <w:sz w:val="20"/>
        </w:rPr>
        <w:t xml:space="preserve"> </w:t>
      </w:r>
      <w:r>
        <w:rPr>
          <w:rFonts w:ascii="Calibri;sans-serif" w:hAnsi="Calibri;sans-serif"/>
          <w:color w:val="000000"/>
          <w:sz w:val="20"/>
        </w:rPr>
        <w:t>million and accrued interest of $1.4</w:t>
      </w:r>
      <w:r>
        <w:rPr>
          <w:rFonts w:ascii="Times New Roman" w:hAnsi="Times New Roman"/>
          <w:color w:val="000000"/>
          <w:sz w:val="20"/>
        </w:rPr>
        <w:t xml:space="preserve"> </w:t>
      </w:r>
      <w:r>
        <w:rPr>
          <w:rFonts w:ascii="Calibri;sans-serif" w:hAnsi="Calibri;sans-serif"/>
          <w:color w:val="000000"/>
          <w:sz w:val="20"/>
        </w:rPr>
        <w:t>million.</w:t>
      </w:r>
    </w:p>
    <w:p>
      <w:pPr>
        <w:pStyle w:val="TextBody"/>
        <w:bidi w:val="0"/>
        <w:spacing w:before="200" w:after="283"/>
        <w:jc w:val="left"/>
        <w:rPr>
          <w:rFonts w:ascii="Times New Roman" w:hAnsi="Times New Roman"/>
          <w:sz w:val="20"/>
        </w:rPr>
      </w:pPr>
      <w:r>
        <w:rPr>
          <w:rFonts w:ascii="Calibri;sans-serif" w:hAnsi="Calibri;sans-serif"/>
          <w:b/>
          <w:color w:val="000000"/>
          <w:sz w:val="20"/>
        </w:rPr>
        <w:t>6. Revenue Interest Financing Liability</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On May 3, 2022, the Company entered into a Revenue Interest Financing Agreement with Initial Investors NQ, Sagard, and Hercules pursuant to which the Company will receive up to $260</w:t>
      </w:r>
      <w:r>
        <w:rPr>
          <w:rFonts w:ascii="Times New Roman" w:hAnsi="Times New Roman"/>
          <w:color w:val="000000"/>
          <w:sz w:val="20"/>
        </w:rPr>
        <w:t xml:space="preserve"> </w:t>
      </w:r>
      <w:r>
        <w:rPr>
          <w:rFonts w:ascii="Calibri;sans-serif" w:hAnsi="Calibri;sans-serif"/>
          <w:color w:val="000000"/>
          <w:sz w:val="20"/>
        </w:rPr>
        <w:t>million in funding from the Initial Investors. Under the terms of the Revenue Interest Financing Agreement, the Company received $100</w:t>
      </w:r>
      <w:r>
        <w:rPr>
          <w:rFonts w:ascii="Times New Roman" w:hAnsi="Times New Roman"/>
          <w:color w:val="000000"/>
          <w:sz w:val="20"/>
        </w:rPr>
        <w:t xml:space="preserve"> </w:t>
      </w:r>
      <w:r>
        <w:rPr>
          <w:rFonts w:ascii="Calibri;sans-serif" w:hAnsi="Calibri;sans-serif"/>
          <w:color w:val="000000"/>
          <w:sz w:val="20"/>
        </w:rPr>
        <w:t>million at the initial closing and received an additional $160</w:t>
      </w:r>
      <w:r>
        <w:rPr>
          <w:rFonts w:ascii="Times New Roman" w:hAnsi="Times New Roman"/>
          <w:color w:val="000000"/>
          <w:sz w:val="20"/>
        </w:rPr>
        <w:t xml:space="preserve"> </w:t>
      </w:r>
      <w:r>
        <w:rPr>
          <w:rFonts w:ascii="Calibri;sans-serif" w:hAnsi="Calibri;sans-serif"/>
          <w:color w:val="000000"/>
          <w:sz w:val="20"/>
        </w:rPr>
        <w:t>million upon FDA approval of VOQUEZNA for treatment of Erosive GERD during the fourth quarter of 2023.</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Additionally, on October 31, 2022, the Company entered into a Joinder Agreement with the Initial Investors and CO Finance LVS XXXVII LLC, or the Additional Investor, and Hercules, together as the investors. Under the terms of the Joinder Agreement, the Company received $15</w:t>
      </w:r>
      <w:r>
        <w:rPr>
          <w:rFonts w:ascii="Times New Roman" w:hAnsi="Times New Roman"/>
          <w:color w:val="000000"/>
          <w:sz w:val="20"/>
        </w:rPr>
        <w:t xml:space="preserve"> </w:t>
      </w:r>
      <w:r>
        <w:rPr>
          <w:rFonts w:ascii="Calibri;sans-serif" w:hAnsi="Calibri;sans-serif"/>
          <w:color w:val="000000"/>
          <w:sz w:val="20"/>
        </w:rPr>
        <w:t>million in additional funding upon FDA approval of vonoprazan for Erosive GERD, or Approval Additional Funding, during the fourth quarter of 2023, and provides for $25</w:t>
      </w:r>
      <w:r>
        <w:rPr>
          <w:rFonts w:ascii="Times New Roman" w:hAnsi="Times New Roman"/>
          <w:color w:val="000000"/>
          <w:sz w:val="20"/>
        </w:rPr>
        <w:t xml:space="preserve"> </w:t>
      </w:r>
      <w:r>
        <w:rPr>
          <w:rFonts w:ascii="Calibri;sans-serif" w:hAnsi="Calibri;sans-serif"/>
          <w:color w:val="000000"/>
          <w:sz w:val="20"/>
        </w:rPr>
        <w:t>million in additional funding for achievement of a sales milestone, or Milestone Additional Funding, and, together with the Approval Additional Funding, or the Additional Investor Funding. The Initial Investors waived their rights of first offer regarding the Additional Investor Funding and the Additional Investor and joined the Revenue Interest Financing Agreement to extend commitments for the Additional Investor Funding. The total amount funded by the Initial Investors and any subsequent investors is referred to herein as the Investment Amount.</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Under the Revenue Interest Financing Agreement, the investors are entitled to receive a 10% royalty on net sales of products containing vonoprazan. The royalty rate is subject to a step-down on net sales exceeding certain annual thresholds and when the Company received FDA approval for vonoprazan for an indication relating to the treatment of heartburn associated with</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Non-Erosive GERD, which occurred on July 17, 2024. The investors’ right to receive royalties on net sales will terminate when the investors have aggregate payments equal to 200% of the Investment Amount. In addition, at any time after the earlier of (i) April 30, 2024 and (ii) the date that the payment for Erosive GERD regulatory approval is made, the Company has the right to make a cap payment equal to 200% of the Investment Amount less any royalties already paid, at which time the agreement will terminate.</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If the investors have not received aggregate payments of at least 100% of the Investment Amount by December 31, 2028, and at least 200% of the Investment Amount by December 31, 2037, each a Minimum Amount, then the Company will be obligated to make a cash payment to the investors in an amount sufficient to gross the investors up to the applicable Minimum Amount.</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Upon the occurrence of an event of default taking place prior to April 1, 2025, between April 1, 2025 and April 1, 2028, and after April 1, 2028, the Company is obligated to pay 1.30 times Investment Amount, 1.65 times Investment Amount, and 2.0 times investment amount, respectively, less any amounts the Company previously paid pursuant to the agreement.</w:t>
      </w:r>
    </w:p>
    <w:p>
      <w:pPr>
        <w:pStyle w:val="TextBody"/>
        <w:bidi w:val="0"/>
        <w:spacing w:before="200" w:after="283"/>
        <w:jc w:val="left"/>
        <w:rPr>
          <w:rFonts w:ascii="Times New Roman" w:hAnsi="Times New Roman"/>
          <w:sz w:val="20"/>
        </w:rPr>
      </w:pPr>
      <w:r>
        <w:rPr>
          <w:rFonts w:ascii="Calibri;sans-serif" w:hAnsi="Calibri;sans-serif"/>
          <w:color w:val="000000"/>
          <w:sz w:val="20"/>
        </w:rPr>
        <w:t>During the year ended December 31, 2023, the Company received gross proceeds of $175.0</w:t>
      </w:r>
      <w:r>
        <w:rPr>
          <w:rFonts w:ascii="Times New Roman" w:hAnsi="Times New Roman"/>
          <w:color w:val="000000"/>
          <w:sz w:val="20"/>
        </w:rPr>
        <w:t xml:space="preserve"> </w:t>
      </w:r>
      <w:r>
        <w:rPr>
          <w:rFonts w:ascii="Calibri;sans-serif" w:hAnsi="Calibri;sans-serif"/>
          <w:color w:val="000000"/>
          <w:sz w:val="20"/>
        </w:rPr>
        <w:t>million before deducting transaction costs of $2.3</w:t>
      </w:r>
      <w:r>
        <w:rPr>
          <w:rFonts w:ascii="Times New Roman" w:hAnsi="Times New Roman"/>
          <w:color w:val="000000"/>
          <w:sz w:val="20"/>
        </w:rPr>
        <w:t xml:space="preserve"> </w:t>
      </w:r>
      <w:r>
        <w:rPr>
          <w:rFonts w:ascii="Calibri;sans-serif" w:hAnsi="Calibri;sans-serif"/>
          <w:color w:val="000000"/>
          <w:sz w:val="20"/>
        </w:rPr>
        <w:t>million, resulting in net proceeds of $172.7</w:t>
      </w:r>
      <w:r>
        <w:rPr>
          <w:rFonts w:ascii="Times New Roman" w:hAnsi="Times New Roman"/>
          <w:color w:val="000000"/>
          <w:sz w:val="20"/>
        </w:rPr>
        <w:t xml:space="preserve"> </w:t>
      </w:r>
      <w:r>
        <w:rPr>
          <w:rFonts w:ascii="Calibri;sans-serif" w:hAnsi="Calibri;sans-serif"/>
          <w:color w:val="000000"/>
          <w:sz w:val="20"/>
        </w:rPr>
        <w:t>million.</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The Company has evaluated the terms of the Revenue Interest Financing Agreement and concluded that the features of the Investment Amount are similar to those of a debt instrument. Accordingly, the Company has accounted for the transaction as a debt obligation with interest expense based on an imputed effective rate derived from the initial carrying value of the obligation and the expected future payments. The Company recalculates the effective interest rate each period based on the current carrying value and the revised estimated future payments. As of June 30, 2024, the effective interest rate of the revenue interest financing liability was approximately 14.26%. Changes in future payments from previous estimates are included in the current and future interest expense. The carrying value of the revenue interest financing liability was $331.1</w:t>
      </w:r>
      <w:r>
        <w:rPr>
          <w:rFonts w:ascii="Times New Roman" w:hAnsi="Times New Roman"/>
          <w:color w:val="000000"/>
          <w:sz w:val="20"/>
        </w:rPr>
        <w:t xml:space="preserve"> </w:t>
      </w:r>
      <w:r>
        <w:rPr>
          <w:rFonts w:ascii="Calibri;sans-serif" w:hAnsi="Calibri;sans-serif"/>
          <w:color w:val="000000"/>
          <w:sz w:val="20"/>
        </w:rPr>
        <w:t>million and $306.9</w:t>
      </w:r>
      <w:r>
        <w:rPr>
          <w:rFonts w:ascii="Times New Roman" w:hAnsi="Times New Roman"/>
          <w:color w:val="000000"/>
          <w:sz w:val="20"/>
        </w:rPr>
        <w:t xml:space="preserve"> </w:t>
      </w:r>
      <w:r>
        <w:rPr>
          <w:rFonts w:ascii="Calibri;sans-serif" w:hAnsi="Calibri;sans-serif"/>
          <w:color w:val="000000"/>
          <w:sz w:val="20"/>
        </w:rPr>
        <w:t>million as of June 30, 2024 and December 31, 2023, respectively.</w:t>
      </w:r>
      <w:r>
        <w:rPr>
          <w:rFonts w:ascii="Times New Roman" w:hAnsi="Times New Roman"/>
          <w:color w:val="000000"/>
          <w:sz w:val="20"/>
        </w:rPr>
        <w:t xml:space="preserve"> </w:t>
      </w:r>
    </w:p>
    <w:p>
      <w:pPr>
        <w:pStyle w:val="TextBody"/>
        <w:bidi w:val="0"/>
        <w:spacing w:before="200" w:after="200"/>
        <w:jc w:val="left"/>
        <w:rPr>
          <w:rFonts w:ascii="Calibri;sans-serif" w:hAnsi="Calibri;sans-serif"/>
          <w:color w:val="000000"/>
          <w:sz w:val="20"/>
        </w:rPr>
      </w:pPr>
      <w:r>
        <w:rPr>
          <w:rFonts w:ascii="Calibri;sans-serif" w:hAnsi="Calibri;sans-serif"/>
          <w:color w:val="000000"/>
          <w:sz w:val="20"/>
        </w:rPr>
        <w:t>Total revenue interest financing liability consists of the following (in thousands):</w:t>
      </w:r>
    </w:p>
    <w:tbl>
      <w:tblPr>
        <w:tblW w:w="6000" w:type="dxa"/>
        <w:jc w:val="left"/>
        <w:tblInd w:w="0" w:type="dxa"/>
        <w:tblLayout w:type="fixed"/>
        <w:tblCellMar>
          <w:top w:w="28" w:type="dxa"/>
          <w:left w:w="28" w:type="dxa"/>
          <w:bottom w:w="28" w:type="dxa"/>
          <w:right w:w="28" w:type="dxa"/>
        </w:tblCellMar>
      </w:tblPr>
      <w:tblGrid>
        <w:gridCol w:w="4651"/>
        <w:gridCol w:w="146"/>
        <w:gridCol w:w="211"/>
        <w:gridCol w:w="781"/>
        <w:gridCol w:w="211"/>
      </w:tblGrid>
      <w:tr>
        <w:trPr/>
        <w:tc>
          <w:tcPr>
            <w:tcW w:w="4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5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Liability balance as of January 1, 2023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109,525</w:t>
            </w:r>
          </w:p>
        </w:tc>
        <w:tc>
          <w:tcPr>
            <w:tcW w:w="211" w:type="dxa"/>
            <w:tcBorders/>
            <w:shd w:fill="CFF0FC" w:val="clear"/>
            <w:vAlign w:val="center"/>
          </w:tcPr>
          <w:p>
            <w:pPr>
              <w:pStyle w:val="TableContents"/>
              <w:bidi w:val="0"/>
              <w:spacing w:before="0" w:after="283"/>
              <w:jc w:val="left"/>
              <w:rPr/>
            </w:pPr>
            <w:r>
              <w:rPr/>
              <w:t> </w:t>
            </w:r>
          </w:p>
        </w:tc>
      </w:tr>
      <w:tr>
        <w:trPr/>
        <w:tc>
          <w:tcPr>
            <w:tcW w:w="465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Proceeds from the Revenue Interest Financing Agreement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175,000</w:t>
            </w:r>
          </w:p>
        </w:tc>
        <w:tc>
          <w:tcPr>
            <w:tcW w:w="211" w:type="dxa"/>
            <w:tcBorders/>
            <w:shd w:fill="FFFFFF" w:val="clear"/>
            <w:vAlign w:val="center"/>
          </w:tcPr>
          <w:p>
            <w:pPr>
              <w:pStyle w:val="TableContents"/>
              <w:bidi w:val="0"/>
              <w:spacing w:before="0" w:after="283"/>
              <w:jc w:val="left"/>
              <w:rPr/>
            </w:pPr>
            <w:r>
              <w:rPr/>
              <w:t> </w:t>
            </w:r>
          </w:p>
        </w:tc>
      </w:tr>
      <w:tr>
        <w:trPr/>
        <w:tc>
          <w:tcPr>
            <w:tcW w:w="465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Less: transaction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(2,325</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465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Less: royalty payments and payables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465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Plus: 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24,727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Ending liability balance as of December 31, 2023</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306,927</w:t>
            </w:r>
          </w:p>
        </w:tc>
        <w:tc>
          <w:tcPr>
            <w:tcW w:w="211" w:type="dxa"/>
            <w:tcBorders/>
            <w:shd w:fill="FFFFFF" w:val="clear"/>
            <w:vAlign w:val="center"/>
          </w:tcPr>
          <w:p>
            <w:pPr>
              <w:pStyle w:val="TableContents"/>
              <w:bidi w:val="0"/>
              <w:spacing w:before="0" w:after="283"/>
              <w:jc w:val="left"/>
              <w:rPr/>
            </w:pPr>
            <w:r>
              <w:rPr/>
              <w:t> </w:t>
            </w:r>
          </w:p>
        </w:tc>
      </w:tr>
      <w:tr>
        <w:trPr/>
        <w:tc>
          <w:tcPr>
            <w:tcW w:w="465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Less: current portion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(7,111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465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Long-term liability balance as of December 31, 2023</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299,816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465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Liability balance as of January 1, 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306,927</w:t>
            </w:r>
          </w:p>
        </w:tc>
        <w:tc>
          <w:tcPr>
            <w:tcW w:w="211" w:type="dxa"/>
            <w:tcBorders/>
            <w:shd w:fill="CFF0FC" w:val="clear"/>
            <w:vAlign w:val="center"/>
          </w:tcPr>
          <w:p>
            <w:pPr>
              <w:pStyle w:val="TableContents"/>
              <w:bidi w:val="0"/>
              <w:spacing w:before="0" w:after="283"/>
              <w:jc w:val="left"/>
              <w:rPr/>
            </w:pPr>
            <w:r>
              <w:rPr/>
              <w:t> </w:t>
            </w:r>
          </w:p>
        </w:tc>
      </w:tr>
      <w:tr>
        <w:trPr/>
        <w:tc>
          <w:tcPr>
            <w:tcW w:w="465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Proceeds from the Revenue Interest Financing Agreement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465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Less: transaction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465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Less: royalty payments and payables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(259</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465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Plus: 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24,432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Ending liability balance as of June 30, 2024</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331,100</w:t>
            </w:r>
          </w:p>
        </w:tc>
        <w:tc>
          <w:tcPr>
            <w:tcW w:w="211" w:type="dxa"/>
            <w:tcBorders/>
            <w:shd w:fill="FFFFFF" w:val="clear"/>
            <w:vAlign w:val="center"/>
          </w:tcPr>
          <w:p>
            <w:pPr>
              <w:pStyle w:val="TableContents"/>
              <w:bidi w:val="0"/>
              <w:spacing w:before="0" w:after="283"/>
              <w:jc w:val="left"/>
              <w:rPr/>
            </w:pPr>
            <w:r>
              <w:rPr/>
              <w:t> </w:t>
            </w:r>
          </w:p>
        </w:tc>
      </w:tr>
      <w:tr>
        <w:trPr/>
        <w:tc>
          <w:tcPr>
            <w:tcW w:w="465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Less: current portion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(9,910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465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Long-term liability balance as of June 30, 2024</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321,190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sz w:val="20"/>
        </w:rPr>
      </w:pPr>
      <w:r>
        <w:rPr>
          <w:rFonts w:ascii="Calibri;sans-serif" w:hAnsi="Calibri;sans-serif"/>
          <w:color w:val="000000"/>
          <w:sz w:val="20"/>
        </w:rPr>
        <w:t>During the three months ended June 30, 2024 and 2023, the Company recognized $12.3</w:t>
      </w:r>
      <w:r>
        <w:rPr>
          <w:rFonts w:ascii="Times New Roman" w:hAnsi="Times New Roman"/>
          <w:color w:val="000000"/>
          <w:sz w:val="20"/>
        </w:rPr>
        <w:t xml:space="preserve"> </w:t>
      </w:r>
      <w:r>
        <w:rPr>
          <w:rFonts w:ascii="Calibri;sans-serif" w:hAnsi="Calibri;sans-serif"/>
          <w:color w:val="000000"/>
          <w:sz w:val="20"/>
        </w:rPr>
        <w:t>million and $5.4</w:t>
      </w:r>
      <w:r>
        <w:rPr>
          <w:rFonts w:ascii="Times New Roman" w:hAnsi="Times New Roman"/>
          <w:color w:val="000000"/>
          <w:sz w:val="20"/>
        </w:rPr>
        <w:t xml:space="preserve"> </w:t>
      </w:r>
      <w:r>
        <w:rPr>
          <w:rFonts w:ascii="Calibri;sans-serif" w:hAnsi="Calibri;sans-serif"/>
          <w:color w:val="000000"/>
          <w:sz w:val="20"/>
        </w:rPr>
        <w:t>million, respectively, of interest expense in connection with the revenue interest financing liability. During the six months ended June 30, 2024 and 2023, the Company recognized $24.4</w:t>
      </w:r>
      <w:r>
        <w:rPr>
          <w:rFonts w:ascii="Times New Roman" w:hAnsi="Times New Roman"/>
          <w:color w:val="000000"/>
          <w:sz w:val="20"/>
        </w:rPr>
        <w:t xml:space="preserve"> </w:t>
      </w:r>
      <w:r>
        <w:rPr>
          <w:rFonts w:ascii="Calibri;sans-serif" w:hAnsi="Calibri;sans-serif"/>
          <w:color w:val="000000"/>
          <w:sz w:val="20"/>
        </w:rPr>
        <w:t>million and $10.6</w:t>
      </w:r>
      <w:r>
        <w:rPr>
          <w:rFonts w:ascii="Times New Roman" w:hAnsi="Times New Roman"/>
          <w:color w:val="000000"/>
          <w:sz w:val="20"/>
        </w:rPr>
        <w:t xml:space="preserve"> </w:t>
      </w:r>
      <w:r>
        <w:rPr>
          <w:rFonts w:ascii="Calibri;sans-serif" w:hAnsi="Calibri;sans-serif"/>
          <w:color w:val="000000"/>
          <w:sz w:val="20"/>
        </w:rPr>
        <w:t>million, respectively, of interest expense in connection with the revenue interest financing liability.</w:t>
      </w:r>
    </w:p>
    <w:p>
      <w:pPr>
        <w:pStyle w:val="TextBody"/>
        <w:bidi w:val="0"/>
        <w:spacing w:before="200" w:after="283"/>
        <w:jc w:val="left"/>
        <w:rPr>
          <w:rFonts w:ascii="Times New Roman" w:hAnsi="Times New Roman"/>
          <w:sz w:val="20"/>
        </w:rPr>
      </w:pPr>
      <w:r>
        <w:rPr>
          <w:rFonts w:ascii="Calibri;sans-serif" w:hAnsi="Calibri;sans-serif"/>
          <w:color w:val="000000"/>
          <w:sz w:val="20"/>
        </w:rPr>
        <w:t>The Company will record liabilities associated with achievement of the sales milestone when such contingent event occurs. To determine the accretion of the liability related to the Revenue Interest Financing Agreement, the Company is required to estimate the total amount of future royalty payments and estimated timing of such payments based on the Company’s revenue projections. As royalty payments are made, the balance of the debt obligation will be effectively repaid. Based on the Company’s periodic review, the exact timing of repayment is likely to be different in each reporting period as compared to those estimated in the Company’s initial revenue projections. A significant increase or decrease in actual net sales of vonoprazan compared to the Company’s revenue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projections could impact the interest expense associated with the revenue interest financing liability. Also, the Company’s total obligation can vary depending on default events and achievement of the sales milestone.</w:t>
      </w:r>
    </w:p>
    <w:p>
      <w:pPr>
        <w:pStyle w:val="TextBody"/>
        <w:bidi w:val="0"/>
        <w:spacing w:before="200" w:after="283"/>
        <w:jc w:val="left"/>
        <w:rPr>
          <w:rFonts w:ascii="Times New Roman" w:hAnsi="Times New Roman"/>
          <w:sz w:val="20"/>
        </w:rPr>
      </w:pPr>
      <w:r>
        <w:rPr>
          <w:rFonts w:ascii="Calibri;sans-serif" w:hAnsi="Calibri;sans-serif"/>
          <w:b/>
          <w:color w:val="000000"/>
          <w:sz w:val="20"/>
        </w:rPr>
        <w:t>7. Stockholders’ Equity</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b/>
          <w:i/>
          <w:color w:val="000000"/>
          <w:sz w:val="20"/>
        </w:rPr>
        <w:t>Common Stock</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In March 2019, the founders granted the Company a repurchase right for the 3,373,408</w:t>
      </w:r>
      <w:r>
        <w:rPr>
          <w:rFonts w:ascii="Times New Roman" w:hAnsi="Times New Roman"/>
          <w:color w:val="000000"/>
          <w:sz w:val="20"/>
        </w:rPr>
        <w:t xml:space="preserve"> </w:t>
      </w:r>
      <w:r>
        <w:rPr>
          <w:rFonts w:ascii="Calibri;sans-serif" w:hAnsi="Calibri;sans-serif"/>
          <w:color w:val="000000"/>
          <w:sz w:val="20"/>
        </w:rPr>
        <w:t>shares of common stock originally purchased in 2018. The Company had the right, but not the obligation, to repurchase unvested shares in the event the founder’s relationship with the Company is terminated, subject to certain limitations, at the original purchase price of the stock. The repurchase right lapsed for 843,352</w:t>
      </w:r>
      <w:r>
        <w:rPr>
          <w:rFonts w:ascii="Times New Roman" w:hAnsi="Times New Roman"/>
          <w:color w:val="000000"/>
          <w:sz w:val="20"/>
        </w:rPr>
        <w:t xml:space="preserve"> </w:t>
      </w:r>
      <w:r>
        <w:rPr>
          <w:rFonts w:ascii="Calibri;sans-serif" w:hAnsi="Calibri;sans-serif"/>
          <w:color w:val="000000"/>
          <w:sz w:val="20"/>
        </w:rPr>
        <w:t>shares in March 2019 and the repurchase right for the remaining 2,530,056</w:t>
      </w:r>
      <w:r>
        <w:rPr>
          <w:rFonts w:ascii="Times New Roman" w:hAnsi="Times New Roman"/>
          <w:color w:val="000000"/>
          <w:sz w:val="20"/>
        </w:rPr>
        <w:t xml:space="preserve"> </w:t>
      </w:r>
      <w:r>
        <w:rPr>
          <w:rFonts w:ascii="Calibri;sans-serif" w:hAnsi="Calibri;sans-serif"/>
          <w:color w:val="000000"/>
          <w:sz w:val="20"/>
        </w:rPr>
        <w:t>shares lapses in equal monthly amounts over the following 48-month period ended in March 2023. The fair value of the founder shares at the date the repurchase right was granted was recognized as stock-based compensation expense on a straight-line basis over the vesting period. As of June 30, 2024, no</w:t>
      </w:r>
      <w:r>
        <w:rPr>
          <w:rFonts w:ascii="Times New Roman" w:hAnsi="Times New Roman"/>
          <w:color w:val="000000"/>
          <w:sz w:val="20"/>
        </w:rPr>
        <w:t xml:space="preserve"> </w:t>
      </w:r>
      <w:r>
        <w:rPr>
          <w:rFonts w:ascii="Calibri;sans-serif" w:hAnsi="Calibri;sans-serif"/>
          <w:color w:val="000000"/>
          <w:sz w:val="20"/>
        </w:rPr>
        <w:t>shares of common stock were subject to repurchase by the Company. The amount of recognized and unrecognized stock-based compensation related to the founder stock was immaterial for all periods presented.</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From inception through June 30, 2024, the Company sold 26,041,380</w:t>
      </w:r>
      <w:r>
        <w:rPr>
          <w:rFonts w:ascii="Times New Roman" w:hAnsi="Times New Roman"/>
          <w:color w:val="000000"/>
          <w:sz w:val="20"/>
        </w:rPr>
        <w:t xml:space="preserve"> </w:t>
      </w:r>
      <w:r>
        <w:rPr>
          <w:rFonts w:ascii="Calibri;sans-serif" w:hAnsi="Calibri;sans-serif"/>
          <w:color w:val="000000"/>
          <w:sz w:val="20"/>
        </w:rPr>
        <w:t>shares of common stock, generating net proceeds of approximately $421.5</w:t>
      </w:r>
      <w:r>
        <w:rPr>
          <w:rFonts w:ascii="Times New Roman" w:hAnsi="Times New Roman"/>
          <w:color w:val="000000"/>
          <w:sz w:val="20"/>
        </w:rPr>
        <w:t xml:space="preserve"> </w:t>
      </w:r>
      <w:r>
        <w:rPr>
          <w:rFonts w:ascii="Calibri;sans-serif" w:hAnsi="Calibri;sans-serif"/>
          <w:color w:val="000000"/>
          <w:sz w:val="20"/>
        </w:rPr>
        <w:t>million, after deducting underwriting discounts, commissions and offering costs. This includes the May 2023 underwritten public offering, in which the Company sold 12,793,750</w:t>
      </w:r>
      <w:r>
        <w:rPr>
          <w:rFonts w:ascii="Times New Roman" w:hAnsi="Times New Roman"/>
          <w:color w:val="000000"/>
          <w:sz w:val="20"/>
        </w:rPr>
        <w:t xml:space="preserve"> </w:t>
      </w:r>
      <w:r>
        <w:rPr>
          <w:rFonts w:ascii="Calibri;sans-serif" w:hAnsi="Calibri;sans-serif"/>
          <w:color w:val="000000"/>
          <w:sz w:val="20"/>
        </w:rPr>
        <w:t>shares of its common stock, which included the exercise in full by the underwriters of their option to purchase 1,668,750</w:t>
      </w:r>
      <w:r>
        <w:rPr>
          <w:rFonts w:ascii="Times New Roman" w:hAnsi="Times New Roman"/>
          <w:color w:val="000000"/>
          <w:sz w:val="20"/>
        </w:rPr>
        <w:t xml:space="preserve"> </w:t>
      </w:r>
      <w:r>
        <w:rPr>
          <w:rFonts w:ascii="Calibri;sans-serif" w:hAnsi="Calibri;sans-serif"/>
          <w:color w:val="000000"/>
          <w:sz w:val="20"/>
        </w:rPr>
        <w:t>shares, at a price of $11.75</w:t>
      </w:r>
      <w:r>
        <w:rPr>
          <w:rFonts w:ascii="Times New Roman" w:hAnsi="Times New Roman"/>
          <w:color w:val="000000"/>
          <w:sz w:val="20"/>
        </w:rPr>
        <w:t xml:space="preserve"> </w:t>
      </w:r>
      <w:r>
        <w:rPr>
          <w:rFonts w:ascii="Calibri;sans-serif" w:hAnsi="Calibri;sans-serif"/>
          <w:color w:val="000000"/>
          <w:sz w:val="20"/>
        </w:rPr>
        <w:t>per share for total gross proceeds of $150.3</w:t>
      </w:r>
      <w:r>
        <w:rPr>
          <w:rFonts w:ascii="Times New Roman" w:hAnsi="Times New Roman"/>
          <w:color w:val="000000"/>
          <w:sz w:val="20"/>
        </w:rPr>
        <w:t xml:space="preserve"> </w:t>
      </w:r>
      <w:r>
        <w:rPr>
          <w:rFonts w:ascii="Calibri;sans-serif" w:hAnsi="Calibri;sans-serif"/>
          <w:color w:val="000000"/>
          <w:sz w:val="20"/>
        </w:rPr>
        <w:t>million. The net purchase price after deducting underwriting discounts and commissions was $11.08</w:t>
      </w:r>
      <w:r>
        <w:rPr>
          <w:rFonts w:ascii="Times New Roman" w:hAnsi="Times New Roman"/>
          <w:color w:val="000000"/>
          <w:sz w:val="20"/>
        </w:rPr>
        <w:t xml:space="preserve"> </w:t>
      </w:r>
      <w:r>
        <w:rPr>
          <w:rFonts w:ascii="Calibri;sans-serif" w:hAnsi="Calibri;sans-serif"/>
          <w:color w:val="000000"/>
          <w:sz w:val="20"/>
        </w:rPr>
        <w:t>per share, which generated net proceeds of $141.8</w:t>
      </w:r>
      <w:r>
        <w:rPr>
          <w:rFonts w:ascii="Times New Roman" w:hAnsi="Times New Roman"/>
          <w:color w:val="000000"/>
          <w:sz w:val="20"/>
        </w:rPr>
        <w:t xml:space="preserve"> </w:t>
      </w:r>
      <w:r>
        <w:rPr>
          <w:rFonts w:ascii="Calibri;sans-serif" w:hAnsi="Calibri;sans-serif"/>
          <w:color w:val="000000"/>
          <w:sz w:val="20"/>
        </w:rPr>
        <w:t>million. The Company incurred an additional $0.4</w:t>
      </w:r>
      <w:r>
        <w:rPr>
          <w:rFonts w:ascii="Times New Roman" w:hAnsi="Times New Roman"/>
          <w:color w:val="000000"/>
          <w:sz w:val="20"/>
        </w:rPr>
        <w:t xml:space="preserve"> </w:t>
      </w:r>
      <w:r>
        <w:rPr>
          <w:rFonts w:ascii="Calibri;sans-serif" w:hAnsi="Calibri;sans-serif"/>
          <w:color w:val="000000"/>
          <w:sz w:val="20"/>
        </w:rPr>
        <w:t>million of offering expenses in connection with this public offering.</w:t>
      </w:r>
    </w:p>
    <w:p>
      <w:pPr>
        <w:pStyle w:val="TextBody"/>
        <w:bidi w:val="0"/>
        <w:spacing w:before="200" w:after="283"/>
        <w:jc w:val="left"/>
        <w:rPr>
          <w:rFonts w:ascii="Calibri;sans-serif" w:hAnsi="Calibri;sans-serif"/>
          <w:i/>
          <w:color w:val="000000"/>
          <w:sz w:val="20"/>
        </w:rPr>
      </w:pPr>
      <w:r>
        <w:rPr>
          <w:rFonts w:ascii="Calibri;sans-serif" w:hAnsi="Calibri;sans-serif"/>
          <w:i/>
          <w:color w:val="000000"/>
          <w:sz w:val="20"/>
        </w:rPr>
        <w:t>ATM Offerings</w:t>
      </w:r>
    </w:p>
    <w:p>
      <w:pPr>
        <w:pStyle w:val="TextBody"/>
        <w:bidi w:val="0"/>
        <w:spacing w:before="200" w:after="283"/>
        <w:jc w:val="left"/>
        <w:rPr>
          <w:rFonts w:ascii="Times New Roman" w:hAnsi="Times New Roman"/>
          <w:sz w:val="20"/>
        </w:rPr>
      </w:pPr>
      <w:r>
        <w:rPr>
          <w:rFonts w:ascii="Calibri;sans-serif" w:hAnsi="Calibri;sans-serif"/>
          <w:color w:val="000000"/>
          <w:sz w:val="20"/>
        </w:rPr>
        <w:t>In November 2020, the Company entered into an Open Market Sale Agreement</w:t>
      </w:r>
      <w:r>
        <w:rPr>
          <w:rFonts w:ascii="Calibri;sans-serif" w:hAnsi="Calibri;sans-serif"/>
          <w:color w:val="000000"/>
          <w:sz w:val="13"/>
        </w:rPr>
        <w:t>SM</w:t>
      </w:r>
      <w:r>
        <w:rPr>
          <w:rFonts w:ascii="Calibri;sans-serif" w:hAnsi="Calibri;sans-serif"/>
          <w:color w:val="000000"/>
          <w:sz w:val="20"/>
        </w:rPr>
        <w:t>, or the Sales Agreement, with Jefferies LLC, or the Sales Agent, under which the Company may, from time to time, sell shares of common stock having an aggregate offering price of up to an amount registered under an effective registration statement through the Sales Agent.</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In November 2023, the Company filed a shelf registration statement on Form S-3 which was declared effective by the SEC on November 17, 2023, which included an at-the-market prospectus pursuant to which the Company may, from time to time, sell up to an aggregate of $150</w:t>
      </w:r>
      <w:r>
        <w:rPr>
          <w:rFonts w:ascii="Times New Roman" w:hAnsi="Times New Roman"/>
          <w:color w:val="000000"/>
          <w:sz w:val="20"/>
        </w:rPr>
        <w:t xml:space="preserve"> </w:t>
      </w:r>
      <w:r>
        <w:rPr>
          <w:rFonts w:ascii="Calibri;sans-serif" w:hAnsi="Calibri;sans-serif"/>
          <w:color w:val="000000"/>
          <w:sz w:val="20"/>
        </w:rPr>
        <w:t>million of the Company's common stock through the Sales Agent, or the 2023 ATM Offering. The Company is not obligated to, and cannot provide any assurances that the Company will, make any sales of the shares under the Sales Agreement. The Sales Agreement may be terminated by the Sales Agent or the Company at any time. For the year ended December 31, 2023, the Company sold 1,514,219</w:t>
      </w:r>
      <w:r>
        <w:rPr>
          <w:rFonts w:ascii="Times New Roman" w:hAnsi="Times New Roman"/>
          <w:color w:val="000000"/>
          <w:sz w:val="20"/>
        </w:rPr>
        <w:t xml:space="preserve"> </w:t>
      </w:r>
      <w:r>
        <w:rPr>
          <w:rFonts w:ascii="Calibri;sans-serif" w:hAnsi="Calibri;sans-serif"/>
          <w:color w:val="000000"/>
          <w:sz w:val="20"/>
        </w:rPr>
        <w:t>shares for net proceeds of approximately $14.1</w:t>
      </w:r>
      <w:r>
        <w:rPr>
          <w:rFonts w:ascii="Times New Roman" w:hAnsi="Times New Roman"/>
          <w:color w:val="000000"/>
          <w:sz w:val="20"/>
        </w:rPr>
        <w:t xml:space="preserve"> </w:t>
      </w:r>
      <w:r>
        <w:rPr>
          <w:rFonts w:ascii="Calibri;sans-serif" w:hAnsi="Calibri;sans-serif"/>
          <w:color w:val="000000"/>
          <w:sz w:val="20"/>
        </w:rPr>
        <w:t>million after deducting $0.4</w:t>
      </w:r>
      <w:r>
        <w:rPr>
          <w:rFonts w:ascii="Times New Roman" w:hAnsi="Times New Roman"/>
          <w:color w:val="000000"/>
          <w:sz w:val="20"/>
        </w:rPr>
        <w:t xml:space="preserve"> </w:t>
      </w:r>
      <w:r>
        <w:rPr>
          <w:rFonts w:ascii="Calibri;sans-serif" w:hAnsi="Calibri;sans-serif"/>
          <w:color w:val="000000"/>
          <w:sz w:val="20"/>
        </w:rPr>
        <w:t>million of issuance costs. No</w:t>
      </w:r>
      <w:r>
        <w:rPr>
          <w:rFonts w:ascii="Times New Roman" w:hAnsi="Times New Roman"/>
          <w:color w:val="000000"/>
          <w:sz w:val="20"/>
        </w:rPr>
        <w:t xml:space="preserve"> </w:t>
      </w:r>
      <w:r>
        <w:rPr>
          <w:rFonts w:ascii="Calibri;sans-serif" w:hAnsi="Calibri;sans-serif"/>
          <w:color w:val="000000"/>
          <w:sz w:val="20"/>
        </w:rPr>
        <w:t>shares were sold during the three and six months ended June 30, 2024. As of June 30, 2024, all of the available $150</w:t>
      </w:r>
      <w:r>
        <w:rPr>
          <w:rFonts w:ascii="Times New Roman" w:hAnsi="Times New Roman"/>
          <w:color w:val="000000"/>
          <w:sz w:val="20"/>
        </w:rPr>
        <w:t xml:space="preserve"> </w:t>
      </w:r>
      <w:r>
        <w:rPr>
          <w:rFonts w:ascii="Calibri;sans-serif" w:hAnsi="Calibri;sans-serif"/>
          <w:color w:val="000000"/>
          <w:sz w:val="20"/>
        </w:rPr>
        <w:t>million under the 2023 ATM Offering remains available.</w:t>
      </w:r>
    </w:p>
    <w:p>
      <w:pPr>
        <w:pStyle w:val="TextBody"/>
        <w:bidi w:val="0"/>
        <w:spacing w:before="200" w:after="283"/>
        <w:jc w:val="left"/>
        <w:rPr>
          <w:rFonts w:ascii="Calibri;sans-serif" w:hAnsi="Calibri;sans-serif"/>
          <w:i/>
          <w:color w:val="000000"/>
          <w:sz w:val="20"/>
        </w:rPr>
      </w:pPr>
      <w:r>
        <w:rPr>
          <w:rFonts w:ascii="Calibri;sans-serif" w:hAnsi="Calibri;sans-serif"/>
          <w:i/>
          <w:color w:val="000000"/>
          <w:sz w:val="20"/>
        </w:rPr>
        <w:t>Common Stock Reserves</w:t>
      </w:r>
    </w:p>
    <w:p>
      <w:pPr>
        <w:pStyle w:val="TextBody"/>
        <w:bidi w:val="0"/>
        <w:spacing w:before="200" w:after="200"/>
        <w:jc w:val="left"/>
        <w:rPr>
          <w:rFonts w:ascii="Calibri;sans-serif" w:hAnsi="Calibri;sans-serif"/>
          <w:color w:val="000000"/>
          <w:sz w:val="20"/>
        </w:rPr>
      </w:pPr>
      <w:r>
        <w:rPr>
          <w:rFonts w:ascii="Calibri;sans-serif" w:hAnsi="Calibri;sans-serif"/>
          <w:color w:val="000000"/>
          <w:sz w:val="20"/>
        </w:rPr>
        <w:t>Common stock reserved for future issuance consists of the following:</w:t>
      </w:r>
    </w:p>
    <w:tbl>
      <w:tblPr>
        <w:tblW w:w="6383" w:type="dxa"/>
        <w:jc w:val="left"/>
        <w:tblInd w:w="0" w:type="dxa"/>
        <w:tblLayout w:type="fixed"/>
        <w:tblCellMar>
          <w:top w:w="28" w:type="dxa"/>
          <w:left w:w="28" w:type="dxa"/>
          <w:bottom w:w="28" w:type="dxa"/>
          <w:right w:w="28" w:type="dxa"/>
        </w:tblCellMar>
      </w:tblPr>
      <w:tblGrid>
        <w:gridCol w:w="4801"/>
        <w:gridCol w:w="146"/>
        <w:gridCol w:w="153"/>
        <w:gridCol w:w="1092"/>
        <w:gridCol w:w="191"/>
      </w:tblGrid>
      <w:tr>
        <w:trPr/>
        <w:tc>
          <w:tcPr>
            <w:tcW w:w="4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June 30,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Common stock warrants</w:t>
            </w:r>
          </w:p>
        </w:tc>
        <w:tc>
          <w:tcPr>
            <w:tcW w:w="146"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1092"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91,228</w:t>
            </w:r>
          </w:p>
        </w:tc>
        <w:tc>
          <w:tcPr>
            <w:tcW w:w="191" w:type="dxa"/>
            <w:tcBorders/>
            <w:shd w:fill="CFF0FC" w:val="clear"/>
            <w:vAlign w:val="center"/>
          </w:tcPr>
          <w:p>
            <w:pPr>
              <w:pStyle w:val="TableContents"/>
              <w:bidi w:val="0"/>
              <w:spacing w:before="0" w:after="283"/>
              <w:jc w:val="left"/>
              <w:rPr/>
            </w:pPr>
            <w:r>
              <w:rPr/>
              <w:t> </w:t>
            </w:r>
          </w:p>
        </w:tc>
      </w:tr>
      <w:tr>
        <w:trPr/>
        <w:tc>
          <w:tcPr>
            <w:tcW w:w="480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Stock options and restricted stock units outstanding</w:t>
            </w:r>
          </w:p>
        </w:tc>
        <w:tc>
          <w:tcPr>
            <w:tcW w:w="146"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9,454,109</w:t>
            </w:r>
          </w:p>
        </w:tc>
        <w:tc>
          <w:tcPr>
            <w:tcW w:w="191" w:type="dxa"/>
            <w:tcBorders/>
            <w:shd w:fill="FFFFFF" w:val="clear"/>
            <w:vAlign w:val="center"/>
          </w:tcPr>
          <w:p>
            <w:pPr>
              <w:pStyle w:val="TableContents"/>
              <w:bidi w:val="0"/>
              <w:spacing w:before="0" w:after="283"/>
              <w:jc w:val="left"/>
              <w:rPr/>
            </w:pPr>
            <w:r>
              <w:rPr/>
              <w:t> </w:t>
            </w:r>
          </w:p>
        </w:tc>
      </w:tr>
      <w:tr>
        <w:trPr/>
        <w:tc>
          <w:tcPr>
            <w:tcW w:w="480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Shares available for issuance under the 2019 Incentive Plan</w:t>
            </w:r>
          </w:p>
        </w:tc>
        <w:tc>
          <w:tcPr>
            <w:tcW w:w="146"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1092"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1,341,277</w:t>
            </w:r>
          </w:p>
        </w:tc>
        <w:tc>
          <w:tcPr>
            <w:tcW w:w="191" w:type="dxa"/>
            <w:tcBorders/>
            <w:shd w:fill="CFF0FC" w:val="clear"/>
            <w:vAlign w:val="center"/>
          </w:tcPr>
          <w:p>
            <w:pPr>
              <w:pStyle w:val="TableContents"/>
              <w:bidi w:val="0"/>
              <w:spacing w:before="0" w:after="283"/>
              <w:jc w:val="left"/>
              <w:rPr/>
            </w:pPr>
            <w:r>
              <w:rPr/>
              <w:t> </w:t>
            </w:r>
          </w:p>
        </w:tc>
      </w:tr>
      <w:tr>
        <w:trPr/>
        <w:tc>
          <w:tcPr>
            <w:tcW w:w="480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Shares available for issuance under the ESPP Plan</w:t>
            </w:r>
          </w:p>
        </w:tc>
        <w:tc>
          <w:tcPr>
            <w:tcW w:w="146" w:type="dxa"/>
            <w:tcBorders/>
            <w:shd w:fill="FFFFFF" w:val="cle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1,433,220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0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Balance at June 30, 2024</w:t>
            </w:r>
          </w:p>
        </w:tc>
        <w:tc>
          <w:tcPr>
            <w:tcW w:w="146" w:type="dxa"/>
            <w:tcBorders/>
            <w:shd w:fill="CFF0FC" w:val="clear"/>
            <w:vAlign w:val="center"/>
          </w:tcPr>
          <w:p>
            <w:pPr>
              <w:pStyle w:val="TableContents"/>
              <w:bidi w:val="0"/>
              <w:spacing w:before="0" w:after="283"/>
              <w:jc w:val="left"/>
              <w:rPr/>
            </w:pPr>
            <w:r>
              <w:rPr/>
              <w:t> </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12,319,834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Preferred Stock</w:t>
      </w:r>
    </w:p>
    <w:p>
      <w:pPr>
        <w:pStyle w:val="TextBody"/>
        <w:bidi w:val="0"/>
        <w:spacing w:before="200" w:after="283"/>
        <w:jc w:val="left"/>
        <w:rPr>
          <w:rFonts w:ascii="Times New Roman" w:hAnsi="Times New Roman"/>
          <w:sz w:val="20"/>
        </w:rPr>
      </w:pPr>
      <w:r>
        <w:rPr>
          <w:rFonts w:ascii="Calibri;sans-serif" w:hAnsi="Calibri;sans-serif"/>
          <w:color w:val="000000"/>
          <w:sz w:val="20"/>
        </w:rPr>
        <w:t>The Company is authorized to issue up to 40</w:t>
      </w:r>
      <w:r>
        <w:rPr>
          <w:rFonts w:ascii="Times New Roman" w:hAnsi="Times New Roman"/>
          <w:color w:val="000000"/>
          <w:sz w:val="20"/>
        </w:rPr>
        <w:t xml:space="preserve"> </w:t>
      </w:r>
      <w:r>
        <w:rPr>
          <w:rFonts w:ascii="Calibri;sans-serif" w:hAnsi="Calibri;sans-serif"/>
          <w:color w:val="000000"/>
          <w:sz w:val="20"/>
        </w:rPr>
        <w:t>million shares of preferred stock. As of June 30, 2024 and December 31, 2023, there were no</w:t>
      </w:r>
      <w:r>
        <w:rPr>
          <w:rFonts w:ascii="Times New Roman" w:hAnsi="Times New Roman"/>
          <w:color w:val="000000"/>
          <w:sz w:val="20"/>
        </w:rPr>
        <w:t xml:space="preserve"> </w:t>
      </w:r>
      <w:r>
        <w:rPr>
          <w:rFonts w:ascii="Calibri;sans-serif" w:hAnsi="Calibri;sans-serif"/>
          <w:color w:val="000000"/>
          <w:sz w:val="20"/>
        </w:rPr>
        <w:t>shares of preferred stock issued or outstanding.</w:t>
      </w:r>
      <w:r>
        <w:rPr>
          <w:rFonts w:ascii="Times New Roman" w:hAnsi="Times New Roman"/>
          <w:color w:val="000000"/>
          <w:sz w:val="20"/>
        </w:rPr>
        <w:t xml:space="preserve"> </w:t>
      </w:r>
    </w:p>
    <w:p>
      <w:pPr>
        <w:pStyle w:val="TextBody"/>
        <w:bidi w:val="0"/>
        <w:spacing w:before="200" w:after="283"/>
        <w:jc w:val="left"/>
        <w:rPr/>
      </w:pPr>
      <w:r>
        <w:rPr/>
        <w:t> </w:t>
      </w:r>
    </w:p>
    <w:p>
      <w:pPr>
        <w:pStyle w:val="TextBody"/>
        <w:bidi w:val="0"/>
        <w:spacing w:before="20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Equity Incentive Plan</w:t>
      </w:r>
    </w:p>
    <w:p>
      <w:pPr>
        <w:pStyle w:val="TextBody"/>
        <w:bidi w:val="0"/>
        <w:spacing w:before="200" w:after="283"/>
        <w:jc w:val="left"/>
        <w:rPr>
          <w:rFonts w:ascii="Times New Roman" w:hAnsi="Times New Roman"/>
          <w:sz w:val="20"/>
        </w:rPr>
      </w:pPr>
      <w:r>
        <w:rPr>
          <w:rFonts w:ascii="Calibri;sans-serif" w:hAnsi="Calibri;sans-serif"/>
          <w:color w:val="000000"/>
          <w:sz w:val="20"/>
        </w:rPr>
        <w:t>The Company’s 2019 Equity Incentive Plan, or the Existing Incentive Plan, provides for the grant of incentive stock options, non-statutory stock options, stock appreciation rights, restricted stock awards, restricted stock unit awards, and other stock awards to eligible recipients, including employees, directors or consultants of the Company. The Company had 2,231,739</w:t>
      </w:r>
      <w:r>
        <w:rPr>
          <w:rFonts w:ascii="Times New Roman" w:hAnsi="Times New Roman"/>
          <w:color w:val="000000"/>
          <w:sz w:val="20"/>
        </w:rPr>
        <w:t xml:space="preserve"> </w:t>
      </w:r>
      <w:r>
        <w:rPr>
          <w:rFonts w:ascii="Calibri;sans-serif" w:hAnsi="Calibri;sans-serif"/>
          <w:color w:val="000000"/>
          <w:sz w:val="20"/>
        </w:rPr>
        <w:t>shares of common stock authorized for issuance under the Existing Incentive Plan, of which, 1,400,528</w:t>
      </w:r>
      <w:r>
        <w:rPr>
          <w:rFonts w:ascii="Times New Roman" w:hAnsi="Times New Roman"/>
          <w:color w:val="000000"/>
          <w:sz w:val="20"/>
        </w:rPr>
        <w:t xml:space="preserve"> </w:t>
      </w:r>
      <w:r>
        <w:rPr>
          <w:rFonts w:ascii="Calibri;sans-serif" w:hAnsi="Calibri;sans-serif"/>
          <w:color w:val="000000"/>
          <w:sz w:val="20"/>
        </w:rPr>
        <w:t>stock options and 16,260</w:t>
      </w:r>
      <w:r>
        <w:rPr>
          <w:rFonts w:ascii="Times New Roman" w:hAnsi="Times New Roman"/>
          <w:color w:val="000000"/>
          <w:sz w:val="20"/>
        </w:rPr>
        <w:t xml:space="preserve"> </w:t>
      </w:r>
      <w:r>
        <w:rPr>
          <w:rFonts w:ascii="Calibri;sans-serif" w:hAnsi="Calibri;sans-serif"/>
          <w:color w:val="000000"/>
          <w:sz w:val="20"/>
        </w:rPr>
        <w:t>restricted stock awards were granted in 2019. As a result of the adoption of the 2019 Incentive Award Plan, or the 2019 Plan, in October 2019, no</w:t>
      </w:r>
      <w:r>
        <w:rPr>
          <w:rFonts w:ascii="Times New Roman" w:hAnsi="Times New Roman"/>
          <w:color w:val="000000"/>
          <w:sz w:val="20"/>
        </w:rPr>
        <w:t xml:space="preserve"> </w:t>
      </w:r>
      <w:r>
        <w:rPr>
          <w:rFonts w:ascii="Calibri;sans-serif" w:hAnsi="Calibri;sans-serif"/>
          <w:color w:val="000000"/>
          <w:sz w:val="20"/>
        </w:rPr>
        <w:t>further shares are available for issuance under the Existing Incentive Plan.</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2019 Incentive Award Plan</w:t>
      </w:r>
    </w:p>
    <w:p>
      <w:pPr>
        <w:pStyle w:val="TextBody"/>
        <w:bidi w:val="0"/>
        <w:spacing w:before="200" w:after="283"/>
        <w:jc w:val="left"/>
        <w:rPr>
          <w:rFonts w:ascii="Times New Roman" w:hAnsi="Times New Roman"/>
          <w:sz w:val="20"/>
        </w:rPr>
      </w:pPr>
      <w:r>
        <w:rPr>
          <w:rFonts w:ascii="Calibri;sans-serif" w:hAnsi="Calibri;sans-serif"/>
          <w:color w:val="000000"/>
          <w:sz w:val="20"/>
        </w:rPr>
        <w:t>In October 2019, the Board of Directors adopted, and the Company’s stockholders approved, the 2019 Plan, which became effective in connection with the IPO. Under the 2019 Plan, the Company may grant stock options, stock appreciation rights, restricted stock, restricted stock units and other awards to individuals who are then employees, officers, non-employee directors or consultants of the Company or its subsidiaries. The number of shares initially available for issuance will be increased by (i) the number of shares subject to stock options or similar awards granted under the Existing Incentive Plan that expire or otherwise terminate without having been exercised in full after the effective date of the 2019 Plan and unvested shares issued pursuant to awards granted under the Existing Incentive Plan that are forfeited to or repurchased by the Company after the effective date of the 2019 Plan, with the maximum number of shares to be added to the 2019 Plan pursuant to clause (i) above or equal to 1,416,788 shares, and (ii) an annual increase on January 1 of each calendar year beginning in 2020 and ending in 2029, equal to the lesser of (a) 5% of the shares of common stock outstanding on the final day of the immediately preceding calendar year and (b) such smaller number of shares as determined by the Board of Directors.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On July 14, 2023, the Company completed a voluntary, one-time stock option exchange program, or the Option Exchange, pursuant to which eligible employees were able to exchange certain outstanding stock options granted under the 2019 Plan for a lesser amount of new restricted stock units, or RSUs, issued under the 2019 Plan. Participants in the Option Exchange received one RSU for every two shares of Phathom common stock underlying the eligible options surrendered. This exchange ratio was applied on a grant by grant basis. The Option Exchange resulted in 2,406,622</w:t>
      </w:r>
      <w:r>
        <w:rPr>
          <w:rFonts w:ascii="Times New Roman" w:hAnsi="Times New Roman"/>
          <w:color w:val="000000"/>
          <w:sz w:val="20"/>
        </w:rPr>
        <w:t xml:space="preserve"> </w:t>
      </w:r>
      <w:r>
        <w:rPr>
          <w:rFonts w:ascii="Calibri;sans-serif" w:hAnsi="Calibri;sans-serif"/>
          <w:color w:val="000000"/>
          <w:sz w:val="20"/>
        </w:rPr>
        <w:t>options being exchanged for 1,203,341</w:t>
      </w:r>
      <w:r>
        <w:rPr>
          <w:rFonts w:ascii="Times New Roman" w:hAnsi="Times New Roman"/>
          <w:color w:val="000000"/>
          <w:sz w:val="20"/>
        </w:rPr>
        <w:t xml:space="preserve"> </w:t>
      </w:r>
      <w:r>
        <w:rPr>
          <w:rFonts w:ascii="Calibri;sans-serif" w:hAnsi="Calibri;sans-serif"/>
          <w:color w:val="000000"/>
          <w:sz w:val="20"/>
        </w:rPr>
        <w:t>RSUs. The Company is recognizing an additional $2.2</w:t>
      </w:r>
      <w:r>
        <w:rPr>
          <w:rFonts w:ascii="Times New Roman" w:hAnsi="Times New Roman"/>
          <w:color w:val="000000"/>
          <w:sz w:val="20"/>
        </w:rPr>
        <w:t xml:space="preserve"> </w:t>
      </w:r>
      <w:r>
        <w:rPr>
          <w:rFonts w:ascii="Calibri;sans-serif" w:hAnsi="Calibri;sans-serif"/>
          <w:color w:val="000000"/>
          <w:sz w:val="20"/>
        </w:rPr>
        <w:t>million of incremental expense related to the Option Exchange to be recognized over a three-year vesting period.</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As of June 30, 2024, 1,341,277</w:t>
      </w:r>
      <w:r>
        <w:rPr>
          <w:rFonts w:ascii="Times New Roman" w:hAnsi="Times New Roman"/>
          <w:color w:val="000000"/>
          <w:sz w:val="20"/>
        </w:rPr>
        <w:t xml:space="preserve"> </w:t>
      </w:r>
      <w:r>
        <w:rPr>
          <w:rFonts w:ascii="Calibri;sans-serif" w:hAnsi="Calibri;sans-serif"/>
          <w:color w:val="000000"/>
          <w:sz w:val="20"/>
        </w:rPr>
        <w:t>shares remain available for issuance, which reflects 3,048,712</w:t>
      </w:r>
      <w:r>
        <w:rPr>
          <w:rFonts w:ascii="Times New Roman" w:hAnsi="Times New Roman"/>
          <w:color w:val="000000"/>
          <w:sz w:val="20"/>
        </w:rPr>
        <w:t xml:space="preserve"> </w:t>
      </w:r>
      <w:r>
        <w:rPr>
          <w:rFonts w:ascii="Calibri;sans-serif" w:hAnsi="Calibri;sans-serif"/>
          <w:color w:val="000000"/>
          <w:sz w:val="20"/>
        </w:rPr>
        <w:t>stock options and RSUs awards granted, and 381,110</w:t>
      </w:r>
      <w:r>
        <w:rPr>
          <w:rFonts w:ascii="Times New Roman" w:hAnsi="Times New Roman"/>
          <w:color w:val="000000"/>
          <w:sz w:val="20"/>
        </w:rPr>
        <w:t xml:space="preserve"> </w:t>
      </w:r>
      <w:r>
        <w:rPr>
          <w:rFonts w:ascii="Calibri;sans-serif" w:hAnsi="Calibri;sans-serif"/>
          <w:color w:val="000000"/>
          <w:sz w:val="20"/>
        </w:rPr>
        <w:t>of awards cancelled or forfeited, during the six months ended June 30, 2024 as well as an annual increase of 2,898,503</w:t>
      </w:r>
      <w:r>
        <w:rPr>
          <w:rFonts w:ascii="Times New Roman" w:hAnsi="Times New Roman"/>
          <w:color w:val="000000"/>
          <w:sz w:val="20"/>
        </w:rPr>
        <w:t xml:space="preserve"> </w:t>
      </w:r>
      <w:r>
        <w:rPr>
          <w:rFonts w:ascii="Calibri;sans-serif" w:hAnsi="Calibri;sans-serif"/>
          <w:color w:val="000000"/>
          <w:sz w:val="20"/>
        </w:rPr>
        <w:t>shares authorized on January 1, 2024.</w:t>
      </w:r>
      <w:r>
        <w:rPr>
          <w:rFonts w:ascii="Times New Roman" w:hAnsi="Times New Roman"/>
          <w:color w:val="000000"/>
          <w:sz w:val="20"/>
        </w:rPr>
        <w:t xml:space="preserve"> </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Performance-Based Units</w:t>
      </w:r>
    </w:p>
    <w:p>
      <w:pPr>
        <w:pStyle w:val="TextBody"/>
        <w:bidi w:val="0"/>
        <w:spacing w:before="200" w:after="200"/>
        <w:jc w:val="left"/>
        <w:rPr>
          <w:rFonts w:ascii="Times New Roman" w:hAnsi="Times New Roman"/>
          <w:sz w:val="20"/>
        </w:rPr>
      </w:pPr>
      <w:r>
        <w:rPr>
          <w:rFonts w:ascii="Calibri;sans-serif" w:hAnsi="Calibri;sans-serif"/>
          <w:color w:val="000000"/>
          <w:sz w:val="20"/>
        </w:rPr>
        <w:t xml:space="preserve">During 2020, the Company granted the initial performance-based units, or PSUs, whereby vesting depended upon the approval by the FDA of vonoprazan for </w:t>
      </w:r>
      <w:r>
        <w:rPr>
          <w:rFonts w:ascii="Calibri;sans-serif" w:hAnsi="Calibri;sans-serif"/>
          <w:i/>
          <w:color w:val="000000"/>
          <w:sz w:val="20"/>
        </w:rPr>
        <w:t>H. pylori</w:t>
      </w:r>
      <w:r>
        <w:rPr>
          <w:rFonts w:ascii="Times New Roman" w:hAnsi="Times New Roman"/>
          <w:color w:val="000000"/>
          <w:sz w:val="20"/>
        </w:rPr>
        <w:t xml:space="preserve"> </w:t>
      </w:r>
      <w:r>
        <w:rPr>
          <w:rFonts w:ascii="Calibri;sans-serif" w:hAnsi="Calibri;sans-serif"/>
          <w:color w:val="000000"/>
          <w:sz w:val="20"/>
        </w:rPr>
        <w:t xml:space="preserve">and then, or concurrent with, Erosive GERD. The PSU milestones were achieved upon FDA approval of vonoprazan for </w:t>
      </w:r>
      <w:r>
        <w:rPr>
          <w:rFonts w:ascii="Calibri;sans-serif" w:hAnsi="Calibri;sans-serif"/>
          <w:i/>
          <w:color w:val="000000"/>
          <w:sz w:val="20"/>
        </w:rPr>
        <w:t>H. pylori</w:t>
      </w:r>
      <w:r>
        <w:rPr>
          <w:rFonts w:ascii="Times New Roman" w:hAnsi="Times New Roman"/>
          <w:color w:val="000000"/>
          <w:sz w:val="20"/>
        </w:rPr>
        <w:t xml:space="preserve"> </w:t>
      </w:r>
      <w:r>
        <w:rPr>
          <w:rFonts w:ascii="Calibri;sans-serif" w:hAnsi="Calibri;sans-serif"/>
          <w:color w:val="000000"/>
          <w:sz w:val="20"/>
        </w:rPr>
        <w:t>and Erosive GERD during the fourth quarter of 2023. No</w:t>
      </w:r>
      <w:r>
        <w:rPr>
          <w:rFonts w:ascii="Times New Roman" w:hAnsi="Times New Roman"/>
          <w:color w:val="000000"/>
          <w:sz w:val="20"/>
        </w:rPr>
        <w:t xml:space="preserve"> </w:t>
      </w:r>
      <w:r>
        <w:rPr>
          <w:rFonts w:ascii="Calibri;sans-serif" w:hAnsi="Calibri;sans-serif"/>
          <w:color w:val="000000"/>
          <w:sz w:val="20"/>
        </w:rPr>
        <w:t>PSUs are outstanding as of June 30, 2024.</w:t>
      </w:r>
    </w:p>
    <w:p>
      <w:pPr>
        <w:pStyle w:val="TextBody"/>
        <w:bidi w:val="0"/>
        <w:spacing w:before="200" w:after="200"/>
        <w:jc w:val="left"/>
        <w:rPr>
          <w:rFonts w:ascii="Calibri;sans-serif" w:hAnsi="Calibri;sans-serif"/>
          <w:b/>
          <w:i/>
          <w:color w:val="000000"/>
          <w:sz w:val="20"/>
        </w:rPr>
      </w:pPr>
      <w:r>
        <w:rPr>
          <w:rFonts w:ascii="Calibri;sans-serif" w:hAnsi="Calibri;sans-serif"/>
          <w:b/>
          <w:i/>
          <w:color w:val="000000"/>
          <w:sz w:val="20"/>
        </w:rPr>
        <w:t>Restricted Stock Units</w:t>
      </w:r>
    </w:p>
    <w:p>
      <w:pPr>
        <w:pStyle w:val="TextBody"/>
        <w:bidi w:val="0"/>
        <w:spacing w:before="200" w:after="200"/>
        <w:jc w:val="left"/>
        <w:rPr>
          <w:rFonts w:ascii="Calibri;sans-serif" w:hAnsi="Calibri;sans-serif"/>
          <w:color w:val="000000"/>
          <w:sz w:val="20"/>
        </w:rPr>
      </w:pPr>
      <w:r>
        <w:rPr>
          <w:rFonts w:ascii="Calibri;sans-serif" w:hAnsi="Calibri;sans-serif"/>
          <w:color w:val="000000"/>
          <w:sz w:val="20"/>
        </w:rPr>
        <w:t>The following table summarizes RSU activity under the 2019 Plan during the six months ended June 30, 2024:</w:t>
      </w:r>
    </w:p>
    <w:tbl>
      <w:tblPr>
        <w:tblW w:w="6292" w:type="dxa"/>
        <w:jc w:val="left"/>
        <w:tblInd w:w="0" w:type="dxa"/>
        <w:tblLayout w:type="fixed"/>
        <w:tblCellMar>
          <w:top w:w="28" w:type="dxa"/>
          <w:left w:w="28" w:type="dxa"/>
          <w:bottom w:w="28" w:type="dxa"/>
          <w:right w:w="28" w:type="dxa"/>
        </w:tblCellMar>
      </w:tblPr>
      <w:tblGrid>
        <w:gridCol w:w="3016"/>
        <w:gridCol w:w="146"/>
        <w:gridCol w:w="146"/>
        <w:gridCol w:w="931"/>
        <w:gridCol w:w="166"/>
        <w:gridCol w:w="146"/>
        <w:gridCol w:w="364"/>
        <w:gridCol w:w="986"/>
        <w:gridCol w:w="39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Number of</w:t>
              <w:br/>
              <w:t>Stock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Weighted-</w:t>
              <w:br/>
              <w:t>Average Grant</w:t>
              <w:br/>
              <w:t>Date Fair Value</w:t>
              <w:br/>
              <w:t>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Unvested balance at January 1, 2024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2,653,892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8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11.91</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01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824,312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7.92</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01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Vested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(415,034</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64" w:type="dxa"/>
            <w:tcBorders/>
            <w:shd w:fill="CFF0FC" w:val="clear"/>
            <w:vAlign w:val="center"/>
          </w:tcPr>
          <w:p>
            <w:pPr>
              <w:pStyle w:val="TableContents"/>
              <w:bidi w:val="0"/>
              <w:spacing w:before="0" w:after="283"/>
              <w:jc w:val="left"/>
              <w:rPr/>
            </w:pPr>
            <w:r>
              <w:rPr/>
              <w:t> </w:t>
            </w:r>
          </w:p>
        </w:tc>
        <w:tc>
          <w:tcPr>
            <w:tcW w:w="98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10.61</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01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Forfeited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(153,593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12.12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Unvested balance at June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2,909,577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10.95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Calibri;sans-serif" w:hAnsi="Calibri;sans-serif"/>
          <w:color w:val="000000"/>
          <w:sz w:val="20"/>
        </w:rPr>
        <w:t>As of June 30, 2024, the Company had $24.9</w:t>
      </w:r>
      <w:r>
        <w:rPr>
          <w:rFonts w:ascii="Times New Roman" w:hAnsi="Times New Roman"/>
          <w:color w:val="000000"/>
          <w:sz w:val="20"/>
        </w:rPr>
        <w:t xml:space="preserve"> </w:t>
      </w:r>
      <w:r>
        <w:rPr>
          <w:rFonts w:ascii="Calibri;sans-serif" w:hAnsi="Calibri;sans-serif"/>
          <w:color w:val="000000"/>
          <w:sz w:val="20"/>
        </w:rPr>
        <w:t>million of unrecognized stock-based compensation expense related to RSUs, which is expected to be recognized over a weighted-average period of 2.0</w:t>
      </w:r>
      <w:r>
        <w:rPr>
          <w:rFonts w:ascii="Times New Roman" w:hAnsi="Times New Roman"/>
          <w:color w:val="000000"/>
          <w:sz w:val="20"/>
        </w:rPr>
        <w:t xml:space="preserve"> </w:t>
      </w:r>
      <w:r>
        <w:rPr>
          <w:rFonts w:ascii="Calibri;sans-serif" w:hAnsi="Calibri;sans-serif"/>
          <w:color w:val="000000"/>
          <w:sz w:val="20"/>
        </w:rPr>
        <w:t>years. The total fair value of RSUs vested during the six months ended June 30, 2024, was approximately $4.4</w:t>
      </w:r>
      <w:r>
        <w:rPr>
          <w:rFonts w:ascii="Times New Roman" w:hAnsi="Times New Roman"/>
          <w:color w:val="000000"/>
          <w:sz w:val="20"/>
        </w:rPr>
        <w:t xml:space="preserve"> </w:t>
      </w:r>
      <w:r>
        <w:rPr>
          <w:rFonts w:ascii="Calibri;sans-serif" w:hAnsi="Calibri;sans-serif"/>
          <w:color w:val="000000"/>
          <w:sz w:val="20"/>
        </w:rPr>
        <w:t>million.</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Employee Stock Purchase Plan</w:t>
      </w:r>
    </w:p>
    <w:p>
      <w:pPr>
        <w:pStyle w:val="TextBody"/>
        <w:bidi w:val="0"/>
        <w:spacing w:before="200" w:after="283"/>
        <w:jc w:val="left"/>
        <w:rPr>
          <w:rFonts w:ascii="Times New Roman" w:hAnsi="Times New Roman"/>
          <w:sz w:val="20"/>
        </w:rPr>
      </w:pPr>
      <w:r>
        <w:rPr>
          <w:rFonts w:ascii="Calibri;sans-serif" w:hAnsi="Calibri;sans-serif"/>
          <w:color w:val="000000"/>
          <w:sz w:val="20"/>
        </w:rPr>
        <w:t>In October 2019, the Board of Directors adopted, and the Company’s stockholders approved, the Employee Stock Purchase Plan, or the ESPP, which became effective in connection with the IPO. The ESPP permits participants to purchase common stock through payroll deductions of up to 20% of their eligible compensation, which includes a participant’s gross base compensation for services to the Company, including overtime payments and excluding sales commissions, incentive compensation, bonuses, expense reimbursements, fringe benefits and other special payments. A total of 270,000</w:t>
      </w:r>
      <w:r>
        <w:rPr>
          <w:rFonts w:ascii="Times New Roman" w:hAnsi="Times New Roman"/>
          <w:color w:val="000000"/>
          <w:sz w:val="20"/>
        </w:rPr>
        <w:t xml:space="preserve"> </w:t>
      </w:r>
      <w:r>
        <w:rPr>
          <w:rFonts w:ascii="Calibri;sans-serif" w:hAnsi="Calibri;sans-serif"/>
          <w:color w:val="000000"/>
          <w:sz w:val="20"/>
        </w:rPr>
        <w:t>shares of common stock were initially reserved for issuance under the ESPP. In addition, the number of shares available for issuance under the ESPP will be annually increased on January 1 of each calendar year beginning in 2020 and ending in 2029, by an amount equal to the lesser of: (i) 1% of the shares outstanding on the final day of the immediately preceding calendar year and (ii) such smaller number of shares as is determined by the Board of Directors. As of June 30, 2024, 1,433,220 shares of common stock remain available for issuance, which includes the 119,779 shares sold to employees during the six months ended June 30, 2024 as well as an annual increase of 579,701 shares authorized on January 1, 2024.</w:t>
      </w:r>
    </w:p>
    <w:p>
      <w:pPr>
        <w:pStyle w:val="TextBody"/>
        <w:bidi w:val="0"/>
        <w:spacing w:before="200" w:after="200"/>
        <w:jc w:val="left"/>
        <w:rPr>
          <w:rFonts w:ascii="Times New Roman" w:hAnsi="Times New Roman"/>
          <w:sz w:val="20"/>
        </w:rPr>
      </w:pPr>
      <w:r>
        <w:rPr>
          <w:rFonts w:ascii="Calibri;sans-serif" w:hAnsi="Calibri;sans-serif"/>
          <w:color w:val="000000"/>
          <w:sz w:val="20"/>
        </w:rPr>
        <w:t>The ESPP is considered a compensatory plan, and for the three and six months ended June 30, 2024 the Company recorded related stock-based compensation of $0.6</w:t>
      </w:r>
      <w:r>
        <w:rPr>
          <w:rFonts w:ascii="Times New Roman" w:hAnsi="Times New Roman"/>
          <w:color w:val="000000"/>
          <w:sz w:val="20"/>
        </w:rPr>
        <w:t xml:space="preserve"> </w:t>
      </w:r>
      <w:r>
        <w:rPr>
          <w:rFonts w:ascii="Calibri;sans-serif" w:hAnsi="Calibri;sans-serif"/>
          <w:color w:val="000000"/>
          <w:sz w:val="20"/>
        </w:rPr>
        <w:t>million and $1.1</w:t>
      </w:r>
      <w:r>
        <w:rPr>
          <w:rFonts w:ascii="Times New Roman" w:hAnsi="Times New Roman"/>
          <w:color w:val="000000"/>
          <w:sz w:val="20"/>
        </w:rPr>
        <w:t xml:space="preserve"> </w:t>
      </w:r>
      <w:r>
        <w:rPr>
          <w:rFonts w:ascii="Calibri;sans-serif" w:hAnsi="Calibri;sans-serif"/>
          <w:color w:val="000000"/>
          <w:sz w:val="20"/>
        </w:rPr>
        <w:t>million, respectively, compared to $0.2</w:t>
      </w:r>
      <w:r>
        <w:rPr>
          <w:rFonts w:ascii="Times New Roman" w:hAnsi="Times New Roman"/>
          <w:color w:val="000000"/>
          <w:sz w:val="20"/>
        </w:rPr>
        <w:t xml:space="preserve"> </w:t>
      </w:r>
      <w:r>
        <w:rPr>
          <w:rFonts w:ascii="Calibri;sans-serif" w:hAnsi="Calibri;sans-serif"/>
          <w:color w:val="000000"/>
          <w:sz w:val="20"/>
        </w:rPr>
        <w:t>million and $0.3</w:t>
      </w:r>
      <w:r>
        <w:rPr>
          <w:rFonts w:ascii="Times New Roman" w:hAnsi="Times New Roman"/>
          <w:color w:val="000000"/>
          <w:sz w:val="20"/>
        </w:rPr>
        <w:t xml:space="preserve"> </w:t>
      </w:r>
      <w:r>
        <w:rPr>
          <w:rFonts w:ascii="Calibri;sans-serif" w:hAnsi="Calibri;sans-serif"/>
          <w:color w:val="000000"/>
          <w:sz w:val="20"/>
        </w:rPr>
        <w:t>million, respectively, for the same periods in 2023. The weighted-average assumptions used to estimate the fair value of ESPP awards using the Black-Scholes option valuation model were as follows:</w:t>
      </w:r>
    </w:p>
    <w:tbl>
      <w:tblPr>
        <w:tblW w:w="4280" w:type="dxa"/>
        <w:jc w:val="left"/>
        <w:tblInd w:w="0" w:type="dxa"/>
        <w:tblLayout w:type="fixed"/>
        <w:tblCellMar>
          <w:top w:w="28" w:type="dxa"/>
          <w:left w:w="28" w:type="dxa"/>
          <w:bottom w:w="28" w:type="dxa"/>
          <w:right w:w="28" w:type="dxa"/>
        </w:tblCellMar>
      </w:tblPr>
      <w:tblGrid>
        <w:gridCol w:w="2226"/>
        <w:gridCol w:w="146"/>
        <w:gridCol w:w="811"/>
        <w:gridCol w:w="146"/>
        <w:gridCol w:w="951"/>
      </w:tblGrid>
      <w:tr>
        <w:trPr/>
        <w:tc>
          <w:tcPr>
            <w:tcW w:w="2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2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0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Six Months Ended</w:t>
              <w:br/>
              <w:t>June 30,</w:t>
            </w:r>
          </w:p>
        </w:tc>
      </w:tr>
      <w:tr>
        <w:trPr/>
        <w:tc>
          <w:tcPr>
            <w:tcW w:w="22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2023</w:t>
            </w:r>
          </w:p>
        </w:tc>
      </w:tr>
      <w:tr>
        <w:trPr/>
        <w:tc>
          <w:tcPr>
            <w:tcW w:w="222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Assumptions:</w:t>
            </w:r>
          </w:p>
        </w:tc>
        <w:tc>
          <w:tcPr>
            <w:tcW w:w="146"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51" w:type="dxa"/>
            <w:tcBorders/>
            <w:shd w:fill="CFF0FC" w:val="clear"/>
            <w:vAlign w:val="center"/>
          </w:tcPr>
          <w:p>
            <w:pPr>
              <w:pStyle w:val="TableContents"/>
              <w:bidi w:val="0"/>
              <w:spacing w:before="0" w:after="283"/>
              <w:ind w:left="0" w:right="0" w:firstLine="200"/>
              <w:jc w:val="right"/>
              <w:rPr/>
            </w:pPr>
            <w:r>
              <w:rPr/>
              <w:t> </w:t>
            </w:r>
          </w:p>
        </w:tc>
      </w:tr>
      <w:tr>
        <w:trPr/>
        <w:tc>
          <w:tcPr>
            <w:tcW w:w="222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Expected term (in years)</w:t>
            </w:r>
          </w:p>
        </w:tc>
        <w:tc>
          <w:tcPr>
            <w:tcW w:w="146"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0.49</w:t>
            </w:r>
          </w:p>
        </w:tc>
        <w:tc>
          <w:tcPr>
            <w:tcW w:w="14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ind w:left="0" w:right="0" w:firstLine="200"/>
              <w:jc w:val="right"/>
              <w:rPr>
                <w:rFonts w:ascii="Calibri;sans-serif" w:hAnsi="Calibri;sans-serif"/>
                <w:color w:val="000000"/>
                <w:sz w:val="20"/>
              </w:rPr>
            </w:pPr>
            <w:r>
              <w:rPr>
                <w:rFonts w:ascii="Calibri;sans-serif" w:hAnsi="Calibri;sans-serif"/>
                <w:color w:val="000000"/>
                <w:sz w:val="20"/>
              </w:rPr>
              <w:t>0.49</w:t>
            </w:r>
          </w:p>
        </w:tc>
      </w:tr>
      <w:tr>
        <w:trPr/>
        <w:tc>
          <w:tcPr>
            <w:tcW w:w="222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Expected volatility</w:t>
            </w:r>
          </w:p>
        </w:tc>
        <w:tc>
          <w:tcPr>
            <w:tcW w:w="146"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119.08%</w:t>
            </w:r>
          </w:p>
        </w:tc>
        <w:tc>
          <w:tcPr>
            <w:tcW w:w="146" w:type="dxa"/>
            <w:tcBorders/>
            <w:shd w:fill="CFF0FC" w:val="clear"/>
            <w:vAlign w:val="center"/>
          </w:tcPr>
          <w:p>
            <w:pPr>
              <w:pStyle w:val="TableContents"/>
              <w:bidi w:val="0"/>
              <w:spacing w:before="0" w:after="283"/>
              <w:jc w:val="left"/>
              <w:rPr/>
            </w:pPr>
            <w:r>
              <w:rPr/>
              <w:t> </w:t>
            </w:r>
          </w:p>
        </w:tc>
        <w:tc>
          <w:tcPr>
            <w:tcW w:w="951" w:type="dxa"/>
            <w:tcBorders/>
            <w:shd w:fill="CFF0FC" w:val="clear"/>
            <w:vAlign w:val="center"/>
          </w:tcPr>
          <w:p>
            <w:pPr>
              <w:pStyle w:val="TableContents"/>
              <w:bidi w:val="0"/>
              <w:spacing w:before="0" w:after="283"/>
              <w:ind w:left="0" w:right="0" w:firstLine="200"/>
              <w:jc w:val="right"/>
              <w:rPr>
                <w:rFonts w:ascii="Calibri;sans-serif" w:hAnsi="Calibri;sans-serif"/>
                <w:color w:val="000000"/>
                <w:sz w:val="20"/>
              </w:rPr>
            </w:pPr>
            <w:r>
              <w:rPr>
                <w:rFonts w:ascii="Calibri;sans-serif" w:hAnsi="Calibri;sans-serif"/>
                <w:color w:val="000000"/>
                <w:sz w:val="20"/>
              </w:rPr>
              <w:t>69.10%</w:t>
            </w:r>
          </w:p>
        </w:tc>
      </w:tr>
      <w:tr>
        <w:trPr/>
        <w:tc>
          <w:tcPr>
            <w:tcW w:w="222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Risk free interest rate</w:t>
            </w:r>
          </w:p>
        </w:tc>
        <w:tc>
          <w:tcPr>
            <w:tcW w:w="146"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5.16%</w:t>
            </w:r>
          </w:p>
        </w:tc>
        <w:tc>
          <w:tcPr>
            <w:tcW w:w="14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ind w:left="0" w:right="0" w:firstLine="200"/>
              <w:jc w:val="right"/>
              <w:rPr>
                <w:rFonts w:ascii="Calibri;sans-serif" w:hAnsi="Calibri;sans-serif"/>
                <w:color w:val="000000"/>
                <w:sz w:val="20"/>
              </w:rPr>
            </w:pPr>
            <w:r>
              <w:rPr>
                <w:rFonts w:ascii="Calibri;sans-serif" w:hAnsi="Calibri;sans-serif"/>
                <w:color w:val="000000"/>
                <w:sz w:val="20"/>
              </w:rPr>
              <w:t>4.77%</w:t>
            </w:r>
          </w:p>
        </w:tc>
      </w:tr>
      <w:tr>
        <w:trPr/>
        <w:tc>
          <w:tcPr>
            <w:tcW w:w="222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Dividend yield</w:t>
            </w:r>
          </w:p>
        </w:tc>
        <w:tc>
          <w:tcPr>
            <w:tcW w:w="146"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951" w:type="dxa"/>
            <w:tcBorders/>
            <w:shd w:fill="CFF0FC" w:val="clear"/>
            <w:vAlign w:val="center"/>
          </w:tcPr>
          <w:p>
            <w:pPr>
              <w:pStyle w:val="TableContents"/>
              <w:bidi w:val="0"/>
              <w:spacing w:before="0" w:after="283"/>
              <w:jc w:val="right"/>
              <w:rPr>
                <w:color w:val="000000"/>
              </w:rPr>
            </w:pPr>
            <w:r>
              <w:rPr>
                <w:color w:val="000000"/>
              </w:rPr>
              <w:t>—</w:t>
            </w:r>
          </w:p>
        </w:tc>
      </w:tr>
    </w:tbl>
    <w:p>
      <w:pPr>
        <w:pStyle w:val="TextBody"/>
        <w:bidi w:val="0"/>
        <w:spacing w:before="200" w:after="283"/>
        <w:jc w:val="left"/>
        <w:rPr>
          <w:rFonts w:ascii="Times New Roman" w:hAnsi="Times New Roman"/>
          <w:sz w:val="20"/>
        </w:rPr>
      </w:pPr>
      <w:r>
        <w:rPr>
          <w:rFonts w:ascii="Calibri;sans-serif" w:hAnsi="Calibri;sans-serif"/>
          <w:color w:val="000000"/>
          <w:sz w:val="20"/>
        </w:rPr>
        <w:t>The estimated weighted-average fair value of ESPP awards for the six months ended June 30, 2024 and 2023, were $3.59</w:t>
      </w:r>
      <w:r>
        <w:rPr>
          <w:rFonts w:ascii="Times New Roman" w:hAnsi="Times New Roman"/>
          <w:color w:val="000000"/>
          <w:sz w:val="20"/>
        </w:rPr>
        <w:t xml:space="preserve"> </w:t>
      </w:r>
      <w:r>
        <w:rPr>
          <w:rFonts w:ascii="Calibri;sans-serif" w:hAnsi="Calibri;sans-serif"/>
          <w:color w:val="000000"/>
          <w:sz w:val="20"/>
        </w:rPr>
        <w:t>and $2.87, respectively. As of June 30, 2024, the total unrecognized compensation expense related to the ESPP was $0.1</w:t>
      </w:r>
      <w:r>
        <w:rPr>
          <w:rFonts w:ascii="Times New Roman" w:hAnsi="Times New Roman"/>
          <w:color w:val="000000"/>
          <w:sz w:val="20"/>
        </w:rPr>
        <w:t xml:space="preserve"> </w:t>
      </w:r>
      <w:r>
        <w:rPr>
          <w:rFonts w:ascii="Calibri;sans-serif" w:hAnsi="Calibri;sans-serif"/>
          <w:color w:val="000000"/>
          <w:sz w:val="20"/>
        </w:rPr>
        <w:t>million, which is expected to be recognized over a weighted-average period of approximately 0.5</w:t>
      </w:r>
      <w:r>
        <w:rPr>
          <w:rFonts w:ascii="Times New Roman" w:hAnsi="Times New Roman"/>
          <w:color w:val="000000"/>
          <w:sz w:val="20"/>
        </w:rPr>
        <w:t xml:space="preserve"> </w:t>
      </w:r>
      <w:r>
        <w:rPr>
          <w:rFonts w:ascii="Calibri;sans-serif" w:hAnsi="Calibri;sans-serif"/>
          <w:color w:val="000000"/>
          <w:sz w:val="20"/>
        </w:rPr>
        <w:t>months.</w:t>
      </w:r>
      <w:r>
        <w:rPr>
          <w:rFonts w:ascii="Times New Roman" w:hAnsi="Times New Roman"/>
          <w:color w:val="000000"/>
          <w:sz w:val="20"/>
        </w:rPr>
        <w:t xml:space="preserve"> </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401(k) Plan</w:t>
      </w:r>
    </w:p>
    <w:p>
      <w:pPr>
        <w:pStyle w:val="TextBody"/>
        <w:bidi w:val="0"/>
        <w:spacing w:before="200" w:after="283"/>
        <w:jc w:val="left"/>
        <w:rPr>
          <w:rFonts w:ascii="Times New Roman" w:hAnsi="Times New Roman"/>
          <w:sz w:val="20"/>
        </w:rPr>
      </w:pPr>
      <w:r>
        <w:rPr>
          <w:rFonts w:ascii="Calibri;sans-serif" w:hAnsi="Calibri;sans-serif"/>
          <w:color w:val="000000"/>
          <w:sz w:val="20"/>
        </w:rPr>
        <w:t>During 2020, the Company established a 401(k) savings plan. The Company’s contributions to the plan are discretionary. During the three and six months ended June 30, 2024, the Company incurred $1.3</w:t>
      </w:r>
      <w:r>
        <w:rPr>
          <w:rFonts w:ascii="Times New Roman" w:hAnsi="Times New Roman"/>
          <w:color w:val="000000"/>
          <w:sz w:val="20"/>
        </w:rPr>
        <w:t xml:space="preserve"> </w:t>
      </w:r>
      <w:r>
        <w:rPr>
          <w:rFonts w:ascii="Calibri;sans-serif" w:hAnsi="Calibri;sans-serif"/>
          <w:color w:val="000000"/>
          <w:sz w:val="20"/>
        </w:rPr>
        <w:t>million and $3.0</w:t>
      </w:r>
      <w:r>
        <w:rPr>
          <w:rFonts w:ascii="Times New Roman" w:hAnsi="Times New Roman"/>
          <w:color w:val="000000"/>
          <w:sz w:val="20"/>
        </w:rPr>
        <w:t xml:space="preserve"> </w:t>
      </w:r>
      <w:r>
        <w:rPr>
          <w:rFonts w:ascii="Calibri;sans-serif" w:hAnsi="Calibri;sans-serif"/>
          <w:color w:val="000000"/>
          <w:sz w:val="20"/>
        </w:rPr>
        <w:t>million, respectively, of expense related to estimated employer contribution liabilities, which was based on a 75% match of employees’ contributions during the periods, compared to $0.4</w:t>
      </w:r>
      <w:r>
        <w:rPr>
          <w:rFonts w:ascii="Times New Roman" w:hAnsi="Times New Roman"/>
          <w:color w:val="000000"/>
          <w:sz w:val="20"/>
        </w:rPr>
        <w:t xml:space="preserve"> </w:t>
      </w:r>
      <w:r>
        <w:rPr>
          <w:rFonts w:ascii="Calibri;sans-serif" w:hAnsi="Calibri;sans-serif"/>
          <w:color w:val="000000"/>
          <w:sz w:val="20"/>
        </w:rPr>
        <w:t>million and $1.2</w:t>
      </w:r>
      <w:r>
        <w:rPr>
          <w:rFonts w:ascii="Times New Roman" w:hAnsi="Times New Roman"/>
          <w:color w:val="000000"/>
          <w:sz w:val="20"/>
        </w:rPr>
        <w:t xml:space="preserve"> </w:t>
      </w:r>
      <w:r>
        <w:rPr>
          <w:rFonts w:ascii="Calibri;sans-serif" w:hAnsi="Calibri;sans-serif"/>
          <w:color w:val="000000"/>
          <w:sz w:val="20"/>
        </w:rPr>
        <w:t>million, respectively, for the same periods in 2023. During the six months ended June 30, 2024 and 2023, the Board of Directors approved employer matching contributions settled by contributing 93,736</w:t>
      </w:r>
      <w:r>
        <w:rPr>
          <w:rFonts w:ascii="Times New Roman" w:hAnsi="Times New Roman"/>
          <w:color w:val="000000"/>
          <w:sz w:val="20"/>
        </w:rPr>
        <w:t xml:space="preserve"> </w:t>
      </w:r>
      <w:r>
        <w:rPr>
          <w:rFonts w:ascii="Calibri;sans-serif" w:hAnsi="Calibri;sans-serif"/>
          <w:color w:val="000000"/>
          <w:sz w:val="20"/>
        </w:rPr>
        <w:t>and 52,130, respectively, shares of common stock.</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Stock Options</w:t>
      </w:r>
    </w:p>
    <w:p>
      <w:pPr>
        <w:pStyle w:val="TextBody"/>
        <w:bidi w:val="0"/>
        <w:spacing w:before="200" w:after="283"/>
        <w:jc w:val="left"/>
        <w:rPr>
          <w:rFonts w:ascii="Times New Roman" w:hAnsi="Times New Roman"/>
          <w:sz w:val="20"/>
        </w:rPr>
      </w:pPr>
      <w:r>
        <w:rPr>
          <w:rFonts w:ascii="Calibri;sans-serif" w:hAnsi="Calibri;sans-serif"/>
          <w:color w:val="000000"/>
          <w:sz w:val="20"/>
        </w:rPr>
        <w:t>The fair value of each employee and non-employee stock option grant is estimated on the date of grant using the Black-Scholes option-pricing model. The Company, prior to the IPO on October 29, 2019, was a private company and lacked company-specific historical and implied volatility information. Therefore, it estimated its expected volatility based on the historical volatility of a publicly traded set of peer companies. Due to the lack of historical exercise history, the expected term of the Company’s stock options for employees was determined utilizing the “simplified” method for awards. The expected term of stock options granted to non-employees was equal to the contractual term of the option award. The risk-free interest rate was determined by reference to the U.S. Treasury yield curve in effect at the time of grant of the award for time periods approximately equal to the expected term of the award. Expected dividend yield was zero</w:t>
      </w:r>
      <w:r>
        <w:rPr>
          <w:rFonts w:ascii="Times New Roman" w:hAnsi="Times New Roman"/>
          <w:color w:val="000000"/>
          <w:sz w:val="20"/>
        </w:rPr>
        <w:t xml:space="preserve"> </w:t>
      </w:r>
      <w:r>
        <w:rPr>
          <w:rFonts w:ascii="Calibri;sans-serif" w:hAnsi="Calibri;sans-serif"/>
          <w:color w:val="000000"/>
          <w:sz w:val="20"/>
        </w:rPr>
        <w:t>based on the fact that the Company has never paid cash dividends and does not expect to pay any cash dividends in the foreseeable future.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left"/>
        <w:rPr>
          <w:rFonts w:ascii="Calibri;sans-serif" w:hAnsi="Calibri;sans-serif"/>
          <w:color w:val="000000"/>
          <w:sz w:val="20"/>
        </w:rPr>
      </w:pPr>
      <w:r>
        <w:rPr>
          <w:rFonts w:ascii="Calibri;sans-serif" w:hAnsi="Calibri;sans-serif"/>
          <w:color w:val="000000"/>
          <w:sz w:val="20"/>
        </w:rPr>
        <w:t>A summary of the Company’s stock option activity and related information is as follows:</w:t>
      </w:r>
    </w:p>
    <w:tbl>
      <w:tblPr>
        <w:tblW w:w="9732" w:type="dxa"/>
        <w:jc w:val="left"/>
        <w:tblInd w:w="0" w:type="dxa"/>
        <w:tblLayout w:type="fixed"/>
        <w:tblCellMar>
          <w:top w:w="28" w:type="dxa"/>
          <w:left w:w="28" w:type="dxa"/>
          <w:bottom w:w="28" w:type="dxa"/>
          <w:right w:w="28" w:type="dxa"/>
        </w:tblCellMar>
      </w:tblPr>
      <w:tblGrid>
        <w:gridCol w:w="3901"/>
        <w:gridCol w:w="146"/>
        <w:gridCol w:w="150"/>
        <w:gridCol w:w="961"/>
        <w:gridCol w:w="166"/>
        <w:gridCol w:w="146"/>
        <w:gridCol w:w="263"/>
        <w:gridCol w:w="713"/>
        <w:gridCol w:w="146"/>
        <w:gridCol w:w="146"/>
        <w:gridCol w:w="250"/>
        <w:gridCol w:w="801"/>
        <w:gridCol w:w="146"/>
        <w:gridCol w:w="146"/>
        <w:gridCol w:w="299"/>
        <w:gridCol w:w="961"/>
        <w:gridCol w:w="391"/>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Options</w:t>
              <w:br/>
              <w:t>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Weighted-</w:t>
              <w:br/>
              <w:t>Average</w:t>
              <w:br/>
              <w:t>Remaining</w:t>
              <w:br/>
              <w:t>Contractual</w:t>
              <w:br/>
              <w:t>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Aggregate</w:t>
              <w:br/>
              <w:t>Intrinsic</w:t>
              <w:br/>
              <w:t xml:space="preserve">Value </w:t>
              <w:br/>
              <w:t>(in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Balance at January 1, 2024</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4,550,081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13"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6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3,379</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901"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Options granted</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2,224,400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3901"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Options exercised</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(2,432</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left"/>
              <w:rPr/>
            </w:pPr>
            <w:r>
              <w:rPr/>
              <w:t> </w:t>
            </w:r>
          </w:p>
        </w:tc>
        <w:tc>
          <w:tcPr>
            <w:tcW w:w="713"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901"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Options cancelled</w:t>
            </w:r>
          </w:p>
        </w:tc>
        <w:tc>
          <w:tcPr>
            <w:tcW w:w="146" w:type="dxa"/>
            <w:tcBorders/>
            <w:shd w:fill="FFFFFF" w:val="cle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(227,517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90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Balance at June 30, 2024</w:t>
            </w:r>
          </w:p>
        </w:tc>
        <w:tc>
          <w:tcPr>
            <w:tcW w:w="146" w:type="dxa"/>
            <w:tcBorders/>
            <w:shd w:fill="CFF0FC" w:val="cle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6,544,532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10,790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Options exercisable as of June 30, 2024</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2,868,583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13"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6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3,978</w:t>
            </w:r>
          </w:p>
        </w:tc>
        <w:tc>
          <w:tcPr>
            <w:tcW w:w="391" w:type="dxa"/>
            <w:tcBorders/>
            <w:shd w:fill="FFFFFF" w:val="clear"/>
            <w:vAlign w:val="center"/>
          </w:tcPr>
          <w:p>
            <w:pPr>
              <w:pStyle w:val="TableContents"/>
              <w:bidi w:val="0"/>
              <w:spacing w:before="0" w:after="283"/>
              <w:jc w:val="left"/>
              <w:rPr/>
            </w:pPr>
            <w:r>
              <w:rPr/>
              <w:t> </w:t>
            </w:r>
          </w:p>
        </w:tc>
      </w:tr>
      <w:tr>
        <w:trPr/>
        <w:tc>
          <w:tcPr>
            <w:tcW w:w="390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Vested and expected to vest as of June 30, 2024</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6,544,532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13"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6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10,790</w:t>
            </w:r>
          </w:p>
        </w:tc>
        <w:tc>
          <w:tcPr>
            <w:tcW w:w="391" w:type="dxa"/>
            <w:tcBorders/>
            <w:shd w:fill="CFF0FC" w:val="cle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sz w:val="20"/>
        </w:rPr>
      </w:pPr>
      <w:r>
        <w:rPr>
          <w:rFonts w:ascii="Calibri;sans-serif" w:hAnsi="Calibri;sans-serif"/>
          <w:color w:val="000000"/>
          <w:sz w:val="20"/>
        </w:rPr>
        <w:t>The estimated weighted-average fair value of employee and nonemployee director stock options granted for the six months ended June 30, 2024 and 2023 was $5.52</w:t>
      </w:r>
      <w:r>
        <w:rPr>
          <w:rFonts w:ascii="Times New Roman" w:hAnsi="Times New Roman"/>
          <w:color w:val="000000"/>
          <w:sz w:val="20"/>
        </w:rPr>
        <w:t xml:space="preserve"> </w:t>
      </w:r>
      <w:r>
        <w:rPr>
          <w:rFonts w:ascii="Calibri;sans-serif" w:hAnsi="Calibri;sans-serif"/>
          <w:color w:val="000000"/>
          <w:sz w:val="20"/>
        </w:rPr>
        <w:t>and $5.31, respectively. As of June 30, 2024, the Company had $20.3</w:t>
      </w:r>
      <w:r>
        <w:rPr>
          <w:rFonts w:ascii="Times New Roman" w:hAnsi="Times New Roman"/>
          <w:color w:val="000000"/>
          <w:sz w:val="20"/>
        </w:rPr>
        <w:t xml:space="preserve"> </w:t>
      </w:r>
      <w:r>
        <w:rPr>
          <w:rFonts w:ascii="Calibri;sans-serif" w:hAnsi="Calibri;sans-serif"/>
          <w:color w:val="000000"/>
          <w:sz w:val="20"/>
        </w:rPr>
        <w:t>million of unrecognized stock-based compensation expense related to stock options, which is expected to be recognized over a weighted-average period of 2.6</w:t>
      </w:r>
      <w:r>
        <w:rPr>
          <w:rFonts w:ascii="Times New Roman" w:hAnsi="Times New Roman"/>
          <w:color w:val="000000"/>
          <w:sz w:val="20"/>
        </w:rPr>
        <w:t xml:space="preserve"> </w:t>
      </w:r>
      <w:r>
        <w:rPr>
          <w:rFonts w:ascii="Calibri;sans-serif" w:hAnsi="Calibri;sans-serif"/>
          <w:color w:val="000000"/>
          <w:sz w:val="20"/>
        </w:rPr>
        <w:t>years.</w:t>
      </w:r>
      <w:r>
        <w:rPr>
          <w:rFonts w:ascii="Times New Roman" w:hAnsi="Times New Roman"/>
          <w:color w:val="000000"/>
          <w:sz w:val="20"/>
        </w:rPr>
        <w:t xml:space="preserve"> </w:t>
      </w:r>
    </w:p>
    <w:p>
      <w:pPr>
        <w:pStyle w:val="TextBody"/>
        <w:bidi w:val="0"/>
        <w:spacing w:before="200" w:after="200"/>
        <w:jc w:val="left"/>
        <w:rPr>
          <w:rFonts w:ascii="Calibri;sans-serif" w:hAnsi="Calibri;sans-serif"/>
          <w:color w:val="000000"/>
          <w:sz w:val="20"/>
        </w:rPr>
      </w:pPr>
      <w:r>
        <w:rPr>
          <w:rFonts w:ascii="Calibri;sans-serif" w:hAnsi="Calibri;sans-serif"/>
          <w:color w:val="000000"/>
          <w:sz w:val="20"/>
        </w:rPr>
        <w:t>The weighted-average assumptions used to estimate the fair value of stock options using the Black-Scholes option valuation model were as follows:</w:t>
      </w:r>
    </w:p>
    <w:tbl>
      <w:tblPr>
        <w:tblW w:w="4175" w:type="dxa"/>
        <w:jc w:val="left"/>
        <w:tblInd w:w="0" w:type="dxa"/>
        <w:tblLayout w:type="fixed"/>
        <w:tblCellMar>
          <w:top w:w="28" w:type="dxa"/>
          <w:left w:w="28" w:type="dxa"/>
          <w:bottom w:w="28" w:type="dxa"/>
          <w:right w:w="28" w:type="dxa"/>
        </w:tblCellMar>
      </w:tblPr>
      <w:tblGrid>
        <w:gridCol w:w="2226"/>
        <w:gridCol w:w="146"/>
        <w:gridCol w:w="706"/>
        <w:gridCol w:w="146"/>
        <w:gridCol w:w="951"/>
      </w:tblGrid>
      <w:tr>
        <w:trPr/>
        <w:tc>
          <w:tcPr>
            <w:tcW w:w="2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2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Six Months Ended</w:t>
              <w:br/>
              <w:t>June 30,</w:t>
            </w:r>
          </w:p>
        </w:tc>
      </w:tr>
      <w:tr>
        <w:trPr/>
        <w:tc>
          <w:tcPr>
            <w:tcW w:w="22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2023</w:t>
            </w:r>
          </w:p>
        </w:tc>
      </w:tr>
      <w:tr>
        <w:trPr/>
        <w:tc>
          <w:tcPr>
            <w:tcW w:w="222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Assumptions:</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51" w:type="dxa"/>
            <w:tcBorders/>
            <w:shd w:fill="CFF0FC" w:val="clear"/>
            <w:vAlign w:val="center"/>
          </w:tcPr>
          <w:p>
            <w:pPr>
              <w:pStyle w:val="TableContents"/>
              <w:bidi w:val="0"/>
              <w:spacing w:before="0" w:after="283"/>
              <w:ind w:left="0" w:right="0" w:firstLine="200"/>
              <w:jc w:val="right"/>
              <w:rPr/>
            </w:pPr>
            <w:r>
              <w:rPr/>
              <w:t> </w:t>
            </w:r>
          </w:p>
        </w:tc>
      </w:tr>
      <w:tr>
        <w:trPr/>
        <w:tc>
          <w:tcPr>
            <w:tcW w:w="222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Expected term (in years)</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6.04</w:t>
            </w:r>
          </w:p>
        </w:tc>
        <w:tc>
          <w:tcPr>
            <w:tcW w:w="14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ind w:left="0" w:right="0" w:firstLine="200"/>
              <w:jc w:val="right"/>
              <w:rPr>
                <w:rFonts w:ascii="Calibri;sans-serif" w:hAnsi="Calibri;sans-serif"/>
                <w:color w:val="000000"/>
                <w:sz w:val="20"/>
              </w:rPr>
            </w:pPr>
            <w:r>
              <w:rPr>
                <w:rFonts w:ascii="Calibri;sans-serif" w:hAnsi="Calibri;sans-serif"/>
                <w:color w:val="000000"/>
                <w:sz w:val="20"/>
              </w:rPr>
              <w:t>6.03</w:t>
            </w:r>
          </w:p>
        </w:tc>
      </w:tr>
      <w:tr>
        <w:trPr/>
        <w:tc>
          <w:tcPr>
            <w:tcW w:w="222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Expected volatility</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74.67%</w:t>
            </w:r>
          </w:p>
        </w:tc>
        <w:tc>
          <w:tcPr>
            <w:tcW w:w="146" w:type="dxa"/>
            <w:tcBorders/>
            <w:shd w:fill="CFF0FC" w:val="clear"/>
            <w:vAlign w:val="center"/>
          </w:tcPr>
          <w:p>
            <w:pPr>
              <w:pStyle w:val="TableContents"/>
              <w:bidi w:val="0"/>
              <w:spacing w:before="0" w:after="283"/>
              <w:jc w:val="left"/>
              <w:rPr/>
            </w:pPr>
            <w:r>
              <w:rPr/>
              <w:t> </w:t>
            </w:r>
          </w:p>
        </w:tc>
        <w:tc>
          <w:tcPr>
            <w:tcW w:w="951" w:type="dxa"/>
            <w:tcBorders/>
            <w:shd w:fill="CFF0FC" w:val="clear"/>
            <w:vAlign w:val="center"/>
          </w:tcPr>
          <w:p>
            <w:pPr>
              <w:pStyle w:val="TableContents"/>
              <w:bidi w:val="0"/>
              <w:spacing w:before="0" w:after="283"/>
              <w:ind w:left="0" w:right="0" w:firstLine="200"/>
              <w:jc w:val="right"/>
              <w:rPr>
                <w:rFonts w:ascii="Calibri;sans-serif" w:hAnsi="Calibri;sans-serif"/>
                <w:color w:val="000000"/>
                <w:sz w:val="20"/>
              </w:rPr>
            </w:pPr>
            <w:r>
              <w:rPr>
                <w:rFonts w:ascii="Calibri;sans-serif" w:hAnsi="Calibri;sans-serif"/>
                <w:color w:val="000000"/>
                <w:sz w:val="20"/>
              </w:rPr>
              <w:t>64.02%</w:t>
            </w:r>
          </w:p>
        </w:tc>
      </w:tr>
      <w:tr>
        <w:trPr/>
        <w:tc>
          <w:tcPr>
            <w:tcW w:w="222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Risk free interest rate</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4.14%</w:t>
            </w:r>
          </w:p>
        </w:tc>
        <w:tc>
          <w:tcPr>
            <w:tcW w:w="14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ind w:left="0" w:right="0" w:firstLine="200"/>
              <w:jc w:val="right"/>
              <w:rPr>
                <w:rFonts w:ascii="Calibri;sans-serif" w:hAnsi="Calibri;sans-serif"/>
                <w:color w:val="000000"/>
                <w:sz w:val="20"/>
              </w:rPr>
            </w:pPr>
            <w:r>
              <w:rPr>
                <w:rFonts w:ascii="Calibri;sans-serif" w:hAnsi="Calibri;sans-serif"/>
                <w:color w:val="000000"/>
                <w:sz w:val="20"/>
              </w:rPr>
              <w:t>3.48%</w:t>
            </w:r>
          </w:p>
        </w:tc>
      </w:tr>
      <w:tr>
        <w:trPr/>
        <w:tc>
          <w:tcPr>
            <w:tcW w:w="222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Dividend yield</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951" w:type="dxa"/>
            <w:tcBorders/>
            <w:shd w:fill="CFF0FC" w:val="clear"/>
            <w:vAlign w:val="center"/>
          </w:tcPr>
          <w:p>
            <w:pPr>
              <w:pStyle w:val="TableContents"/>
              <w:bidi w:val="0"/>
              <w:spacing w:before="0" w:after="283"/>
              <w:jc w:val="right"/>
              <w:rPr>
                <w:color w:val="000000"/>
              </w:rPr>
            </w:pPr>
            <w:r>
              <w:rPr>
                <w:color w:val="000000"/>
              </w:rPr>
              <w:t>—</w:t>
            </w:r>
          </w:p>
        </w:tc>
      </w:tr>
    </w:tbl>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Stock-Based Compensation Expense</w:t>
      </w:r>
    </w:p>
    <w:p>
      <w:pPr>
        <w:pStyle w:val="TextBody"/>
        <w:bidi w:val="0"/>
        <w:spacing w:before="200" w:after="200"/>
        <w:jc w:val="left"/>
        <w:rPr>
          <w:rFonts w:ascii="Calibri;sans-serif" w:hAnsi="Calibri;sans-serif"/>
          <w:color w:val="000000"/>
          <w:sz w:val="20"/>
        </w:rPr>
      </w:pPr>
      <w:r>
        <w:rPr>
          <w:rFonts w:ascii="Calibri;sans-serif" w:hAnsi="Calibri;sans-serif"/>
          <w:color w:val="000000"/>
          <w:sz w:val="20"/>
        </w:rPr>
        <w:t>Stock-based compensation expense recognized for all equity awards, including founder stock, has been reported in the statements of operations and comprehensive loss as follows (in thousands):</w:t>
      </w:r>
    </w:p>
    <w:tbl>
      <w:tblPr>
        <w:tblW w:w="8062" w:type="dxa"/>
        <w:jc w:val="left"/>
        <w:tblInd w:w="0" w:type="dxa"/>
        <w:tblLayout w:type="fixed"/>
        <w:tblCellMar>
          <w:top w:w="28" w:type="dxa"/>
          <w:left w:w="28" w:type="dxa"/>
          <w:bottom w:w="28" w:type="dxa"/>
          <w:right w:w="28" w:type="dxa"/>
        </w:tblCellMar>
      </w:tblPr>
      <w:tblGrid>
        <w:gridCol w:w="3511"/>
        <w:gridCol w:w="146"/>
        <w:gridCol w:w="211"/>
        <w:gridCol w:w="571"/>
        <w:gridCol w:w="146"/>
        <w:gridCol w:w="146"/>
        <w:gridCol w:w="211"/>
        <w:gridCol w:w="571"/>
        <w:gridCol w:w="146"/>
        <w:gridCol w:w="146"/>
        <w:gridCol w:w="211"/>
        <w:gridCol w:w="676"/>
        <w:gridCol w:w="146"/>
        <w:gridCol w:w="146"/>
        <w:gridCol w:w="211"/>
        <w:gridCol w:w="676"/>
        <w:gridCol w:w="191"/>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Research and development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2,580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3,580</w:t>
            </w:r>
          </w:p>
        </w:tc>
        <w:tc>
          <w:tcPr>
            <w:tcW w:w="191" w:type="dxa"/>
            <w:tcBorders/>
            <w:shd w:fill="CFF0FC" w:val="clear"/>
            <w:vAlign w:val="center"/>
          </w:tcPr>
          <w:p>
            <w:pPr>
              <w:pStyle w:val="TableContents"/>
              <w:bidi w:val="0"/>
              <w:spacing w:before="0" w:after="283"/>
              <w:jc w:val="left"/>
              <w:rPr/>
            </w:pPr>
            <w:r>
              <w:rPr/>
              <w:t> </w:t>
            </w:r>
          </w:p>
        </w:tc>
      </w:tr>
      <w:tr>
        <w:trPr/>
        <w:tc>
          <w:tcPr>
            <w:tcW w:w="35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Selling, general and administrative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4,768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5,450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9,145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10,721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6,099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7,253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11,725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14,301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left"/>
        <w:rPr>
          <w:rFonts w:ascii="Calibri;sans-serif" w:hAnsi="Calibri;sans-serif"/>
          <w:b/>
          <w:color w:val="000000"/>
          <w:sz w:val="20"/>
        </w:rPr>
      </w:pPr>
      <w:r>
        <w:rPr>
          <w:rFonts w:ascii="Calibri;sans-serif" w:hAnsi="Calibri;sans-serif"/>
          <w:b/>
          <w:color w:val="000000"/>
          <w:sz w:val="20"/>
        </w:rPr>
        <w:t>8. Revenue Recognition</w:t>
      </w:r>
    </w:p>
    <w:p>
      <w:pPr>
        <w:pStyle w:val="TextBody"/>
        <w:bidi w:val="0"/>
        <w:spacing w:before="200" w:after="200"/>
        <w:jc w:val="left"/>
        <w:rPr>
          <w:rFonts w:ascii="Times New Roman" w:hAnsi="Times New Roman"/>
          <w:sz w:val="20"/>
        </w:rPr>
      </w:pPr>
      <w:r>
        <w:rPr>
          <w:rFonts w:ascii="Calibri;sans-serif" w:hAnsi="Calibri;sans-serif"/>
          <w:color w:val="000000"/>
          <w:sz w:val="20"/>
        </w:rPr>
        <w:t>To date, our only source of revenue has been from the U.S. sales of VOQUEZNA products, which the Company began selling during the fourth quarter of 2023. The Company records its best estimate of chargebacks, sales discounts and other reserves to which customers are likely expected to be entitled to as contra accounts receivable charges, and within accrued expenses if payable to a third-party or related to product returns on the balance sheets. During the three and six months ended June 30, 2024, the Company recognized $7.3</w:t>
      </w:r>
      <w:r>
        <w:rPr>
          <w:rFonts w:ascii="Times New Roman" w:hAnsi="Times New Roman"/>
          <w:color w:val="000000"/>
          <w:sz w:val="20"/>
        </w:rPr>
        <w:t xml:space="preserve"> </w:t>
      </w:r>
      <w:r>
        <w:rPr>
          <w:rFonts w:ascii="Calibri;sans-serif" w:hAnsi="Calibri;sans-serif"/>
          <w:color w:val="000000"/>
          <w:sz w:val="20"/>
        </w:rPr>
        <w:t>million and $9.2</w:t>
      </w:r>
      <w:r>
        <w:rPr>
          <w:rFonts w:ascii="Times New Roman" w:hAnsi="Times New Roman"/>
          <w:color w:val="000000"/>
          <w:sz w:val="20"/>
        </w:rPr>
        <w:t xml:space="preserve"> </w:t>
      </w:r>
      <w:r>
        <w:rPr>
          <w:rFonts w:ascii="Calibri;sans-serif" w:hAnsi="Calibri;sans-serif"/>
          <w:color w:val="000000"/>
          <w:sz w:val="20"/>
        </w:rPr>
        <w:t>million, respectively, of net product revenues related to sales of VOQUEZNA, VOQUEZNA DUAL PAK and VOQUEZNA TRIPLE PAK. During each of the three and six months ended June 30, 2023, the Company had no</w:t>
      </w:r>
      <w:r>
        <w:rPr>
          <w:rFonts w:ascii="Times New Roman" w:hAnsi="Times New Roman"/>
          <w:color w:val="000000"/>
          <w:sz w:val="20"/>
        </w:rPr>
        <w:t xml:space="preserve"> </w:t>
      </w:r>
      <w:r>
        <w:rPr>
          <w:rFonts w:ascii="Calibri;sans-serif" w:hAnsi="Calibri;sans-serif"/>
          <w:color w:val="000000"/>
          <w:sz w:val="20"/>
        </w:rPr>
        <w:t>net product revenues due to the launch of VOQUEZNA during the fourth quarter of 2023. Sales allowances and accruals mostly consisted of distribution fees and rebates.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bookmarkStart w:id="10" w:name="consolidated_statements_operations"/>
      <w:bookmarkEnd w:id="10"/>
      <w:r>
        <w:rPr>
          <w:rFonts w:ascii="Calibri;sans-serif" w:hAnsi="Calibri;sans-serif"/>
          <w:b/>
          <w:color w:val="000000"/>
          <w:sz w:val="20"/>
        </w:rPr>
        <w:t>Item 2. Management’s Discussion and Analysis o</w:t>
      </w:r>
      <w:bookmarkStart w:id="11" w:name="item_2_managements_discussion_analysis_f"/>
      <w:bookmarkEnd w:id="11"/>
      <w:r>
        <w:rPr>
          <w:rFonts w:ascii="Calibri;sans-serif" w:hAnsi="Calibri;sans-serif"/>
          <w:b/>
          <w:color w:val="000000"/>
          <w:sz w:val="20"/>
        </w:rPr>
        <w:t>f Financial Condition and Results of Operations</w:t>
      </w:r>
    </w:p>
    <w:p>
      <w:pPr>
        <w:pStyle w:val="TextBody"/>
        <w:bidi w:val="0"/>
        <w:spacing w:before="200" w:after="283"/>
        <w:jc w:val="left"/>
        <w:rPr>
          <w:rFonts w:ascii="Calibri;sans-serif" w:hAnsi="Calibri;sans-serif"/>
          <w:i/>
          <w:color w:val="000000"/>
          <w:sz w:val="20"/>
        </w:rPr>
      </w:pPr>
      <w:r>
        <w:rPr>
          <w:rFonts w:ascii="Calibri;sans-serif" w:hAnsi="Calibri;sans-serif"/>
          <w:i/>
          <w:color w:val="000000"/>
          <w:sz w:val="20"/>
        </w:rPr>
        <w:t>You should read the following discussion and analysis of our financial condition and results of operations in conjunction with the unaudited interim financial statements and notes thereto included in this Quarterly Report on Form 10-Q and with our audited financial statements and notes thereto for the year ended December 31, 2023 and the related Management’s Discussion and Analysis of Financial Condition and Results of Operations, both of which are contained in our Annual Report on Form 10-K for the year ended December 31, 2023, or the 2023 Form 10-K.</w:t>
      </w:r>
    </w:p>
    <w:p>
      <w:pPr>
        <w:pStyle w:val="TextBody"/>
        <w:bidi w:val="0"/>
        <w:spacing w:before="200" w:after="283"/>
        <w:jc w:val="left"/>
        <w:rPr>
          <w:rFonts w:ascii="Calibri;sans-serif" w:hAnsi="Calibri;sans-serif"/>
          <w:b/>
          <w:color w:val="000000"/>
          <w:sz w:val="20"/>
        </w:rPr>
      </w:pPr>
      <w:r>
        <w:rPr>
          <w:rFonts w:ascii="Calibri;sans-serif" w:hAnsi="Calibri;sans-serif"/>
          <w:b/>
          <w:color w:val="000000"/>
          <w:sz w:val="20"/>
        </w:rPr>
        <w:t>Forward Looking Statements</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The following discussion and other parts of this quarterly report contain forward-looking statements within the meaning of Section 21E of the Securities Exchange Act of 1934, as amended, or the Exchange Act. All statements other than statements of historical facts contained in this quarterly report, including statements regarding our future results of operations and financial position, business strategy, research and development plans and costs, the timing and likelihood of regulatory filings and approvals, commercialization plans, pricing and reimbursement, the potential to develop future product candidates, the timing and likelihood of success of the plans and objectives of management for future operations, and future results of anticipated product development efforts, are forward-looking statements. These statements are often identified by the use of words such as “may,” “will,” “expect,” “believe,” “anticipate,” “intend,” “could,” “should,” “estimate,” or “continue,” and similar expressions or variations. The forward-looking statements in this quarterly report are only predictions. We have based these forward-looking statements largely on our current expectations and projections about future events and financial trends that we believe may affect our financial condition, operating results, business strategy, short-term and long-term business operations and objectives. These forward-looking statements speak only as of the date of this quarterly report and are subject to a number of risks, uncertainties and assumptions, including those described in the Part II, Item 1A under the heading “Risk Factors.”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changed circumstances or otherwise.</w:t>
      </w:r>
    </w:p>
    <w:p>
      <w:pPr>
        <w:pStyle w:val="TextBody"/>
        <w:bidi w:val="0"/>
        <w:spacing w:before="200" w:after="283"/>
        <w:jc w:val="left"/>
        <w:rPr>
          <w:rFonts w:ascii="Calibri;sans-serif" w:hAnsi="Calibri;sans-serif"/>
          <w:b/>
          <w:color w:val="000000"/>
          <w:sz w:val="20"/>
        </w:rPr>
      </w:pPr>
      <w:r>
        <w:rPr>
          <w:rFonts w:ascii="Calibri;sans-serif" w:hAnsi="Calibri;sans-serif"/>
          <w:b/>
          <w:color w:val="000000"/>
          <w:sz w:val="20"/>
        </w:rPr>
        <w:t>Overview</w:t>
      </w:r>
    </w:p>
    <w:p>
      <w:pPr>
        <w:pStyle w:val="TextBody"/>
        <w:bidi w:val="0"/>
        <w:spacing w:before="200" w:after="283"/>
        <w:jc w:val="left"/>
        <w:rPr>
          <w:rFonts w:ascii="Times New Roman" w:hAnsi="Times New Roman"/>
          <w:sz w:val="20"/>
        </w:rPr>
      </w:pPr>
      <w:r>
        <w:rPr>
          <w:rFonts w:ascii="Calibri;sans-serif" w:hAnsi="Calibri;sans-serif"/>
          <w:color w:val="000000"/>
          <w:sz w:val="20"/>
        </w:rPr>
        <w:t xml:space="preserve">We are a biopharmaceutical company focused on developing and commercializing novel treatments for gastrointestinal, or GI, diseases. Our approved products, VOQUEZNA®, VOQUEZNA® TRIPLE PAK® and VOQUEZNA® DUAL PAK®, contain vonoprazan, an oral small molecule potassium-competitive acid blocker, or PCAB. PCABs are a novel class of medicines that block acid secretion in the stomach. Vonoprazan is the first gastric anti-secretory agent from a novel class approved in the United States, Europe, or Canada in over 30 years, and has shown rapid, potent, and durable anti-secretory effects. Vonoprazan has also demonstrated clinical benefits over the current standard of care as a single agent in the treatment of erosive gastroesophageal reflux disease, or Erosive GERD, also known as erosive esophagitis, and in combination with antibiotics for the treatment of </w:t>
      </w:r>
      <w:r>
        <w:rPr>
          <w:rFonts w:ascii="Calibri;sans-serif" w:hAnsi="Calibri;sans-serif"/>
          <w:i/>
          <w:color w:val="000000"/>
          <w:sz w:val="20"/>
        </w:rPr>
        <w:t>Helicobacter pylori</w:t>
      </w:r>
      <w:r>
        <w:rPr>
          <w:rFonts w:ascii="Calibri;sans-serif" w:hAnsi="Calibri;sans-serif"/>
          <w:color w:val="000000"/>
          <w:sz w:val="20"/>
        </w:rPr>
        <w:t xml:space="preserve">, or </w:t>
      </w:r>
      <w:r>
        <w:rPr>
          <w:rFonts w:ascii="Calibri;sans-serif" w:hAnsi="Calibri;sans-serif"/>
          <w:i/>
          <w:color w:val="000000"/>
          <w:sz w:val="20"/>
        </w:rPr>
        <w:t>H. pylori</w:t>
      </w:r>
      <w:r>
        <w:rPr>
          <w:rFonts w:ascii="Calibri;sans-serif" w:hAnsi="Calibri;sans-serif"/>
          <w:color w:val="000000"/>
          <w:sz w:val="20"/>
        </w:rPr>
        <w:t>, infection. Takeda Pharmaceutical Company Limited, or Takeda, developed vonoprazan and has received marketing approval in numerous countries in Asia and Latin America as well as Russia. Vonoprazan generated approximately $850 million in net sales in its seventh full year on the market since its approval in Japan in late 2014. In May 2019, we in-licensed the U.S., European, and Canadian rights to vonoprazan from Takeda.</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 xml:space="preserve">In 2021 we reported positive topline data from two pivotal Phase 3 clinical trials for vonoprazan: one for the treatment of </w:t>
      </w:r>
      <w:r>
        <w:rPr>
          <w:rFonts w:ascii="Calibri;sans-serif" w:hAnsi="Calibri;sans-serif"/>
          <w:i/>
          <w:color w:val="000000"/>
          <w:sz w:val="20"/>
        </w:rPr>
        <w:t xml:space="preserve">H. pylori </w:t>
      </w:r>
      <w:r>
        <w:rPr>
          <w:rFonts w:ascii="Calibri;sans-serif" w:hAnsi="Calibri;sans-serif"/>
          <w:color w:val="000000"/>
          <w:sz w:val="20"/>
        </w:rPr>
        <w:t xml:space="preserve">infection, or PHALCON-HP, and a second for the treatment of Erosive GERD, or PHALCON-EE. These data are supplemented by the extensive existing clinical data generated by Takeda as part of its development program for vonoprazan in Japan and other markets. In September 2021, we submitted two new drug applications, or NDAs, for combination packs that contain vonoprazan for the treatment of </w:t>
      </w:r>
      <w:r>
        <w:rPr>
          <w:rFonts w:ascii="Calibri;sans-serif" w:hAnsi="Calibri;sans-serif"/>
          <w:i/>
          <w:color w:val="000000"/>
          <w:sz w:val="20"/>
        </w:rPr>
        <w:t>H. pylori</w:t>
      </w:r>
      <w:r>
        <w:rPr>
          <w:rFonts w:ascii="Times New Roman" w:hAnsi="Times New Roman"/>
          <w:color w:val="000000"/>
          <w:sz w:val="20"/>
        </w:rPr>
        <w:t xml:space="preserve"> </w:t>
      </w:r>
      <w:r>
        <w:rPr>
          <w:rFonts w:ascii="Calibri;sans-serif" w:hAnsi="Calibri;sans-serif"/>
          <w:color w:val="000000"/>
          <w:sz w:val="20"/>
        </w:rPr>
        <w:t xml:space="preserve">infection in adults, one in combination with amoxicillin and clarithromycin (vonoprazan triple therapy) and the other in combination with amoxicillin alone (vonoprazan dual therapy). In May 2022, the U.S. Food and Drug Administration, or FDA, approved the NDAs for vonoprazan triple therapy, under the brand name VOQUEZNA TRIPLE PAK, and vonoprazan dual therapy, under the brand name VOQUEZNA DUAL PAK. Subsequently, on November 1, 2023, the FDA approved vonoprazan, under the brand name VOQUEZNA, as a treatment for adults for the healing of all grades of Erosive GERD, maintenance of healing of all grades of Erosive GERD, and relief of heartburn associated with Erosive GERD, as well as in combination with amoxicillin, with or without clarithromycin, for the treatment of </w:t>
      </w:r>
      <w:r>
        <w:rPr>
          <w:rFonts w:ascii="Calibri;sans-serif" w:hAnsi="Calibri;sans-serif"/>
          <w:i/>
          <w:color w:val="000000"/>
          <w:sz w:val="20"/>
        </w:rPr>
        <w:t xml:space="preserve">H. pylori </w:t>
      </w:r>
      <w:r>
        <w:rPr>
          <w:rFonts w:ascii="Calibri;sans-serif" w:hAnsi="Calibri;sans-serif"/>
          <w:color w:val="000000"/>
          <w:sz w:val="20"/>
        </w:rPr>
        <w:t>infection in adults.</w:t>
      </w:r>
      <w:r>
        <w:rPr>
          <w:rFonts w:ascii="Times New Roman" w:hAnsi="Times New Roman"/>
          <w:color w:val="000000"/>
          <w:sz w:val="20"/>
        </w:rPr>
        <w:t xml:space="preserve"> </w:t>
      </w:r>
      <w:r>
        <w:rPr>
          <w:rFonts w:ascii="Calibri;sans-serif" w:hAnsi="Calibri;sans-serif"/>
          <w:color w:val="000000"/>
          <w:sz w:val="20"/>
        </w:rPr>
        <w:t xml:space="preserve">We initiated commercial launch for VOQUEZNA for both the Erosive GERD and </w:t>
      </w:r>
      <w:r>
        <w:rPr>
          <w:rFonts w:ascii="Calibri;sans-serif" w:hAnsi="Calibri;sans-serif"/>
          <w:i/>
          <w:color w:val="000000"/>
          <w:sz w:val="20"/>
        </w:rPr>
        <w:t>H. pylori</w:t>
      </w:r>
      <w:r>
        <w:rPr>
          <w:rFonts w:ascii="Times New Roman" w:hAnsi="Times New Roman"/>
          <w:color w:val="000000"/>
          <w:sz w:val="20"/>
        </w:rPr>
        <w:t xml:space="preserve"> </w:t>
      </w:r>
      <w:r>
        <w:rPr>
          <w:rFonts w:ascii="Calibri;sans-serif" w:hAnsi="Calibri;sans-serif"/>
          <w:color w:val="000000"/>
          <w:sz w:val="20"/>
        </w:rPr>
        <w:t>indications, and VOQUEZNA TRIPLE PAK and VOQUEZNA DUAL PAK for treatment of H. pylori infection in the fourth quarter of 2023. In addition, based on our qualified infectious disease product, or QIDP, designations for VOQUEZNA TRIPLE PAK and VOQUEZNA DUAL PAK, we received an extension of five years of new chemical entity, or NCE, exclusivity based on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Calibri;sans-serif" w:hAnsi="Calibri;sans-serif"/>
          <w:color w:val="000000"/>
          <w:sz w:val="20"/>
        </w:rPr>
        <w:t>the vonoprazan component in those NDAs. We believe the extended NCE exclusivity should apply to any other approved or future products containing vonoprazan we develop and for which we obtain FDA approval.</w:t>
      </w:r>
      <w:r>
        <w:rPr>
          <w:rFonts w:ascii="Times New Roman" w:hAnsi="Times New Roman"/>
          <w:color w:val="000000"/>
          <w:sz w:val="20"/>
        </w:rPr>
        <w:t xml:space="preserve"> </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We are also continuing to develop vonoprazan as a treatment for heartburn symptoms associated with Non-Erosive GERD. In January 2023, we reported positive topline results from PHALCON-NERD-301, a Phase 3 study evaluating the safety and efficacy of vonoprazan for the daily treatment of adults with Non-Erosive GERD, and in August 2023, we announced successful completion of the 20-week extension period of PHALCON-NERD-301. Based on the results of this study, in September 2023, we submitted an NDA seeking approval of vonoprazan as a once-daily treatment for heartburn symptoms associated with Non-Erosive GERD in adults. On July 17, 2024, the FDA approved our NDA supplement, or sNDA, for VOQUEZNA 10 mg tablets for the relief of heartburn associated with Non-Erosive GERD. With this approval, patients and healthcare providers have immediate access to VOQUEZNA for Non-Erosive GERD, the largest category of GERD.</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In addition, by the end of 2024 we plan to initiate a Phase 3 trial evaluating the novel dosing regimen of vonoprazan as an "as-needed" treatment for episodic heartburn relief in patients with Non-Erosive GERD, a dosing regimen not approved in the United States for proton pump inhibitors, or PPIs. This trial would constitute our fourth Phase 3 trial for vonoprazan. In February 2022, we reported positive topline results from PHALCON-NERD-201, a Phase 2 proof-of-concept study evaluating this novel dosing regimen. We plan to expand the clinical development of vonoprazan in the U.S. into eosinophilic esophagitis, or EoE, the most common type of eosinophilic gastrointestinal disease. Given the limited treatment options for EoE and vonoprazan’s demonstrated potential, we believe EoE is an important indication for future study and expect to initiate a Phase 2 trial evaluating vonoprazan as a treatment for EoE in adult and adolescent patients by the end of 2024.</w:t>
      </w:r>
    </w:p>
    <w:p>
      <w:pPr>
        <w:pStyle w:val="TextBody"/>
        <w:bidi w:val="0"/>
        <w:spacing w:before="200" w:after="283"/>
        <w:jc w:val="left"/>
        <w:rPr>
          <w:rFonts w:ascii="Times New Roman" w:hAnsi="Times New Roman"/>
          <w:sz w:val="20"/>
        </w:rPr>
      </w:pPr>
      <w:r>
        <w:rPr>
          <w:rFonts w:ascii="Calibri;sans-serif" w:hAnsi="Calibri;sans-serif"/>
          <w:color w:val="000000"/>
          <w:sz w:val="20"/>
        </w:rPr>
        <w:t>Our commercial launch continues to build momentum and demonstrate strong physician and patient demand. As of July 26, 2024, over 122,000 prescriptions for VOQUEZNA tablets, VOQUEZNA Triple Pak, and VOQUEZNA Dual Pak have been written and over 60,000 prescriptions have been filled since launch. These prescriptions were written by more than 8,200 prescribers. In addition, due to increasing commercial demand, we continue to make progress in securing broad commercial coverage for VOQUEZNA. As of July 30, 2024, approximately 116 million, or an estimated 77%, of total U.S. commercial lives now have access to VOQUEZNA tablets.</w:t>
      </w:r>
      <w:r>
        <w:rPr>
          <w:rFonts w:ascii="Times New Roman" w:hAnsi="Times New Roman"/>
          <w:color w:val="000000"/>
          <w:sz w:val="20"/>
        </w:rPr>
        <w:t xml:space="preserve"> </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We are independently commercializing VOQUEZNA, VOQUEZNA TRIPLE PAK, and VOQUEZNA DUAL PAK in the United States. We plan to evaluate commercial partnerships for vonoprazan in Europe and Canada, expand development of vonoprazan into other indications, dosing regimens and alternative formulations and packaging, and evaluate the in-license or acquisition of additional clinical or commercial stage product candidates for the treatment of GI diseases in a capital efficient manner.</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We commenced our operations in 2018 and have devoted substantially all of our resources to date to organizing and staffing our company, business planning, raising capital, in-licensing our initial and approved product candidate, vonoprazan, meeting with regulatory authorities, managing our clinical trials of vonoprazan, preparing for commercialization of our initial products containing vonoprazan, commercially launching our approved products, and providing other selling, general and administrative support for our operations. Our operations to date have been funded primarily through commercial bank debt, our revenue interest financing debt and various equity offerings, including our at-the-market offerings. From inception through June 30, 2024, we sold 26,041,380 shares of our common stock, generating net proceeds of approximately $421.5 million, after deducting underwriting discounts, commissions and offering costs. As of June 30, 2024, we had cash and cash equivalents of $276.2 million. Based on our current operating plan, we believe that our existing cash and cash equivalents together with the drawdown of the remaining $125 million under our Loan Agreement with Hercules together with anticipated product revenues, are sufficient to fund operations for at least the next twelve months and will be sufficient to fund our operations through the end of 2026.</w:t>
      </w:r>
    </w:p>
    <w:p>
      <w:pPr>
        <w:pStyle w:val="TextBody"/>
        <w:bidi w:val="0"/>
        <w:spacing w:before="200" w:after="283"/>
        <w:jc w:val="left"/>
        <w:rPr>
          <w:rFonts w:ascii="Times New Roman" w:hAnsi="Times New Roman"/>
          <w:sz w:val="20"/>
        </w:rPr>
      </w:pPr>
      <w:r>
        <w:rPr>
          <w:rFonts w:ascii="Calibri;sans-serif" w:hAnsi="Calibri;sans-serif"/>
          <w:color w:val="000000"/>
          <w:sz w:val="20"/>
        </w:rPr>
        <w:t>Since inception, we have incurred significant operating losses. Our net losses were $174.3 million and $78.8 million for the six months ended June 30, 2024 and 2023, respectively. As of June 30, 2024, we had an accumulated deficit of $1.1 billion. We expect to continue to incur operating losses for the foreseeable future. It could be several years, if ever, before VOQUEZNA, VOQUEZNA TRIPLE PAK and VOQUEZNA DUAL PAK or other product candidates, if approved, generate significant revenues to offset these operating losses. As a result, we are uncertain when or if we will achieve profitability and, if so, whether we will be able to sustain it. The net losses we incur may fluctuate significantly from quarter to quarter and year to year.</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We have generated limited revenue to date, until such time as we can generate significant revenue from sales of our approved products containing vonoprazan, we expect to finance our cash needs through equity offerings, our Loan Agreement, our Revenue Interest Financing Agreement, additional debt financings or other capital sources, including potential collaborations, licenses and other similar arrangements. However, we may be unable to raise additional funds or enter into such other arrangements when needed on favorable terms or at all, and this risk could be exacerbated by the impact of ongoing conflicts throughout the world and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global economic conditions. Our failure to raise capital or enter into such other arrangements when needed would have a negative impact on our financial condition and could force us to delay, limit, reduce or terminate our product development or future commercialization efforts or grant rights to develop and market product candidates that we would otherwise prefer to develop and market ourselves.</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License Agreement with Takeda</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On May 7, 2019, we and Takeda entered into an exclusive license, or the Takeda License, pursuant to which we in-licensed the U.S., European, and Canadian rights to vonoprazan fumarate. During the term of the Takeda License, we and our affiliates are not permitted to commercialize any pharmaceutical product, other than vonoprazan, that treats acid-related disorders, except for certain generic and OTC competing products in specified circumstances. We will be responsible at our cost for the development, manufacture and commercialization of vonoprazan products. We are required to use commercially reasonable efforts to develop and commercialize the vonoprazan products in our licensed territory.</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Under the Takeda License, Takeda has the sole right and authority, with our input, to prepare, file, prosecute, and maintain all Takeda and joint patents on a worldwide basis at its own cost. We are responsible, at our cost, for preparing, filing, prosecuting, and maintaining patents on inventions made solely by us in connection with vonoprazan, subject to input from Takeda.</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We paid Takeda upfront consideration consisting of a cash fee of $25 million, 1,084,000 shares of our common stock, a warrant to purchase 7,588,000 shares of our common stock at an exercise price of $0.00004613 per share, or the Takeda Warrant, and issued Takeda a right to receive an additional common stock warrant, or the Takeda Warrant Right, if Takeda’s fully-diluted ownership of the Company represented less than a certain specified percentage of the fully-diluted capitalization, including shares issuable upon conversion of then outstanding convertible promissory notes, calculated immediately prior to the closing of our IPO. The Takeda Warrant Right expired without effect since no fair value had been allocated to it upon completion of our IPO, and no additional warrant was issued. We agreed to make milestone payments to Takeda upon achieving certain tiered aggregate annual net sales of licensed products in the United States, Europe and Canada up to a total maximum milestone amount of $250 million. We also agreed to make tiered royalty payments at percentages in the low double digits on net sales of licensed products, subject to specified offsets and reductions. Royalties will be payable, on a product-by-product and country-by-country basis from the first commercial sale of such product in such country, until the latest of expiration of the licensed patents covering the applicable product, expiration of regulatory exclusivity in such country, or 15 years following first commercial sale in such country.</w:t>
      </w:r>
    </w:p>
    <w:p>
      <w:pPr>
        <w:pStyle w:val="TextBody"/>
        <w:bidi w:val="0"/>
        <w:spacing w:before="200" w:after="283"/>
        <w:jc w:val="left"/>
        <w:rPr>
          <w:rFonts w:ascii="Times New Roman" w:hAnsi="Times New Roman"/>
          <w:sz w:val="20"/>
        </w:rPr>
      </w:pPr>
      <w:r>
        <w:rPr>
          <w:rFonts w:ascii="Calibri;sans-serif" w:hAnsi="Calibri;sans-serif"/>
          <w:b/>
          <w:color w:val="000000"/>
          <w:sz w:val="20"/>
        </w:rPr>
        <w:t>Components of Results of Operations</w:t>
      </w:r>
      <w:r>
        <w:rPr>
          <w:rFonts w:ascii="Times New Roman" w:hAnsi="Times New Roman"/>
          <w:color w:val="000000"/>
          <w:sz w:val="20"/>
        </w:rPr>
        <w:t xml:space="preserve"> </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Revenue</w:t>
      </w:r>
    </w:p>
    <w:p>
      <w:pPr>
        <w:pStyle w:val="TextBody"/>
        <w:bidi w:val="0"/>
        <w:spacing w:before="200" w:after="283"/>
        <w:jc w:val="left"/>
        <w:rPr>
          <w:rFonts w:ascii="Times New Roman" w:hAnsi="Times New Roman"/>
          <w:sz w:val="20"/>
        </w:rPr>
      </w:pPr>
      <w:r>
        <w:rPr>
          <w:rFonts w:ascii="Calibri;sans-serif" w:hAnsi="Calibri;sans-serif"/>
          <w:color w:val="000000"/>
          <w:sz w:val="20"/>
        </w:rPr>
        <w:t>We began to recognize revenue from product sales, net of rebates, chargebacks, discounts, and other adjustments, in November 2023 in conjunction with the commercial launch of VOQUEZNA, VOQUEZNA TRIPLE PAK, and VOQUEZNA DUAL PAK in the United States.</w:t>
      </w:r>
      <w:r>
        <w:rPr>
          <w:rFonts w:ascii="Times New Roman" w:hAnsi="Times New Roman"/>
          <w:color w:val="000000"/>
          <w:sz w:val="20"/>
        </w:rPr>
        <w:t xml:space="preserve"> </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Cost of Revenue</w:t>
      </w:r>
    </w:p>
    <w:p>
      <w:pPr>
        <w:pStyle w:val="TextBody"/>
        <w:bidi w:val="0"/>
        <w:spacing w:before="200" w:after="283"/>
        <w:jc w:val="left"/>
        <w:rPr>
          <w:rFonts w:ascii="Times New Roman" w:hAnsi="Times New Roman"/>
          <w:sz w:val="20"/>
        </w:rPr>
      </w:pPr>
      <w:r>
        <w:rPr>
          <w:rFonts w:ascii="Calibri;sans-serif" w:hAnsi="Calibri;sans-serif"/>
          <w:color w:val="000000"/>
          <w:sz w:val="20"/>
        </w:rPr>
        <w:t>Cost of revenue includes the cost of producing and distributing inventories that are related to product sales. This also includes royalties payable to Takeda, pursuant to the Takeda License Agreement (Refer to Note 4 for further details). In addition, shipping and handling costs for product sales are recorded as incurred. Cost of revenue also includes costs related to excess or obsolete inventory adjustment charges.</w:t>
      </w:r>
      <w:r>
        <w:rPr>
          <w:rFonts w:ascii="Times New Roman" w:hAnsi="Times New Roman"/>
          <w:color w:val="000000"/>
          <w:sz w:val="20"/>
        </w:rPr>
        <w:t xml:space="preserve"> </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Operating Expenses</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Research and Development</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To date, our research and development expenses have related to the development and regulatory approvals of vonoprazan. Research and development expenses are recognized as incurred and payments made prior to the receipt of goods or services to be used in research and development are capitalized until the goods or services are received. We do not track total research and development expenses by indication.</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Research and development expenses include: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Calibri;sans-serif" w:hAnsi="Calibri;sans-serif"/>
          <w:i/>
          <w:color w:val="000000"/>
          <w:sz w:val="20"/>
        </w:rPr>
        <w:t>Clinical development expenses:</w:t>
      </w:r>
      <w:r>
        <w:rPr>
          <w:color w:val="000000"/>
        </w:rPr>
        <w:t xml:space="preserve"> </w:t>
      </w:r>
      <w:r>
        <w:rPr>
          <w:rFonts w:ascii="Calibri;sans-serif" w:hAnsi="Calibri;sans-serif"/>
          <w:color w:val="000000"/>
          <w:sz w:val="20"/>
        </w:rPr>
        <w:t xml:space="preserve">external research and development expenses incurred under agreements with CROs, regulatory costs, and consultants to conduct and support our clinical trials of vonoprazan; </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Calibri;sans-serif" w:hAnsi="Calibri;sans-serif"/>
          <w:i/>
          <w:color w:val="000000"/>
          <w:sz w:val="20"/>
        </w:rPr>
        <w:t>Personnel related expenses</w:t>
      </w:r>
      <w:r>
        <w:rPr>
          <w:rFonts w:ascii="Calibri;sans-serif" w:hAnsi="Calibri;sans-serif"/>
          <w:color w:val="000000"/>
          <w:sz w:val="20"/>
        </w:rPr>
        <w:t xml:space="preserve">: salaries, payroll taxes, and employee benefits; </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Calibri;sans-serif" w:hAnsi="Calibri;sans-serif"/>
          <w:i/>
          <w:color w:val="000000"/>
          <w:sz w:val="20"/>
        </w:rPr>
        <w:t>Chemistry manufacturing and controls, or CMC, expenses:</w:t>
      </w:r>
      <w:r>
        <w:rPr>
          <w:color w:val="000000"/>
        </w:rPr>
        <w:t xml:space="preserve"> </w:t>
      </w:r>
      <w:r>
        <w:rPr>
          <w:rFonts w:ascii="Calibri;sans-serif" w:hAnsi="Calibri;sans-serif"/>
          <w:color w:val="000000"/>
          <w:sz w:val="20"/>
        </w:rPr>
        <w:t xml:space="preserve">costs related to the manufacturing of vonoprazan for our clinical trials; </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Calibri;sans-serif" w:hAnsi="Calibri;sans-serif"/>
          <w:i/>
          <w:color w:val="000000"/>
          <w:sz w:val="20"/>
        </w:rPr>
        <w:t xml:space="preserve">Consulting, professional and other costs: </w:t>
      </w:r>
      <w:r>
        <w:rPr>
          <w:rFonts w:ascii="Calibri;sans-serif" w:hAnsi="Calibri;sans-serif"/>
          <w:color w:val="000000"/>
          <w:sz w:val="20"/>
        </w:rPr>
        <w:t>external costs related to consulting and professional services and other research costs incurred; and</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Calibri;sans-serif" w:hAnsi="Calibri;sans-serif"/>
          <w:i/>
          <w:color w:val="000000"/>
          <w:sz w:val="20"/>
        </w:rPr>
        <w:t>Stock-based compensation expenses</w:t>
      </w:r>
      <w:r>
        <w:rPr>
          <w:rFonts w:ascii="Calibri;sans-serif" w:hAnsi="Calibri;sans-serif"/>
          <w:color w:val="000000"/>
          <w:sz w:val="20"/>
        </w:rPr>
        <w:t>: stock-based compensation expense recognized for those individuals involved in research and development efforts.</w:t>
      </w:r>
    </w:p>
    <w:p>
      <w:pPr>
        <w:pStyle w:val="TextBody"/>
        <w:bidi w:val="0"/>
        <w:spacing w:before="200" w:after="200"/>
        <w:jc w:val="left"/>
        <w:rPr>
          <w:rFonts w:ascii="Calibri;sans-serif" w:hAnsi="Calibri;sans-serif"/>
          <w:color w:val="000000"/>
          <w:sz w:val="20"/>
        </w:rPr>
      </w:pPr>
      <w:r>
        <w:rPr>
          <w:rFonts w:ascii="Calibri;sans-serif" w:hAnsi="Calibri;sans-serif"/>
          <w:color w:val="000000"/>
          <w:sz w:val="20"/>
        </w:rPr>
        <w:t>The following table summarizes our research and development expenses for the three and six months ended June 30, 2024 and 2023 (in thousands):</w:t>
      </w:r>
    </w:p>
    <w:tbl>
      <w:tblPr>
        <w:tblW w:w="8477" w:type="dxa"/>
        <w:jc w:val="left"/>
        <w:tblInd w:w="0" w:type="dxa"/>
        <w:tblLayout w:type="fixed"/>
        <w:tblCellMar>
          <w:top w:w="28" w:type="dxa"/>
          <w:left w:w="28" w:type="dxa"/>
          <w:bottom w:w="28" w:type="dxa"/>
          <w:right w:w="28" w:type="dxa"/>
        </w:tblCellMar>
      </w:tblPr>
      <w:tblGrid>
        <w:gridCol w:w="3621"/>
        <w:gridCol w:w="146"/>
        <w:gridCol w:w="211"/>
        <w:gridCol w:w="571"/>
        <w:gridCol w:w="146"/>
        <w:gridCol w:w="146"/>
        <w:gridCol w:w="211"/>
        <w:gridCol w:w="676"/>
        <w:gridCol w:w="146"/>
        <w:gridCol w:w="146"/>
        <w:gridCol w:w="211"/>
        <w:gridCol w:w="676"/>
        <w:gridCol w:w="146"/>
        <w:gridCol w:w="146"/>
        <w:gridCol w:w="211"/>
        <w:gridCol w:w="676"/>
        <w:gridCol w:w="391"/>
      </w:tblGrid>
      <w:tr>
        <w:trPr/>
        <w:tc>
          <w:tcPr>
            <w:tcW w:w="3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Clinical development and regulatory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2,596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3,317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6,117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7,645</w:t>
            </w:r>
          </w:p>
        </w:tc>
        <w:tc>
          <w:tcPr>
            <w:tcW w:w="391" w:type="dxa"/>
            <w:tcBorders/>
            <w:shd w:fill="CFF0FC" w:val="clear"/>
            <w:vAlign w:val="center"/>
          </w:tcPr>
          <w:p>
            <w:pPr>
              <w:pStyle w:val="TableContents"/>
              <w:bidi w:val="0"/>
              <w:spacing w:before="0" w:after="283"/>
              <w:jc w:val="left"/>
              <w:rPr/>
            </w:pPr>
            <w:r>
              <w:rPr/>
              <w:t> </w:t>
            </w:r>
          </w:p>
        </w:tc>
      </w:tr>
      <w:tr>
        <w:trPr/>
        <w:tc>
          <w:tcPr>
            <w:tcW w:w="362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Personnel related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2,723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5,509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5,657</w:t>
            </w:r>
          </w:p>
        </w:tc>
        <w:tc>
          <w:tcPr>
            <w:tcW w:w="391" w:type="dxa"/>
            <w:tcBorders/>
            <w:shd w:fill="FFFFFF" w:val="clear"/>
            <w:vAlign w:val="center"/>
          </w:tcPr>
          <w:p>
            <w:pPr>
              <w:pStyle w:val="TableContents"/>
              <w:bidi w:val="0"/>
              <w:spacing w:before="0" w:after="283"/>
              <w:jc w:val="left"/>
              <w:rPr/>
            </w:pPr>
            <w:r>
              <w:rPr/>
              <w:t> </w:t>
            </w:r>
          </w:p>
        </w:tc>
      </w:tr>
      <w:tr>
        <w:trPr/>
        <w:tc>
          <w:tcPr>
            <w:tcW w:w="36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Chemistry manufacturing and controls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4,360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6,120</w:t>
            </w:r>
          </w:p>
        </w:tc>
        <w:tc>
          <w:tcPr>
            <w:tcW w:w="391" w:type="dxa"/>
            <w:tcBorders/>
            <w:shd w:fill="CFF0FC" w:val="clear"/>
            <w:vAlign w:val="center"/>
          </w:tcPr>
          <w:p>
            <w:pPr>
              <w:pStyle w:val="TableContents"/>
              <w:bidi w:val="0"/>
              <w:spacing w:before="0" w:after="283"/>
              <w:jc w:val="left"/>
              <w:rPr/>
            </w:pPr>
            <w:r>
              <w:rPr/>
              <w:t> </w:t>
            </w:r>
          </w:p>
        </w:tc>
      </w:tr>
      <w:tr>
        <w:trPr/>
        <w:tc>
          <w:tcPr>
            <w:tcW w:w="362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Consulting, professional and other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1,240</w:t>
            </w:r>
          </w:p>
        </w:tc>
        <w:tc>
          <w:tcPr>
            <w:tcW w:w="391" w:type="dxa"/>
            <w:tcBorders/>
            <w:shd w:fill="FFFFFF" w:val="clear"/>
            <w:vAlign w:val="center"/>
          </w:tcPr>
          <w:p>
            <w:pPr>
              <w:pStyle w:val="TableContents"/>
              <w:bidi w:val="0"/>
              <w:spacing w:before="0" w:after="283"/>
              <w:jc w:val="left"/>
              <w:rPr/>
            </w:pPr>
            <w:r>
              <w:rPr/>
              <w:t> </w:t>
            </w:r>
          </w:p>
        </w:tc>
      </w:tr>
      <w:tr>
        <w:trPr/>
        <w:tc>
          <w:tcPr>
            <w:tcW w:w="36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Stock-based compensation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2,580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3,580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21"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Total research and development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7,376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12,764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16,806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24,242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We plan to invest in our research and development expenses for the foreseeable future as we continue the development of vonoprazan. We cannot determine with certainty the timing of initiation, the duration or the completion costs of current or future clinical trials and nonclinical studies of vonoprazan or any future product candidates due to the inherently unpredictable nature of clinical and preclinical development. Clinical and preclinical development timelines, the probability of success and development costs can differ materially from expectations. In addition, we cannot forecast which product candidates may be subject to future collaborations, when such arrangements will be secured, if at all, and to what degree such arrangements would affect our development plans and capital requirements.</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Selling, General and Administrative</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Selling, general and administrative expenses consist of salaries and employee-related costs, including stock-based compensation, for personnel in commercial, executive, finance, accounting, legal, human resources and other administrative functions, legal fees relating to intellectual property and corporate matters, and professional fees for accounting and consulting services. We anticipate that our selling, general and administrative expenses will increase in the future to support our commercialization activities and research and development activities. We also anticipate increased expenses related to audit, legal, regulatory, and tax-related services associated with maintaining compliance with exchange listing and SEC requirements, director and officer insurance premiums, and investor relations costs associated with operating as a public company.</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Interest Income</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Interest income consists of interest on our money market funds.</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Interest Expense</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Beginning on May 3, 2022, interest expense includes interest on the Revenue Interest Financing Agreement, which is based on the imputed effective rate derived from expected future payments and the carrying value of the obligation. We recalculate the effective interest rate each period based on the current carrying value and the revised estimated future payments. Changes in future payments from previous estimates are included in current and future interest expense.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Beginning on December 14, 2023, interest expense under the Hercules Loan consists of (i) cash interest at a variable annual rate equal to the greater of (a) 9.85% and (b) the Prime Rate (as reported in the Wall Street Journal) plus 1.35% and provided that the cash interest rate shall be capped at 10.35% and upon Company achieving the certain milestones, the cash interest shall be decreased by 0.35%, (ii) payment-in-kind interest at a per annum rate of interest equal to 2.15%, and (iii) amortization of the Hercules Loan Agreement debt discount recorded in connection with the fair value of warrants issued to the lenders, the debt issuance costs incurred, and the obligation to make a final payment.</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From September 17, 2021 through December 13, 2023, interest expense under the Hercules Loan consisted of (i) cash interest at a variable annual rate equal to the greater of (a) 5.50% and (b) the Prime Rate (as reported in the Wall Street Journal) plus 2.25% or the Interest Rate, (ii) payment-in-kind interest at a per annum rate of interest equal to 3.35%, and (iii) amortization of the Hercules Loan Agreement debt discount recorded in connection with the fair value of warrants issued to the lenders, the debt issuance costs incurred, and the obligation to make a final payment.</w:t>
      </w:r>
    </w:p>
    <w:p>
      <w:pPr>
        <w:pStyle w:val="TextBody"/>
        <w:bidi w:val="0"/>
        <w:spacing w:before="200" w:after="283"/>
        <w:jc w:val="left"/>
        <w:rPr>
          <w:rFonts w:ascii="Calibri;sans-serif" w:hAnsi="Calibri;sans-serif"/>
          <w:b/>
          <w:color w:val="000000"/>
          <w:sz w:val="20"/>
        </w:rPr>
      </w:pPr>
      <w:r>
        <w:rPr>
          <w:rFonts w:ascii="Calibri;sans-serif" w:hAnsi="Calibri;sans-serif"/>
          <w:b/>
          <w:color w:val="000000"/>
          <w:sz w:val="20"/>
        </w:rPr>
        <w:t>Results of Operations</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Comparison of the Six Months Ended June 30, 2024 and 2023</w:t>
      </w:r>
    </w:p>
    <w:p>
      <w:pPr>
        <w:pStyle w:val="TextBody"/>
        <w:bidi w:val="0"/>
        <w:spacing w:before="200" w:after="200"/>
        <w:jc w:val="left"/>
        <w:rPr>
          <w:rFonts w:ascii="Calibri;sans-serif" w:hAnsi="Calibri;sans-serif"/>
          <w:color w:val="000000"/>
          <w:sz w:val="20"/>
        </w:rPr>
      </w:pPr>
      <w:r>
        <w:rPr>
          <w:rFonts w:ascii="Calibri;sans-serif" w:hAnsi="Calibri;sans-serif"/>
          <w:color w:val="000000"/>
          <w:sz w:val="20"/>
        </w:rPr>
        <w:t>The following table summarizes our results of operations for the six months ended June 30, 2024 and 2023 (in thousands):</w:t>
      </w:r>
    </w:p>
    <w:tbl>
      <w:tblPr>
        <w:tblW w:w="6993" w:type="dxa"/>
        <w:jc w:val="left"/>
        <w:tblInd w:w="0" w:type="dxa"/>
        <w:tblLayout w:type="fixed"/>
        <w:tblCellMar>
          <w:top w:w="28" w:type="dxa"/>
          <w:left w:w="28" w:type="dxa"/>
          <w:bottom w:w="28" w:type="dxa"/>
          <w:right w:w="28" w:type="dxa"/>
        </w:tblCellMar>
      </w:tblPr>
      <w:tblGrid>
        <w:gridCol w:w="2921"/>
        <w:gridCol w:w="146"/>
        <w:gridCol w:w="211"/>
        <w:gridCol w:w="841"/>
        <w:gridCol w:w="166"/>
        <w:gridCol w:w="146"/>
        <w:gridCol w:w="211"/>
        <w:gridCol w:w="736"/>
        <w:gridCol w:w="166"/>
        <w:gridCol w:w="146"/>
        <w:gridCol w:w="211"/>
        <w:gridCol w:w="781"/>
        <w:gridCol w:w="311"/>
      </w:tblGrid>
      <w:tr>
        <w:trPr/>
        <w:tc>
          <w:tcPr>
            <w:tcW w:w="2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9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Six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r>
      <w:tr>
        <w:trPr/>
        <w:tc>
          <w:tcPr>
            <w:tcW w:w="29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Change</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Product revenue,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9,236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9,236</w:t>
            </w:r>
          </w:p>
        </w:tc>
        <w:tc>
          <w:tcPr>
            <w:tcW w:w="311" w:type="dxa"/>
            <w:tcBorders/>
            <w:shd w:fill="CFF0FC" w:val="clear"/>
            <w:vAlign w:val="center"/>
          </w:tcPr>
          <w:p>
            <w:pPr>
              <w:pStyle w:val="TableContents"/>
              <w:bidi w:val="0"/>
              <w:spacing w:before="0" w:after="283"/>
              <w:jc w:val="left"/>
              <w:rPr/>
            </w:pPr>
            <w:r>
              <w:rPr/>
              <w:t> </w:t>
            </w:r>
          </w:p>
        </w:tc>
      </w:tr>
      <w:tr>
        <w:trPr/>
        <w:tc>
          <w:tcPr>
            <w:tcW w:w="292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Cost of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1,802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7,434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7,434</w:t>
            </w:r>
          </w:p>
        </w:tc>
        <w:tc>
          <w:tcPr>
            <w:tcW w:w="311" w:type="dxa"/>
            <w:tcBorders/>
            <w:shd w:fill="CFF0FC" w:val="clear"/>
            <w:vAlign w:val="center"/>
          </w:tcPr>
          <w:p>
            <w:pPr>
              <w:pStyle w:val="TableContents"/>
              <w:bidi w:val="0"/>
              <w:spacing w:before="0" w:after="283"/>
              <w:jc w:val="left"/>
              <w:rPr/>
            </w:pPr>
            <w:r>
              <w:rPr/>
              <w:t> </w:t>
            </w:r>
          </w:p>
        </w:tc>
      </w:tr>
      <w:tr>
        <w:trPr/>
        <w:tc>
          <w:tcPr>
            <w:tcW w:w="292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311" w:type="dxa"/>
            <w:tcBorders/>
            <w:shd w:fill="FFFFFF" w:val="clear"/>
            <w:vAlign w:val="center"/>
          </w:tcPr>
          <w:p>
            <w:pPr>
              <w:pStyle w:val="TableContents"/>
              <w:bidi w:val="0"/>
              <w:spacing w:before="0" w:after="283"/>
              <w:ind w:left="0" w:right="0" w:firstLine="100"/>
              <w:jc w:val="right"/>
              <w:rPr/>
            </w:pPr>
            <w:r>
              <w:rPr/>
              <w:t> </w:t>
            </w:r>
          </w:p>
        </w:tc>
      </w:tr>
      <w:tr>
        <w:trPr/>
        <w:tc>
          <w:tcPr>
            <w:tcW w:w="2921"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16,806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24,242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(7,436</w:t>
            </w:r>
          </w:p>
        </w:tc>
        <w:tc>
          <w:tcPr>
            <w:tcW w:w="311" w:type="dxa"/>
            <w:tcBorders/>
            <w:shd w:fill="CFF0FC" w:val="clear"/>
            <w:vAlign w:val="center"/>
          </w:tcPr>
          <w:p>
            <w:pPr>
              <w:pStyle w:val="TableContents"/>
              <w:bidi w:val="0"/>
              <w:spacing w:before="0" w:after="283"/>
              <w:ind w:left="0" w:right="0" w:firstLine="100"/>
              <w:jc w:val="left"/>
              <w:rPr>
                <w:rFonts w:ascii="Calibri;sans-serif" w:hAnsi="Calibri;sans-serif"/>
                <w:color w:val="000000"/>
                <w:sz w:val="20"/>
              </w:rPr>
            </w:pPr>
            <w:r>
              <w:rPr>
                <w:rFonts w:ascii="Calibri;sans-serif" w:hAnsi="Calibri;sans-serif"/>
                <w:color w:val="000000"/>
                <w:sz w:val="20"/>
              </w:rPr>
              <w:t>)</w:t>
            </w:r>
          </w:p>
        </w:tc>
      </w:tr>
      <w:tr>
        <w:trPr/>
        <w:tc>
          <w:tcPr>
            <w:tcW w:w="2921"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Selling, 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137,882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37,536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100,346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154,688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61,778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92,910</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2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(147,254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(61,778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(85,476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9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 income (expense):</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11" w:type="dxa"/>
            <w:tcBorders/>
            <w:shd w:fill="CFF0FC" w:val="clear"/>
            <w:vAlign w:val="center"/>
          </w:tcPr>
          <w:p>
            <w:pPr>
              <w:pStyle w:val="TableContents"/>
              <w:bidi w:val="0"/>
              <w:spacing w:before="0" w:after="283"/>
              <w:ind w:left="0" w:right="0" w:firstLine="100"/>
              <w:jc w:val="right"/>
              <w:rPr/>
            </w:pPr>
            <w:r>
              <w:rPr/>
              <w:t> </w:t>
            </w:r>
          </w:p>
        </w:tc>
      </w:tr>
      <w:tr>
        <w:trPr/>
        <w:tc>
          <w:tcPr>
            <w:tcW w:w="2921"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7,937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6,129</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2921"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(34,932</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(18,832</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(16,100</w:t>
            </w:r>
          </w:p>
        </w:tc>
        <w:tc>
          <w:tcPr>
            <w:tcW w:w="311" w:type="dxa"/>
            <w:tcBorders/>
            <w:shd w:fill="CFF0FC" w:val="clear"/>
            <w:vAlign w:val="center"/>
          </w:tcPr>
          <w:p>
            <w:pPr>
              <w:pStyle w:val="TableContents"/>
              <w:bidi w:val="0"/>
              <w:spacing w:before="0" w:after="283"/>
              <w:ind w:left="0" w:right="0" w:firstLine="100"/>
              <w:jc w:val="left"/>
              <w:rPr>
                <w:rFonts w:ascii="Calibri;sans-serif" w:hAnsi="Calibri;sans-serif"/>
                <w:color w:val="000000"/>
                <w:sz w:val="20"/>
              </w:rPr>
            </w:pPr>
            <w:r>
              <w:rPr>
                <w:rFonts w:ascii="Calibri;sans-serif" w:hAnsi="Calibri;sans-serif"/>
                <w:color w:val="000000"/>
                <w:sz w:val="20"/>
              </w:rPr>
              <w:t>)</w:t>
            </w:r>
          </w:p>
        </w:tc>
      </w:tr>
      <w:tr>
        <w:trPr/>
        <w:tc>
          <w:tcPr>
            <w:tcW w:w="2921"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Other (expense) income,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9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other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(27,044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(17,001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(10,043</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92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(174,298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(78,779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(95,519</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bl>
    <w:p>
      <w:pPr>
        <w:pStyle w:val="TextBody"/>
        <w:bidi w:val="0"/>
        <w:spacing w:before="200" w:after="283"/>
        <w:jc w:val="left"/>
        <w:rPr>
          <w:rFonts w:ascii="Times New Roman" w:hAnsi="Times New Roman"/>
          <w:sz w:val="20"/>
        </w:rPr>
      </w:pPr>
      <w:r>
        <w:rPr>
          <w:rFonts w:ascii="Calibri;sans-serif" w:hAnsi="Calibri;sans-serif"/>
          <w:i/>
          <w:color w:val="000000"/>
          <w:sz w:val="20"/>
        </w:rPr>
        <w:t xml:space="preserve">Revenue. </w:t>
      </w:r>
      <w:r>
        <w:rPr>
          <w:rFonts w:ascii="Calibri;sans-serif" w:hAnsi="Calibri;sans-serif"/>
          <w:color w:val="000000"/>
          <w:sz w:val="20"/>
        </w:rPr>
        <w:t>Product revenues were $9.2 million for the six months ended June 30, 2024 related to sales of VOQUEZNA, VOQUEZNA TRIPLE PAK, and VOQUEZNA DUAL PAK which were launched in the fourth quarter of 2023.</w:t>
      </w:r>
    </w:p>
    <w:p>
      <w:pPr>
        <w:pStyle w:val="TextBody"/>
        <w:bidi w:val="0"/>
        <w:spacing w:before="200" w:after="283"/>
        <w:jc w:val="left"/>
        <w:rPr>
          <w:rFonts w:ascii="Times New Roman" w:hAnsi="Times New Roman"/>
          <w:sz w:val="20"/>
        </w:rPr>
      </w:pPr>
      <w:r>
        <w:rPr>
          <w:rFonts w:ascii="Calibri;sans-serif" w:hAnsi="Calibri;sans-serif"/>
          <w:i/>
          <w:color w:val="000000"/>
          <w:sz w:val="20"/>
        </w:rPr>
        <w:t xml:space="preserve">Cost of Revenue. </w:t>
      </w:r>
      <w:r>
        <w:rPr>
          <w:rFonts w:ascii="Calibri;sans-serif" w:hAnsi="Calibri;sans-serif"/>
          <w:color w:val="000000"/>
          <w:sz w:val="20"/>
        </w:rPr>
        <w:t>Cost of revenue was $1.8 million for the six months ended June 30, 2024. In periods prior to receiving FDA approval for VOQUEZNA, we recognized inventory and related costs associated with the manufacture of VOQUEZNA as research and development expense and as such, the cost of revenue and related gross profits are not necessarily indicative of future costs of revenue and gross profit. Therefore, the manufacturing costs related to the inventory purchased before FDA approval were already expensed in a prior period and are therefore excluded from the cost of revenue for the six months ended June 30, 2024. These previously expensed costs were not material.</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i/>
          <w:color w:val="000000"/>
          <w:sz w:val="20"/>
        </w:rPr>
        <w:t>Research and Development Expenses.</w:t>
      </w:r>
      <w:r>
        <w:rPr>
          <w:rFonts w:ascii="Times New Roman" w:hAnsi="Times New Roman"/>
          <w:color w:val="000000"/>
          <w:sz w:val="20"/>
        </w:rPr>
        <w:t xml:space="preserve"> </w:t>
      </w:r>
      <w:r>
        <w:rPr>
          <w:rFonts w:ascii="Calibri;sans-serif" w:hAnsi="Calibri;sans-serif"/>
          <w:color w:val="000000"/>
          <w:sz w:val="20"/>
        </w:rPr>
        <w:t>Research and development expenses were $16.8 million and $24.2 million for the six months ended June 30, 2024 and 2023, respectively. The decrease of $7.4 million consisted of reductions of $4.8 million of CMC costs related to vonoprazan, $1.5 million of regulatory and clinical study related expenses due to the wrapping up of our PHALCON-NERD-301 study, and $1.1 million related to personnel-related expenses primarily for stock-based compensation and other research expenses.</w:t>
      </w:r>
    </w:p>
    <w:p>
      <w:pPr>
        <w:pStyle w:val="TextBody"/>
        <w:bidi w:val="0"/>
        <w:spacing w:before="200" w:after="283"/>
        <w:jc w:val="left"/>
        <w:rPr>
          <w:rFonts w:ascii="Times New Roman" w:hAnsi="Times New Roman"/>
          <w:sz w:val="20"/>
        </w:rPr>
      </w:pPr>
      <w:r>
        <w:rPr>
          <w:rFonts w:ascii="Calibri;sans-serif" w:hAnsi="Calibri;sans-serif"/>
          <w:i/>
          <w:color w:val="000000"/>
          <w:sz w:val="20"/>
        </w:rPr>
        <w:t>Selling, General and Administrative Expenses.</w:t>
      </w:r>
      <w:r>
        <w:rPr>
          <w:rFonts w:ascii="Times New Roman" w:hAnsi="Times New Roman"/>
          <w:color w:val="000000"/>
          <w:sz w:val="20"/>
        </w:rPr>
        <w:t xml:space="preserve"> </w:t>
      </w:r>
      <w:r>
        <w:rPr>
          <w:rFonts w:ascii="Calibri;sans-serif" w:hAnsi="Calibri;sans-serif"/>
          <w:color w:val="000000"/>
          <w:sz w:val="20"/>
        </w:rPr>
        <w:t>Selling, general and administrative expenses were $137.9 million and $37.5 million for the six months ended June 30, 2024 and 2023, respectively. The increase of $100.3 million was due to increases of $61.0 million commercial related expense which includes $37.5 million of external project spend and $23.5 million in advertising and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promotional expenses in support of our commercial launch of VOQUEZNA products, $39.9 million increase in personnel-related expenses, partially offset by a decrease of $0.5 million in consulting and other professional services.</w:t>
      </w:r>
    </w:p>
    <w:p>
      <w:pPr>
        <w:pStyle w:val="TextBody"/>
        <w:bidi w:val="0"/>
        <w:spacing w:before="200" w:after="283"/>
        <w:jc w:val="left"/>
        <w:rPr>
          <w:rFonts w:ascii="Times New Roman" w:hAnsi="Times New Roman"/>
          <w:sz w:val="20"/>
        </w:rPr>
      </w:pPr>
      <w:r>
        <w:rPr>
          <w:rFonts w:ascii="Calibri;sans-serif" w:hAnsi="Calibri;sans-serif"/>
          <w:i/>
          <w:color w:val="000000"/>
          <w:sz w:val="20"/>
        </w:rPr>
        <w:t>Other Income (Expense).</w:t>
      </w:r>
      <w:r>
        <w:rPr>
          <w:rFonts w:ascii="Times New Roman" w:hAnsi="Times New Roman"/>
          <w:color w:val="000000"/>
          <w:sz w:val="20"/>
        </w:rPr>
        <w:t xml:space="preserve"> </w:t>
      </w:r>
      <w:r>
        <w:rPr>
          <w:rFonts w:ascii="Calibri;sans-serif" w:hAnsi="Calibri;sans-serif"/>
          <w:color w:val="000000"/>
          <w:sz w:val="20"/>
        </w:rPr>
        <w:t>Other expense of $27.0 million for the six months ended June 30, 2024 consisted of $34.9 million of interest expense under the Hercules Loan Agreement and Revenue Interest Financing Agreement, partially offset by $7.9 million of interest income related to cash held in money market funds. Other expense of $17.0 million for the six months ended June 30, 2023 consisted of $18.8 million of interest expense under the Hercules Loan Agreement and Revenue Interest Financing Agreement, partially offset by $1.8 million of interest income related to cash held in money market funds. Interest expense increased due to a higher debt balance under the Hercules Loan Agreement as well as a higher liability related to our Revenue Interest Financing Agreement versus the prior period, partially offset by higher interest income due to our increased cash position.</w:t>
      </w:r>
      <w:r>
        <w:rPr>
          <w:rFonts w:ascii="Times New Roman" w:hAnsi="Times New Roman"/>
          <w:color w:val="000000"/>
          <w:sz w:val="20"/>
        </w:rPr>
        <w:t xml:space="preserve"> </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Comparison of the Three Months Ended June 30, 2024 and 2023</w:t>
      </w:r>
    </w:p>
    <w:p>
      <w:pPr>
        <w:pStyle w:val="TextBody"/>
        <w:bidi w:val="0"/>
        <w:spacing w:before="200" w:after="200"/>
        <w:jc w:val="left"/>
        <w:rPr>
          <w:rFonts w:ascii="Calibri;sans-serif" w:hAnsi="Calibri;sans-serif"/>
          <w:color w:val="000000"/>
          <w:sz w:val="20"/>
        </w:rPr>
      </w:pPr>
      <w:r>
        <w:rPr>
          <w:rFonts w:ascii="Calibri;sans-serif" w:hAnsi="Calibri;sans-serif"/>
          <w:color w:val="000000"/>
          <w:sz w:val="20"/>
        </w:rPr>
        <w:t>The following table summarizes our results of operations for the three months ended June 30, 2024 and 2023 (in thousands):</w:t>
      </w:r>
    </w:p>
    <w:tbl>
      <w:tblPr>
        <w:tblW w:w="6843" w:type="dxa"/>
        <w:jc w:val="left"/>
        <w:tblInd w:w="0" w:type="dxa"/>
        <w:tblLayout w:type="fixed"/>
        <w:tblCellMar>
          <w:top w:w="28" w:type="dxa"/>
          <w:left w:w="28" w:type="dxa"/>
          <w:bottom w:w="28" w:type="dxa"/>
          <w:right w:w="28" w:type="dxa"/>
        </w:tblCellMar>
      </w:tblPr>
      <w:tblGrid>
        <w:gridCol w:w="2921"/>
        <w:gridCol w:w="146"/>
        <w:gridCol w:w="211"/>
        <w:gridCol w:w="736"/>
        <w:gridCol w:w="166"/>
        <w:gridCol w:w="146"/>
        <w:gridCol w:w="211"/>
        <w:gridCol w:w="736"/>
        <w:gridCol w:w="166"/>
        <w:gridCol w:w="146"/>
        <w:gridCol w:w="211"/>
        <w:gridCol w:w="736"/>
        <w:gridCol w:w="311"/>
      </w:tblGrid>
      <w:tr>
        <w:trPr/>
        <w:tc>
          <w:tcPr>
            <w:tcW w:w="2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9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r>
      <w:tr>
        <w:trPr/>
        <w:tc>
          <w:tcPr>
            <w:tcW w:w="29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Change</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Product revenue,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7,324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7,324</w:t>
            </w:r>
          </w:p>
        </w:tc>
        <w:tc>
          <w:tcPr>
            <w:tcW w:w="311" w:type="dxa"/>
            <w:tcBorders/>
            <w:shd w:fill="CFF0FC" w:val="clear"/>
            <w:vAlign w:val="center"/>
          </w:tcPr>
          <w:p>
            <w:pPr>
              <w:pStyle w:val="TableContents"/>
              <w:bidi w:val="0"/>
              <w:spacing w:before="0" w:after="283"/>
              <w:jc w:val="left"/>
              <w:rPr/>
            </w:pPr>
            <w:r>
              <w:rPr/>
              <w:t> </w:t>
            </w:r>
          </w:p>
        </w:tc>
      </w:tr>
      <w:tr>
        <w:trPr/>
        <w:tc>
          <w:tcPr>
            <w:tcW w:w="292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Cost of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1,376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5,948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5,948</w:t>
            </w:r>
          </w:p>
        </w:tc>
        <w:tc>
          <w:tcPr>
            <w:tcW w:w="311" w:type="dxa"/>
            <w:tcBorders/>
            <w:shd w:fill="CFF0FC" w:val="clear"/>
            <w:vAlign w:val="center"/>
          </w:tcPr>
          <w:p>
            <w:pPr>
              <w:pStyle w:val="TableContents"/>
              <w:bidi w:val="0"/>
              <w:spacing w:before="0" w:after="283"/>
              <w:jc w:val="left"/>
              <w:rPr/>
            </w:pPr>
            <w:r>
              <w:rPr/>
              <w:t> </w:t>
            </w:r>
          </w:p>
        </w:tc>
      </w:tr>
      <w:tr>
        <w:trPr/>
        <w:tc>
          <w:tcPr>
            <w:tcW w:w="292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311" w:type="dxa"/>
            <w:tcBorders/>
            <w:shd w:fill="FFFFFF" w:val="clear"/>
            <w:vAlign w:val="center"/>
          </w:tcPr>
          <w:p>
            <w:pPr>
              <w:pStyle w:val="TableContents"/>
              <w:bidi w:val="0"/>
              <w:spacing w:before="0" w:after="283"/>
              <w:ind w:left="0" w:right="0" w:firstLine="100"/>
              <w:jc w:val="right"/>
              <w:rPr/>
            </w:pPr>
            <w:r>
              <w:rPr/>
              <w:t> </w:t>
            </w:r>
          </w:p>
        </w:tc>
      </w:tr>
      <w:tr>
        <w:trPr/>
        <w:tc>
          <w:tcPr>
            <w:tcW w:w="2921"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7,376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12,764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(5,388</w:t>
            </w:r>
          </w:p>
        </w:tc>
        <w:tc>
          <w:tcPr>
            <w:tcW w:w="311" w:type="dxa"/>
            <w:tcBorders/>
            <w:shd w:fill="CFF0FC" w:val="clear"/>
            <w:vAlign w:val="center"/>
          </w:tcPr>
          <w:p>
            <w:pPr>
              <w:pStyle w:val="TableContents"/>
              <w:bidi w:val="0"/>
              <w:spacing w:before="0" w:after="283"/>
              <w:ind w:left="0" w:right="0" w:firstLine="100"/>
              <w:jc w:val="left"/>
              <w:rPr>
                <w:rFonts w:ascii="Calibri;sans-serif" w:hAnsi="Calibri;sans-serif"/>
                <w:color w:val="000000"/>
                <w:sz w:val="20"/>
              </w:rPr>
            </w:pPr>
            <w:r>
              <w:rPr>
                <w:rFonts w:ascii="Calibri;sans-serif" w:hAnsi="Calibri;sans-serif"/>
                <w:color w:val="000000"/>
                <w:sz w:val="20"/>
              </w:rPr>
              <w:t>)</w:t>
            </w:r>
          </w:p>
        </w:tc>
      </w:tr>
      <w:tr>
        <w:trPr/>
        <w:tc>
          <w:tcPr>
            <w:tcW w:w="2921"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Selling, 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75,872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18,937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56,935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83,248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31,701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51,547</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2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(77,300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(31,701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(45,599</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9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 income (expense):</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311" w:type="dxa"/>
            <w:tcBorders/>
            <w:shd w:fill="CFF0FC" w:val="clear"/>
            <w:vAlign w:val="center"/>
          </w:tcPr>
          <w:p>
            <w:pPr>
              <w:pStyle w:val="TableContents"/>
              <w:bidi w:val="0"/>
              <w:spacing w:before="0" w:after="283"/>
              <w:ind w:left="0" w:right="0" w:firstLine="100"/>
              <w:jc w:val="right"/>
              <w:rPr/>
            </w:pPr>
            <w:r>
              <w:rPr/>
              <w:t> </w:t>
            </w:r>
          </w:p>
        </w:tc>
      </w:tr>
      <w:tr>
        <w:trPr/>
        <w:tc>
          <w:tcPr>
            <w:tcW w:w="2921"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3,624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3,276</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2921"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(17,764</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(9,615</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(8,149</w:t>
            </w:r>
          </w:p>
        </w:tc>
        <w:tc>
          <w:tcPr>
            <w:tcW w:w="311" w:type="dxa"/>
            <w:tcBorders/>
            <w:shd w:fill="CFF0FC" w:val="clear"/>
            <w:vAlign w:val="center"/>
          </w:tcPr>
          <w:p>
            <w:pPr>
              <w:pStyle w:val="TableContents"/>
              <w:bidi w:val="0"/>
              <w:spacing w:before="0" w:after="283"/>
              <w:ind w:left="0" w:right="0" w:firstLine="100"/>
              <w:jc w:val="left"/>
              <w:rPr>
                <w:rFonts w:ascii="Calibri;sans-serif" w:hAnsi="Calibri;sans-serif"/>
                <w:color w:val="000000"/>
                <w:sz w:val="20"/>
              </w:rPr>
            </w:pPr>
            <w:r>
              <w:rPr>
                <w:rFonts w:ascii="Calibri;sans-serif" w:hAnsi="Calibri;sans-serif"/>
                <w:color w:val="000000"/>
                <w:sz w:val="20"/>
              </w:rPr>
              <w:t>)</w:t>
            </w:r>
          </w:p>
        </w:tc>
      </w:tr>
      <w:tr>
        <w:trPr/>
        <w:tc>
          <w:tcPr>
            <w:tcW w:w="2921"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Other (expense) income,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9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other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(14,146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(9,264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(4,882</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92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(91,446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(40,965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(50,481</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bl>
    <w:p>
      <w:pPr>
        <w:pStyle w:val="TextBody"/>
        <w:bidi w:val="0"/>
        <w:spacing w:before="200" w:after="283"/>
        <w:jc w:val="left"/>
        <w:rPr>
          <w:rFonts w:ascii="Times New Roman" w:hAnsi="Times New Roman"/>
          <w:sz w:val="20"/>
        </w:rPr>
      </w:pPr>
      <w:r>
        <w:rPr>
          <w:rFonts w:ascii="Calibri;sans-serif" w:hAnsi="Calibri;sans-serif"/>
          <w:i/>
          <w:color w:val="000000"/>
          <w:sz w:val="20"/>
        </w:rPr>
        <w:t xml:space="preserve">Revenue. </w:t>
      </w:r>
      <w:r>
        <w:rPr>
          <w:rFonts w:ascii="Calibri;sans-serif" w:hAnsi="Calibri;sans-serif"/>
          <w:color w:val="000000"/>
          <w:sz w:val="20"/>
        </w:rPr>
        <w:t>Product revenues were $7.3 million for the three months ended June 30, 2024 related to sales of VOQUEZNA, VOQUEZNA TRIPLE PAK, and VOQUEZNA DUAL PAK which were launched in the fourth quarter of 2023.</w:t>
      </w:r>
    </w:p>
    <w:p>
      <w:pPr>
        <w:pStyle w:val="TextBody"/>
        <w:bidi w:val="0"/>
        <w:spacing w:before="200" w:after="283"/>
        <w:jc w:val="left"/>
        <w:rPr>
          <w:rFonts w:ascii="Times New Roman" w:hAnsi="Times New Roman"/>
          <w:sz w:val="20"/>
        </w:rPr>
      </w:pPr>
      <w:r>
        <w:rPr>
          <w:rFonts w:ascii="Calibri;sans-serif" w:hAnsi="Calibri;sans-serif"/>
          <w:i/>
          <w:color w:val="000000"/>
          <w:sz w:val="20"/>
        </w:rPr>
        <w:t xml:space="preserve">Cost of Revenue. </w:t>
      </w:r>
      <w:r>
        <w:rPr>
          <w:rFonts w:ascii="Calibri;sans-serif" w:hAnsi="Calibri;sans-serif"/>
          <w:color w:val="000000"/>
          <w:sz w:val="20"/>
        </w:rPr>
        <w:t>Cost of revenue was $1.4 million for the three months ended June 30, 2024. In periods prior to receiving FDA approval for VOQUEZNA, we recognized inventory and related costs associated with the manufacture of VOQUEZNA as research and development expense and as such, the cost of revenue and related gross profits are not necessarily indicative of future costs of revenue and gross profit. Therefore, the manufacturing costs related to the inventory purchased before FDA approval were already expensed in a prior period and are therefore excluded from the cost of revenue for the three months ended June 30, 2024. These previously expensed costs were not material.</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i/>
          <w:color w:val="000000"/>
          <w:sz w:val="20"/>
        </w:rPr>
        <w:t>Research and Development Expenses.</w:t>
      </w:r>
      <w:r>
        <w:rPr>
          <w:rFonts w:ascii="Times New Roman" w:hAnsi="Times New Roman"/>
          <w:color w:val="000000"/>
          <w:sz w:val="20"/>
        </w:rPr>
        <w:t xml:space="preserve"> </w:t>
      </w:r>
      <w:r>
        <w:rPr>
          <w:rFonts w:ascii="Calibri;sans-serif" w:hAnsi="Calibri;sans-serif"/>
          <w:color w:val="000000"/>
          <w:sz w:val="20"/>
        </w:rPr>
        <w:t>Research and development expenses were $7.4 million and $12.8 million for the three months ended June 30, 2024 and 2023, respectively. The decrease of $5.4 million consisted of reductions of $4.1 million of CMC costs related to vonoprazan, $0.8 million related to lower personnel-related expenses and other research expenses and $0.7 million of regulatory and clinical study related expenses due to the wrapping up of our PHALCON-NERD-301 study, partially offset by an increase of $0.2 million of consulting expenses.</w:t>
      </w:r>
    </w:p>
    <w:p>
      <w:pPr>
        <w:pStyle w:val="TextBody"/>
        <w:bidi w:val="0"/>
        <w:spacing w:before="200" w:after="283"/>
        <w:jc w:val="left"/>
        <w:rPr>
          <w:rFonts w:ascii="Times New Roman" w:hAnsi="Times New Roman"/>
          <w:sz w:val="20"/>
        </w:rPr>
      </w:pPr>
      <w:r>
        <w:rPr>
          <w:rFonts w:ascii="Calibri;sans-serif" w:hAnsi="Calibri;sans-serif"/>
          <w:i/>
          <w:color w:val="000000"/>
          <w:sz w:val="20"/>
        </w:rPr>
        <w:t>Selling, General and Administrative Expenses.</w:t>
      </w:r>
      <w:r>
        <w:rPr>
          <w:rFonts w:ascii="Times New Roman" w:hAnsi="Times New Roman"/>
          <w:color w:val="000000"/>
          <w:sz w:val="20"/>
        </w:rPr>
        <w:t xml:space="preserve"> </w:t>
      </w:r>
      <w:r>
        <w:rPr>
          <w:rFonts w:ascii="Calibri;sans-serif" w:hAnsi="Calibri;sans-serif"/>
          <w:color w:val="000000"/>
          <w:sz w:val="20"/>
        </w:rPr>
        <w:t>Selling, general and administrative expenses were $75.9 million and $18.9 million for the three months ended June 30, 2024 and 2023, respectively. The increase of $57.0 million was due to increases of $38.7 million of commercial expense which includes $22.0 million of external project spend and $16.7 million in advertising and promotional expenses in support of our commercial launch of VOQUEZNA products, $19.4 million increase in personnel-related expenses, partially offset by a decrease of $1.1 million in consulting and other professional services.</w:t>
      </w:r>
    </w:p>
    <w:p>
      <w:pPr>
        <w:pStyle w:val="TextBody"/>
        <w:bidi w:val="0"/>
        <w:spacing w:before="200" w:after="283"/>
        <w:jc w:val="left"/>
        <w:rPr>
          <w:rFonts w:ascii="Times New Roman" w:hAnsi="Times New Roman"/>
          <w:sz w:val="20"/>
        </w:rPr>
      </w:pPr>
      <w:r>
        <w:rPr>
          <w:rFonts w:ascii="Calibri;sans-serif" w:hAnsi="Calibri;sans-serif"/>
          <w:i/>
          <w:color w:val="000000"/>
          <w:sz w:val="20"/>
        </w:rPr>
        <w:t>Other Income (Expense).</w:t>
      </w:r>
      <w:r>
        <w:rPr>
          <w:rFonts w:ascii="Times New Roman" w:hAnsi="Times New Roman"/>
          <w:color w:val="000000"/>
          <w:sz w:val="20"/>
        </w:rPr>
        <w:t xml:space="preserve"> </w:t>
      </w:r>
      <w:r>
        <w:rPr>
          <w:rFonts w:ascii="Calibri;sans-serif" w:hAnsi="Calibri;sans-serif"/>
          <w:color w:val="000000"/>
          <w:sz w:val="20"/>
        </w:rPr>
        <w:t>Other expense of $14.1 million for the three months ended June 30, 2024 consisted of $17.8 million of interest expense under the Hercules Loan Agreement and Revenue Interest Financing Agreement, partially offset by $3.6 million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Calibri;sans-serif" w:hAnsi="Calibri;sans-serif"/>
          <w:color w:val="000000"/>
          <w:sz w:val="20"/>
        </w:rPr>
        <w:t>of interest income related to cash held in money market funds. Other expense of $9.3 million for the three months ended June 30, 2023 consisted of $9.6 million of interest expense under the Hercules Loan Agreement and Revenue Interest Financing Agreement, partially offset by $0.3 million of interest income related to cash held in money market funds. Interest expense increased due to a higher debt balance under the Hercules Loan Agreement as well as a higher liability related to our Revenue Interest Financing Agreement versus the prior period, partially offset by higher interest income due to our increased cash position.</w:t>
      </w:r>
      <w:r>
        <w:rPr>
          <w:rFonts w:ascii="Times New Roman" w:hAnsi="Times New Roman"/>
          <w:color w:val="000000"/>
          <w:sz w:val="20"/>
        </w:rPr>
        <w:t xml:space="preserve"> </w:t>
      </w:r>
    </w:p>
    <w:p>
      <w:pPr>
        <w:pStyle w:val="TextBody"/>
        <w:bidi w:val="0"/>
        <w:spacing w:before="200" w:after="283"/>
        <w:jc w:val="left"/>
        <w:rPr>
          <w:rFonts w:ascii="Calibri;sans-serif" w:hAnsi="Calibri;sans-serif"/>
          <w:b/>
          <w:color w:val="000000"/>
          <w:sz w:val="20"/>
        </w:rPr>
      </w:pPr>
      <w:r>
        <w:rPr>
          <w:rFonts w:ascii="Calibri;sans-serif" w:hAnsi="Calibri;sans-serif"/>
          <w:b/>
          <w:color w:val="000000"/>
          <w:sz w:val="20"/>
        </w:rPr>
        <w:t>Liquidity and Capital Resources</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We have incurred net losses and negative cash flows from operations since our inception and anticipate we will continue to incur net losses for the foreseeable future. As of June 30, 2024, we had cash and cash equivalents of $276.2 million.</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Loan Agreement with Hercules</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On September 17, 2021, or the Closing Date, we entered into a Loan and Security Agreement, as amended, the Loan Agreement, with Hercules Capital, Inc. (in such capacity, the Agent or Hercules), as administrative agent and collateral agent and as a lender and the other financial institutions that from time to time become parties to the Loan Agreement as lenders (collectively, the Lenders).</w:t>
      </w:r>
    </w:p>
    <w:p>
      <w:pPr>
        <w:pStyle w:val="TextBody"/>
        <w:bidi w:val="0"/>
        <w:spacing w:before="200" w:after="283"/>
        <w:jc w:val="left"/>
        <w:rPr>
          <w:rFonts w:ascii="Times New Roman" w:hAnsi="Times New Roman"/>
          <w:sz w:val="20"/>
        </w:rPr>
      </w:pPr>
      <w:r>
        <w:rPr>
          <w:rFonts w:ascii="Calibri;sans-serif" w:hAnsi="Calibri;sans-serif"/>
          <w:color w:val="000000"/>
          <w:sz w:val="20"/>
        </w:rPr>
        <w:t>The Loan Agreement provides for term loans in an aggregate principal amount of up to $200 million, or the Term Loan, under multiple tranches. The tranches consist of (i) a first tranche consisting of term loans in an aggregate principal amount of $100 million, all of which was funded on the Closing Date, or the First Advance, (ii) a second tranche consisting of up to an additional $50 million, (iii) a third and fourth tranches consisting of an additional total $50 million, which became available to us in May 2022.</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Calibri;sans-serif" w:hAnsi="Calibri;sans-serif"/>
          <w:color w:val="000000"/>
          <w:sz w:val="20"/>
        </w:rPr>
        <w:t>On September 27, 2022, we entered into an amendment to the Loan Agreement, or the Second Loan Amendment, pursuant to which the date the second tranche of funding of $50 million will remain available to us has been moved until May 15, 2023, rather than December 15, 2022.</w:t>
      </w:r>
      <w:r>
        <w:rPr>
          <w:rFonts w:ascii="Times New Roman" w:hAnsi="Times New Roman"/>
          <w:color w:val="000000"/>
          <w:sz w:val="20"/>
        </w:rPr>
        <w:t xml:space="preserve"> </w:t>
      </w:r>
    </w:p>
    <w:p>
      <w:pPr>
        <w:pStyle w:val="TextBody"/>
        <w:bidi w:val="0"/>
        <w:spacing w:before="200" w:after="120"/>
        <w:jc w:val="left"/>
        <w:rPr>
          <w:rFonts w:ascii="Calibri;sans-serif" w:hAnsi="Calibri;sans-serif"/>
          <w:color w:val="000000"/>
          <w:sz w:val="20"/>
        </w:rPr>
      </w:pPr>
      <w:r>
        <w:rPr>
          <w:rFonts w:ascii="Calibri;sans-serif" w:hAnsi="Calibri;sans-serif"/>
          <w:color w:val="000000"/>
          <w:sz w:val="20"/>
        </w:rPr>
        <w:t>On May 9, 2023, we entered into the Third Amendment to Loan and Security Agreement, or the Third Loan Amendment, with the lenders, pursuant to which, among other things, (i) the second tranche availability was extended from through May 15, 2023, to through December 15, 2023, and became available on October 1, 2023, (ii) the third tranche availability was extended from through September 30, 2023, to through December 15, 2023, and became available on October 1, 2023, (iii) the effective date of the Performance Covenants was amended to provide an option to extend the covenant trigger date to May 15, 2024, subject to the achievement of the FDA approval of vonoprazan for Erosive GERD or the EE Milestone, prior to February 15, 2024, and (iv) the warrant agreement with Hercules was amended as described below. On November 1, 2023, the EE Milestone was achieved and the covenant trigger date was extended to May 15, 2024. In connection with the Third Loan Amendment, a tranche extension amendment fee of $150,000 and a covenant extension amendment fee of $100,000 was paid to the Agent. These fees have been recorded as debt discount and are being amortized to interest expense using the effective interest method over the remaining term of the Term Loan.</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On December 14, 2023, we entered into a Fourth Amendment to Loan and Security Agreement, or the Fourth Loan Amendment, with the lenders, which, among other things, (i) increases the aggregate principal amount of the term loans from $200 million to $300 million; (ii) provides for the possibility of accessing the $200 million commitment through five additional tranches referred to as tranches 2 through 6, which are available subject to certain milestones and conditions: (a) Tranche 2: $50 million, $40 million of which was funded on December 14, 2023, available through March 15, 2024, (b) Tranche 3: $25 million available through June 15, 2024, (c) Tranche 4: $25 million available through December 15, 2024, (d) Tranche 5: $50 million available, subject to the achievement of a specified revenue milestone, through June 30, 2025, and (e) Tranche 6: $50 million available, subject to the achievement of a specified revenue milestone, through December 31, 2025; (iii) extends the interest only period and the maturity date from October 2026 to December 2027, (iv) reduces the cash interest rate from 10.75% (floating annual rate equal to the greater of (a) 5.50% and (b) the Prime Rate (as reported in the Wall Street Journal) plus 2.25% to 9.85% (floating rate based on the greater of (a) 9.85% or (b) US WSJ Prime + 1.35%), provided that the cash interest rate shall be capped at 10.35% and upon us achieving the certain milestones, the cash interest shall be decreased by 0.35%, and (v) decreases the payment-in-kind interest rate from 3.35% per annum to 2.15% per annum. In connection with the Fourth Loan Amendment, an amendment fee of $250,000 was paid to the Agent and was recorded as a debt discount and being amortized to interest expense using the effective interest method over the remaining term of the Term Loan.</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On March 15, 2024, we drew down the remaining $10 million available under the Second Tranche. In addition, on June 14, 2024, we drew down the $25 million available under the Third Tranche.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Calibri;sans-serif" w:hAnsi="Calibri;sans-serif"/>
          <w:color w:val="000000"/>
          <w:sz w:val="20"/>
        </w:rPr>
        <w:t>The Term Loan will mature on December 1, 2027, or the Maturity Date. The Term Loan bears (i) cash interest at a variable annual rate equal to the greater of (a) 9.85% and (b) the Prime Rate (as reported in the Wall Street Journal) plus 1.35%, or the Interest Rate, and (ii) payment-in-kind interest at a per annum rate of interest equal to 2.15%. We may make payments of interest only through the Maturity Date. After the interest-only period, the principal balance and related interest will be required to be repaid in full on the Maturity Date.</w:t>
      </w:r>
      <w:r>
        <w:rPr>
          <w:rFonts w:ascii="Times New Roman" w:hAnsi="Times New Roman"/>
          <w:color w:val="000000"/>
          <w:sz w:val="20"/>
        </w:rPr>
        <w:t xml:space="preserve"> </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In addition, we are obligated to pay a final payment fee of 7.50% of the original principal amount of amounts actually advanced under the Term Loan, or each a Term Loan Advance and together, the Term Loan Advances. In connection with the Fourth Loan Amendment, the final payment fee was amended to be $1 million plus 3.00% of any future tranche drawdowns under the agreement, due upon final maturity. Additionally, the initial final payment fee for the first term Loan advance was amended to become payable on October 1, 2026. As of June 30, 2024, the aggregate final payment fee for the first Term Loan Advance of $7.5 million, $2.2 million for the second Term Loan Advance, and $0.8 million for the third Term Loan Advance have been recorded within other long-term liabilities.</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Under the Fourth Loan Amendment, we may elect to prepay all or a portion of the Term Loan Advances prior to maturity, subject to a prepayment fee of up to 1.25% of the then outstanding principal balance of the Term Loan Advances being prepaid when such prepayment occurs prior to October 1, 2026, or 0.50% if such prepayment occurs on or after October 1, 2026. After repayment, no Term Loan amounts may be borrowed again.</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The Loan Agreement contains customary closing fees, prepayment fees and provisions, events of default, and representations, warranties and covenants, including financial covenants. The financial covenants under the Fourth Loan Amendment include (i) a minimum cash covenant and (ii) a performance covenant as follows:</w:t>
      </w:r>
    </w:p>
    <w:p>
      <w:pPr>
        <w:pStyle w:val="TextBody"/>
        <w:bidi w:val="0"/>
        <w:spacing w:before="120" w:after="283"/>
        <w:jc w:val="left"/>
        <w:rPr>
          <w:rFonts w:ascii="Calibri" w:hAnsi="Calibri"/>
          <w:color w:val="000000"/>
          <w:sz w:val="20"/>
        </w:rPr>
      </w:pPr>
      <w:r>
        <w:rPr>
          <w:rFonts w:ascii="Calibri" w:hAnsi="Calibri"/>
          <w:color w:val="000000"/>
          <w:sz w:val="20"/>
        </w:rPr>
        <w:t>(i)</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 xml:space="preserve">Minimum cash covenant - We must maintain a minimum cash balance of 20% of the outstanding principal balance at all times. The minimum cash balance may be increased to 35% or 50% under performance covenant (b) below if the performance covenants (a) or (c) are not met beginning September 30, 2024 and all times thereafter. </w:t>
      </w:r>
    </w:p>
    <w:p>
      <w:pPr>
        <w:pStyle w:val="TextBody"/>
        <w:bidi w:val="0"/>
        <w:spacing w:before="120" w:after="283"/>
        <w:jc w:val="left"/>
        <w:rPr>
          <w:rFonts w:ascii="Calibri" w:hAnsi="Calibri"/>
          <w:color w:val="000000"/>
          <w:sz w:val="20"/>
        </w:rPr>
      </w:pPr>
      <w:r>
        <w:rPr>
          <w:rFonts w:ascii="Calibri" w:hAnsi="Calibri"/>
          <w:color w:val="000000"/>
          <w:sz w:val="20"/>
        </w:rPr>
        <w:t>(ii)</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Performance covenant - Beginning September 30, 2024 and all times thereafter we must satisfy any one of the following:</w:t>
      </w:r>
    </w:p>
    <w:p>
      <w:pPr>
        <w:pStyle w:val="TextBody"/>
        <w:bidi w:val="0"/>
        <w:spacing w:before="120" w:after="283"/>
        <w:jc w:val="left"/>
        <w:rPr>
          <w:rFonts w:ascii="Calibri" w:hAnsi="Calibri"/>
          <w:color w:val="000000"/>
          <w:sz w:val="20"/>
        </w:rPr>
      </w:pPr>
      <w:r>
        <w:rPr>
          <w:rFonts w:ascii="Calibri" w:hAnsi="Calibri"/>
          <w:color w:val="000000"/>
          <w:sz w:val="20"/>
        </w:rPr>
        <w:t>a.</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Market capitalization exceeding $900 million;</w:t>
      </w:r>
    </w:p>
    <w:p>
      <w:pPr>
        <w:pStyle w:val="TextBody"/>
        <w:bidi w:val="0"/>
        <w:spacing w:before="120" w:after="283"/>
        <w:jc w:val="left"/>
        <w:rPr>
          <w:rFonts w:ascii="Calibri" w:hAnsi="Calibri"/>
          <w:color w:val="000000"/>
          <w:sz w:val="20"/>
        </w:rPr>
      </w:pPr>
      <w:r>
        <w:rPr>
          <w:rFonts w:ascii="Calibri" w:hAnsi="Calibri"/>
          <w:color w:val="000000"/>
          <w:sz w:val="20"/>
        </w:rPr>
        <w:t>b.</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Minimum cash balance exceeding (x) outstanding principal amount of term loans, multiplied by (y) (A) 50%, prior to achieving trailing three months net product revenue of greater than $35 million, and (B) 35% thereafter; or</w:t>
      </w:r>
    </w:p>
    <w:p>
      <w:pPr>
        <w:pStyle w:val="TextBody"/>
        <w:bidi w:val="0"/>
        <w:spacing w:before="120" w:after="283"/>
        <w:jc w:val="left"/>
        <w:rPr>
          <w:rFonts w:ascii="Calibri" w:hAnsi="Calibri"/>
          <w:color w:val="000000"/>
          <w:sz w:val="20"/>
        </w:rPr>
      </w:pPr>
      <w:r>
        <w:rPr>
          <w:rFonts w:ascii="Calibri" w:hAnsi="Calibri"/>
          <w:color w:val="000000"/>
          <w:sz w:val="20"/>
        </w:rPr>
        <w:t>c.</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Trailing three months net product revenue of at least (x) 30% of agreed upon projected net revenues for periods in the calendar year 2024 and 25% for all periods thereafter or (y) $120 million.</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Upon the occurrence of an event of default, subject to any specified cure periods, all amounts owed by us may be declared immediately due and payable by Hercules, as collateral agent. As of June 30, 2024, we were in compliance with all applicable covenants under the Loan Agreement.</w:t>
      </w:r>
    </w:p>
    <w:p>
      <w:pPr>
        <w:pStyle w:val="TextBody"/>
        <w:bidi w:val="0"/>
        <w:spacing w:before="200" w:after="283"/>
        <w:jc w:val="left"/>
        <w:rPr>
          <w:rFonts w:ascii="Times New Roman" w:hAnsi="Times New Roman"/>
          <w:sz w:val="20"/>
        </w:rPr>
      </w:pPr>
      <w:r>
        <w:rPr>
          <w:rFonts w:ascii="Calibri;sans-serif" w:hAnsi="Calibri;sans-serif"/>
          <w:color w:val="000000"/>
          <w:sz w:val="20"/>
        </w:rPr>
        <w:t>As collateral for the obligations, we granted Hercules a senior security interest in all of our right, title, and interest in, to and under substantially all of our property, inclusive of intellectual property.</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In connection with the entry into the Loan Agreement, we issued to Hercules a warrant, or the Warrant, to purchase a number of shares of our common stock equal to 2.5% of the aggregate amount of the Term Loan advances funded, and will issue to Hercules additional warrants when future Term Loan advances are funded. On the Closing Date, we issued a Warrant for 74,782 shares of common stock. The Warrant is exercisable for a period of seven years from the date of issuance at a per-share exercise price equal to $33.43, which was the closing price of our common stock on September 16, 2021. In connection with the entry into the Third Loan Amendment, we amended the form of warrants to be issued upon drawdowns of future tranches such that the exercise price of such warrants shall be equal to the lesser (i) of $11.6783, which was the trailing ten-day VWAP prior to entering into the Third Loan Amendment and (ii) the trailing ten-day VWAP preceding the date on which we drawdown future tranches. In connection with the entry into the Fourth Amendment, we eliminated the warrant agreement for all future tranches. The Warrant issued with the initial tranche was not modified as part of this amendment. The exercise price and terms of the outstanding Warrant remain unchanged.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The initial $1.3 million fair value of the Warrant, the $10.5 million final interest payment fees and $4.4 million of debt issuance costs have been recorded as debt discount and are being amortized to interest expense using the effective interest method over the term of the Term Loan.</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Revenue Interest Financing Agreement</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On May 3, 2022, we entered into a Revenue Interest Financing Agreement, or the Revenue Interest Financing Agreement, with entities managed or advised by NovaQuest Capital Management, or NQ, Sagard Holdings Manager LP, or Sagard, and Hercules Capital, Inc., or Hercules, together with NQ and Sagard, or the Initial Investors, pursuant to which we could receive up to $260 million in funding from the Initial Investors. Under the terms of the Revenue Interest Financing Agreement, we received $100 million at the initial closing and received an additional $160 million upon FDA approval of vonoprazan for treatment of Erosive GERD in the fourth quarter of 2023. Additionally, on October 31, 2022, we entered into a Joinder and Waiver Agreement with the Initial Investors and CO Finance LVS XXXVII LLC, or the Additional Investor, and Hercules Capital, Inc. in its capacity as administrative agent and collateral agent for itself and the lenders under that certain Loan Agreement, or the Joinder Agreement, in respect of the Revenue Interest Financing Agreement. Under the terms of the Joinder Agreement, we received $15 million in additional funding upon FDA approval of vonoprazan for Erosive GERD, or Approval Additional Funding, in the fourth quarter of 2023 and provides for $25 million in additional funding for achievement of a sales milestone, or Milestone Additional Funding, and, together with the Approval Additional Funding, or the Additional Investor Funding. The Initial Investors waived their right of first offer for any Additional Investor Funding. The total amount funded by the Initial Investors and any subsequent investors is referred to herein as the Investment Amount.</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Under the Revenue Interest Financing Agreement, the Initial Investors and the Additional Investor, are entitled to receive a 10% royalty on net sales of products containing vonoprazan. The royalty rate is subject to a step-down on net sales exceeding certain annual thresholds and upon FDA approval for vonoprazan for an indication relating to the treatment of heartburn associated with Non-Erosive GERD, which occurred on July 17, 2024. The investors’ right to receive royalties on net sales will terminate when the investors have aggregate payments equal to 200% of the Investment Amount. In addition, at any time after the earlier of (i) April 30, 2024 and (ii) the date that the payment for Erosive GERD regulatory approval is made, we have the right to make a cap payment equal to 200% of the Investment Amount less any royalties already paid, at which time the agreement will terminate.</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If the investors have not received aggregate payments of at least 100% of the Investment Amount by December 31, 2028, and at least 200% of the Investment Amount by December 31, 2037, each a Minimum Amount, then we will be obligated to make a cash payment to the investors in an amount sufficient to gross the investors up to the applicable Minimum Amount.</w:t>
      </w:r>
    </w:p>
    <w:p>
      <w:pPr>
        <w:pStyle w:val="TextBody"/>
        <w:bidi w:val="0"/>
        <w:spacing w:before="200" w:after="283"/>
        <w:jc w:val="left"/>
        <w:rPr>
          <w:rFonts w:ascii="Times New Roman" w:hAnsi="Times New Roman"/>
          <w:sz w:val="20"/>
        </w:rPr>
      </w:pPr>
      <w:r>
        <w:rPr>
          <w:rFonts w:ascii="Calibri;sans-serif" w:hAnsi="Calibri;sans-serif"/>
          <w:color w:val="000000"/>
          <w:sz w:val="20"/>
        </w:rPr>
        <w:t>Upon the occurrence of an event of default taking place prior to April 1, 2025, between April 1, 2025 and April 1, 2028, and after April 1, 2028, we are obligated to pay 1.30 times Investment Amount, 1.65 times Investment Amount, and 2.0 times investment amount, respectively, less any amounts we previously paid pursuant to the agreement.</w:t>
      </w:r>
      <w:r>
        <w:rPr>
          <w:rFonts w:ascii="Times New Roman" w:hAnsi="Times New Roman"/>
          <w:color w:val="000000"/>
          <w:sz w:val="20"/>
        </w:rPr>
        <w:t xml:space="preserve"> </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At-the-Market-Offerings</w:t>
      </w:r>
    </w:p>
    <w:p>
      <w:pPr>
        <w:pStyle w:val="TextBody"/>
        <w:bidi w:val="0"/>
        <w:spacing w:before="200" w:after="283"/>
        <w:jc w:val="left"/>
        <w:rPr>
          <w:rFonts w:ascii="Times New Roman" w:hAnsi="Times New Roman"/>
          <w:sz w:val="20"/>
        </w:rPr>
      </w:pPr>
      <w:r>
        <w:rPr>
          <w:rFonts w:ascii="Calibri;sans-serif" w:hAnsi="Calibri;sans-serif"/>
          <w:color w:val="000000"/>
          <w:sz w:val="20"/>
        </w:rPr>
        <w:t>In November 2020, we entered into an Open Market Sale Agreement</w:t>
      </w:r>
      <w:r>
        <w:rPr>
          <w:rFonts w:ascii="Calibri;sans-serif" w:hAnsi="Calibri;sans-serif"/>
          <w:color w:val="000000"/>
          <w:sz w:val="13"/>
        </w:rPr>
        <w:t>SM</w:t>
      </w:r>
      <w:r>
        <w:rPr>
          <w:rFonts w:ascii="Calibri;sans-serif" w:hAnsi="Calibri;sans-serif"/>
          <w:color w:val="000000"/>
          <w:sz w:val="20"/>
        </w:rPr>
        <w:t>, or the Sales Agreement, with Jefferies LLC, or the Sales Agent, under which we may, from time to time, sell shares of our common stock having an aggregate offering price of up to an amount registered under an effective registration statement through the Sales Agent.</w:t>
      </w:r>
      <w:r>
        <w:rPr>
          <w:rFonts w:ascii="Times New Roman" w:hAnsi="Times New Roman"/>
          <w:color w:val="000000"/>
          <w:sz w:val="20"/>
        </w:rPr>
        <w:t xml:space="preserve"> </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In November 2023, we filed a shelf registration statement on Form S-3 which was declared effective by the SEC on November 17, 2023, which included an at-the-market prospectus pursuant to which we may, from time to time, sell up to an aggregate of $150 million of our common stock through the Sales Agent, or the 2023 ATM Offering. We are not obligated to, and we cannot provide any assurances that we will, make any sales of the shares under the Sales Agreement. The Sales Agreement may be terminated by the Sales Agent or us at any time. For the year ended December 31, 2023, we sold 1,514,219 shares for net proceeds of approximately $14.1 million after deducting $0.4 million of issuance costs. No shares were sold during the three and six months ended June 30, 2024. As of June 30, 2024, all of the available $150 million under the 2023 ATM Offering remains available.</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Underwritten Public Offerings</w:t>
      </w:r>
    </w:p>
    <w:p>
      <w:pPr>
        <w:pStyle w:val="TextBody"/>
        <w:bidi w:val="0"/>
        <w:spacing w:before="200" w:after="283"/>
        <w:jc w:val="left"/>
        <w:rPr>
          <w:rFonts w:ascii="Times New Roman" w:hAnsi="Times New Roman"/>
          <w:sz w:val="20"/>
        </w:rPr>
      </w:pPr>
      <w:r>
        <w:rPr>
          <w:rFonts w:ascii="Calibri;sans-serif" w:hAnsi="Calibri;sans-serif"/>
          <w:color w:val="000000"/>
          <w:sz w:val="20"/>
        </w:rPr>
        <w:t>On May 23, 2023, we completed an underwritten public offering, in which we sold 12,793,750 shares of our common stock, which included the exercise in full by the underwriters of their option to purchase 1,668,750 shares, at a price of $11.75 per share for total gross proceeds of $150.3 million. The net purchase price after deducting underwriting discounts and commissions was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$11.08 per share, which generated net proceeds of $141.8 million. We incurred an additional $0.4 million of offering expenses in connection with this public offering.</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Funding Requirements</w:t>
      </w:r>
    </w:p>
    <w:p>
      <w:pPr>
        <w:pStyle w:val="TextBody"/>
        <w:bidi w:val="0"/>
        <w:spacing w:before="200" w:after="283"/>
        <w:jc w:val="left"/>
        <w:rPr>
          <w:rFonts w:ascii="Times New Roman" w:hAnsi="Times New Roman"/>
          <w:sz w:val="20"/>
        </w:rPr>
      </w:pPr>
      <w:r>
        <w:rPr>
          <w:rFonts w:ascii="Calibri;sans-serif" w:hAnsi="Calibri;sans-serif"/>
          <w:color w:val="000000"/>
          <w:sz w:val="20"/>
        </w:rPr>
        <w:t xml:space="preserve">Based on our current operating plan, we believe that our existing cash and cash equivalents together with the drawdown of the remaining $125 million under our Loan Agreement with Hercules together with anticipated product revenues, are sufficient to fund operations for at least the next twelve months and will be sufficient to fund our operations through the end of 2026. We expect such amounts will allow us to complete our planned Phase 3 clinical trial studying vonoprazan for Non-Erosive GERD (as-needed), and commercial activities for VOQUEZNA for </w:t>
      </w:r>
      <w:r>
        <w:rPr>
          <w:rFonts w:ascii="Calibri;sans-serif" w:hAnsi="Calibri;sans-serif"/>
          <w:i/>
          <w:color w:val="000000"/>
          <w:sz w:val="20"/>
        </w:rPr>
        <w:t xml:space="preserve">H. pylori </w:t>
      </w:r>
      <w:r>
        <w:rPr>
          <w:rFonts w:ascii="Calibri;sans-serif" w:hAnsi="Calibri;sans-serif"/>
          <w:color w:val="000000"/>
          <w:sz w:val="20"/>
        </w:rPr>
        <w:t>and Erosive GERD.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testing product candidates in clinical trials is costly, and the timing of progress and expenses in these trials is uncertain.</w:t>
      </w:r>
    </w:p>
    <w:p>
      <w:pPr>
        <w:pStyle w:val="TextBody"/>
        <w:bidi w:val="0"/>
        <w:spacing w:before="200" w:after="283"/>
        <w:jc w:val="left"/>
        <w:rPr>
          <w:rFonts w:ascii="Times New Roman" w:hAnsi="Times New Roman"/>
          <w:sz w:val="20"/>
        </w:rPr>
      </w:pPr>
      <w:r>
        <w:rPr>
          <w:rFonts w:ascii="Calibri;sans-serif" w:hAnsi="Calibri;sans-serif"/>
          <w:color w:val="000000"/>
          <w:sz w:val="20"/>
        </w:rPr>
        <w:t>Our future capital requirements will depend on many factors,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 xml:space="preserve">the initiation, type, number, scope, results, costs and timing of our clinical trials of vonoprazan, and preclinical studies or clinical trials of other potential product candidates we may choose to pursue in the future, including feedback received from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 xml:space="preserve">the costs and timing of manufacturing for vonoprazan or any future product candidates, including commercial scale manufacturing for any approved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 xml:space="preserve">the costs, timing and outcome of regulatory review of future vonoprazan applications or such applications for any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 xml:space="preserve">the costs of obtaining, maintaining and enforcing our patents and other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 xml:space="preserve">our efforts to enhance operational systems and hire additional personnel to satisfy our obligations as a public company, including enhanced internal controls over financial reporting; </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the costs associated with hiring additional personnel and consultants as our business grows;</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 xml:space="preserve">the timing and amount of the milestone or other payments we must make to Takeda and any future licensors; </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 xml:space="preserve">the costs and timing of establishing or securing sales and marketing capabilities for vonoprazan or any future product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 xml:space="preserve">our ability to achieve sufficient market acceptance, coverage and adequate reimbursement from third-party payers and adequate market share and revenue for any approved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patients’ willingness to pay out-of-pocket for any approved products in the absence of coverage and/or adequate reimbursement from third-party payers;</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the terms and timing of establishing and maintaining collaborations, licenses and other similar arrangements;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 xml:space="preserve">costs associated with any products or technologies that we may in-license or acquire. </w:t>
      </w:r>
    </w:p>
    <w:p>
      <w:pPr>
        <w:pStyle w:val="TextBody"/>
        <w:bidi w:val="0"/>
        <w:spacing w:before="200" w:after="283"/>
        <w:jc w:val="left"/>
        <w:rPr>
          <w:rFonts w:ascii="Times New Roman" w:hAnsi="Times New Roman"/>
          <w:sz w:val="20"/>
        </w:rPr>
      </w:pPr>
      <w:r>
        <w:rPr>
          <w:rFonts w:ascii="Calibri;sans-serif" w:hAnsi="Calibri;sans-serif"/>
          <w:color w:val="000000"/>
          <w:sz w:val="20"/>
        </w:rPr>
        <w:t>Until such time, if ever, as we can generate substantial product revenues to support our cost structure, we expect to finance our cash needs through equity offerings, the Loan Agreement, the Revenue Interest Financing Agreement, debt financings, or other capital sources, including potential collaborations, licenses and other similar arrangements.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product candidates or grant licenses on terms that may not be favorable to us and/or may reduce the value of our common stock.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Including our existing cash and cash equivalents, we believe that we have sufficient working capital on hand to fund operations such that there is no substantial doubt as to our ability to continue as a going concern at the date the financial statements were issued. There can be no assurance that we will be successful in acquiring additional funding, that our projections of future working capital needs will prove accurate, or that any additional funding would be sufficient to continue operations in future years. Based on our current operating plan, we believe that our existing cash and cash equivalents together with the drawdown of the remaining $125 million under our Loan Agreement with Hercules together with anticipated product revenues, are sufficient to fund operations for at least the next twelve months and will be sufficient to fund our operations through the end of 2026.</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Cash Flows</w:t>
      </w:r>
    </w:p>
    <w:p>
      <w:pPr>
        <w:pStyle w:val="TextBody"/>
        <w:bidi w:val="0"/>
        <w:spacing w:before="200" w:after="200"/>
        <w:jc w:val="left"/>
        <w:rPr>
          <w:rFonts w:ascii="Calibri;sans-serif" w:hAnsi="Calibri;sans-serif"/>
          <w:color w:val="000000"/>
          <w:sz w:val="20"/>
        </w:rPr>
      </w:pPr>
      <w:r>
        <w:rPr>
          <w:rFonts w:ascii="Calibri;sans-serif" w:hAnsi="Calibri;sans-serif"/>
          <w:color w:val="000000"/>
          <w:sz w:val="20"/>
        </w:rPr>
        <w:t>The following table sets forth a summary of the net cash flow activity for each of the periods indicated (in thousands):</w:t>
      </w:r>
    </w:p>
    <w:tbl>
      <w:tblPr>
        <w:tblW w:w="6843" w:type="dxa"/>
        <w:jc w:val="left"/>
        <w:tblInd w:w="0" w:type="dxa"/>
        <w:tblLayout w:type="fixed"/>
        <w:tblCellMar>
          <w:top w:w="28" w:type="dxa"/>
          <w:left w:w="28" w:type="dxa"/>
          <w:bottom w:w="28" w:type="dxa"/>
          <w:right w:w="28" w:type="dxa"/>
        </w:tblCellMar>
      </w:tblPr>
      <w:tblGrid>
        <w:gridCol w:w="2566"/>
        <w:gridCol w:w="146"/>
        <w:gridCol w:w="211"/>
        <w:gridCol w:w="841"/>
        <w:gridCol w:w="166"/>
        <w:gridCol w:w="146"/>
        <w:gridCol w:w="211"/>
        <w:gridCol w:w="781"/>
        <w:gridCol w:w="166"/>
        <w:gridCol w:w="146"/>
        <w:gridCol w:w="211"/>
        <w:gridCol w:w="841"/>
        <w:gridCol w:w="411"/>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Six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25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 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cash provided by (used in):</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256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Operating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(139,741</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(61,869</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(77,872</w:t>
            </w:r>
          </w:p>
        </w:tc>
        <w:tc>
          <w:tcPr>
            <w:tcW w:w="411" w:type="dxa"/>
            <w:tcBorders/>
            <w:shd w:fill="FFFFFF" w:val="cle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w:t>
            </w:r>
          </w:p>
        </w:tc>
      </w:tr>
      <w:tr>
        <w:trPr/>
        <w:tc>
          <w:tcPr>
            <w:tcW w:w="256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Investing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(86</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(220</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134</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256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Financing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34,671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155,574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(120,903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5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(decrease) increase in cash</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(105,156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93,485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(198,641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bl>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Operating Activities</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Net cash used in operating activities was approximately $139.7 million and $61.9 million for the six months ended June 30, 2024 and 2023, respectively. The net cash used in operating activities for the six months ended June 30, 2024 was due to approximately $132.1 million spent on ongoing research and development and selling, general and administrative activities and a $7.6 million net change in operating assets and liabilities. The net change in operating assets and liabilities primarily related to a $4.0 million decrease in accounts payable and accrued expenses (including interest, operating lease assets and liabilities), and a $11.7 million net increase in accounts receivable, inventory, and prepaid assets and other current assets in support of our growth and launch of our first commercial products. The net cash used in operating activities for the six months ended June 30, 2023 was due to approximately $50.0 million spent on ongoing research and development and general and administrative activities and a $11.9 million net change in operating assets and liabilities. The net change in operating assets and liabilities primarily related to a $8.3 million decrease in accounts payable and accrued expenses (including interest, operating lease assets and liabilities), and a $3.6 million increase in prepaid assets and other current assets, and other long-term assets.</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 xml:space="preserve">Investing Activities </w:t>
      </w:r>
    </w:p>
    <w:p>
      <w:pPr>
        <w:pStyle w:val="TextBody"/>
        <w:bidi w:val="0"/>
        <w:spacing w:before="200" w:after="283"/>
        <w:jc w:val="left"/>
        <w:rPr>
          <w:rFonts w:ascii="Times New Roman" w:hAnsi="Times New Roman"/>
          <w:sz w:val="20"/>
        </w:rPr>
      </w:pPr>
      <w:r>
        <w:rPr>
          <w:rFonts w:ascii="Calibri;sans-serif" w:hAnsi="Calibri;sans-serif"/>
          <w:color w:val="000000"/>
          <w:sz w:val="20"/>
        </w:rPr>
        <w:t>Net cash used in investing activities for the six months ended June 30, 2024 and 2023, was related to payments for acquiring property and equipment.</w:t>
      </w:r>
      <w:r>
        <w:rPr>
          <w:rFonts w:ascii="Times New Roman" w:hAnsi="Times New Roman"/>
          <w:color w:val="000000"/>
          <w:sz w:val="20"/>
        </w:rPr>
        <w:t xml:space="preserve"> </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 xml:space="preserve">Financing Activities </w:t>
      </w:r>
    </w:p>
    <w:p>
      <w:pPr>
        <w:pStyle w:val="TextBody"/>
        <w:bidi w:val="0"/>
        <w:jc w:val="left"/>
        <w:rPr/>
      </w:pPr>
      <w:r>
        <w:rPr/>
        <w:t> </w:t>
      </w:r>
    </w:p>
    <w:p>
      <w:pPr>
        <w:pStyle w:val="TextBody"/>
        <w:bidi w:val="0"/>
        <w:jc w:val="left"/>
        <w:rPr>
          <w:rFonts w:ascii="Calibri;sans-serif" w:hAnsi="Calibri;sans-serif"/>
          <w:color w:val="000000"/>
          <w:sz w:val="20"/>
        </w:rPr>
      </w:pPr>
      <w:r>
        <w:rPr>
          <w:rFonts w:ascii="Calibri;sans-serif" w:hAnsi="Calibri;sans-serif"/>
          <w:color w:val="000000"/>
          <w:sz w:val="20"/>
        </w:rPr>
        <w:t>Net cash provided by financing activities for the six months ended June 30, 2024 was $34.7 million related to net proceeds from the issuance of debt under our Hercules Loan Agreement. Net cash provided by financing activities for the six months ended June 30, 2023 was $155.6 million related to net proceeds from the sale of common stock.</w:t>
      </w:r>
    </w:p>
    <w:p>
      <w:pPr>
        <w:pStyle w:val="TextBody"/>
        <w:bidi w:val="0"/>
        <w:spacing w:before="200" w:after="283"/>
        <w:jc w:val="left"/>
        <w:rPr>
          <w:rFonts w:ascii="Calibri;sans-serif" w:hAnsi="Calibri;sans-serif"/>
          <w:b/>
          <w:color w:val="000000"/>
          <w:sz w:val="20"/>
        </w:rPr>
      </w:pPr>
      <w:r>
        <w:rPr>
          <w:rFonts w:ascii="Calibri;sans-serif" w:hAnsi="Calibri;sans-serif"/>
          <w:b/>
          <w:color w:val="000000"/>
          <w:sz w:val="20"/>
        </w:rPr>
        <w:t>Contractual Obligations and Commitments</w:t>
      </w:r>
    </w:p>
    <w:p>
      <w:pPr>
        <w:pStyle w:val="TextBody"/>
        <w:bidi w:val="0"/>
        <w:spacing w:before="200" w:after="283"/>
        <w:jc w:val="left"/>
        <w:rPr>
          <w:rFonts w:ascii="Times New Roman" w:hAnsi="Times New Roman"/>
          <w:sz w:val="20"/>
        </w:rPr>
      </w:pPr>
      <w:r>
        <w:rPr>
          <w:rFonts w:ascii="Calibri;sans-serif" w:hAnsi="Calibri;sans-serif"/>
          <w:color w:val="000000"/>
          <w:sz w:val="20"/>
        </w:rPr>
        <w:t>There were no material changes outside the ordinary course of our business during the six months ended June 30, 2024 to the information regarding our contractual obligations that was disclosed in Management’s Discussion and Analysis of Financial Condition and Results of Operations contained in our 2023 Form 10-K.</w:t>
      </w:r>
      <w:r>
        <w:rPr>
          <w:rFonts w:ascii="Times New Roman" w:hAnsi="Times New Roman"/>
          <w:color w:val="000000"/>
          <w:sz w:val="20"/>
        </w:rPr>
        <w:t xml:space="preserve"> </w:t>
      </w:r>
    </w:p>
    <w:p>
      <w:pPr>
        <w:pStyle w:val="TextBody"/>
        <w:bidi w:val="0"/>
        <w:spacing w:before="200" w:after="283"/>
        <w:jc w:val="left"/>
        <w:rPr>
          <w:rFonts w:ascii="Calibri;sans-serif" w:hAnsi="Calibri;sans-serif"/>
          <w:b/>
          <w:color w:val="000000"/>
          <w:sz w:val="20"/>
        </w:rPr>
      </w:pPr>
      <w:r>
        <w:rPr>
          <w:rFonts w:ascii="Calibri;sans-serif" w:hAnsi="Calibri;sans-serif"/>
          <w:b/>
          <w:color w:val="000000"/>
          <w:sz w:val="20"/>
        </w:rPr>
        <w:t>Critical Accounting Policies and Significant Judgments and Estimates</w:t>
      </w:r>
    </w:p>
    <w:p>
      <w:pPr>
        <w:pStyle w:val="TextBody"/>
        <w:bidi w:val="0"/>
        <w:spacing w:before="200" w:after="283"/>
        <w:jc w:val="left"/>
        <w:rPr>
          <w:rFonts w:ascii="Times New Roman" w:hAnsi="Times New Roman"/>
          <w:sz w:val="20"/>
        </w:rPr>
      </w:pPr>
      <w:r>
        <w:rPr>
          <w:rFonts w:ascii="Calibri;sans-serif" w:hAnsi="Calibri;sans-serif"/>
          <w:color w:val="000000"/>
          <w:sz w:val="20"/>
        </w:rPr>
        <w:t>Our management’s discussion and analysis of our financial condition and results of operations is based on our financial statements, which have been prepared in accordance with generally accepted accounting principles in the United States, or GAAP. The preparation of our financial statements requires us to make estimates and assumptions that affect the reported amounts of</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assets, liabilities, revenues and expenses and the disclosure of contingent assets and liabilities in our financial statements and accompanying notes.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For a description of our critical accounting policies, please see the section entitled “Management’s Discussion and Analysis of Financial Condition and Results of Operations — Critical Accounting Policies and Significant Judgments and Estimates” contained in our 2023 Form 10-K. There have not been any material changes to the critical accounting policies discussed therein during the six months ended June 30, 2024.</w:t>
      </w:r>
    </w:p>
    <w:p>
      <w:pPr>
        <w:pStyle w:val="TextBody"/>
        <w:bidi w:val="0"/>
        <w:spacing w:before="200" w:after="283"/>
        <w:jc w:val="left"/>
        <w:rPr>
          <w:rFonts w:ascii="Calibri;sans-serif" w:hAnsi="Calibri;sans-serif"/>
          <w:b/>
          <w:color w:val="000000"/>
          <w:sz w:val="20"/>
        </w:rPr>
      </w:pPr>
      <w:r>
        <w:rPr>
          <w:rFonts w:ascii="Calibri;sans-serif" w:hAnsi="Calibri;sans-serif"/>
          <w:b/>
          <w:color w:val="000000"/>
          <w:sz w:val="20"/>
        </w:rPr>
        <w:t>Other Company Information</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JOBS Act</w:t>
      </w:r>
    </w:p>
    <w:p>
      <w:pPr>
        <w:pStyle w:val="TextBody"/>
        <w:bidi w:val="0"/>
        <w:spacing w:before="200" w:after="283"/>
        <w:jc w:val="left"/>
        <w:rPr>
          <w:rFonts w:ascii="Times New Roman" w:hAnsi="Times New Roman"/>
          <w:sz w:val="20"/>
        </w:rPr>
      </w:pPr>
      <w:r>
        <w:rPr>
          <w:rFonts w:ascii="Calibri;sans-serif" w:hAnsi="Calibri;sans-serif"/>
          <w:color w:val="000000"/>
          <w:sz w:val="20"/>
        </w:rPr>
        <w:t>As an emerging growth company under the Jumpstart Our Business Startups Act of 2012, or the JOBS Act, we can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avail ourselves of this exemption and, therefore, we will be subject to the same new or revised accounting standards as other public companies that are not emerging growth companies. We intend to rely on other exemptions provided by the JOBS Act, including without limitation, not being required to comply with the auditor attestation requirements of Section 404(b) of Sarbanes-Oxley.</w:t>
      </w:r>
      <w:r>
        <w:rPr>
          <w:rFonts w:ascii="Times New Roman" w:hAnsi="Times New Roman"/>
          <w:color w:val="000000"/>
          <w:sz w:val="20"/>
        </w:rPr>
        <w:t xml:space="preserve"> </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We will remain an emerging growth company until the earliest of (i) the last day of the fiscal year following the fifth anniversary of the consummation of our IPO, (ii) the last day of the fiscal year in which we have total annual gross revenue of at least $1.235 billion, (iii) the last day of the fiscal year in which we are deemed to be a “large accelerated filer” as defined in Rule 12b-2 under the Exchange Act, which would occur if the market value of our common stock held by non-affiliates exceeded $700 million as of the last business day of the second fiscal quarter of such year, or (iv) the date on which we have issued more than $1 billion in non-convertible debt securities during the prior three-year period.</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Recent Accounting Pronouncements</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The information required by this item is included in Note 1, Organization, Basis of Presentation and Summary of Significant Accounting Policies included in Part 1, Item 1 of this quarterly report.</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Off-Balance Sheet Arrangements</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During the periods presented we did not have, nor do we currently have, any off-balance sheet arrangements as defined under SEC rules.</w:t>
      </w:r>
    </w:p>
    <w:p>
      <w:pPr>
        <w:pStyle w:val="TextBody"/>
        <w:bidi w:val="0"/>
        <w:spacing w:before="200" w:after="283"/>
        <w:jc w:val="left"/>
        <w:rPr>
          <w:rFonts w:ascii="Calibri;sans-serif" w:hAnsi="Calibri;sans-serif"/>
          <w:b/>
          <w:color w:val="000000"/>
          <w:sz w:val="20"/>
        </w:rPr>
      </w:pPr>
      <w:bookmarkStart w:id="12" w:name="item_3_quantitative_qualitative_disclosu"/>
      <w:bookmarkEnd w:id="12"/>
      <w:r>
        <w:rPr>
          <w:rFonts w:ascii="Calibri;sans-serif" w:hAnsi="Calibri;sans-serif"/>
          <w:b/>
          <w:color w:val="000000"/>
          <w:sz w:val="20"/>
        </w:rPr>
        <w:t>Item 3. Quantitative and Qualitative Disclosures About Market Risk</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As of June 30, 2024, there have been no material changes surrounding our market risk, including interest rate risk, foreign currency exchange risk, and inflation risk, from the discussion provided in “Management’s Discussion and Analysis of Financial Condition and Results of Operations – Quantitative and Qualitative Disclosures About Market Risk” of our 2023 Form 10-K.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bookmarkStart w:id="13" w:name="item_4_controls_procedures"/>
      <w:bookmarkEnd w:id="13"/>
      <w:r>
        <w:rPr>
          <w:rFonts w:ascii="Calibri;sans-serif" w:hAnsi="Calibri;sans-serif"/>
          <w:b/>
          <w:color w:val="000000"/>
          <w:sz w:val="20"/>
        </w:rPr>
        <w:t>Item 4. Controls</w:t>
      </w:r>
      <w:r>
        <w:rPr>
          <w:rFonts w:ascii="Times New Roman" w:hAnsi="Times New Roman"/>
          <w:color w:val="000000"/>
          <w:sz w:val="20"/>
        </w:rPr>
        <w:t xml:space="preserve"> </w:t>
      </w:r>
      <w:r>
        <w:rPr>
          <w:rFonts w:ascii="Calibri;sans-serif" w:hAnsi="Calibri;sans-serif"/>
          <w:b/>
          <w:color w:val="000000"/>
          <w:sz w:val="20"/>
        </w:rPr>
        <w:t>and Procedures</w:t>
      </w:r>
    </w:p>
    <w:p>
      <w:pPr>
        <w:pStyle w:val="TextBody"/>
        <w:bidi w:val="0"/>
        <w:spacing w:before="200" w:after="283"/>
        <w:jc w:val="left"/>
        <w:rPr>
          <w:rFonts w:ascii="Calibri;sans-serif" w:hAnsi="Calibri;sans-serif"/>
          <w:b/>
          <w:color w:val="000000"/>
          <w:sz w:val="20"/>
        </w:rPr>
      </w:pPr>
      <w:r>
        <w:rPr>
          <w:rFonts w:ascii="Calibri;sans-serif" w:hAnsi="Calibri;sans-serif"/>
          <w:b/>
          <w:color w:val="000000"/>
          <w:sz w:val="20"/>
        </w:rPr>
        <w:t>Conclusion Regarding the Effectiveness of Disclosure Controls and Procedures</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We maintain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Based on such evaluation, our principal executive officer and principal financial officer have concluded that as of such date, our disclosure controls and procedures were effective at the reasonable assurance level.</w:t>
      </w:r>
    </w:p>
    <w:p>
      <w:pPr>
        <w:pStyle w:val="TextBody"/>
        <w:bidi w:val="0"/>
        <w:spacing w:before="200" w:after="283"/>
        <w:jc w:val="left"/>
        <w:rPr>
          <w:rFonts w:ascii="Calibri;sans-serif" w:hAnsi="Calibri;sans-serif"/>
          <w:b/>
          <w:color w:val="000000"/>
          <w:sz w:val="20"/>
        </w:rPr>
      </w:pPr>
      <w:r>
        <w:rPr>
          <w:rFonts w:ascii="Calibri;sans-serif" w:hAnsi="Calibri;sans-serif"/>
          <w:b/>
          <w:color w:val="000000"/>
          <w:sz w:val="20"/>
        </w:rPr>
        <w:t>Changes in Internal Control Over Financial Reporting</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There have been no changes in our internal control over financial reporting during our second fiscal quarter ended June 30, 2024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4" w:name="part_ii_or_information"/>
      <w:bookmarkEnd w:id="14"/>
      <w:r>
        <w:rPr>
          <w:rFonts w:ascii="Calibri;sans-serif" w:hAnsi="Calibri;sans-serif"/>
          <w:b/>
          <w:color w:val="000000"/>
          <w:sz w:val="20"/>
        </w:rPr>
        <w:t>PART II. OTHER</w:t>
      </w:r>
      <w:r>
        <w:rPr>
          <w:rFonts w:ascii="Times New Roman" w:hAnsi="Times New Roman"/>
          <w:color w:val="000000"/>
          <w:sz w:val="20"/>
        </w:rPr>
        <w:t xml:space="preserve"> </w:t>
      </w:r>
      <w:r>
        <w:rPr>
          <w:rFonts w:ascii="Calibri;sans-serif" w:hAnsi="Calibri;sans-serif"/>
          <w:b/>
          <w:color w:val="000000"/>
          <w:sz w:val="20"/>
        </w:rPr>
        <w:t>INFORMATION</w:t>
      </w:r>
    </w:p>
    <w:p>
      <w:pPr>
        <w:pStyle w:val="TextBody"/>
        <w:bidi w:val="0"/>
        <w:spacing w:before="200" w:after="283"/>
        <w:jc w:val="left"/>
        <w:rPr>
          <w:rFonts w:ascii="Times New Roman" w:hAnsi="Times New Roman"/>
          <w:sz w:val="20"/>
        </w:rPr>
      </w:pPr>
      <w:bookmarkStart w:id="15" w:name="item_1_legal_proceedings"/>
      <w:bookmarkEnd w:id="15"/>
      <w:r>
        <w:rPr>
          <w:rFonts w:ascii="Calibri;sans-serif" w:hAnsi="Calibri;sans-serif"/>
          <w:b/>
          <w:color w:val="000000"/>
          <w:sz w:val="20"/>
        </w:rPr>
        <w:t>Item 1. Legal</w:t>
      </w:r>
      <w:r>
        <w:rPr>
          <w:rFonts w:ascii="Times New Roman" w:hAnsi="Times New Roman"/>
          <w:color w:val="000000"/>
          <w:sz w:val="20"/>
        </w:rPr>
        <w:t xml:space="preserve"> </w:t>
      </w:r>
      <w:r>
        <w:rPr>
          <w:rFonts w:ascii="Calibri;sans-serif" w:hAnsi="Calibri;sans-serif"/>
          <w:b/>
          <w:color w:val="000000"/>
          <w:sz w:val="20"/>
        </w:rPr>
        <w:t>Proceedings</w:t>
      </w:r>
    </w:p>
    <w:p>
      <w:pPr>
        <w:pStyle w:val="TextBody"/>
        <w:bidi w:val="0"/>
        <w:spacing w:before="200" w:after="283"/>
        <w:jc w:val="left"/>
        <w:rPr>
          <w:rFonts w:ascii="Times New Roman" w:hAnsi="Times New Roman"/>
          <w:sz w:val="20"/>
        </w:rPr>
      </w:pPr>
      <w:r>
        <w:rPr>
          <w:rFonts w:ascii="Calibri;sans-serif" w:hAnsi="Calibri;sans-serif"/>
          <w:color w:val="000000"/>
          <w:sz w:val="20"/>
        </w:rPr>
        <w:t>We are not currently subject to any material legal proceedings. From time to time, we may be involved in legal proceedings or subject to claims incident to the ordinary course of business. Regardless of the outcome, such proceedings or claims can have an adverse impact on us because of defense and settlement costs, diversion of resources and other factors, and there can be no assurances that favorable outcomes will be obtained.</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bookmarkStart w:id="16" w:name="item_1a_risk_factors"/>
      <w:bookmarkEnd w:id="16"/>
      <w:r>
        <w:rPr>
          <w:rFonts w:ascii="Calibri;sans-serif" w:hAnsi="Calibri;sans-serif"/>
          <w:b/>
          <w:color w:val="000000"/>
          <w:sz w:val="20"/>
        </w:rPr>
        <w:t>Item 1A. Risk Factors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There have been no material changes to the risk factors disclosed in Part I, Item 1A, “Risk Factors” of our 2023 Form 10-K.</w:t>
      </w:r>
      <w:r>
        <w:rPr>
          <w:rFonts w:ascii="Times New Roman" w:hAnsi="Times New Roman"/>
          <w:color w:val="000000"/>
          <w:sz w:val="20"/>
        </w:rPr>
        <w:t xml:space="preserve"> </w:t>
      </w:r>
    </w:p>
    <w:p>
      <w:pPr>
        <w:pStyle w:val="TextBody"/>
        <w:bidi w:val="0"/>
        <w:spacing w:before="200" w:after="283"/>
        <w:jc w:val="left"/>
        <w:rPr>
          <w:rFonts w:ascii="Calibri;sans-serif" w:hAnsi="Calibri;sans-serif"/>
          <w:b/>
          <w:color w:val="000000"/>
          <w:sz w:val="20"/>
        </w:rPr>
      </w:pPr>
      <w:bookmarkStart w:id="17" w:name="item_2_unregistered_sales_equity_secur_1"/>
      <w:bookmarkEnd w:id="17"/>
      <w:r>
        <w:rPr>
          <w:rFonts w:ascii="Calibri;sans-serif" w:hAnsi="Calibri;sans-serif"/>
          <w:b/>
          <w:color w:val="000000"/>
          <w:sz w:val="20"/>
        </w:rPr>
        <w:t>Item 2. Unregistered Sales of Equity Securities and Use of Proceeds</w:t>
      </w:r>
    </w:p>
    <w:p>
      <w:pPr>
        <w:pStyle w:val="TextBody"/>
        <w:bidi w:val="0"/>
        <w:spacing w:before="200" w:after="283"/>
        <w:jc w:val="left"/>
        <w:rPr>
          <w:rFonts w:ascii="Calibri;sans-serif" w:hAnsi="Calibri;sans-serif"/>
          <w:b/>
          <w:color w:val="000000"/>
          <w:sz w:val="20"/>
        </w:rPr>
      </w:pPr>
      <w:r>
        <w:rPr>
          <w:rFonts w:ascii="Calibri;sans-serif" w:hAnsi="Calibri;sans-serif"/>
          <w:b/>
          <w:color w:val="000000"/>
          <w:sz w:val="20"/>
        </w:rPr>
        <w:t>Unregistered Sales of Equity Securities</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None.</w:t>
      </w:r>
    </w:p>
    <w:p>
      <w:pPr>
        <w:pStyle w:val="TextBody"/>
        <w:bidi w:val="0"/>
        <w:spacing w:before="200" w:after="283"/>
        <w:jc w:val="left"/>
        <w:rPr>
          <w:rFonts w:ascii="Times New Roman" w:hAnsi="Times New Roman"/>
          <w:sz w:val="20"/>
        </w:rPr>
      </w:pPr>
      <w:r>
        <w:rPr>
          <w:rFonts w:ascii="Calibri;sans-serif" w:hAnsi="Calibri;sans-serif"/>
          <w:b/>
          <w:color w:val="000000"/>
          <w:sz w:val="20"/>
        </w:rPr>
        <w:t>Issuer Repurchases of Equity Securities</w:t>
      </w:r>
      <w:r>
        <w:rPr>
          <w:rFonts w:ascii="Times New Roman" w:hAnsi="Times New Roman"/>
          <w:color w:val="000000"/>
          <w:sz w:val="20"/>
        </w:rPr>
        <w:t xml:space="preserve"> </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None.</w:t>
      </w:r>
    </w:p>
    <w:p>
      <w:pPr>
        <w:pStyle w:val="TextBody"/>
        <w:bidi w:val="0"/>
        <w:spacing w:before="200" w:after="283"/>
        <w:jc w:val="left"/>
        <w:rPr>
          <w:rFonts w:ascii="Calibri;sans-serif" w:hAnsi="Calibri;sans-serif"/>
          <w:b/>
          <w:color w:val="000000"/>
          <w:sz w:val="20"/>
        </w:rPr>
      </w:pPr>
      <w:bookmarkStart w:id="18" w:name="item_3_defaults_upon_senior_securities_1"/>
      <w:bookmarkEnd w:id="18"/>
      <w:r>
        <w:rPr>
          <w:rFonts w:ascii="Calibri;sans-serif" w:hAnsi="Calibri;sans-serif"/>
          <w:b/>
          <w:color w:val="000000"/>
          <w:sz w:val="20"/>
        </w:rPr>
        <w:t>Item 3. Defaults Upon Senior Securities</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Not Applicable.</w:t>
      </w:r>
    </w:p>
    <w:p>
      <w:pPr>
        <w:pStyle w:val="TextBody"/>
        <w:bidi w:val="0"/>
        <w:spacing w:before="200" w:after="283"/>
        <w:jc w:val="left"/>
        <w:rPr>
          <w:rFonts w:ascii="Calibri;sans-serif" w:hAnsi="Calibri;sans-serif"/>
          <w:b/>
          <w:color w:val="000000"/>
          <w:sz w:val="20"/>
        </w:rPr>
      </w:pPr>
      <w:bookmarkStart w:id="19" w:name="item_4_mine_safety_disclosures_1"/>
      <w:bookmarkEnd w:id="19"/>
      <w:r>
        <w:rPr>
          <w:rFonts w:ascii="Calibri;sans-serif" w:hAnsi="Calibri;sans-serif"/>
          <w:b/>
          <w:color w:val="000000"/>
          <w:sz w:val="20"/>
        </w:rPr>
        <w:t>Item 4. Mine Safety Disclosures</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Not Applicable.</w:t>
      </w:r>
    </w:p>
    <w:p>
      <w:pPr>
        <w:pStyle w:val="TextBody"/>
        <w:bidi w:val="0"/>
        <w:spacing w:before="200" w:after="283"/>
        <w:jc w:val="left"/>
        <w:rPr>
          <w:rFonts w:ascii="Times New Roman" w:hAnsi="Times New Roman"/>
          <w:sz w:val="20"/>
        </w:rPr>
      </w:pPr>
      <w:bookmarkStart w:id="20" w:name="item_5_or_information_1"/>
      <w:bookmarkEnd w:id="20"/>
      <w:r>
        <w:rPr>
          <w:rFonts w:ascii="Calibri;sans-serif" w:hAnsi="Calibri;sans-serif"/>
          <w:b/>
          <w:color w:val="000000"/>
          <w:sz w:val="20"/>
        </w:rPr>
        <w:t>Item 5. Other</w:t>
      </w:r>
      <w:r>
        <w:rPr>
          <w:rFonts w:ascii="Times New Roman" w:hAnsi="Times New Roman"/>
          <w:color w:val="000000"/>
          <w:sz w:val="20"/>
        </w:rPr>
        <w:t xml:space="preserve"> </w:t>
      </w:r>
      <w:r>
        <w:rPr>
          <w:rFonts w:ascii="Calibri;sans-serif" w:hAnsi="Calibri;sans-serif"/>
          <w:b/>
          <w:color w:val="000000"/>
          <w:sz w:val="20"/>
        </w:rPr>
        <w:t>Information</w:t>
      </w:r>
    </w:p>
    <w:p>
      <w:pPr>
        <w:pStyle w:val="TextBody"/>
        <w:bidi w:val="0"/>
        <w:spacing w:before="200" w:after="283"/>
        <w:jc w:val="left"/>
        <w:rPr>
          <w:rFonts w:ascii="Times New Roman" w:hAnsi="Times New Roman"/>
          <w:sz w:val="20"/>
        </w:rPr>
      </w:pPr>
      <w:r>
        <w:rPr>
          <w:rFonts w:ascii="Calibri;sans-serif" w:hAnsi="Calibri;sans-serif"/>
          <w:b/>
          <w:color w:val="000000"/>
          <w:sz w:val="20"/>
        </w:rPr>
        <w:t>Director and Officer Trading Arrangements: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b/>
          <w:i/>
          <w:color w:val="000000"/>
          <w:sz w:val="20"/>
        </w:rPr>
        <w:t>Rule 10b5-1 Trading Plans</w:t>
      </w:r>
      <w:r>
        <w:rPr>
          <w:rFonts w:ascii="Times New Roman" w:hAnsi="Times New Roman"/>
          <w:color w:val="000000"/>
          <w:sz w:val="20"/>
        </w:rPr>
        <w:t xml:space="preserve"> </w:t>
      </w:r>
    </w:p>
    <w:p>
      <w:pPr>
        <w:pStyle w:val="TextBody"/>
        <w:bidi w:val="0"/>
        <w:spacing w:before="200" w:after="120"/>
        <w:jc w:val="left"/>
        <w:rPr>
          <w:rFonts w:ascii="Times New Roman" w:hAnsi="Times New Roman"/>
          <w:sz w:val="20"/>
        </w:rPr>
      </w:pPr>
      <w:r>
        <w:rPr>
          <w:rFonts w:ascii="Calibri;sans-serif" w:hAnsi="Calibri;sans-serif"/>
          <w:color w:val="000000"/>
          <w:sz w:val="20"/>
        </w:rPr>
        <w:t>From time to time, our officers (as defined in Rule 16a-1(f) of the Exchange Act) and directors may enter into Rule 10b5-1 or non-Rule 10b5-1 trading arrangements (as each such term is defined in Item 408 of Regulation S-K). During the three months ended June 30, 2024, none of our officers or directors adopted, modified</w:t>
      </w:r>
      <w:r>
        <w:rPr>
          <w:rFonts w:ascii="Times New Roman" w:hAnsi="Times New Roman"/>
          <w:color w:val="000000"/>
          <w:sz w:val="20"/>
        </w:rPr>
        <w:t xml:space="preserve"> </w:t>
      </w:r>
      <w:r>
        <w:rPr>
          <w:rFonts w:ascii="Calibri;sans-serif" w:hAnsi="Calibri;sans-serif"/>
          <w:color w:val="000000"/>
          <w:sz w:val="20"/>
        </w:rPr>
        <w:t>or terminated</w:t>
      </w:r>
      <w:r>
        <w:rPr>
          <w:rFonts w:ascii="Times New Roman" w:hAnsi="Times New Roman"/>
          <w:color w:val="000000"/>
          <w:sz w:val="20"/>
        </w:rPr>
        <w:t xml:space="preserve"> </w:t>
      </w:r>
      <w:r>
        <w:rPr>
          <w:rFonts w:ascii="Calibri;sans-serif" w:hAnsi="Calibri;sans-serif"/>
          <w:color w:val="000000"/>
          <w:sz w:val="20"/>
        </w:rPr>
        <w:t>any such trading arrangements.</w:t>
      </w:r>
    </w:p>
    <w:p>
      <w:pPr>
        <w:pStyle w:val="TextBody"/>
        <w:bidi w:val="0"/>
        <w:spacing w:before="20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Calibri;sans-serif" w:hAnsi="Calibri;sans-serif"/>
          <w:b/>
          <w:color w:val="000000"/>
          <w:sz w:val="20"/>
        </w:rPr>
      </w:pPr>
      <w:bookmarkStart w:id="21" w:name="item_6_exhibits_1"/>
      <w:bookmarkEnd w:id="21"/>
      <w:r>
        <w:rPr>
          <w:rFonts w:ascii="Calibri;sans-serif" w:hAnsi="Calibri;sans-serif"/>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1"/>
        <w:gridCol w:w="146"/>
        <w:gridCol w:w="6112"/>
        <w:gridCol w:w="146"/>
        <w:gridCol w:w="507"/>
        <w:gridCol w:w="146"/>
        <w:gridCol w:w="587"/>
        <w:gridCol w:w="146"/>
        <w:gridCol w:w="706"/>
        <w:gridCol w:w="146"/>
        <w:gridCol w:w="842"/>
      </w:tblGrid>
      <w:tr>
        <w:trPr/>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r>
      <w:tr>
        <w:trPr/>
        <w:tc>
          <w:tcPr>
            <w:tcW w:w="7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92" w:type="dxa"/>
            <w:gridSpan w:val="5"/>
            <w:tcBorders>
              <w:bottom w:val="single" w:sz="4" w:space="0" w:color="000000"/>
            </w:tcBorders>
            <w:tcMar>
              <w:top w:w="0" w:type="dxa"/>
              <w:left w:w="0" w:type="dxa"/>
              <w:right w:w="0" w:type="dxa"/>
            </w:tcMar>
            <w:vAlign w:val="center"/>
          </w:tcPr>
          <w:p>
            <w:pPr>
              <w:pStyle w:val="TableContents"/>
              <w:bidi w:val="0"/>
              <w:spacing w:before="0" w:after="283"/>
              <w:jc w:val="center"/>
              <w:rPr>
                <w:rFonts w:ascii="Calibri;sans-serif" w:hAnsi="Calibri;sans-serif"/>
                <w:b/>
                <w:color w:val="000000"/>
                <w:sz w:val="18"/>
              </w:rPr>
            </w:pPr>
            <w:r>
              <w:rPr>
                <w:rFonts w:ascii="Calibri;sans-serif" w:hAnsi="Calibri;sans-serif"/>
                <w:b/>
                <w:color w:val="000000"/>
                <w:sz w:val="18"/>
              </w:rPr>
              <w:t>Incorporated by Reference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left"/>
              <w:rPr/>
            </w:pPr>
            <w:r>
              <w:rPr/>
              <w:t> </w:t>
            </w:r>
          </w:p>
        </w:tc>
      </w:tr>
      <w:tr>
        <w:trPr/>
        <w:tc>
          <w:tcPr>
            <w:tcW w:w="721" w:type="dxa"/>
            <w:tcBorders>
              <w:bottom w:val="single" w:sz="4" w:space="0" w:color="000000"/>
            </w:tcBorders>
            <w:tcMar>
              <w:top w:w="0" w:type="dxa"/>
              <w:left w:w="0" w:type="dxa"/>
              <w:right w:w="0" w:type="dxa"/>
            </w:tcMar>
            <w:vAlign w:val="center"/>
          </w:tcPr>
          <w:p>
            <w:pPr>
              <w:pStyle w:val="TableContents"/>
              <w:bidi w:val="0"/>
              <w:jc w:val="center"/>
              <w:rPr>
                <w:rFonts w:ascii="Calibri;sans-serif" w:hAnsi="Calibri;sans-serif"/>
                <w:b/>
                <w:color w:val="000000"/>
                <w:sz w:val="18"/>
              </w:rPr>
            </w:pPr>
            <w:r>
              <w:rPr>
                <w:rFonts w:ascii="Calibri;sans-serif" w:hAnsi="Calibri;sans-serif"/>
                <w:b/>
                <w:color w:val="000000"/>
                <w:sz w:val="18"/>
              </w:rPr>
              <w:t>Exhibit</w:t>
            </w:r>
          </w:p>
          <w:p>
            <w:pPr>
              <w:pStyle w:val="TableContents"/>
              <w:bidi w:val="0"/>
              <w:spacing w:before="0" w:after="283"/>
              <w:jc w:val="center"/>
              <w:rPr>
                <w:rFonts w:ascii="Calibri;sans-serif" w:hAnsi="Calibri;sans-serif"/>
                <w:b/>
                <w:color w:val="000000"/>
                <w:sz w:val="18"/>
              </w:rPr>
            </w:pPr>
            <w:r>
              <w:rPr>
                <w:rFonts w:ascii="Calibri;sans-serif" w:hAnsi="Calibri;sans-serif"/>
                <w:b/>
                <w:color w:val="000000"/>
                <w:sz w:val="18"/>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11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Calibri;sans-serif" w:hAnsi="Calibri;sans-serif"/>
                <w:b/>
                <w:color w:val="000000"/>
                <w:sz w:val="18"/>
              </w:rPr>
            </w:pPr>
            <w:r>
              <w:rPr>
                <w:rFonts w:ascii="Calibri;sans-serif" w:hAnsi="Calibri;sans-serif"/>
                <w:b/>
                <w:color w:val="000000"/>
                <w:sz w:val="18"/>
              </w:rPr>
              <w:t>Exhibit 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0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Calibri;sans-serif" w:hAnsi="Calibri;sans-serif"/>
                <w:b/>
                <w:color w:val="000000"/>
                <w:sz w:val="18"/>
              </w:rPr>
            </w:pPr>
            <w:r>
              <w:rPr>
                <w:rFonts w:ascii="Calibri;sans-serif" w:hAnsi="Calibri;sans-serif"/>
                <w:b/>
                <w:color w:val="000000"/>
                <w:sz w:val="18"/>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Calibri;sans-serif" w:hAnsi="Calibri;sans-serif"/>
                <w:b/>
                <w:color w:val="000000"/>
                <w:sz w:val="18"/>
              </w:rPr>
            </w:pPr>
            <w:r>
              <w:rPr>
                <w:rFonts w:ascii="Calibri;sans-serif" w:hAnsi="Calibri;sans-serif"/>
                <w:b/>
                <w:color w:val="000000"/>
                <w:sz w:val="18"/>
              </w:rPr>
              <w:t>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Calibri;sans-serif" w:hAnsi="Calibri;sans-serif"/>
                <w:b/>
                <w:color w:val="000000"/>
                <w:sz w:val="18"/>
              </w:rPr>
            </w:pPr>
            <w:r>
              <w:rPr>
                <w:rFonts w:ascii="Calibri;sans-serif" w:hAnsi="Calibri;sans-serif"/>
                <w:b/>
                <w:color w:val="000000"/>
                <w:sz w:val="18"/>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tcMar>
              <w:top w:w="0" w:type="dxa"/>
              <w:left w:w="0" w:type="dxa"/>
              <w:right w:w="0" w:type="dxa"/>
            </w:tcMar>
            <w:vAlign w:val="center"/>
          </w:tcPr>
          <w:p>
            <w:pPr>
              <w:pStyle w:val="TableContents"/>
              <w:bidi w:val="0"/>
              <w:jc w:val="center"/>
              <w:rPr>
                <w:rFonts w:ascii="Calibri;sans-serif" w:hAnsi="Calibri;sans-serif"/>
                <w:b/>
                <w:color w:val="000000"/>
                <w:sz w:val="18"/>
              </w:rPr>
            </w:pPr>
            <w:r>
              <w:rPr>
                <w:rFonts w:ascii="Calibri;sans-serif" w:hAnsi="Calibri;sans-serif"/>
                <w:b/>
                <w:color w:val="000000"/>
                <w:sz w:val="18"/>
              </w:rPr>
              <w:t>Filed</w:t>
            </w:r>
          </w:p>
          <w:p>
            <w:pPr>
              <w:pStyle w:val="TableContents"/>
              <w:bidi w:val="0"/>
              <w:spacing w:before="0" w:after="283"/>
              <w:jc w:val="center"/>
              <w:rPr>
                <w:rFonts w:ascii="Calibri;sans-serif" w:hAnsi="Calibri;sans-serif"/>
                <w:b/>
                <w:color w:val="000000"/>
                <w:sz w:val="18"/>
              </w:rPr>
            </w:pPr>
            <w:r>
              <w:rPr>
                <w:rFonts w:ascii="Calibri;sans-serif" w:hAnsi="Calibri;sans-serif"/>
                <w:b/>
                <w:color w:val="000000"/>
                <w:sz w:val="18"/>
              </w:rPr>
              <w:t>Herewith</w:t>
            </w:r>
          </w:p>
        </w:tc>
      </w:tr>
      <w:tr>
        <w:trPr/>
        <w:tc>
          <w:tcPr>
            <w:tcW w:w="721"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3.1</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hyperlink r:id="rId2">
              <w:r>
                <w:rPr>
                  <w:rStyle w:val="InternetLink"/>
                  <w:rFonts w:ascii="Calibri;sans-serif" w:hAnsi="Calibri;sans-serif"/>
                  <w:color w:val="0000FF"/>
                  <w:sz w:val="18"/>
                  <w:u w:val="single"/>
                </w:rPr>
                <w:t>Amended and Restated Certificate of Incorporation</w:t>
              </w:r>
            </w:hyperlink>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8-K</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10/29/19</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3.1</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3.2</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hyperlink r:id="rId3">
              <w:r>
                <w:rPr>
                  <w:rStyle w:val="InternetLink"/>
                  <w:rFonts w:ascii="Calibri;sans-serif" w:hAnsi="Calibri;sans-serif"/>
                  <w:color w:val="0000FF"/>
                  <w:sz w:val="18"/>
                  <w:u w:val="single"/>
                </w:rPr>
                <w:t>Certificate of Amendment to Amended and Restated Certificate of Incorporation, as filed with the Secretary of the State of Delaware on May 26, 2023</w:t>
              </w:r>
            </w:hyperlink>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8-K</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5/30/23</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3.1</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3.3</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hyperlink r:id="rId4">
              <w:r>
                <w:rPr>
                  <w:rStyle w:val="InternetLink"/>
                  <w:rFonts w:ascii="Calibri;sans-serif" w:hAnsi="Calibri;sans-serif"/>
                  <w:color w:val="0000FF"/>
                  <w:sz w:val="18"/>
                  <w:u w:val="single"/>
                </w:rPr>
                <w:t>Amended and Restated Bylaws, effective as of December 13, 2023</w:t>
              </w:r>
            </w:hyperlink>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8-K</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12/15/23</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3.1</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4.1</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hyperlink r:id="rId5">
              <w:r>
                <w:rPr>
                  <w:rStyle w:val="InternetLink"/>
                  <w:rFonts w:ascii="Calibri;sans-serif" w:hAnsi="Calibri;sans-serif"/>
                  <w:color w:val="0000FF"/>
                  <w:sz w:val="18"/>
                  <w:u w:val="single"/>
                </w:rPr>
                <w:t>Form of Common Stock Certificate</w:t>
              </w:r>
            </w:hyperlink>
            <w:r>
              <w:rPr>
                <w:rFonts w:ascii="Times New Roman" w:hAnsi="Times New Roman"/>
                <w:color w:val="000000"/>
                <w:sz w:val="18"/>
              </w:rPr>
              <w:t xml:space="preserve"> </w:t>
            </w:r>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S-1/A</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10/15/19</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4.1</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4.2</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hyperlink r:id="rId6">
              <w:r>
                <w:rPr>
                  <w:rStyle w:val="InternetLink"/>
                  <w:rFonts w:ascii="Calibri;sans-serif" w:hAnsi="Calibri;sans-serif"/>
                  <w:color w:val="0000FF"/>
                  <w:sz w:val="18"/>
                  <w:u w:val="single"/>
                </w:rPr>
                <w:t>Warrant to purchase stock issued to Silicon Valley Bank, dated May 14, 2019</w:t>
              </w:r>
            </w:hyperlink>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S-1</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9/30/19</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4.3</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4.3</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hyperlink r:id="rId7">
              <w:r>
                <w:rPr>
                  <w:rStyle w:val="InternetLink"/>
                  <w:rFonts w:ascii="Calibri;sans-serif" w:hAnsi="Calibri;sans-serif"/>
                  <w:color w:val="0000FF"/>
                  <w:sz w:val="18"/>
                  <w:u w:val="single"/>
                </w:rPr>
                <w:t>Warrant to purchase stock issued to WestRiver Innovation Lending Fund VIII, L.P., dated May 14, 2019</w:t>
              </w:r>
            </w:hyperlink>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S-1</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9/30/19</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4.4</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4.4</w:t>
            </w:r>
          </w:p>
        </w:tc>
        <w:tc>
          <w:tcPr>
            <w:tcW w:w="146" w:type="dxa"/>
            <w:tcBorders/>
            <w:vAlign w:val="center"/>
          </w:tcPr>
          <w:p>
            <w:pPr>
              <w:pStyle w:val="TableContents"/>
              <w:bidi w:val="0"/>
              <w:spacing w:before="0" w:after="283"/>
              <w:jc w:val="center"/>
              <w:rPr/>
            </w:pPr>
            <w:r>
              <w:rPr/>
              <w:t> </w:t>
            </w:r>
          </w:p>
        </w:tc>
        <w:tc>
          <w:tcPr>
            <w:tcW w:w="6112" w:type="dxa"/>
            <w:tcBorders/>
            <w:vAlign w:val="center"/>
          </w:tcPr>
          <w:p>
            <w:pPr>
              <w:pStyle w:val="TableContents"/>
              <w:bidi w:val="0"/>
              <w:spacing w:before="0" w:after="283"/>
              <w:jc w:val="left"/>
              <w:rPr/>
            </w:pPr>
            <w:hyperlink r:id="rId8">
              <w:r>
                <w:rPr>
                  <w:rStyle w:val="InternetLink"/>
                  <w:rFonts w:ascii="Calibri;sans-serif" w:hAnsi="Calibri;sans-serif"/>
                  <w:color w:val="0000FF"/>
                  <w:sz w:val="18"/>
                  <w:u w:val="single"/>
                </w:rPr>
                <w:t>Warrant to purchase stock issued to Hercules Capital, dated September 17, 2021</w:t>
              </w:r>
            </w:hyperlink>
          </w:p>
        </w:tc>
        <w:tc>
          <w:tcPr>
            <w:tcW w:w="146" w:type="dxa"/>
            <w:tcBorders/>
            <w:vAlign w:val="center"/>
          </w:tcPr>
          <w:p>
            <w:pPr>
              <w:pStyle w:val="TableContents"/>
              <w:bidi w:val="0"/>
              <w:spacing w:before="0" w:after="283"/>
              <w:jc w:val="center"/>
              <w:rPr/>
            </w:pPr>
            <w:r>
              <w:rPr/>
              <w:t> </w:t>
            </w:r>
          </w:p>
        </w:tc>
        <w:tc>
          <w:tcPr>
            <w:tcW w:w="507"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10-Q</w:t>
            </w:r>
          </w:p>
        </w:tc>
        <w:tc>
          <w:tcPr>
            <w:tcW w:w="146" w:type="dxa"/>
            <w:tcBorders/>
            <w:vAlign w:val="center"/>
          </w:tcPr>
          <w:p>
            <w:pPr>
              <w:pStyle w:val="TableContents"/>
              <w:bidi w:val="0"/>
              <w:spacing w:before="0" w:after="283"/>
              <w:jc w:val="center"/>
              <w:rPr/>
            </w:pPr>
            <w:r>
              <w:rPr/>
              <w:t> </w:t>
            </w:r>
          </w:p>
        </w:tc>
        <w:tc>
          <w:tcPr>
            <w:tcW w:w="587"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11/8/21</w:t>
            </w:r>
          </w:p>
        </w:tc>
        <w:tc>
          <w:tcPr>
            <w:tcW w:w="146" w:type="dxa"/>
            <w:tcBorders/>
            <w:vAlign w:val="center"/>
          </w:tcPr>
          <w:p>
            <w:pPr>
              <w:pStyle w:val="TableContents"/>
              <w:bidi w:val="0"/>
              <w:spacing w:before="0" w:after="283"/>
              <w:jc w:val="center"/>
              <w:rPr/>
            </w:pPr>
            <w:r>
              <w:rPr/>
              <w:t> </w:t>
            </w:r>
          </w:p>
        </w:tc>
        <w:tc>
          <w:tcPr>
            <w:tcW w:w="706"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10.2</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4.5</w:t>
            </w:r>
          </w:p>
        </w:tc>
        <w:tc>
          <w:tcPr>
            <w:tcW w:w="146" w:type="dxa"/>
            <w:tcBorders/>
            <w:vAlign w:val="center"/>
          </w:tcPr>
          <w:p>
            <w:pPr>
              <w:pStyle w:val="TableContents"/>
              <w:bidi w:val="0"/>
              <w:spacing w:before="0" w:after="283"/>
              <w:jc w:val="center"/>
              <w:rPr/>
            </w:pPr>
            <w:r>
              <w:rPr/>
              <w:t> </w:t>
            </w:r>
          </w:p>
        </w:tc>
        <w:tc>
          <w:tcPr>
            <w:tcW w:w="6112" w:type="dxa"/>
            <w:tcBorders/>
            <w:vAlign w:val="center"/>
          </w:tcPr>
          <w:p>
            <w:pPr>
              <w:pStyle w:val="TableContents"/>
              <w:bidi w:val="0"/>
              <w:spacing w:before="0" w:after="283"/>
              <w:jc w:val="left"/>
              <w:rPr/>
            </w:pPr>
            <w:hyperlink r:id="rId9">
              <w:r>
                <w:rPr>
                  <w:rStyle w:val="InternetLink"/>
                  <w:rFonts w:ascii="Calibri;sans-serif" w:hAnsi="Calibri;sans-serif"/>
                  <w:color w:val="0000FF"/>
                  <w:sz w:val="18"/>
                  <w:u w:val="single"/>
                </w:rPr>
                <w:t>First Amendment to Warrant to purchase stock issued to Hercules Capital, dated May 9, 2023</w:t>
              </w:r>
            </w:hyperlink>
          </w:p>
        </w:tc>
        <w:tc>
          <w:tcPr>
            <w:tcW w:w="146" w:type="dxa"/>
            <w:tcBorders/>
            <w:vAlign w:val="center"/>
          </w:tcPr>
          <w:p>
            <w:pPr>
              <w:pStyle w:val="TableContents"/>
              <w:bidi w:val="0"/>
              <w:spacing w:before="0" w:after="283"/>
              <w:jc w:val="center"/>
              <w:rPr/>
            </w:pPr>
            <w:r>
              <w:rPr/>
              <w:t> </w:t>
            </w:r>
          </w:p>
        </w:tc>
        <w:tc>
          <w:tcPr>
            <w:tcW w:w="507"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10-Q</w:t>
            </w:r>
          </w:p>
        </w:tc>
        <w:tc>
          <w:tcPr>
            <w:tcW w:w="146" w:type="dxa"/>
            <w:tcBorders/>
            <w:vAlign w:val="center"/>
          </w:tcPr>
          <w:p>
            <w:pPr>
              <w:pStyle w:val="TableContents"/>
              <w:bidi w:val="0"/>
              <w:spacing w:before="0" w:after="283"/>
              <w:jc w:val="center"/>
              <w:rPr/>
            </w:pPr>
            <w:r>
              <w:rPr/>
              <w:t> </w:t>
            </w:r>
          </w:p>
        </w:tc>
        <w:tc>
          <w:tcPr>
            <w:tcW w:w="587"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5/10/23</w:t>
            </w:r>
          </w:p>
        </w:tc>
        <w:tc>
          <w:tcPr>
            <w:tcW w:w="146" w:type="dxa"/>
            <w:tcBorders/>
            <w:vAlign w:val="center"/>
          </w:tcPr>
          <w:p>
            <w:pPr>
              <w:pStyle w:val="TableContents"/>
              <w:bidi w:val="0"/>
              <w:spacing w:before="0" w:after="283"/>
              <w:jc w:val="center"/>
              <w:rPr/>
            </w:pPr>
            <w:r>
              <w:rPr/>
              <w:t> </w:t>
            </w:r>
          </w:p>
        </w:tc>
        <w:tc>
          <w:tcPr>
            <w:tcW w:w="706"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4.5</w:t>
            </w:r>
          </w:p>
        </w:tc>
        <w:tc>
          <w:tcPr>
            <w:tcW w:w="146" w:type="dxa"/>
            <w:tcBorders/>
            <w:vAlign w:val="center"/>
          </w:tcPr>
          <w:p>
            <w:pPr>
              <w:pStyle w:val="TableContents"/>
              <w:bidi w:val="0"/>
              <w:spacing w:before="0" w:after="283"/>
              <w:jc w:val="center"/>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4.6</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hyperlink r:id="rId10">
              <w:r>
                <w:rPr>
                  <w:rStyle w:val="InternetLink"/>
                  <w:rFonts w:ascii="Calibri;sans-serif" w:hAnsi="Calibri;sans-serif"/>
                  <w:color w:val="0000FF"/>
                  <w:sz w:val="18"/>
                  <w:u w:val="single"/>
                </w:rPr>
                <w:t>Form of Warrant to purchase stock issuable pursuant to the Loan and Security Agreement, as amended, by and between the Registrant and Hercules Capital, Inc.</w:t>
              </w:r>
            </w:hyperlink>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10-Q</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5/10/23</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4.6</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4.7</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hyperlink r:id="rId11">
              <w:r>
                <w:rPr>
                  <w:rStyle w:val="InternetLink"/>
                  <w:rFonts w:ascii="Calibri;sans-serif" w:hAnsi="Calibri;sans-serif"/>
                  <w:color w:val="0000FF"/>
                  <w:sz w:val="18"/>
                  <w:u w:val="single"/>
                </w:rPr>
                <w:t>Note Purchase Agreement, dated May 7, 2019, by and among the Registrant and the other parties party thereto, as amended</w:t>
              </w:r>
            </w:hyperlink>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S-1/A</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10/15/19</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4.5</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10.1</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hyperlink w:anchor="phat-ex10_1.htm">
              <w:r>
                <w:rPr>
                  <w:rStyle w:val="InternetLink"/>
                  <w:rFonts w:ascii="Calibri;sans-serif" w:hAnsi="Calibri;sans-serif"/>
                  <w:color w:val="0000FF"/>
                  <w:sz w:val="18"/>
                  <w:u w:val="single"/>
                </w:rPr>
                <w:t>Amended and Restated Non-Employee Director Compensation Program</w:t>
              </w:r>
            </w:hyperlink>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X</w:t>
            </w:r>
          </w:p>
        </w:tc>
      </w:tr>
      <w:tr>
        <w:trPr/>
        <w:tc>
          <w:tcPr>
            <w:tcW w:w="72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31.1</w:t>
            </w:r>
          </w:p>
        </w:tc>
        <w:tc>
          <w:tcPr>
            <w:tcW w:w="146" w:type="dxa"/>
            <w:tcBorders/>
            <w:vAlign w:val="center"/>
          </w:tcPr>
          <w:p>
            <w:pPr>
              <w:pStyle w:val="TableContents"/>
              <w:bidi w:val="0"/>
              <w:spacing w:before="0" w:after="283"/>
              <w:jc w:val="left"/>
              <w:rPr>
                <w:sz w:val="4"/>
                <w:szCs w:val="4"/>
              </w:rPr>
            </w:pPr>
            <w:r>
              <w:rPr>
                <w:sz w:val="4"/>
                <w:szCs w:val="4"/>
              </w:rPr>
            </w:r>
          </w:p>
        </w:tc>
        <w:tc>
          <w:tcPr>
            <w:tcW w:w="6112" w:type="dxa"/>
            <w:tcBorders/>
            <w:vAlign w:val="center"/>
          </w:tcPr>
          <w:p>
            <w:pPr>
              <w:pStyle w:val="TableContents"/>
              <w:bidi w:val="0"/>
              <w:spacing w:before="0" w:after="283"/>
              <w:jc w:val="left"/>
              <w:rPr/>
            </w:pPr>
            <w:hyperlink w:anchor="phat-ex31_1.htm">
              <w:r>
                <w:rPr>
                  <w:rStyle w:val="InternetLink"/>
                  <w:rFonts w:ascii="Calibri;sans-serif" w:hAnsi="Calibri;sans-serif"/>
                  <w:color w:val="0000FF"/>
                  <w:sz w:val="18"/>
                  <w:u w:val="single"/>
                </w:rPr>
                <w:t>Certification of Chief Executive Officer of Phathom Pharmaceuticals, Inc., as required by Rule 13a-14(a) or Rule 15d-14(a), as adopted pursuant to Section 302 of the Sarbanes-Oxley Act of 2002</w:t>
              </w:r>
            </w:hyperlink>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X</w:t>
            </w:r>
          </w:p>
        </w:tc>
      </w:tr>
      <w:tr>
        <w:trPr/>
        <w:tc>
          <w:tcPr>
            <w:tcW w:w="72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31.2</w:t>
            </w:r>
          </w:p>
        </w:tc>
        <w:tc>
          <w:tcPr>
            <w:tcW w:w="146" w:type="dxa"/>
            <w:tcBorders/>
            <w:vAlign w:val="center"/>
          </w:tcPr>
          <w:p>
            <w:pPr>
              <w:pStyle w:val="TableContents"/>
              <w:bidi w:val="0"/>
              <w:spacing w:before="0" w:after="283"/>
              <w:jc w:val="left"/>
              <w:rPr>
                <w:sz w:val="4"/>
                <w:szCs w:val="4"/>
              </w:rPr>
            </w:pPr>
            <w:r>
              <w:rPr>
                <w:sz w:val="4"/>
                <w:szCs w:val="4"/>
              </w:rPr>
            </w:r>
          </w:p>
        </w:tc>
        <w:tc>
          <w:tcPr>
            <w:tcW w:w="6112" w:type="dxa"/>
            <w:tcBorders/>
            <w:vAlign w:val="center"/>
          </w:tcPr>
          <w:p>
            <w:pPr>
              <w:pStyle w:val="TableContents"/>
              <w:bidi w:val="0"/>
              <w:spacing w:before="0" w:after="283"/>
              <w:jc w:val="left"/>
              <w:rPr/>
            </w:pPr>
            <w:hyperlink w:anchor="phat-ex31_2.htm">
              <w:r>
                <w:rPr>
                  <w:rStyle w:val="InternetLink"/>
                  <w:rFonts w:ascii="Calibri;sans-serif" w:hAnsi="Calibri;sans-serif"/>
                  <w:color w:val="0000FF"/>
                  <w:sz w:val="18"/>
                  <w:u w:val="single"/>
                </w:rPr>
                <w:t>Certification of Chief Financial Officer of Phathom Pharmaceuticals, Inc., as required by Rule 13a-14(a) or Rule 15d-14(a), as adopted pursuant to Section 302 of the Sarbanes-Oxley Act of 2002</w:t>
              </w:r>
            </w:hyperlink>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X</w:t>
            </w:r>
          </w:p>
        </w:tc>
      </w:tr>
      <w:tr>
        <w:trPr/>
        <w:tc>
          <w:tcPr>
            <w:tcW w:w="72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32.1*</w:t>
            </w:r>
          </w:p>
        </w:tc>
        <w:tc>
          <w:tcPr>
            <w:tcW w:w="146" w:type="dxa"/>
            <w:tcBorders/>
            <w:vAlign w:val="center"/>
          </w:tcPr>
          <w:p>
            <w:pPr>
              <w:pStyle w:val="TableContents"/>
              <w:bidi w:val="0"/>
              <w:spacing w:before="0" w:after="283"/>
              <w:jc w:val="left"/>
              <w:rPr>
                <w:sz w:val="4"/>
                <w:szCs w:val="4"/>
              </w:rPr>
            </w:pPr>
            <w:r>
              <w:rPr>
                <w:sz w:val="4"/>
                <w:szCs w:val="4"/>
              </w:rPr>
            </w:r>
          </w:p>
        </w:tc>
        <w:tc>
          <w:tcPr>
            <w:tcW w:w="6112" w:type="dxa"/>
            <w:tcBorders/>
            <w:vAlign w:val="center"/>
          </w:tcPr>
          <w:p>
            <w:pPr>
              <w:pStyle w:val="TableContents"/>
              <w:bidi w:val="0"/>
              <w:spacing w:before="0" w:after="283"/>
              <w:jc w:val="left"/>
              <w:rPr/>
            </w:pPr>
            <w:hyperlink w:anchor="phat-ex32_1.htm">
              <w:r>
                <w:rPr>
                  <w:rStyle w:val="InternetLink"/>
                  <w:rFonts w:ascii="Calibri;sans-serif" w:hAnsi="Calibri;sans-serif"/>
                  <w:color w:val="0000FF"/>
                  <w:sz w:val="18"/>
                  <w:u w:val="single"/>
                </w:rPr>
                <w:t>Certification of Chief Executive Officer pursuant to Section 906 of the Sarbanes-Oxley Act of 2002</w:t>
              </w:r>
            </w:hyperlink>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X</w:t>
            </w:r>
          </w:p>
        </w:tc>
      </w:tr>
      <w:tr>
        <w:trPr/>
        <w:tc>
          <w:tcPr>
            <w:tcW w:w="72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32.2*</w:t>
            </w:r>
          </w:p>
        </w:tc>
        <w:tc>
          <w:tcPr>
            <w:tcW w:w="146" w:type="dxa"/>
            <w:tcBorders/>
            <w:vAlign w:val="center"/>
          </w:tcPr>
          <w:p>
            <w:pPr>
              <w:pStyle w:val="TableContents"/>
              <w:bidi w:val="0"/>
              <w:spacing w:before="0" w:after="283"/>
              <w:jc w:val="left"/>
              <w:rPr>
                <w:sz w:val="4"/>
                <w:szCs w:val="4"/>
              </w:rPr>
            </w:pPr>
            <w:r>
              <w:rPr>
                <w:sz w:val="4"/>
                <w:szCs w:val="4"/>
              </w:rPr>
            </w:r>
          </w:p>
        </w:tc>
        <w:tc>
          <w:tcPr>
            <w:tcW w:w="6112" w:type="dxa"/>
            <w:tcBorders/>
            <w:vAlign w:val="center"/>
          </w:tcPr>
          <w:p>
            <w:pPr>
              <w:pStyle w:val="TableContents"/>
              <w:bidi w:val="0"/>
              <w:spacing w:before="0" w:after="283"/>
              <w:jc w:val="left"/>
              <w:rPr/>
            </w:pPr>
            <w:hyperlink w:anchor="phat-ex32_2.htm">
              <w:r>
                <w:rPr>
                  <w:rStyle w:val="InternetLink"/>
                  <w:rFonts w:ascii="Calibri;sans-serif" w:hAnsi="Calibri;sans-serif"/>
                  <w:color w:val="0000FF"/>
                  <w:sz w:val="18"/>
                  <w:u w:val="single"/>
                </w:rPr>
                <w:t>Certification of Chief Financial Officer pursuant to Section 906 of the Sarbanes-Oxley Act of 2002</w:t>
              </w:r>
            </w:hyperlink>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X</w:t>
            </w:r>
          </w:p>
        </w:tc>
      </w:tr>
      <w:tr>
        <w:trPr/>
        <w:tc>
          <w:tcPr>
            <w:tcW w:w="7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101.INS</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Inline XBRL Instance Document – the instance document does not appear in the Interactive Data File because XBRL tags are embedded within the Inline XBRL document</w:t>
            </w:r>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X</w:t>
            </w:r>
          </w:p>
        </w:tc>
      </w:tr>
      <w:tr>
        <w:trPr/>
        <w:tc>
          <w:tcPr>
            <w:tcW w:w="72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101.SCH</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Inline XBRL Taxonomy Extension Schema Document</w:t>
            </w:r>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X</w:t>
            </w:r>
          </w:p>
        </w:tc>
      </w:tr>
      <w:tr>
        <w:trPr/>
        <w:tc>
          <w:tcPr>
            <w:tcW w:w="7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104</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Cover Page Interactive Data File (embedded within the Inline XBRL document)</w:t>
            </w:r>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Calibri;sans-serif" w:hAnsi="Calibri;sans-serif"/>
          <w:color w:val="000000"/>
          <w:sz w:val="16"/>
        </w:rPr>
        <w:t>* This certification is deemed not filed for purpose of section 18 of the Exchange Act or otherwise subject to the liability of that section, nor shall it be deemed incorporated by reference into any filing under the Securities Act or the Exchange Act.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Calibri;sans-serif" w:hAnsi="Calibri;sans-serif"/>
          <w:b/>
          <w:color w:val="000000"/>
          <w:sz w:val="20"/>
        </w:rPr>
      </w:pPr>
      <w:bookmarkStart w:id="22" w:name="signatures_1"/>
      <w:bookmarkEnd w:id="22"/>
      <w:r>
        <w:rPr>
          <w:rFonts w:ascii="Calibri;sans-serif" w:hAnsi="Calibri;sans-serif"/>
          <w:b/>
          <w:color w:val="000000"/>
          <w:sz w:val="20"/>
        </w:rPr>
        <w:t>SIGNATURES</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880" w:type="dxa"/>
        <w:jc w:val="left"/>
        <w:tblInd w:w="0" w:type="dxa"/>
        <w:tblLayout w:type="fixed"/>
        <w:tblCellMar>
          <w:top w:w="28" w:type="dxa"/>
          <w:left w:w="28" w:type="dxa"/>
          <w:bottom w:w="28" w:type="dxa"/>
          <w:right w:w="28" w:type="dxa"/>
        </w:tblCellMar>
      </w:tblPr>
      <w:tblGrid>
        <w:gridCol w:w="526"/>
        <w:gridCol w:w="1321"/>
        <w:gridCol w:w="346"/>
        <w:gridCol w:w="146"/>
        <w:gridCol w:w="3541"/>
      </w:tblGrid>
      <w:tr>
        <w:trPr/>
        <w:tc>
          <w:tcPr>
            <w:tcW w:w="52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1" w:type="dxa"/>
            <w:tcBorders/>
            <w:vAlign w:val="center"/>
          </w:tcPr>
          <w:p>
            <w:pPr>
              <w:pStyle w:val="TableContents"/>
              <w:bidi w:val="0"/>
              <w:spacing w:before="0" w:after="283"/>
              <w:jc w:val="left"/>
              <w:rPr>
                <w:sz w:val="4"/>
                <w:szCs w:val="4"/>
              </w:rPr>
            </w:pPr>
            <w:r>
              <w:rPr>
                <w:sz w:val="4"/>
                <w:szCs w:val="4"/>
              </w:rPr>
            </w:r>
          </w:p>
        </w:tc>
      </w:tr>
      <w:tr>
        <w:trPr/>
        <w:tc>
          <w:tcPr>
            <w:tcW w:w="526" w:type="dxa"/>
            <w:tcBorders/>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left"/>
              <w:rPr/>
            </w:pPr>
            <w:r>
              <w:rPr/>
              <w:t> </w:t>
            </w:r>
          </w:p>
        </w:tc>
        <w:tc>
          <w:tcPr>
            <w:tcW w:w="4033" w:type="dxa"/>
            <w:gridSpan w:val="3"/>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PHATHOM PHARMACEUTICALS, INC.</w:t>
            </w:r>
          </w:p>
        </w:tc>
      </w:tr>
      <w:tr>
        <w:trPr/>
        <w:tc>
          <w:tcPr>
            <w:tcW w:w="526" w:type="dxa"/>
            <w:tcBorders/>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41" w:type="dxa"/>
            <w:tcBorders/>
            <w:vAlign w:val="center"/>
          </w:tcPr>
          <w:p>
            <w:pPr>
              <w:pStyle w:val="TableContents"/>
              <w:bidi w:val="0"/>
              <w:spacing w:before="0" w:after="283"/>
              <w:jc w:val="left"/>
              <w:rPr/>
            </w:pPr>
            <w:r>
              <w:rPr/>
              <w:t> </w:t>
            </w:r>
          </w:p>
        </w:tc>
      </w:tr>
      <w:tr>
        <w:trPr/>
        <w:tc>
          <w:tcPr>
            <w:tcW w:w="526"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Date:</w:t>
            </w:r>
          </w:p>
        </w:tc>
        <w:tc>
          <w:tcPr>
            <w:tcW w:w="1321"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August 8, 2024</w:t>
            </w:r>
          </w:p>
        </w:tc>
        <w:tc>
          <w:tcPr>
            <w:tcW w:w="346"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By:</w:t>
            </w:r>
          </w:p>
        </w:tc>
        <w:tc>
          <w:tcPr>
            <w:tcW w:w="146" w:type="dxa"/>
            <w:tcBorders/>
            <w:vAlign w:val="center"/>
          </w:tcPr>
          <w:p>
            <w:pPr>
              <w:pStyle w:val="TableContents"/>
              <w:bidi w:val="0"/>
              <w:spacing w:before="0" w:after="283"/>
              <w:jc w:val="left"/>
              <w:rPr/>
            </w:pPr>
            <w:r>
              <w:rPr/>
              <w:t> </w:t>
            </w:r>
          </w:p>
        </w:tc>
        <w:tc>
          <w:tcPr>
            <w:tcW w:w="354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 Terrie Curran</w:t>
            </w:r>
          </w:p>
        </w:tc>
      </w:tr>
      <w:tr>
        <w:trPr/>
        <w:tc>
          <w:tcPr>
            <w:tcW w:w="526" w:type="dxa"/>
            <w:tcBorders/>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41"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Terrie Curran</w:t>
            </w:r>
          </w:p>
        </w:tc>
      </w:tr>
      <w:tr>
        <w:trPr/>
        <w:tc>
          <w:tcPr>
            <w:tcW w:w="526" w:type="dxa"/>
            <w:tcBorders/>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41"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Chief Executive Officer and Director</w:t>
            </w:r>
          </w:p>
        </w:tc>
      </w:tr>
      <w:tr>
        <w:trPr/>
        <w:tc>
          <w:tcPr>
            <w:tcW w:w="526" w:type="dxa"/>
            <w:tcBorders/>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41"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(Principal Executive Officer)</w:t>
            </w:r>
          </w:p>
        </w:tc>
      </w:tr>
      <w:tr>
        <w:trPr/>
        <w:tc>
          <w:tcPr>
            <w:tcW w:w="526" w:type="dxa"/>
            <w:tcBorders/>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41" w:type="dxa"/>
            <w:tcBorders/>
            <w:vAlign w:val="center"/>
          </w:tcPr>
          <w:p>
            <w:pPr>
              <w:pStyle w:val="TableContents"/>
              <w:bidi w:val="0"/>
              <w:spacing w:before="0" w:after="283"/>
              <w:jc w:val="left"/>
              <w:rPr/>
            </w:pPr>
            <w:r>
              <w:rPr/>
              <w:t> </w:t>
            </w:r>
          </w:p>
        </w:tc>
      </w:tr>
      <w:tr>
        <w:trPr/>
        <w:tc>
          <w:tcPr>
            <w:tcW w:w="526"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Date:</w:t>
            </w:r>
          </w:p>
        </w:tc>
        <w:tc>
          <w:tcPr>
            <w:tcW w:w="1321"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August 8, 2024</w:t>
            </w:r>
          </w:p>
        </w:tc>
        <w:tc>
          <w:tcPr>
            <w:tcW w:w="346"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By:</w:t>
            </w:r>
          </w:p>
        </w:tc>
        <w:tc>
          <w:tcPr>
            <w:tcW w:w="146" w:type="dxa"/>
            <w:tcBorders/>
            <w:vAlign w:val="center"/>
          </w:tcPr>
          <w:p>
            <w:pPr>
              <w:pStyle w:val="TableContents"/>
              <w:bidi w:val="0"/>
              <w:spacing w:before="0" w:after="283"/>
              <w:jc w:val="left"/>
              <w:rPr/>
            </w:pPr>
            <w:r>
              <w:rPr/>
              <w:t> </w:t>
            </w:r>
          </w:p>
        </w:tc>
        <w:tc>
          <w:tcPr>
            <w:tcW w:w="354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 Molly Henderson</w:t>
            </w:r>
          </w:p>
        </w:tc>
      </w:tr>
      <w:tr>
        <w:trPr/>
        <w:tc>
          <w:tcPr>
            <w:tcW w:w="526" w:type="dxa"/>
            <w:tcBorders/>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41"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Molly Henderson</w:t>
            </w:r>
          </w:p>
        </w:tc>
      </w:tr>
      <w:tr>
        <w:trPr/>
        <w:tc>
          <w:tcPr>
            <w:tcW w:w="526" w:type="dxa"/>
            <w:tcBorders/>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41"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Chief Financial and Business Officer</w:t>
            </w:r>
          </w:p>
        </w:tc>
      </w:tr>
      <w:tr>
        <w:trPr/>
        <w:tc>
          <w:tcPr>
            <w:tcW w:w="526" w:type="dxa"/>
            <w:tcBorders/>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41"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(Principal Financial and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phat-ex10_1.htm"/>
      <w:bookmarkStart w:id="24" w:name="ksphatex10_1"/>
      <w:bookmarkEnd w:id="23"/>
      <w:bookmarkEnd w:id="24"/>
      <w:r>
        <w:rPr>
          <w:rFonts w:ascii="Times New Roman" w:hAnsi="Times New Roman"/>
          <w:b/>
          <w:color w:val="000000"/>
          <w:sz w:val="20"/>
        </w:rPr>
        <w:t>Exhibit 10.1</w:t>
      </w:r>
      <w:r>
        <w:br w:type="page"/>
      </w:r>
    </w:p>
    <w:p>
      <w:pPr>
        <w:pStyle w:val="TextBody"/>
        <w:bidi w:val="0"/>
        <w:spacing w:before="80" w:after="283"/>
        <w:jc w:val="center"/>
        <w:rPr>
          <w:rFonts w:ascii="Times New Roman" w:hAnsi="Times New Roman"/>
          <w:b/>
          <w:color w:val="000000"/>
          <w:sz w:val="22"/>
        </w:rPr>
      </w:pPr>
      <w:r>
        <w:rPr>
          <w:rFonts w:ascii="Times New Roman" w:hAnsi="Times New Roman"/>
          <w:b/>
          <w:color w:val="000000"/>
          <w:sz w:val="22"/>
        </w:rPr>
        <w:t>PHATHOM PHARMACEUTICALS, INC.</w:t>
      </w:r>
    </w:p>
    <w:p>
      <w:pPr>
        <w:pStyle w:val="TextBody"/>
        <w:bidi w:val="0"/>
        <w:spacing w:before="252" w:after="283"/>
        <w:jc w:val="center"/>
        <w:rPr>
          <w:rFonts w:ascii="Times New Roman" w:hAnsi="Times New Roman"/>
          <w:b/>
          <w:color w:val="000000"/>
          <w:sz w:val="22"/>
        </w:rPr>
      </w:pPr>
      <w:r>
        <w:rPr>
          <w:rFonts w:ascii="Times New Roman" w:hAnsi="Times New Roman"/>
          <w:b/>
          <w:color w:val="000000"/>
          <w:sz w:val="22"/>
        </w:rPr>
        <w:t>AMENDED AND RESTATED NON-EMPLOYEE DIRECTOR COMPENSATION PROGRAM</w:t>
      </w:r>
    </w:p>
    <w:p>
      <w:pPr>
        <w:pStyle w:val="TextBody"/>
        <w:bidi w:val="0"/>
        <w:jc w:val="center"/>
        <w:rPr>
          <w:rFonts w:ascii="Times New Roman" w:hAnsi="Times New Roman"/>
          <w:b/>
          <w:color w:val="000000"/>
          <w:sz w:val="22"/>
        </w:rPr>
      </w:pPr>
      <w:r>
        <w:rPr>
          <w:rFonts w:ascii="Times New Roman" w:hAnsi="Times New Roman"/>
          <w:b/>
          <w:color w:val="000000"/>
          <w:sz w:val="22"/>
        </w:rPr>
        <w:t>(effective as of May 23, 2024)</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rPr>
        <w:t>Non-employee members of the board of directors (the “</w:t>
      </w:r>
      <w:r>
        <w:rPr>
          <w:rFonts w:ascii="Times New Roman" w:hAnsi="Times New Roman"/>
          <w:b/>
          <w:i/>
          <w:color w:val="000000"/>
          <w:sz w:val="22"/>
        </w:rPr>
        <w:t>Board</w:t>
      </w:r>
      <w:r>
        <w:rPr>
          <w:rFonts w:ascii="Times New Roman" w:hAnsi="Times New Roman"/>
          <w:color w:val="000000"/>
          <w:sz w:val="20"/>
        </w:rPr>
        <w:t>”</w:t>
      </w:r>
      <w:r>
        <w:rPr>
          <w:rFonts w:ascii="Times New Roman" w:hAnsi="Times New Roman"/>
          <w:color w:val="000000"/>
          <w:sz w:val="22"/>
        </w:rPr>
        <w:t>) of Phathom Pharmaceuticals, Inc.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shall receive cash and equity compensation as set forth in this Non-Employee Director Compensation Program (this “</w:t>
      </w:r>
      <w:r>
        <w:rPr>
          <w:rFonts w:ascii="Times New Roman" w:hAnsi="Times New Roman"/>
          <w:b/>
          <w:i/>
          <w:color w:val="000000"/>
          <w:sz w:val="22"/>
        </w:rPr>
        <w:t>Program</w:t>
      </w:r>
      <w:r>
        <w:rPr>
          <w:rFonts w:ascii="Times New Roman" w:hAnsi="Times New Roman"/>
          <w:color w:val="000000"/>
          <w:sz w:val="20"/>
        </w:rPr>
        <w:t>”</w:t>
      </w:r>
      <w:r>
        <w:rPr>
          <w:rFonts w:ascii="Times New Roman" w:hAnsi="Times New Roman"/>
          <w:color w:val="000000"/>
          <w:sz w:val="22"/>
        </w:rPr>
        <w:t>). This Program has been adopted under the Company’s 2019 Incentive Award Plan (the “</w:t>
      </w:r>
      <w:r>
        <w:rPr>
          <w:rFonts w:ascii="Times New Roman" w:hAnsi="Times New Roman"/>
          <w:b/>
          <w:i/>
          <w:color w:val="000000"/>
          <w:sz w:val="22"/>
        </w:rPr>
        <w:t>Equity Plan</w:t>
      </w:r>
      <w:r>
        <w:rPr>
          <w:rFonts w:ascii="Times New Roman" w:hAnsi="Times New Roman"/>
          <w:color w:val="000000"/>
          <w:sz w:val="20"/>
        </w:rPr>
        <w:t>”</w:t>
      </w:r>
      <w:r>
        <w:rPr>
          <w:rFonts w:ascii="Times New Roman" w:hAnsi="Times New Roman"/>
          <w:color w:val="000000"/>
          <w:sz w:val="22"/>
        </w:rPr>
        <w:t>) and shall be effective on the Effective Date. The cash and equity compensation described in this Program shall be paid or be made, as applicable, automatically and without further action of the Board, to each member of the Board who is not an employee of the Company or any parent or subsidiary of the Company (each, a “</w:t>
      </w:r>
      <w:r>
        <w:rPr>
          <w:rFonts w:ascii="Times New Roman" w:hAnsi="Times New Roman"/>
          <w:b/>
          <w:i/>
          <w:color w:val="000000"/>
          <w:sz w:val="22"/>
        </w:rPr>
        <w:t>Non-Employee Director</w:t>
      </w:r>
      <w:r>
        <w:rPr>
          <w:rFonts w:ascii="Times New Roman" w:hAnsi="Times New Roman"/>
          <w:color w:val="000000"/>
          <w:sz w:val="20"/>
        </w:rPr>
        <w:t>”</w:t>
      </w:r>
      <w:r>
        <w:rPr>
          <w:rFonts w:ascii="Times New Roman" w:hAnsi="Times New Roman"/>
          <w:color w:val="000000"/>
          <w:sz w:val="22"/>
        </w:rPr>
        <w:t>) who is entitled to receive such cash or equity compensation, unless such Non-Employee Director declines the receipt of such cash or equity compensation by written notice to the Company. This Program shall remain in effect until it is revised or rescinded by further action of the Board. This Program may be amended, modified or terminated by the Board at any time in its sole discretion. The terms and conditions of this Program shall supersede any prior cash and/or equity compensation arrangements for service as a member of the Board between the Company and any of its Non-Employee Directors. No Non-Employee Director shall have any rights hereunder, except with respect to stock options granted pursuant to the Program. Capitalized terms not otherwise defined herein shall have the meanings ascribed in the Equity Plan.</w:t>
      </w:r>
    </w:p>
    <w:p>
      <w:pPr>
        <w:pStyle w:val="TextBody"/>
        <w:bidi w:val="0"/>
        <w:spacing w:before="240" w:after="283"/>
        <w:jc w:val="left"/>
        <w:rPr>
          <w:rFonts w:ascii="Times New Roman" w:hAnsi="Times New Roman"/>
          <w:color w:val="000000"/>
          <w:sz w:val="22"/>
          <w:u w:val="single"/>
        </w:rPr>
      </w:pPr>
      <w:r>
        <w:rPr>
          <w:rFonts w:ascii="Times New Roman" w:hAnsi="Times New Roman"/>
          <w:color w:val="000000"/>
          <w:sz w:val="22"/>
          <w:u w:val="single"/>
        </w:rPr>
        <w:t>1.</w:t>
      </w:r>
    </w:p>
    <w:p>
      <w:pPr>
        <w:pStyle w:val="TextBody"/>
        <w:bidi w:val="0"/>
        <w:spacing w:before="240" w:after="283"/>
        <w:jc w:val="left"/>
        <w:rPr/>
      </w:pPr>
      <w:r>
        <w:rPr>
          <w:rFonts w:ascii="Times New Roman" w:hAnsi="Times New Roman"/>
          <w:color w:val="000000"/>
          <w:sz w:val="22"/>
          <w:u w:val="single"/>
        </w:rPr>
        <w:t>Cash Compensation</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u w:val="single"/>
        </w:rPr>
      </w:pPr>
      <w:r>
        <w:rPr>
          <w:rFonts w:ascii="Times New Roman" w:hAnsi="Times New Roman"/>
          <w:color w:val="000000"/>
          <w:sz w:val="22"/>
          <w:u w:val="single"/>
        </w:rPr>
        <w:t>(a)</w:t>
      </w:r>
    </w:p>
    <w:p>
      <w:pPr>
        <w:pStyle w:val="TextBody"/>
        <w:bidi w:val="0"/>
        <w:spacing w:before="240" w:after="283"/>
        <w:jc w:val="both"/>
        <w:rPr/>
      </w:pPr>
      <w:r>
        <w:rPr>
          <w:rFonts w:ascii="Times New Roman" w:hAnsi="Times New Roman"/>
          <w:color w:val="000000"/>
          <w:sz w:val="22"/>
          <w:u w:val="single"/>
        </w:rPr>
        <w:t>Annual Retainers</w:t>
      </w:r>
      <w:r>
        <w:rPr>
          <w:rFonts w:ascii="Times New Roman" w:hAnsi="Times New Roman"/>
          <w:color w:val="000000"/>
          <w:sz w:val="22"/>
        </w:rPr>
        <w:t>. Each Non-Employee Director shall receive an annual retainer of $50,000 for service on the Board.</w:t>
      </w:r>
    </w:p>
    <w:p>
      <w:pPr>
        <w:pStyle w:val="TextBody"/>
        <w:bidi w:val="0"/>
        <w:spacing w:before="241" w:after="283"/>
        <w:jc w:val="both"/>
        <w:rPr>
          <w:rFonts w:ascii="Times New Roman" w:hAnsi="Times New Roman"/>
          <w:color w:val="000000"/>
          <w:sz w:val="22"/>
          <w:u w:val="single"/>
        </w:rPr>
      </w:pPr>
      <w:r>
        <w:rPr>
          <w:rFonts w:ascii="Times New Roman" w:hAnsi="Times New Roman"/>
          <w:color w:val="000000"/>
          <w:sz w:val="22"/>
          <w:u w:val="single"/>
        </w:rPr>
        <w:t>(b)</w:t>
      </w:r>
    </w:p>
    <w:p>
      <w:pPr>
        <w:pStyle w:val="TextBody"/>
        <w:bidi w:val="0"/>
        <w:spacing w:before="241" w:after="283"/>
        <w:jc w:val="both"/>
        <w:rPr/>
      </w:pPr>
      <w:r>
        <w:rPr>
          <w:rFonts w:ascii="Times New Roman" w:hAnsi="Times New Roman"/>
          <w:color w:val="000000"/>
          <w:sz w:val="22"/>
          <w:u w:val="single"/>
        </w:rPr>
        <w:t>Additional Annual Retainers</w:t>
      </w:r>
      <w:r>
        <w:rPr>
          <w:rFonts w:ascii="Times New Roman" w:hAnsi="Times New Roman"/>
          <w:color w:val="000000"/>
          <w:sz w:val="22"/>
        </w:rPr>
        <w:t>. In addition, each Non-Employee Director shall receive the following additional annual retainers, as applicable:</w:t>
      </w:r>
    </w:p>
    <w:p>
      <w:pPr>
        <w:pStyle w:val="TextBody"/>
        <w:bidi w:val="0"/>
        <w:spacing w:before="239" w:after="283"/>
        <w:jc w:val="both"/>
        <w:rPr>
          <w:rFonts w:ascii="Times New Roman" w:hAnsi="Times New Roman"/>
          <w:color w:val="000000"/>
          <w:sz w:val="22"/>
          <w:u w:val="single"/>
        </w:rPr>
      </w:pPr>
      <w:r>
        <w:rPr>
          <w:rFonts w:ascii="Times New Roman" w:hAnsi="Times New Roman"/>
          <w:color w:val="000000"/>
          <w:sz w:val="22"/>
          <w:u w:val="single"/>
        </w:rPr>
        <w:t>(i)</w:t>
      </w:r>
    </w:p>
    <w:p>
      <w:pPr>
        <w:pStyle w:val="TextBody"/>
        <w:bidi w:val="0"/>
        <w:spacing w:before="239" w:after="283"/>
        <w:jc w:val="both"/>
        <w:rPr/>
      </w:pPr>
      <w:r>
        <w:rPr>
          <w:rFonts w:ascii="Times New Roman" w:hAnsi="Times New Roman"/>
          <w:color w:val="000000"/>
          <w:sz w:val="22"/>
          <w:u w:val="single"/>
        </w:rPr>
        <w:t>Chairperson of the Board</w:t>
      </w:r>
      <w:r>
        <w:rPr>
          <w:rFonts w:ascii="Times New Roman" w:hAnsi="Times New Roman"/>
          <w:color w:val="000000"/>
          <w:sz w:val="22"/>
        </w:rPr>
        <w:t>. A Non-Employee Director serving as Chairperson of the Board shall receive an additional annual retainer of $40,000 for such service.</w:t>
      </w:r>
    </w:p>
    <w:p>
      <w:pPr>
        <w:pStyle w:val="TextBody"/>
        <w:bidi w:val="0"/>
        <w:spacing w:before="240" w:after="283"/>
        <w:jc w:val="both"/>
        <w:rPr>
          <w:rFonts w:ascii="Times New Roman" w:hAnsi="Times New Roman"/>
          <w:color w:val="000000"/>
          <w:sz w:val="22"/>
          <w:u w:val="single"/>
        </w:rPr>
      </w:pPr>
      <w:r>
        <w:rPr>
          <w:rFonts w:ascii="Times New Roman" w:hAnsi="Times New Roman"/>
          <w:color w:val="000000"/>
          <w:sz w:val="22"/>
          <w:u w:val="single"/>
        </w:rPr>
        <w:t>(ii)</w:t>
      </w:r>
    </w:p>
    <w:p>
      <w:pPr>
        <w:pStyle w:val="TextBody"/>
        <w:bidi w:val="0"/>
        <w:spacing w:before="240" w:after="283"/>
        <w:jc w:val="both"/>
        <w:rPr/>
      </w:pPr>
      <w:r>
        <w:rPr>
          <w:rFonts w:ascii="Times New Roman" w:hAnsi="Times New Roman"/>
          <w:color w:val="000000"/>
          <w:sz w:val="22"/>
          <w:u w:val="single"/>
        </w:rPr>
        <w:t>Audit Committee</w:t>
      </w:r>
      <w:r>
        <w:rPr>
          <w:rFonts w:ascii="Times New Roman" w:hAnsi="Times New Roman"/>
          <w:color w:val="000000"/>
          <w:sz w:val="22"/>
        </w:rPr>
        <w:t>. A Non-Employee Director serving as Chairperson of the Audit Committee shall receive an additional annual retainer of $20,000 for such service. A Non- Employee Director serving as a member of the Audit Committee (other than the Chairperson) shall receive an additional annual retainer of $10,000 for such service.</w:t>
      </w:r>
    </w:p>
    <w:p>
      <w:pPr>
        <w:pStyle w:val="TextBody"/>
        <w:bidi w:val="0"/>
        <w:spacing w:before="240" w:after="283"/>
        <w:jc w:val="both"/>
        <w:rPr>
          <w:rFonts w:ascii="Times New Roman" w:hAnsi="Times New Roman"/>
          <w:color w:val="000000"/>
          <w:sz w:val="22"/>
          <w:u w:val="single"/>
        </w:rPr>
      </w:pPr>
      <w:r>
        <w:rPr>
          <w:rFonts w:ascii="Times New Roman" w:hAnsi="Times New Roman"/>
          <w:color w:val="000000"/>
          <w:sz w:val="22"/>
          <w:u w:val="single"/>
        </w:rPr>
        <w:t>(iii)</w:t>
      </w:r>
    </w:p>
    <w:p>
      <w:pPr>
        <w:pStyle w:val="TextBody"/>
        <w:bidi w:val="0"/>
        <w:spacing w:before="240" w:after="283"/>
        <w:jc w:val="both"/>
        <w:rPr/>
      </w:pPr>
      <w:r>
        <w:rPr>
          <w:rFonts w:ascii="Times New Roman" w:hAnsi="Times New Roman"/>
          <w:color w:val="000000"/>
          <w:sz w:val="22"/>
          <w:u w:val="single"/>
        </w:rPr>
        <w:t>Compensation Committee</w:t>
      </w:r>
      <w:r>
        <w:rPr>
          <w:rFonts w:ascii="Times New Roman" w:hAnsi="Times New Roman"/>
          <w:color w:val="000000"/>
          <w:sz w:val="22"/>
        </w:rPr>
        <w:t>. A Non-Employee Director serving as Chairperson of the Compensation Committee shall receive an additional annual retainer of $15,000 for such service. A Non-Employee Director serving as a member of the Compensation Committee (other than the Chairperson) shall receive an additional annual retainer of $7,500 for such service.</w:t>
      </w:r>
    </w:p>
    <w:p>
      <w:pPr>
        <w:pStyle w:val="TextBody"/>
        <w:bidi w:val="0"/>
        <w:spacing w:before="240" w:after="283"/>
        <w:jc w:val="both"/>
        <w:rPr>
          <w:rFonts w:ascii="Times New Roman" w:hAnsi="Times New Roman"/>
          <w:color w:val="000000"/>
          <w:sz w:val="22"/>
          <w:u w:val="single"/>
        </w:rPr>
      </w:pPr>
      <w:r>
        <w:rPr>
          <w:rFonts w:ascii="Times New Roman" w:hAnsi="Times New Roman"/>
          <w:color w:val="000000"/>
          <w:sz w:val="22"/>
          <w:u w:val="single"/>
        </w:rPr>
        <w:t>(iv)</w:t>
      </w:r>
    </w:p>
    <w:p>
      <w:pPr>
        <w:pStyle w:val="TextBody"/>
        <w:bidi w:val="0"/>
        <w:spacing w:before="240" w:after="283"/>
        <w:jc w:val="both"/>
        <w:rPr/>
      </w:pPr>
      <w:r>
        <w:rPr>
          <w:rFonts w:ascii="Times New Roman" w:hAnsi="Times New Roman"/>
          <w:color w:val="000000"/>
          <w:sz w:val="22"/>
          <w:u w:val="single"/>
        </w:rPr>
        <w:t>Nominating and Corporate Governance Committee</w:t>
      </w:r>
      <w:r>
        <w:rPr>
          <w:rFonts w:ascii="Times New Roman" w:hAnsi="Times New Roman"/>
          <w:color w:val="000000"/>
          <w:sz w:val="22"/>
        </w:rPr>
        <w:t>. A Non-Employee Director serving as Chairperson of the Nominating and Corporate Governance Committee shall receive an additional annual retainer of $10,000 for such service. A Non-Employee Director serving as a member of the Nominating and Corporate Governance Committee (other than the Chairperson) shall receive an additional annual retainer of $5,000 for such service.</w:t>
      </w:r>
    </w:p>
    <w:p>
      <w:pPr>
        <w:pStyle w:val="TextBody"/>
        <w:bidi w:val="0"/>
        <w:spacing w:before="240" w:after="283"/>
        <w:jc w:val="both"/>
        <w:rPr>
          <w:rFonts w:ascii="Times New Roman" w:hAnsi="Times New Roman"/>
          <w:color w:val="000000"/>
          <w:sz w:val="22"/>
          <w:u w:val="single"/>
        </w:rPr>
      </w:pPr>
      <w:r>
        <w:rPr>
          <w:rFonts w:ascii="Times New Roman" w:hAnsi="Times New Roman"/>
          <w:color w:val="000000"/>
          <w:sz w:val="22"/>
          <w:u w:val="single"/>
        </w:rPr>
        <w:t>(c)</w:t>
      </w:r>
    </w:p>
    <w:p>
      <w:pPr>
        <w:pStyle w:val="TextBody"/>
        <w:bidi w:val="0"/>
        <w:spacing w:before="240" w:after="283"/>
        <w:jc w:val="both"/>
        <w:rPr/>
      </w:pPr>
      <w:r>
        <w:rPr>
          <w:rFonts w:ascii="Times New Roman" w:hAnsi="Times New Roman"/>
          <w:color w:val="000000"/>
          <w:sz w:val="22"/>
          <w:u w:val="single"/>
        </w:rPr>
        <w:t>Payment of Retainers</w:t>
      </w:r>
      <w:r>
        <w:rPr>
          <w:rFonts w:ascii="Times New Roman" w:hAnsi="Times New Roman"/>
          <w:color w:val="000000"/>
          <w:sz w:val="22"/>
        </w:rPr>
        <w:t>. The annual retainers described in Sections 1(a) and 1(b) shall be earned on a quarterly basis based on a calendar quarter and shall be paid by the Company in arrears on a semi-annual basis not later than the forty-fifth day following the end of every other calendar quarter</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(i.e., August 15 and February 15). In the event a Non-Employee Director does not serve as a Non-Employee Director, or in the applicable positions described in Section 1(b), for an entire calendar quarter, the retainer paid to such Non-Employee Director shall be prorated for the portion of such calendar quarter actually served as a Non-Employee Director, or in such position, as applicable.</w:t>
      </w:r>
    </w:p>
    <w:p>
      <w:pPr>
        <w:pStyle w:val="TextBody"/>
        <w:bidi w:val="0"/>
        <w:spacing w:before="252" w:after="283"/>
        <w:jc w:val="both"/>
        <w:rPr>
          <w:rFonts w:ascii="Times New Roman" w:hAnsi="Times New Roman"/>
          <w:color w:val="000000"/>
          <w:sz w:val="22"/>
          <w:u w:val="single"/>
        </w:rPr>
      </w:pPr>
      <w:r>
        <w:rPr>
          <w:rFonts w:ascii="Times New Roman" w:hAnsi="Times New Roman"/>
          <w:color w:val="000000"/>
          <w:sz w:val="22"/>
          <w:u w:val="single"/>
        </w:rPr>
        <w:t>2.</w:t>
      </w:r>
    </w:p>
    <w:p>
      <w:pPr>
        <w:pStyle w:val="TextBody"/>
        <w:bidi w:val="0"/>
        <w:spacing w:before="252" w:after="283"/>
        <w:jc w:val="both"/>
        <w:rPr/>
      </w:pPr>
      <w:r>
        <w:rPr>
          <w:rFonts w:ascii="Times New Roman" w:hAnsi="Times New Roman"/>
          <w:color w:val="000000"/>
          <w:sz w:val="22"/>
          <w:u w:val="single"/>
        </w:rPr>
        <w:t>Equity Compensation</w:t>
      </w:r>
      <w:r>
        <w:rPr>
          <w:rFonts w:ascii="Times New Roman" w:hAnsi="Times New Roman"/>
          <w:color w:val="000000"/>
          <w:sz w:val="22"/>
        </w:rPr>
        <w:t>. Non-Employee Directors shall be granted the equity awards described below. The awards described below shall be granted under and shall be subject to the terms and provisions of the Equity Plan, or any other applicable Company equity incentive plan then-maintained by the Company, and shall be granted subject to the execution and delivery of award agreements, including attached exhibits, in substantially the forms previously approved by the Board. All applicable terms of the Equity Plan apply to this Program as if fully set forth herein, and all grants of stock options hereby are subject in all respects to the terms of the Equity Plan and the applicable award agreement. For the avoidance of doubt, the share numbers in this Program already give effect to the forward stock split of the Company’s common stock to be effected by the Company in connection with its initial public offering.</w:t>
      </w:r>
    </w:p>
    <w:p>
      <w:pPr>
        <w:pStyle w:val="TextBody"/>
        <w:bidi w:val="0"/>
        <w:spacing w:before="240" w:after="283"/>
        <w:jc w:val="both"/>
        <w:rPr>
          <w:rFonts w:ascii="Times New Roman" w:hAnsi="Times New Roman"/>
          <w:color w:val="000000"/>
          <w:sz w:val="22"/>
          <w:u w:val="single"/>
        </w:rPr>
      </w:pPr>
      <w:r>
        <w:rPr>
          <w:rFonts w:ascii="Times New Roman" w:hAnsi="Times New Roman"/>
          <w:color w:val="000000"/>
          <w:sz w:val="22"/>
          <w:u w:val="single"/>
        </w:rPr>
        <w:t>(a)</w:t>
      </w:r>
    </w:p>
    <w:p>
      <w:pPr>
        <w:pStyle w:val="TextBody"/>
        <w:bidi w:val="0"/>
        <w:spacing w:before="240" w:after="283"/>
        <w:jc w:val="both"/>
        <w:rPr/>
      </w:pPr>
      <w:r>
        <w:rPr>
          <w:rFonts w:ascii="Times New Roman" w:hAnsi="Times New Roman"/>
          <w:color w:val="000000"/>
          <w:sz w:val="22"/>
          <w:u w:val="single"/>
        </w:rPr>
        <w:t>Initial Awards</w:t>
      </w:r>
      <w:r>
        <w:rPr>
          <w:rFonts w:ascii="Times New Roman" w:hAnsi="Times New Roman"/>
          <w:color w:val="000000"/>
          <w:sz w:val="22"/>
        </w:rPr>
        <w:t>. Each Non-Employee Director who is initially elected or appointed to the Board after the Effective Date shall receive (i) an option under the Equity Plan, or any other applicable Company equity incentive plan then-maintained by the Company, to purchase 35,000 shares of the Company’s common stock, and (ii) 21,000 Restricted Stock Units, on the date of such initial election or appointment. The awards described in this Section 2(a) shall be referred to as “</w:t>
      </w:r>
      <w:r>
        <w:rPr>
          <w:rFonts w:ascii="Times New Roman" w:hAnsi="Times New Roman"/>
          <w:b/>
          <w:i/>
          <w:color w:val="000000"/>
          <w:sz w:val="22"/>
        </w:rPr>
        <w:t>Initial Awards</w:t>
      </w:r>
      <w:r>
        <w:rPr>
          <w:rFonts w:ascii="Times New Roman" w:hAnsi="Times New Roman"/>
          <w:color w:val="000000"/>
          <w:sz w:val="22"/>
        </w:rPr>
        <w:t>.” No Non- Employee Director shall be granted more than one Initial Award.</w:t>
      </w:r>
    </w:p>
    <w:p>
      <w:pPr>
        <w:pStyle w:val="TextBody"/>
        <w:bidi w:val="0"/>
        <w:spacing w:before="240" w:after="283"/>
        <w:jc w:val="both"/>
        <w:rPr>
          <w:rFonts w:ascii="Times New Roman" w:hAnsi="Times New Roman"/>
          <w:color w:val="000000"/>
          <w:sz w:val="22"/>
          <w:u w:val="single"/>
        </w:rPr>
      </w:pPr>
      <w:r>
        <w:rPr>
          <w:rFonts w:ascii="Times New Roman" w:hAnsi="Times New Roman"/>
          <w:color w:val="000000"/>
          <w:sz w:val="22"/>
          <w:u w:val="single"/>
        </w:rPr>
        <w:t>(b)</w:t>
      </w:r>
    </w:p>
    <w:p>
      <w:pPr>
        <w:pStyle w:val="TextBody"/>
        <w:bidi w:val="0"/>
        <w:spacing w:before="240" w:after="283"/>
        <w:jc w:val="both"/>
        <w:rPr/>
      </w:pPr>
      <w:r>
        <w:rPr>
          <w:rFonts w:ascii="Times New Roman" w:hAnsi="Times New Roman"/>
          <w:color w:val="000000"/>
          <w:sz w:val="22"/>
          <w:u w:val="single"/>
        </w:rPr>
        <w:t>Subsequent Awards</w:t>
      </w:r>
      <w:r>
        <w:rPr>
          <w:rFonts w:ascii="Times New Roman" w:hAnsi="Times New Roman"/>
          <w:color w:val="000000"/>
          <w:sz w:val="22"/>
        </w:rPr>
        <w:t>. A Non-Employee Director who (i) is serving on the Board as of the date of any annual meeting of the Company’s stockholders after the Effective Date and has been serving as a Non-Employee Director for at least six months as of the date of such meeting, and (ii) will continue to serve as a Non-Employee Director immediately following such meeting, shall be automatically granted (i) an option under the Equity Plan, or any other applicable Company equity incentive plan then- maintained by the Company, to purchase 17,500 of the Company’s common stock on the date of such annual meeting and 10,500 Restricted Stock Units. The awards described in this Section 2(b) shall be referred to as “</w:t>
      </w:r>
      <w:r>
        <w:rPr>
          <w:rFonts w:ascii="Times New Roman" w:hAnsi="Times New Roman"/>
          <w:b/>
          <w:i/>
          <w:color w:val="000000"/>
          <w:sz w:val="22"/>
        </w:rPr>
        <w:t>Subsequent Awards</w:t>
      </w:r>
      <w:r>
        <w:rPr>
          <w:rFonts w:ascii="Times New Roman" w:hAnsi="Times New Roman"/>
          <w:color w:val="000000"/>
          <w:sz w:val="22"/>
        </w:rPr>
        <w:t>.” For the avoidance of doubt, a Non-Employee Director elected for the first time to the Board at an annual meeting of the Company’s stockholders shall only receive an Initial Award in connection with such election, and shall not receive any Subsequent Award on the date of such meeting as well.</w:t>
      </w:r>
    </w:p>
    <w:p>
      <w:pPr>
        <w:pStyle w:val="TextBody"/>
        <w:bidi w:val="0"/>
        <w:jc w:val="left"/>
        <w:rPr/>
      </w:pPr>
      <w:r>
        <w:rPr/>
        <w:t> </w:t>
      </w:r>
    </w:p>
    <w:p>
      <w:pPr>
        <w:pStyle w:val="TextBody"/>
        <w:bidi w:val="0"/>
        <w:spacing w:before="0" w:after="0"/>
        <w:jc w:val="both"/>
        <w:rPr>
          <w:rFonts w:ascii="Times New Roman" w:hAnsi="Times New Roman"/>
          <w:color w:val="000000"/>
          <w:sz w:val="22"/>
          <w:u w:val="single"/>
        </w:rPr>
      </w:pPr>
      <w:r>
        <w:rPr>
          <w:rFonts w:ascii="Times New Roman" w:hAnsi="Times New Roman"/>
          <w:color w:val="000000"/>
          <w:sz w:val="22"/>
          <w:u w:val="single"/>
        </w:rPr>
        <w:t>(c)</w:t>
      </w:r>
    </w:p>
    <w:p>
      <w:pPr>
        <w:pStyle w:val="TextBody"/>
        <w:bidi w:val="0"/>
        <w:spacing w:before="0" w:after="0"/>
        <w:jc w:val="both"/>
        <w:rPr/>
      </w:pPr>
      <w:r>
        <w:rPr>
          <w:rFonts w:ascii="Times New Roman" w:hAnsi="Times New Roman"/>
          <w:color w:val="000000"/>
          <w:sz w:val="22"/>
          <w:u w:val="single"/>
        </w:rPr>
        <w:t>Termination of Employment of Employee Directors</w:t>
      </w:r>
      <w:r>
        <w:rPr>
          <w:rFonts w:ascii="Times New Roman" w:hAnsi="Times New Roman"/>
          <w:color w:val="000000"/>
          <w:sz w:val="22"/>
        </w:rPr>
        <w:t>. Members of the Board who are employees of the Company or any parent or subsidiary of the Company who subsequently terminate their employment with the Company and any parent or subsidiary of the Company and remain on the Board will not receive an Initial Award pursuant to Section 2(a) above, but to the extent that they are otherwise entitled, will receive, after termination from employment with the Company and any parent or subsidiary of the Company, Subsequent Awards as described in Section 2(b) above.</w:t>
      </w:r>
    </w:p>
    <w:p>
      <w:pPr>
        <w:pStyle w:val="TextBody"/>
        <w:bidi w:val="0"/>
        <w:spacing w:before="240" w:after="283"/>
        <w:jc w:val="left"/>
        <w:rPr>
          <w:rFonts w:ascii="Times New Roman" w:hAnsi="Times New Roman"/>
          <w:color w:val="000000"/>
          <w:sz w:val="22"/>
          <w:u w:val="single"/>
        </w:rPr>
      </w:pPr>
      <w:r>
        <w:rPr>
          <w:rFonts w:ascii="Times New Roman" w:hAnsi="Times New Roman"/>
          <w:color w:val="000000"/>
          <w:sz w:val="22"/>
          <w:u w:val="single"/>
        </w:rPr>
        <w:t>(d)</w:t>
      </w:r>
    </w:p>
    <w:p>
      <w:pPr>
        <w:pStyle w:val="TextBody"/>
        <w:bidi w:val="0"/>
        <w:spacing w:before="240" w:after="283"/>
        <w:jc w:val="left"/>
        <w:rPr>
          <w:rFonts w:ascii="Times New Roman" w:hAnsi="Times New Roman"/>
          <w:color w:val="000000"/>
          <w:sz w:val="22"/>
          <w:u w:val="single"/>
        </w:rPr>
      </w:pPr>
      <w:r>
        <w:rPr>
          <w:rFonts w:ascii="Times New Roman" w:hAnsi="Times New Roman"/>
          <w:color w:val="000000"/>
          <w:sz w:val="22"/>
          <w:u w:val="single"/>
        </w:rPr>
        <w:t>Terms of Awards Granted to Non-Employee Directors</w:t>
      </w:r>
    </w:p>
    <w:p>
      <w:pPr>
        <w:pStyle w:val="TextBody"/>
        <w:bidi w:val="0"/>
        <w:spacing w:before="241" w:after="283"/>
        <w:jc w:val="both"/>
        <w:rPr>
          <w:rFonts w:ascii="Times New Roman" w:hAnsi="Times New Roman"/>
          <w:color w:val="000000"/>
          <w:sz w:val="22"/>
          <w:u w:val="single"/>
        </w:rPr>
      </w:pPr>
      <w:r>
        <w:rPr>
          <w:rFonts w:ascii="Times New Roman" w:hAnsi="Times New Roman"/>
          <w:color w:val="000000"/>
          <w:sz w:val="22"/>
          <w:u w:val="single"/>
        </w:rPr>
        <w:t>(i)</w:t>
      </w:r>
    </w:p>
    <w:p>
      <w:pPr>
        <w:pStyle w:val="TextBody"/>
        <w:bidi w:val="0"/>
        <w:spacing w:before="241" w:after="283"/>
        <w:jc w:val="both"/>
        <w:rPr/>
      </w:pPr>
      <w:r>
        <w:rPr>
          <w:rFonts w:ascii="Times New Roman" w:hAnsi="Times New Roman"/>
          <w:color w:val="000000"/>
          <w:sz w:val="22"/>
          <w:u w:val="single"/>
        </w:rPr>
        <w:t>Purchase Price</w:t>
      </w:r>
      <w:r>
        <w:rPr>
          <w:rFonts w:ascii="Times New Roman" w:hAnsi="Times New Roman"/>
          <w:color w:val="000000"/>
          <w:sz w:val="22"/>
        </w:rPr>
        <w:t>. The per share exercise price of each option granted to a Non-Employee Director shall equal the Fair Market Value of a share of common stock on the date the option is granted.</w:t>
      </w:r>
    </w:p>
    <w:p>
      <w:pPr>
        <w:pStyle w:val="TextBody"/>
        <w:bidi w:val="0"/>
        <w:spacing w:before="239" w:after="283"/>
        <w:jc w:val="both"/>
        <w:rPr>
          <w:rFonts w:ascii="Times New Roman" w:hAnsi="Times New Roman"/>
          <w:color w:val="000000"/>
          <w:sz w:val="22"/>
          <w:u w:val="single"/>
        </w:rPr>
      </w:pPr>
      <w:r>
        <w:rPr>
          <w:rFonts w:ascii="Times New Roman" w:hAnsi="Times New Roman"/>
          <w:color w:val="000000"/>
          <w:sz w:val="22"/>
          <w:u w:val="single"/>
        </w:rPr>
        <w:t>(ii)</w:t>
      </w:r>
    </w:p>
    <w:p>
      <w:pPr>
        <w:pStyle w:val="TextBody"/>
        <w:bidi w:val="0"/>
        <w:spacing w:before="239" w:after="283"/>
        <w:jc w:val="both"/>
        <w:rPr/>
      </w:pPr>
      <w:r>
        <w:rPr>
          <w:rFonts w:ascii="Times New Roman" w:hAnsi="Times New Roman"/>
          <w:color w:val="000000"/>
          <w:sz w:val="22"/>
          <w:u w:val="single"/>
        </w:rPr>
        <w:t>Vesting</w:t>
      </w:r>
      <w:r>
        <w:rPr>
          <w:rFonts w:ascii="Times New Roman" w:hAnsi="Times New Roman"/>
          <w:color w:val="000000"/>
          <w:sz w:val="22"/>
        </w:rPr>
        <w:t>. One-third of each Initial Award shall vest and become exercisable on the one (1)-year anniversary of the date of grant, and the remainder will vest in substantially equal quarterly installments over the twenty-four (24) months following the date of grant, subject to the Non-Employee Director continuing in service on the Board through each such vesting date. Each</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Subsequent Award shall vest and/or become exercisable on the first to occur of (A) the first anniversary of the date of grant or (B) the next occurring annual meeting of the Company's stockholders, subject to the Non-Employee Director continuing in service on the Board through such vesting date. Unless the Board otherwise determines, no portion of an Initial Award or Subsequent Award which is unvested and/or exercisable at the time of a Non-Employee Director’s termination of service on the Board shall become vested and/or exercisable thereafter. Upon a Change in Control, all outstanding equity awards granted under the Equity Plan, and any other equity incentive plan maintained by the Company, that are held by a Non-Employee Director shall become fully vested and/or exercisable, irrespective of any other provisions of the Plan or any award agreement.</w:t>
      </w:r>
    </w:p>
    <w:p>
      <w:pPr>
        <w:pStyle w:val="TextBody"/>
        <w:bidi w:val="0"/>
        <w:spacing w:before="239" w:after="283"/>
        <w:jc w:val="left"/>
        <w:rPr>
          <w:rFonts w:ascii="Times New Roman" w:hAnsi="Times New Roman"/>
          <w:color w:val="000000"/>
          <w:sz w:val="22"/>
          <w:u w:val="single"/>
        </w:rPr>
      </w:pPr>
      <w:r>
        <w:rPr>
          <w:rFonts w:ascii="Times New Roman" w:hAnsi="Times New Roman"/>
          <w:color w:val="000000"/>
          <w:sz w:val="22"/>
          <w:u w:val="single"/>
        </w:rPr>
        <w:t>(iii)</w:t>
      </w:r>
    </w:p>
    <w:p>
      <w:pPr>
        <w:pStyle w:val="TextBody"/>
        <w:bidi w:val="0"/>
        <w:spacing w:before="239" w:after="283"/>
        <w:jc w:val="left"/>
        <w:rPr/>
      </w:pPr>
      <w:r>
        <w:rPr>
          <w:rFonts w:ascii="Times New Roman" w:hAnsi="Times New Roman"/>
          <w:color w:val="000000"/>
          <w:sz w:val="22"/>
          <w:u w:val="single"/>
        </w:rPr>
        <w:t>Term</w:t>
      </w:r>
      <w:r>
        <w:rPr>
          <w:rFonts w:ascii="Times New Roman" w:hAnsi="Times New Roman"/>
          <w:color w:val="000000"/>
          <w:sz w:val="22"/>
        </w:rPr>
        <w:t>. The term of each stock option granted to a Non-Employee Director shall be ten (10) years from the date the option is granted.</w:t>
      </w:r>
    </w:p>
    <w:p>
      <w:pPr>
        <w:pStyle w:val="TextBody"/>
        <w:bidi w:val="0"/>
        <w:spacing w:before="241" w:after="283"/>
        <w:jc w:val="both"/>
        <w:rPr>
          <w:rFonts w:ascii="Times New Roman" w:hAnsi="Times New Roman"/>
          <w:color w:val="000000"/>
          <w:sz w:val="22"/>
          <w:u w:val="single"/>
        </w:rPr>
      </w:pPr>
      <w:r>
        <w:rPr>
          <w:rFonts w:ascii="Times New Roman" w:hAnsi="Times New Roman"/>
          <w:color w:val="000000"/>
          <w:sz w:val="22"/>
          <w:u w:val="single"/>
        </w:rPr>
        <w:t>3.</w:t>
      </w:r>
    </w:p>
    <w:p>
      <w:pPr>
        <w:pStyle w:val="TextBody"/>
        <w:bidi w:val="0"/>
        <w:spacing w:before="241" w:after="283"/>
        <w:jc w:val="both"/>
        <w:rPr/>
      </w:pPr>
      <w:r>
        <w:rPr>
          <w:rFonts w:ascii="Times New Roman" w:hAnsi="Times New Roman"/>
          <w:color w:val="000000"/>
          <w:sz w:val="22"/>
          <w:u w:val="single"/>
        </w:rPr>
        <w:t>Compensation Limits</w:t>
      </w:r>
      <w:r>
        <w:rPr>
          <w:rFonts w:ascii="Times New Roman" w:hAnsi="Times New Roman"/>
          <w:color w:val="000000"/>
          <w:sz w:val="22"/>
        </w:rPr>
        <w:t>. Notwithstanding anything to the contrary in this Program, all compensation payable under this Program will be subject to any limits on the maximum amount of Non- Employee Director compensation set forth in the Equity Plan, as in effect from time to time.</w:t>
      </w:r>
    </w:p>
    <w:p>
      <w:pPr>
        <w:pStyle w:val="TextBody"/>
        <w:bidi w:val="0"/>
        <w:spacing w:before="239" w:after="283"/>
        <w:jc w:val="both"/>
        <w:rPr>
          <w:rFonts w:ascii="Times New Roman" w:hAnsi="Times New Roman"/>
          <w:color w:val="000000"/>
          <w:sz w:val="22"/>
          <w:u w:val="single"/>
        </w:rPr>
      </w:pPr>
      <w:r>
        <w:rPr>
          <w:rFonts w:ascii="Times New Roman" w:hAnsi="Times New Roman"/>
          <w:color w:val="000000"/>
          <w:sz w:val="22"/>
          <w:u w:val="single"/>
        </w:rPr>
        <w:t>4.</w:t>
      </w:r>
    </w:p>
    <w:p>
      <w:pPr>
        <w:pStyle w:val="TextBody"/>
        <w:bidi w:val="0"/>
        <w:spacing w:before="239" w:after="283"/>
        <w:jc w:val="both"/>
        <w:rPr/>
      </w:pPr>
      <w:r>
        <w:rPr>
          <w:rFonts w:ascii="Times New Roman" w:hAnsi="Times New Roman"/>
          <w:color w:val="000000"/>
          <w:sz w:val="22"/>
          <w:u w:val="single"/>
        </w:rPr>
        <w:t>Reimbursements</w:t>
      </w:r>
      <w:r>
        <w:rPr>
          <w:rFonts w:ascii="Times New Roman" w:hAnsi="Times New Roman"/>
          <w:color w:val="000000"/>
          <w:sz w:val="22"/>
        </w:rPr>
        <w:t>. The Company shall reimburse each Non-Employee Director for all reasonable, documented, out-of-pocket travel and other business expenses incurred by such Non-Employee Director in the performance of his or her duties to the Company in accordance with the Company’s applicable expense reimbursement policies and procedures as in effect from time to time.</w:t>
      </w:r>
    </w:p>
    <w:p>
      <w:pPr>
        <w:pStyle w:val="TextBody"/>
        <w:bidi w:val="0"/>
        <w:spacing w:before="241" w:after="283"/>
        <w:jc w:val="center"/>
        <w:rPr>
          <w:rFonts w:ascii="Times New Roman" w:hAnsi="Times New Roman"/>
          <w:color w:val="000000"/>
          <w:sz w:val="24"/>
        </w:rPr>
      </w:pPr>
      <w:r>
        <w:rPr>
          <w:rFonts w:ascii="Times New Roman" w:hAnsi="Times New Roman"/>
          <w:color w:val="000000"/>
          <w:sz w:val="24"/>
        </w:rPr>
        <w:t>* * * *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bookmarkStart w:id="25" w:name="phat-ex31_1.htm"/>
      <w:bookmarkStart w:id="26" w:name="ksphatex31_1"/>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CHIEF EXECUTIVE OFFICER PURSUANT TO</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I, Terrie Curran, certify that:</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1.</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I have reviewed this Quarterly Report on Form 10-Q of Phathom Pharmaceuticals, Inc.</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2.</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3.</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4.</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a)</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b)</w:t>
      </w:r>
    </w:p>
    <w:p>
      <w:pPr>
        <w:pStyle w:val="TextBody"/>
        <w:bidi w:val="0"/>
        <w:spacing w:before="240" w:after="283"/>
        <w:jc w:val="left"/>
        <w:rPr/>
      </w:pPr>
      <w:r>
        <w:rPr>
          <w:rFonts w:ascii="Times New Roman" w:hAnsi="Times New Roman"/>
          <w:color w:val="000000"/>
          <w:sz w:val="19"/>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hAnsi="Times New Roman"/>
          <w:color w:val="010000"/>
          <w:sz w:val="19"/>
        </w:rPr>
        <w:t>;</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c)</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d)</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5.</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a)</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b)</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057" w:type="dxa"/>
        <w:jc w:val="left"/>
        <w:tblInd w:w="0" w:type="dxa"/>
        <w:tblLayout w:type="fixed"/>
        <w:tblCellMar>
          <w:top w:w="28" w:type="dxa"/>
          <w:left w:w="28" w:type="dxa"/>
          <w:bottom w:w="28" w:type="dxa"/>
          <w:right w:w="28" w:type="dxa"/>
        </w:tblCellMar>
      </w:tblPr>
      <w:tblGrid>
        <w:gridCol w:w="1846"/>
        <w:gridCol w:w="3211"/>
      </w:tblGrid>
      <w:tr>
        <w:trPr/>
        <w:tc>
          <w:tcPr>
            <w:tcW w:w="18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ind w:left="0" w:right="0" w:firstLine="154"/>
              <w:jc w:val="left"/>
              <w:rPr>
                <w:sz w:val="4"/>
                <w:szCs w:val="4"/>
              </w:rPr>
            </w:pPr>
            <w:r>
              <w:rPr>
                <w:sz w:val="4"/>
                <w:szCs w:val="4"/>
              </w:rPr>
            </w:r>
          </w:p>
        </w:tc>
      </w:tr>
      <w:tr>
        <w:trPr/>
        <w:tc>
          <w:tcPr>
            <w:tcW w:w="1846" w:type="dxa"/>
            <w:tcBorders/>
            <w:vAlign w:val="center"/>
          </w:tcPr>
          <w:p>
            <w:pPr>
              <w:pStyle w:val="TableContents"/>
              <w:pBdr/>
              <w:bidi w:val="0"/>
              <w:spacing w:before="0" w:after="283"/>
              <w:ind w:left="0" w:right="0" w:hanging="154"/>
              <w:jc w:val="left"/>
              <w:rPr>
                <w:rFonts w:ascii="Times New Roman" w:hAnsi="Times New Roman"/>
                <w:color w:val="000000"/>
                <w:sz w:val="19"/>
              </w:rPr>
            </w:pPr>
            <w:r>
              <w:rPr>
                <w:rFonts w:ascii="Times New Roman" w:hAnsi="Times New Roman"/>
                <w:color w:val="000000"/>
                <w:sz w:val="19"/>
              </w:rPr>
              <w:t>Date: August 8, 2024</w:t>
            </w:r>
          </w:p>
        </w:tc>
        <w:tc>
          <w:tcPr>
            <w:tcW w:w="321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 Terrie Curran</w:t>
            </w:r>
          </w:p>
        </w:tc>
      </w:tr>
      <w:tr>
        <w:trPr/>
        <w:tc>
          <w:tcPr>
            <w:tcW w:w="18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Terrie Curran</w:t>
            </w:r>
          </w:p>
        </w:tc>
      </w:tr>
      <w:tr>
        <w:trPr/>
        <w:tc>
          <w:tcPr>
            <w:tcW w:w="18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jc w:val="left"/>
              <w:rPr>
                <w:rFonts w:ascii="Times New Roman" w:hAnsi="Times New Roman"/>
                <w:color w:val="000000"/>
                <w:sz w:val="19"/>
              </w:rPr>
            </w:pPr>
            <w:r>
              <w:rPr>
                <w:rFonts w:ascii="Times New Roman" w:hAnsi="Times New Roman"/>
                <w:color w:val="000000"/>
                <w:sz w:val="19"/>
              </w:rPr>
              <w:t>Chief Executive Officer and President</w:t>
            </w:r>
          </w:p>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phat-ex31_2.htm"/>
      <w:bookmarkStart w:id="28" w:name="ksphatex31_2"/>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CHIEF FINANCIAL OFFICER PURSUANT TO</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I, Molly Henderson, certify that:</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1.</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I have reviewed this Quarterly Report on Form 10-Q of Phathom Pharmaceuticals, Inc.</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2.</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3.</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4.</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a)</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b)</w:t>
      </w:r>
    </w:p>
    <w:p>
      <w:pPr>
        <w:pStyle w:val="TextBody"/>
        <w:bidi w:val="0"/>
        <w:spacing w:before="240" w:after="283"/>
        <w:jc w:val="left"/>
        <w:rPr/>
      </w:pPr>
      <w:r>
        <w:rPr>
          <w:rFonts w:ascii="Times New Roman" w:hAnsi="Times New Roman"/>
          <w:color w:val="000000"/>
          <w:sz w:val="19"/>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hAnsi="Times New Roman"/>
          <w:color w:val="010000"/>
          <w:sz w:val="19"/>
        </w:rPr>
        <w:t>;</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c)</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d)</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5.</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a)</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b)</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612" w:type="dxa"/>
        <w:jc w:val="left"/>
        <w:tblInd w:w="0" w:type="dxa"/>
        <w:tblLayout w:type="fixed"/>
        <w:tblCellMar>
          <w:top w:w="28" w:type="dxa"/>
          <w:left w:w="28" w:type="dxa"/>
          <w:bottom w:w="28" w:type="dxa"/>
          <w:right w:w="28" w:type="dxa"/>
        </w:tblCellMar>
      </w:tblPr>
      <w:tblGrid>
        <w:gridCol w:w="1846"/>
        <w:gridCol w:w="3766"/>
      </w:tblGrid>
      <w:tr>
        <w:trPr/>
        <w:tc>
          <w:tcPr>
            <w:tcW w:w="184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ind w:left="0" w:right="0" w:firstLine="154"/>
              <w:jc w:val="left"/>
              <w:rPr>
                <w:sz w:val="4"/>
                <w:szCs w:val="4"/>
              </w:rPr>
            </w:pPr>
            <w:r>
              <w:rPr>
                <w:sz w:val="4"/>
                <w:szCs w:val="4"/>
              </w:rPr>
            </w:r>
          </w:p>
        </w:tc>
      </w:tr>
      <w:tr>
        <w:trPr/>
        <w:tc>
          <w:tcPr>
            <w:tcW w:w="1846" w:type="dxa"/>
            <w:tcBorders/>
            <w:vAlign w:val="center"/>
          </w:tcPr>
          <w:p>
            <w:pPr>
              <w:pStyle w:val="TableContents"/>
              <w:pBdr/>
              <w:bidi w:val="0"/>
              <w:spacing w:before="0" w:after="283"/>
              <w:ind w:left="0" w:right="0" w:hanging="154"/>
              <w:jc w:val="left"/>
              <w:rPr>
                <w:rFonts w:ascii="Times New Roman" w:hAnsi="Times New Roman"/>
                <w:color w:val="000000"/>
                <w:sz w:val="19"/>
              </w:rPr>
            </w:pPr>
            <w:r>
              <w:rPr>
                <w:rFonts w:ascii="Times New Roman" w:hAnsi="Times New Roman"/>
                <w:color w:val="000000"/>
                <w:sz w:val="19"/>
              </w:rPr>
              <w:t>Date: August 8, 2024</w:t>
            </w:r>
          </w:p>
        </w:tc>
        <w:tc>
          <w:tcPr>
            <w:tcW w:w="376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 Molly Henderson</w:t>
            </w:r>
          </w:p>
        </w:tc>
      </w:tr>
      <w:tr>
        <w:trPr/>
        <w:tc>
          <w:tcPr>
            <w:tcW w:w="184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Molly Henderson</w:t>
            </w:r>
          </w:p>
        </w:tc>
      </w:tr>
      <w:tr>
        <w:trPr/>
        <w:tc>
          <w:tcPr>
            <w:tcW w:w="184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jc w:val="left"/>
              <w:rPr>
                <w:rFonts w:ascii="Times New Roman" w:hAnsi="Times New Roman"/>
                <w:color w:val="000000"/>
                <w:sz w:val="19"/>
              </w:rPr>
            </w:pPr>
            <w:r>
              <w:rPr>
                <w:rFonts w:ascii="Times New Roman" w:hAnsi="Times New Roman"/>
                <w:color w:val="000000"/>
                <w:sz w:val="19"/>
              </w:rPr>
              <w:t>Chief Financial and Business Officer</w:t>
            </w:r>
          </w:p>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64"/>
        <w:jc w:val="right"/>
        <w:rPr>
          <w:rFonts w:ascii="Times New Roman" w:hAnsi="Times New Roman"/>
          <w:sz w:val="20"/>
        </w:rPr>
      </w:pPr>
      <w:bookmarkStart w:id="29" w:name="phat-ex32_1.htm"/>
      <w:bookmarkStart w:id="30" w:name="ksphatex32_1"/>
      <w:bookmarkEnd w:id="29"/>
      <w:bookmarkEnd w:id="30"/>
      <w:r>
        <w:rPr>
          <w:rFonts w:ascii="Times New Roman" w:hAnsi="Times New Roman"/>
          <w:b/>
          <w:color w:val="000000"/>
          <w:sz w:val="20"/>
        </w:rPr>
        <w:t>Exhibit 32.1</w:t>
      </w:r>
      <w:r>
        <w:rPr>
          <w:rFonts w:ascii="Times New Roman" w:hAnsi="Times New Roman"/>
          <w:color w:val="000000"/>
          <w:sz w:val="20"/>
        </w:rPr>
        <w:t xml:space="preserve"> </w:t>
      </w:r>
      <w:r>
        <w:br w:type="page"/>
      </w:r>
    </w:p>
    <w:p>
      <w:pPr>
        <w:pStyle w:val="TextBody"/>
        <w:bidi w:val="0"/>
        <w:spacing w:before="0" w:after="264"/>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spacing w:before="0" w:after="264"/>
        <w:jc w:val="center"/>
        <w:rPr>
          <w:rFonts w:ascii="Times New Roman" w:hAnsi="Times New Roman"/>
          <w:sz w:val="20"/>
        </w:rPr>
      </w:pPr>
      <w:r>
        <w:rPr>
          <w:rFonts w:ascii="Times New Roman" w:hAnsi="Times New Roman"/>
          <w:b/>
          <w:color w:val="000000"/>
          <w:sz w:val="20"/>
        </w:rPr>
        <w:t>18 U.S.C. SECTION 1350</w:t>
      </w:r>
      <w:r>
        <w:rPr>
          <w:rFonts w:ascii="Times New Roman" w:hAnsi="Times New Roman"/>
          <w:color w:val="000000"/>
          <w:sz w:val="20"/>
        </w:rPr>
        <w:t xml:space="preserve"> </w:t>
      </w:r>
    </w:p>
    <w:p>
      <w:pPr>
        <w:pStyle w:val="TextBody"/>
        <w:bidi w:val="0"/>
        <w:spacing w:before="0" w:after="264"/>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spacing w:before="0" w:after="264"/>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0" w:after="264"/>
        <w:jc w:val="left"/>
        <w:rPr>
          <w:rFonts w:ascii="Times New Roman" w:hAnsi="Times New Roman"/>
          <w:color w:val="000000"/>
          <w:sz w:val="20"/>
        </w:rPr>
      </w:pPr>
      <w:r>
        <w:rPr>
          <w:rFonts w:ascii="Times New Roman" w:hAnsi="Times New Roman"/>
          <w:color w:val="000000"/>
          <w:sz w:val="20"/>
        </w:rPr>
        <w:t>In connection with the Quarterly Report on Form 10-Q of Phathom Pharmaceuticals, Inc. (the “Company”) for the quarter ended June 30, 2024 as filed with the Securities and Exchange Commission on the date hereof (the “Report”), I, Terrie Curran, as Chief Executive Officer of the Company, certify, pursuant to 18 U.S.C. Section 1350, as adopted pursuant to Section 906 of the Sarbanes-Oxley Act of 2002, to my knowledge, that:</w:t>
      </w:r>
    </w:p>
    <w:p>
      <w:pPr>
        <w:pStyle w:val="TextBody"/>
        <w:bidi w:val="0"/>
        <w:spacing w:before="0" w:after="264"/>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264"/>
        <w:jc w:val="left"/>
        <w:rPr>
          <w:rFonts w:ascii="Times New Roman" w:hAnsi="Times New Roman"/>
          <w:color w:val="000000"/>
          <w:sz w:val="20"/>
        </w:rPr>
      </w:pPr>
      <w:r>
        <w:rPr>
          <w:rFonts w:ascii="Times New Roman" w:hAnsi="Times New Roman"/>
          <w:color w:val="000000"/>
          <w:sz w:val="20"/>
        </w:rPr>
        <w:t>the Report fully complies with the requirements of Section 13(a) or 15(d), as applicable, of the Securities Exchange Act of 1934, as amended; and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203" w:type="dxa"/>
        <w:jc w:val="left"/>
        <w:tblInd w:w="0" w:type="dxa"/>
        <w:tblLayout w:type="fixed"/>
        <w:tblCellMar>
          <w:top w:w="28" w:type="dxa"/>
          <w:left w:w="28" w:type="dxa"/>
          <w:bottom w:w="28" w:type="dxa"/>
          <w:right w:w="28" w:type="dxa"/>
        </w:tblCellMar>
      </w:tblPr>
      <w:tblGrid>
        <w:gridCol w:w="1846"/>
        <w:gridCol w:w="146"/>
        <w:gridCol w:w="321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8, 2024</w:t>
            </w:r>
          </w:p>
        </w:tc>
        <w:tc>
          <w:tcPr>
            <w:tcW w:w="146" w:type="dxa"/>
            <w:tcBorders/>
            <w:vAlign w:val="center"/>
          </w:tcPr>
          <w:p>
            <w:pPr>
              <w:pStyle w:val="TableContents"/>
              <w:bidi w:val="0"/>
              <w:spacing w:before="0" w:after="283"/>
              <w:jc w:val="left"/>
              <w:rPr/>
            </w:pPr>
            <w:r>
              <w:rPr/>
              <w:t> </w:t>
            </w:r>
          </w:p>
        </w:tc>
        <w:tc>
          <w:tcPr>
            <w:tcW w:w="321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Terrie Curran</w:t>
            </w:r>
          </w:p>
        </w:tc>
      </w:tr>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2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Terrie Curran</w:t>
            </w:r>
          </w:p>
        </w:tc>
      </w:tr>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211"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 and President</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foregoing certification is being furnished solely pursuant to 18 U.S.C. Section 1350 and is not being filed as part of the Report or as a separate disclosure document.</w:t>
      </w:r>
    </w:p>
    <w:p>
      <w:pPr>
        <w:pStyle w:val="HorizontalLine"/>
        <w:pBdr>
          <w:bottom w:val="double" w:sz="2" w:space="0" w:color="808080"/>
        </w:pBdr>
        <w:bidi w:val="0"/>
        <w:spacing w:before="0" w:after="283"/>
        <w:jc w:val="left"/>
        <w:rPr/>
      </w:pPr>
      <w:r>
        <w:rPr/>
      </w:r>
    </w:p>
    <w:p>
      <w:pPr>
        <w:pStyle w:val="TextBody"/>
        <w:bidi w:val="0"/>
        <w:spacing w:before="0" w:after="264"/>
        <w:jc w:val="right"/>
        <w:rPr>
          <w:rFonts w:ascii="Times New Roman" w:hAnsi="Times New Roman"/>
          <w:sz w:val="20"/>
        </w:rPr>
      </w:pPr>
      <w:bookmarkStart w:id="31" w:name="phat-ex32_2.htm"/>
      <w:bookmarkStart w:id="32" w:name="ksphatex32_2"/>
      <w:bookmarkEnd w:id="31"/>
      <w:bookmarkEnd w:id="32"/>
      <w:r>
        <w:rPr>
          <w:rFonts w:ascii="Times New Roman" w:hAnsi="Times New Roman"/>
          <w:b/>
          <w:color w:val="000000"/>
          <w:sz w:val="20"/>
        </w:rPr>
        <w:t>Exhibit 32.2</w:t>
      </w:r>
      <w:r>
        <w:rPr>
          <w:rFonts w:ascii="Times New Roman" w:hAnsi="Times New Roman"/>
          <w:color w:val="000000"/>
          <w:sz w:val="20"/>
        </w:rPr>
        <w:t xml:space="preserve"> </w:t>
      </w:r>
      <w:r>
        <w:br w:type="page"/>
      </w:r>
    </w:p>
    <w:p>
      <w:pPr>
        <w:pStyle w:val="TextBody"/>
        <w:bidi w:val="0"/>
        <w:spacing w:before="0" w:after="264"/>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spacing w:before="0" w:after="264"/>
        <w:jc w:val="center"/>
        <w:rPr>
          <w:rFonts w:ascii="Times New Roman" w:hAnsi="Times New Roman"/>
          <w:sz w:val="20"/>
        </w:rPr>
      </w:pPr>
      <w:r>
        <w:rPr>
          <w:rFonts w:ascii="Times New Roman" w:hAnsi="Times New Roman"/>
          <w:b/>
          <w:color w:val="000000"/>
          <w:sz w:val="20"/>
        </w:rPr>
        <w:t>18 U.S.C. SECTION 1350</w:t>
      </w:r>
      <w:r>
        <w:rPr>
          <w:rFonts w:ascii="Times New Roman" w:hAnsi="Times New Roman"/>
          <w:color w:val="000000"/>
          <w:sz w:val="20"/>
        </w:rPr>
        <w:t xml:space="preserve"> </w:t>
      </w:r>
    </w:p>
    <w:p>
      <w:pPr>
        <w:pStyle w:val="TextBody"/>
        <w:bidi w:val="0"/>
        <w:spacing w:before="0" w:after="264"/>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spacing w:before="0" w:after="264"/>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0" w:after="264"/>
        <w:jc w:val="left"/>
        <w:rPr>
          <w:rFonts w:ascii="Times New Roman" w:hAnsi="Times New Roman"/>
          <w:color w:val="000000"/>
          <w:sz w:val="20"/>
        </w:rPr>
      </w:pPr>
      <w:r>
        <w:rPr>
          <w:rFonts w:ascii="Times New Roman" w:hAnsi="Times New Roman"/>
          <w:color w:val="000000"/>
          <w:sz w:val="20"/>
        </w:rPr>
        <w:t>In connection with the Quarterly Report on Form 10-Q of Phathom Pharmaceuticals, Inc. (the “Company”) for the quarter ended June 30, 2024 as filed with the Securities and Exchange Commission on the date hereof (the “Report”), I, Molly Henderson, as Chief Financial and Business Officer of the Company, certify, pursuant to 18 U.S.C. Section 1350, as adopted pursuant to Section 906 of the Sarbanes-Oxley Act of 2002, to my knowledge, that:</w:t>
      </w:r>
    </w:p>
    <w:p>
      <w:pPr>
        <w:pStyle w:val="TextBody"/>
        <w:bidi w:val="0"/>
        <w:spacing w:before="0" w:after="264"/>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264"/>
        <w:jc w:val="left"/>
        <w:rPr>
          <w:rFonts w:ascii="Times New Roman" w:hAnsi="Times New Roman"/>
          <w:color w:val="000000"/>
          <w:sz w:val="20"/>
        </w:rPr>
      </w:pPr>
      <w:r>
        <w:rPr>
          <w:rFonts w:ascii="Times New Roman" w:hAnsi="Times New Roman"/>
          <w:color w:val="000000"/>
          <w:sz w:val="20"/>
        </w:rPr>
        <w:t>the Report fully complies with the requirements of Section 13(a) or 15(d), as applicable, of the Securities Exchange Act of 1934, as amended; and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758" w:type="dxa"/>
        <w:jc w:val="left"/>
        <w:tblInd w:w="0" w:type="dxa"/>
        <w:tblLayout w:type="fixed"/>
        <w:tblCellMar>
          <w:top w:w="28" w:type="dxa"/>
          <w:left w:w="28" w:type="dxa"/>
          <w:bottom w:w="28" w:type="dxa"/>
          <w:right w:w="28" w:type="dxa"/>
        </w:tblCellMar>
      </w:tblPr>
      <w:tblGrid>
        <w:gridCol w:w="1846"/>
        <w:gridCol w:w="146"/>
        <w:gridCol w:w="376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8, 2024</w:t>
            </w:r>
          </w:p>
        </w:tc>
        <w:tc>
          <w:tcPr>
            <w:tcW w:w="146" w:type="dxa"/>
            <w:tcBorders/>
            <w:vAlign w:val="center"/>
          </w:tcPr>
          <w:p>
            <w:pPr>
              <w:pStyle w:val="TableContents"/>
              <w:bidi w:val="0"/>
              <w:spacing w:before="0" w:after="283"/>
              <w:jc w:val="left"/>
              <w:rPr/>
            </w:pPr>
            <w:r>
              <w:rPr/>
              <w:t> </w:t>
            </w:r>
          </w:p>
        </w:tc>
        <w:tc>
          <w:tcPr>
            <w:tcW w:w="376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Molly Henderson</w:t>
            </w:r>
          </w:p>
        </w:tc>
      </w:tr>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7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Molly Henderson</w:t>
            </w:r>
          </w:p>
        </w:tc>
      </w:tr>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766"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and Business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foregoing certification is being furnished solely pursuant to 18 U.S.C. Section 1350 and is not being filed as part of the Report or as a separate disclosure document.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altName w:val="sans-serif"/>
    <w:charset w:val="01"/>
    <w:family w:val="auto"/>
    <w:pitch w:val="default"/>
  </w:font>
  <w:font w:name="Calibri">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83183/000119312519277761/d795888dex31.htm" TargetMode="External"/><Relationship Id="rId3" Type="http://schemas.openxmlformats.org/officeDocument/2006/relationships/hyperlink" Target="https://www.sec.gov/Archives/edgar/data/1783183/000119312523156713/d487635dex31.htm" TargetMode="External"/><Relationship Id="rId4" Type="http://schemas.openxmlformats.org/officeDocument/2006/relationships/hyperlink" Target="https://www.sec.gov/ix?doc=/Archives/edgar/data/0001783183/000119312523296630/d602391d8k.htm" TargetMode="External"/><Relationship Id="rId5" Type="http://schemas.openxmlformats.org/officeDocument/2006/relationships/hyperlink" Target="https://www.sec.gov/Archives/edgar/data/1783183/000119312519267053/d63338dex41.htm" TargetMode="External"/><Relationship Id="rId6" Type="http://schemas.openxmlformats.org/officeDocument/2006/relationships/hyperlink" Target="https://www.sec.gov/Archives/edgar/data/1783183/000119312519258922/d63338dex43.htm" TargetMode="External"/><Relationship Id="rId7" Type="http://schemas.openxmlformats.org/officeDocument/2006/relationships/hyperlink" Target="https://www.sec.gov/Archives/edgar/data/1783183/000119312519258922/d63338dex44.htm" TargetMode="External"/><Relationship Id="rId8" Type="http://schemas.openxmlformats.org/officeDocument/2006/relationships/hyperlink" Target="https://www.sec.gov/Archives/edgar/data/1783183/000156459021055073/phat-ex102_212.htm" TargetMode="External"/><Relationship Id="rId9" Type="http://schemas.openxmlformats.org/officeDocument/2006/relationships/hyperlink" Target="https://www.sec.gov/Archives/edgar/data/1783183/000095017023020109/phat-ex4_5.htm" TargetMode="External"/><Relationship Id="rId10" Type="http://schemas.openxmlformats.org/officeDocument/2006/relationships/hyperlink" Target="https://www.sec.gov/Archives/edgar/data/1783183/000095017023020109/phat-ex4_6.htm" TargetMode="External"/><Relationship Id="rId11" Type="http://schemas.openxmlformats.org/officeDocument/2006/relationships/hyperlink" Target="https://www.sec.gov/Archives/edgar/data/1783183/000119312519267053/d63338dex45.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25628</Words>
  <Characters>139419</Characters>
  <CharactersWithSpaces>165726</CharactersWithSpaces>
  <Paragraphs>4224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