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hat-20240331.htm"/>
      <w:bookmarkStart w:id="1" w:name="ksphat20240331"/>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8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u w:val="single"/>
        </w:rPr>
        <w:t xml:space="preserve"> </w:t>
      </w:r>
      <w:r>
        <w:rPr>
          <w:rFonts w:ascii="Times New Roman" w:hAnsi="Times New Roman"/>
          <w:b/>
          <w:color w:val="000000"/>
          <w:sz w:val="20"/>
        </w:rPr>
        <w: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001-39094</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PHATHOM PHARMACEUTICALS,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82-4151574</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Campus Drive, Suite 102</w:t>
            </w:r>
          </w:p>
          <w:p>
            <w:pPr>
              <w:pStyle w:val="TableContents"/>
              <w:bidi w:val="0"/>
              <w:spacing w:before="0" w:after="283"/>
              <w:jc w:val="center"/>
              <w:rPr>
                <w:rFonts w:ascii="Times New Roman" w:hAnsi="Times New Roman"/>
                <w:sz w:val="20"/>
              </w:rPr>
            </w:pPr>
            <w:r>
              <w:rPr>
                <w:rFonts w:ascii="Times New Roman" w:hAnsi="Times New Roman"/>
                <w:b/>
                <w:color w:val="000000"/>
                <w:sz w:val="20"/>
              </w:rPr>
              <w:t>Florham Park, New Jersey</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07932</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(877) 742-8466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PHAT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As of May 6, 2024, the registrant had 58,535,193 </w:t>
      </w:r>
      <w:r>
        <w:rPr>
          <w:rFonts w:ascii="Times New Roman" w:hAnsi="Times New Roman"/>
          <w:color w:val="000000"/>
          <w:sz w:val="18"/>
        </w:rPr>
        <w:t>s</w:t>
      </w:r>
      <w:r>
        <w:rPr>
          <w:rFonts w:ascii="Times New Roman" w:hAnsi="Times New Roman"/>
          <w:color w:val="000000"/>
          <w:sz w:val="20"/>
        </w:rPr>
        <w:t>hares of common stock ($0.0001 par value) outstanding.</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231F20"/>
          <w:sz w:val="20"/>
        </w:rPr>
      </w:pPr>
      <w:r>
        <w:rPr>
          <w:rFonts w:ascii="Calibri;sans-serif" w:hAnsi="Calibri;sans-serif"/>
          <w:b/>
          <w:color w:val="231F20"/>
          <w:sz w:val="20"/>
        </w:rPr>
        <w:t>TABLE OF CONTENTS</w:t>
      </w:r>
    </w:p>
    <w:p>
      <w:pPr>
        <w:pStyle w:val="TextBody"/>
        <w:bidi w:val="0"/>
        <w:jc w:val="both"/>
        <w:rPr/>
      </w:pPr>
      <w:r>
        <w:rPr/>
        <w:t> </w:t>
      </w:r>
    </w:p>
    <w:tbl>
      <w:tblPr>
        <w:tblW w:w="8309" w:type="dxa"/>
        <w:jc w:val="left"/>
        <w:tblInd w:w="0" w:type="dxa"/>
        <w:tblLayout w:type="fixed"/>
        <w:tblCellMar>
          <w:top w:w="28" w:type="dxa"/>
          <w:left w:w="28" w:type="dxa"/>
          <w:bottom w:w="28" w:type="dxa"/>
          <w:right w:w="28" w:type="dxa"/>
        </w:tblCellMar>
      </w:tblPr>
      <w:tblGrid>
        <w:gridCol w:w="736"/>
        <w:gridCol w:w="146"/>
        <w:gridCol w:w="7021"/>
        <w:gridCol w:w="406"/>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Calibri;sans-serif" w:hAnsi="Calibri;sans-serif"/>
                  <w:b/>
                  <w:color w:val="0000FF"/>
                  <w:sz w:val="20"/>
                  <w:u w:val="single"/>
                </w:rPr>
                <w:t>PART I. FINANCIAL INFORMATION</w:t>
              </w:r>
            </w:hyperlink>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Calibri;sans-serif" w:hAnsi="Calibri;sans-serif"/>
                  <w:color w:val="0000FF"/>
                  <w:sz w:val="20"/>
                  <w:u w:val="single"/>
                </w:rPr>
                <w:t>Financial Statements (unaudited)</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F-1</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mbined_balance_sheets">
              <w:r>
                <w:rPr>
                  <w:rStyle w:val="InternetLink"/>
                  <w:rFonts w:ascii="Calibri;sans-serif" w:hAnsi="Calibri;sans-serif"/>
                  <w:color w:val="0000FF"/>
                  <w:sz w:val="20"/>
                  <w:u w:val="single"/>
                </w:rPr>
                <w:t>Balance Sheets</w:t>
              </w:r>
            </w:hyperlink>
            <w:hyperlink w:anchor="combined_balance_sheet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F-1</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s_operations">
              <w:r>
                <w:rPr>
                  <w:rStyle w:val="InternetLink"/>
                  <w:rFonts w:ascii="Calibri;sans-serif" w:hAnsi="Calibri;sans-serif"/>
                  <w:color w:val="0000FF"/>
                  <w:sz w:val="20"/>
                  <w:u w:val="single"/>
                </w:rPr>
                <w:t>Statements of Operations and Comprehensive Loss</w:t>
              </w:r>
            </w:hyperlink>
            <w:hyperlink w:anchor="condensed_combined_statements_operation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F-2</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_stockholder">
              <w:r>
                <w:rPr>
                  <w:rStyle w:val="InternetLink"/>
                  <w:rFonts w:ascii="Calibri;sans-serif" w:hAnsi="Calibri;sans-serif"/>
                  <w:color w:val="0000FF"/>
                  <w:sz w:val="20"/>
                  <w:u w:val="single"/>
                </w:rPr>
                <w:t>Statements of Stockholders’ Deficit</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F-3</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Calibri;sans-serif" w:hAnsi="Calibri;sans-serif"/>
                  <w:color w:val="0000FF"/>
                  <w:sz w:val="20"/>
                  <w:u w:val="single"/>
                </w:rPr>
                <w:t>Statements of Cash Flows</w:t>
              </w:r>
            </w:hyperlink>
            <w:hyperlink w:anchor="consolidated_statements_cash_flow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F-4</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Calibri;sans-serif" w:hAnsi="Calibri;sans-serif"/>
                  <w:color w:val="0000FF"/>
                  <w:sz w:val="20"/>
                  <w:u w:val="single"/>
                </w:rPr>
                <w:t>Notes to Unaudited Financial Statements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Calibri;sans-serif" w:hAnsi="Calibri;sans-serif"/>
                  <w:color w:val="0000FF"/>
                  <w:sz w:val="20"/>
                  <w:u w:val="single"/>
                </w:rPr>
                <w:t>Management’s Discussion and Analysis of Financial Condition and Results of Operations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Calibri;sans-serif" w:hAnsi="Calibri;sans-serif"/>
                  <w:color w:val="0000FF"/>
                  <w:sz w:val="20"/>
                  <w:u w:val="single"/>
                </w:rPr>
                <w:t>Quantitative and Qualitative Disclosures About Market Risk</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Calibri;sans-serif" w:hAnsi="Calibri;sans-serif"/>
                  <w:color w:val="0000FF"/>
                  <w:sz w:val="20"/>
                  <w:u w:val="single"/>
                </w:rPr>
                <w:t>Controls and Procedures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w:t>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Calibri;sans-serif" w:hAnsi="Calibri;sans-serif"/>
                  <w:b/>
                  <w:color w:val="0000FF"/>
                  <w:sz w:val="20"/>
                  <w:u w:val="single"/>
                </w:rPr>
                <w:t>PART II. OTHER INFORMATION</w:t>
              </w:r>
            </w:hyperlink>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Calibri;sans-serif" w:hAnsi="Calibri;sans-serif"/>
                  <w:color w:val="0000FF"/>
                  <w:sz w:val="20"/>
                  <w:u w:val="single"/>
                </w:rPr>
                <w:t>Legal Proceedings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Calibri;sans-serif" w:hAnsi="Calibri;sans-serif"/>
                  <w:color w:val="0000FF"/>
                  <w:sz w:val="20"/>
                  <w:u w:val="single"/>
                </w:rPr>
                <w:t>Risk Factors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_1">
              <w:r>
                <w:rPr>
                  <w:rStyle w:val="InternetLink"/>
                  <w:rFonts w:ascii="Calibri;sans-serif" w:hAnsi="Calibri;sans-serif"/>
                  <w:color w:val="0000FF"/>
                  <w:sz w:val="20"/>
                  <w:u w:val="single"/>
                </w:rPr>
                <w:t>Unregistered Sales of Equity Securities and Use of Proceeds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_1">
              <w:r>
                <w:rPr>
                  <w:rStyle w:val="InternetLink"/>
                  <w:rFonts w:ascii="Calibri;sans-serif" w:hAnsi="Calibri;sans-serif"/>
                  <w:color w:val="0000FF"/>
                  <w:sz w:val="20"/>
                  <w:u w:val="single"/>
                </w:rPr>
                <w:t>Defaults Upon Senior Securities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Calibri;sans-serif" w:hAnsi="Calibri;sans-serif"/>
                  <w:color w:val="0000FF"/>
                  <w:sz w:val="20"/>
                  <w:u w:val="single"/>
                </w:rPr>
                <w:t>Mine Safety Disclosures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5_or_information_1">
              <w:r>
                <w:rPr>
                  <w:rStyle w:val="InternetLink"/>
                  <w:rFonts w:ascii="Calibri;sans-serif" w:hAnsi="Calibri;sans-serif"/>
                  <w:color w:val="0000FF"/>
                  <w:sz w:val="20"/>
                  <w:u w:val="single"/>
                </w:rPr>
                <w:t>Other Information</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6_exhibits_1">
              <w:r>
                <w:rPr>
                  <w:rStyle w:val="InternetLink"/>
                  <w:rFonts w:ascii="Calibri;sans-serif" w:hAnsi="Calibri;sans-serif"/>
                  <w:color w:val="0000FF"/>
                  <w:sz w:val="20"/>
                  <w:u w:val="single"/>
                </w:rPr>
                <w:t>Exhibits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signatures_1">
              <w:r>
                <w:rPr>
                  <w:rStyle w:val="InternetLink"/>
                  <w:rFonts w:ascii="Calibri;sans-serif" w:hAnsi="Calibri;sans-serif"/>
                  <w:color w:val="0000FF"/>
                  <w:sz w:val="20"/>
                  <w:u w:val="single"/>
                </w:rPr>
                <w:t>Signatures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 w:name="part_i_financial_information"/>
      <w:bookmarkEnd w:id="2"/>
      <w:r>
        <w:rPr>
          <w:rFonts w:ascii="Calibri;sans-serif" w:hAnsi="Calibri;sans-serif"/>
          <w:b/>
          <w:color w:val="000000"/>
          <w:sz w:val="20"/>
        </w:rPr>
        <w:t>PART I. FINANCIAL INFORMATION</w:t>
      </w:r>
    </w:p>
    <w:p>
      <w:pPr>
        <w:pStyle w:val="TextBody"/>
        <w:bidi w:val="0"/>
        <w:spacing w:before="120" w:after="283"/>
        <w:jc w:val="left"/>
        <w:rPr>
          <w:rFonts w:ascii="Calibri;sans-serif" w:hAnsi="Calibri;sans-serif"/>
          <w:b/>
          <w:color w:val="000000"/>
          <w:sz w:val="20"/>
        </w:rPr>
      </w:pPr>
      <w:bookmarkStart w:id="3" w:name="item_1_financial_statements_unaudited"/>
      <w:bookmarkEnd w:id="3"/>
      <w:r>
        <w:rPr>
          <w:rFonts w:ascii="Calibri;sans-serif" w:hAnsi="Calibri;sans-serif"/>
          <w:b/>
          <w:color w:val="000000"/>
          <w:sz w:val="20"/>
        </w:rPr>
        <w:t>Item 1. Financial Statements (unaudited)</w:t>
      </w:r>
    </w:p>
    <w:p>
      <w:pPr>
        <w:pStyle w:val="TextBody"/>
        <w:bidi w:val="0"/>
        <w:jc w:val="center"/>
        <w:rPr>
          <w:rFonts w:ascii="Calibri;sans-serif" w:hAnsi="Calibri;sans-serif"/>
          <w:b/>
          <w:color w:val="000000"/>
          <w:sz w:val="20"/>
        </w:rPr>
      </w:pPr>
      <w:r>
        <w:rPr>
          <w:rFonts w:ascii="Calibri;sans-serif" w:hAnsi="Calibri;sans-serif"/>
          <w:b/>
          <w:color w:val="000000"/>
          <w:sz w:val="20"/>
        </w:rPr>
        <w:t>PHATHOM PHARMACEUTICALS, INC.</w:t>
      </w:r>
    </w:p>
    <w:p>
      <w:pPr>
        <w:pStyle w:val="TextBody"/>
        <w:bidi w:val="0"/>
        <w:jc w:val="center"/>
        <w:rPr>
          <w:rFonts w:ascii="Times New Roman" w:hAnsi="Times New Roman"/>
          <w:sz w:val="20"/>
        </w:rPr>
      </w:pPr>
      <w:bookmarkStart w:id="4" w:name="combined_balance_sheets"/>
      <w:bookmarkEnd w:id="4"/>
      <w:r>
        <w:rPr>
          <w:rFonts w:ascii="Calibri;sans-serif" w:hAnsi="Calibri;sans-serif"/>
          <w:b/>
          <w:color w:val="000000"/>
          <w:sz w:val="20"/>
        </w:rPr>
        <w:t>Balance Sheets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 and par value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8"/>
        <w:gridCol w:w="146"/>
        <w:gridCol w:w="211"/>
        <w:gridCol w:w="991"/>
        <w:gridCol w:w="166"/>
        <w:gridCol w:w="146"/>
        <w:gridCol w:w="223"/>
        <w:gridCol w:w="892"/>
        <w:gridCol w:w="392"/>
      </w:tblGrid>
      <w:tr>
        <w:trPr/>
        <w:tc>
          <w:tcPr>
            <w:tcW w:w="7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03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br/>
              <w:t>2023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7038"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322,229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381,393</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38"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12,748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13,194</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38"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1,637</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38"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1,208</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397,432</w:t>
            </w:r>
          </w:p>
        </w:tc>
        <w:tc>
          <w:tcPr>
            <w:tcW w:w="392" w:type="dxa"/>
            <w:tcBorders/>
            <w:shd w:fill="CFF0FC"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2,146</w:t>
            </w:r>
          </w:p>
        </w:tc>
        <w:tc>
          <w:tcPr>
            <w:tcW w:w="392" w:type="dxa"/>
            <w:tcBorders/>
            <w:shd w:fill="FFFFFF" w:val="cle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1,475</w:t>
            </w:r>
          </w:p>
        </w:tc>
        <w:tc>
          <w:tcPr>
            <w:tcW w:w="392" w:type="dxa"/>
            <w:tcBorders/>
            <w:shd w:fill="CFF0FC"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2,863</w:t>
            </w:r>
          </w:p>
        </w:tc>
        <w:tc>
          <w:tcPr>
            <w:tcW w:w="392" w:type="dxa"/>
            <w:tcBorders/>
            <w:shd w:fill="FFFFFF" w:val="cle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Inventory,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8,234</w:t>
            </w:r>
          </w:p>
        </w:tc>
        <w:tc>
          <w:tcPr>
            <w:tcW w:w="392" w:type="dxa"/>
            <w:tcBorders/>
            <w:shd w:fill="CFF0FC"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1,692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413,842</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righ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ind w:left="0" w:right="0" w:firstLine="200"/>
              <w:jc w:val="right"/>
              <w:rPr/>
            </w:pPr>
            <w:r>
              <w:rPr/>
              <w:t> </w:t>
            </w:r>
          </w:p>
        </w:tc>
      </w:tr>
      <w:tr>
        <w:trPr/>
        <w:tc>
          <w:tcPr>
            <w:tcW w:w="703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Accounts payable (including related party amounts of $33</w:t>
            </w:r>
            <w:r>
              <w:rPr>
                <w:rFonts w:ascii="Times New Roman" w:hAnsi="Times New Roman"/>
                <w:color w:val="000000"/>
                <w:sz w:val="20"/>
              </w:rPr>
              <w:t> </w:t>
            </w:r>
            <w:r>
              <w:rPr>
                <w:rFonts w:ascii="Calibri;sans-serif" w:hAnsi="Calibri;sans-serif"/>
                <w:color w:val="000000"/>
                <w:sz w:val="20"/>
              </w:rPr>
              <w:t>and $25,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12,601</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3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Accrued expenses (including related party amounts of $3,169</w:t>
            </w:r>
            <w:r>
              <w:rPr>
                <w:rFonts w:ascii="Times New Roman" w:hAnsi="Times New Roman"/>
                <w:color w:val="000000"/>
                <w:sz w:val="20"/>
              </w:rPr>
              <w:t> </w:t>
            </w:r>
            <w:r>
              <w:rPr>
                <w:rFonts w:ascii="Calibri;sans-serif" w:hAnsi="Calibri;sans-serif"/>
                <w:color w:val="000000"/>
                <w:sz w:val="20"/>
              </w:rPr>
              <w:t>and $2,694,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17,197</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38"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1,146</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38"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726</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38"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Current portion of revenue interest financing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7,111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38,781</w:t>
            </w:r>
          </w:p>
        </w:tc>
        <w:tc>
          <w:tcPr>
            <w:tcW w:w="392" w:type="dxa"/>
            <w:tcBorders/>
            <w:shd w:fill="CFF0FC"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net of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149,023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137,842</w:t>
            </w:r>
          </w:p>
        </w:tc>
        <w:tc>
          <w:tcPr>
            <w:tcW w:w="392" w:type="dxa"/>
            <w:tcBorders/>
            <w:shd w:fill="FFFFFF" w:val="cle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 interest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302,528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299,816</w:t>
            </w:r>
          </w:p>
        </w:tc>
        <w:tc>
          <w:tcPr>
            <w:tcW w:w="392" w:type="dxa"/>
            <w:tcBorders/>
            <w:shd w:fill="CFF0FC" w:val="cle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462</w:t>
            </w:r>
          </w:p>
        </w:tc>
        <w:tc>
          <w:tcPr>
            <w:tcW w:w="392" w:type="dxa"/>
            <w:tcBorders/>
            <w:shd w:fill="FFFFFF" w:val="cle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9,700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505,002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486,601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Commitments and contingencies</w:t>
            </w:r>
            <w:r>
              <w:rPr>
                <w:rFonts w:ascii="Times New Roman" w:hAnsi="Times New Roman"/>
                <w:color w:val="000000"/>
                <w:sz w:val="20"/>
              </w:rPr>
              <w:t> </w:t>
            </w:r>
            <w:r>
              <w:rPr>
                <w:rFonts w:ascii="Calibri;sans-serif" w:hAnsi="Calibri;sans-serif"/>
                <w:color w:val="000000"/>
                <w:sz w:val="20"/>
              </w:rPr>
              <w:t>(Note 4)</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5"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200"/>
              <w:jc w:val="right"/>
              <w:rPr/>
            </w:pPr>
            <w:r>
              <w:rPr/>
              <w:t> </w:t>
            </w:r>
          </w:p>
        </w:tc>
      </w:tr>
      <w:tr>
        <w:trPr/>
        <w:tc>
          <w:tcPr>
            <w:tcW w:w="703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Preferred stock, $0.0001</w:t>
            </w:r>
            <w:r>
              <w:rPr>
                <w:rFonts w:ascii="Times New Roman" w:hAnsi="Times New Roman"/>
                <w:color w:val="000000"/>
                <w:sz w:val="20"/>
              </w:rPr>
              <w:t> </w:t>
            </w:r>
            <w:r>
              <w:rPr>
                <w:rFonts w:ascii="Calibri;sans-serif" w:hAnsi="Calibri;sans-serif"/>
                <w:color w:val="000000"/>
                <w:sz w:val="20"/>
              </w:rPr>
              <w:t>par value; authorized shares — 40,000,000</w:t>
            </w:r>
            <w:r>
              <w:rPr>
                <w:rFonts w:ascii="Times New Roman" w:hAnsi="Times New Roman"/>
                <w:color w:val="000000"/>
                <w:sz w:val="20"/>
              </w:rPr>
              <w:t> </w:t>
            </w:r>
            <w:r>
              <w:rPr>
                <w:rFonts w:ascii="Calibri;sans-serif" w:hAnsi="Calibri;sans-serif"/>
                <w:color w:val="000000"/>
                <w:sz w:val="20"/>
              </w:rPr>
              <w:t>at March 31, 2024 and December 31, 2023; no</w:t>
            </w:r>
            <w:r>
              <w:rPr>
                <w:rFonts w:ascii="Times New Roman" w:hAnsi="Times New Roman"/>
                <w:color w:val="000000"/>
                <w:sz w:val="20"/>
              </w:rPr>
              <w:t> </w:t>
            </w:r>
            <w:r>
              <w:rPr>
                <w:rFonts w:ascii="Calibri;sans-serif" w:hAnsi="Calibri;sans-serif"/>
                <w:color w:val="000000"/>
                <w:sz w:val="20"/>
              </w:rPr>
              <w:t>shares issued and outstanding at March 31,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color w:val="000000"/>
              </w:rPr>
            </w:pPr>
            <w:r>
              <w:rPr>
                <w:color w:val="000000"/>
              </w:rPr>
              <w:t>—</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38"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Common stock, $0.0001</w:t>
            </w:r>
            <w:r>
              <w:rPr>
                <w:rFonts w:ascii="Times New Roman" w:hAnsi="Times New Roman"/>
                <w:color w:val="000000"/>
                <w:sz w:val="20"/>
              </w:rPr>
              <w:t> </w:t>
            </w:r>
            <w:r>
              <w:rPr>
                <w:rFonts w:ascii="Calibri;sans-serif" w:hAnsi="Calibri;sans-serif"/>
                <w:color w:val="000000"/>
                <w:sz w:val="20"/>
              </w:rPr>
              <w:t>par value; authorized shares — 400,000,000</w:t>
            </w:r>
            <w:r>
              <w:rPr>
                <w:rFonts w:ascii="Times New Roman" w:hAnsi="Times New Roman"/>
                <w:color w:val="000000"/>
                <w:sz w:val="20"/>
              </w:rPr>
              <w:t> </w:t>
            </w:r>
            <w:r>
              <w:rPr>
                <w:rFonts w:ascii="Calibri;sans-serif" w:hAnsi="Calibri;sans-serif"/>
                <w:color w:val="000000"/>
                <w:sz w:val="20"/>
              </w:rPr>
              <w:t>at March 31, 2024 and December 31, 2023; issued and outstanding shares — 58,524,101</w:t>
            </w:r>
            <w:r>
              <w:rPr>
                <w:rFonts w:ascii="Times New Roman" w:hAnsi="Times New Roman"/>
                <w:color w:val="000000"/>
                <w:sz w:val="20"/>
              </w:rPr>
              <w:t> </w:t>
            </w:r>
            <w:r>
              <w:rPr>
                <w:rFonts w:ascii="Calibri;sans-serif" w:hAnsi="Calibri;sans-serif"/>
                <w:color w:val="000000"/>
                <w:sz w:val="20"/>
              </w:rPr>
              <w:t>and 57,970,044</w:t>
            </w:r>
            <w:r>
              <w:rPr>
                <w:rFonts w:ascii="Times New Roman" w:hAnsi="Times New Roman"/>
                <w:color w:val="000000"/>
                <w:sz w:val="20"/>
              </w:rPr>
              <w:t> </w:t>
            </w:r>
            <w:r>
              <w:rPr>
                <w:rFonts w:ascii="Calibri;sans-serif" w:hAnsi="Calibri;sans-serif"/>
                <w:color w:val="000000"/>
                <w:sz w:val="20"/>
              </w:rPr>
              <w:t>at March 31,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38"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Treasury stock — 19</w:t>
            </w:r>
            <w:r>
              <w:rPr>
                <w:rFonts w:ascii="Times New Roman" w:hAnsi="Times New Roman"/>
                <w:color w:val="000000"/>
                <w:sz w:val="20"/>
              </w:rPr>
              <w:t> </w:t>
            </w:r>
            <w:r>
              <w:rPr>
                <w:rFonts w:ascii="Calibri;sans-serif" w:hAnsi="Calibri;sans-serif"/>
                <w:color w:val="000000"/>
                <w:sz w:val="20"/>
              </w:rPr>
              <w:t>shares at March 31, 2024 and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2" w:type="dxa"/>
            <w:tcBorders/>
            <w:shd w:fill="CFF0FC" w:val="clear"/>
            <w:vAlign w:val="center"/>
          </w:tcPr>
          <w:p>
            <w:pPr>
              <w:pStyle w:val="TableContents"/>
              <w:bidi w:val="0"/>
              <w:spacing w:before="0" w:after="283"/>
              <w:jc w:val="right"/>
              <w:rPr>
                <w:color w:val="000000"/>
              </w:rPr>
            </w:pPr>
            <w:r>
              <w:rPr>
                <w:color w:val="000000"/>
              </w:rPr>
              <w:t>—</w:t>
            </w:r>
          </w:p>
        </w:tc>
        <w:tc>
          <w:tcPr>
            <w:tcW w:w="392" w:type="dxa"/>
            <w:tcBorders/>
            <w:shd w:fill="CFF0FC" w:val="clear"/>
            <w:vAlign w:val="center"/>
          </w:tcPr>
          <w:p>
            <w:pPr>
              <w:pStyle w:val="TableContents"/>
              <w:bidi w:val="0"/>
              <w:spacing w:before="0" w:after="283"/>
              <w:ind w:left="0" w:right="0" w:firstLine="200"/>
              <w:jc w:val="left"/>
              <w:rPr/>
            </w:pPr>
            <w:r>
              <w:rPr/>
              <w:t> </w:t>
            </w:r>
          </w:p>
        </w:tc>
      </w:tr>
      <w:tr>
        <w:trPr/>
        <w:tc>
          <w:tcPr>
            <w:tcW w:w="7038"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863,029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855,921</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38"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(1,011,537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(928,685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03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stockholders’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(72,759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03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413,842</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mbined_statements_operations"/>
      <w:bookmarkEnd w:id="5"/>
      <w:r>
        <w:rPr>
          <w:rFonts w:ascii="Calibri;sans-serif" w:hAnsi="Calibri;sans-serif"/>
          <w:b/>
          <w:color w:val="000000"/>
          <w:sz w:val="20"/>
        </w:rPr>
        <w:t>Statements of Operations and Comprehensive Loss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42"/>
        <w:gridCol w:w="146"/>
        <w:gridCol w:w="211"/>
        <w:gridCol w:w="1036"/>
        <w:gridCol w:w="166"/>
        <w:gridCol w:w="146"/>
        <w:gridCol w:w="211"/>
        <w:gridCol w:w="1036"/>
        <w:gridCol w:w="311"/>
      </w:tblGrid>
      <w:tr>
        <w:trPr/>
        <w:tc>
          <w:tcPr>
            <w:tcW w:w="6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9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69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69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6942"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Research and development (includes related party amounts of $679</w:t>
            </w:r>
            <w:r>
              <w:rPr>
                <w:rFonts w:ascii="Times New Roman" w:hAnsi="Times New Roman"/>
                <w:color w:val="000000"/>
                <w:sz w:val="20"/>
              </w:rPr>
              <w:t> </w:t>
            </w:r>
            <w:r>
              <w:rPr>
                <w:rFonts w:ascii="Calibri;sans-serif" w:hAnsi="Calibri;sans-serif"/>
                <w:color w:val="000000"/>
                <w:sz w:val="20"/>
              </w:rPr>
              <w:t>and $175,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11,479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6942"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Calibri;sans-serif" w:hAnsi="Calibri;sans-serif"/>
                <w:color w:val="000000"/>
                <w:sz w:val="20"/>
              </w:rPr>
              <w:t>Selling, general and administrative (includes related party amounts of $20</w:t>
            </w:r>
            <w:r>
              <w:rPr>
                <w:rFonts w:ascii="Times New Roman" w:hAnsi="Times New Roman"/>
                <w:color w:val="000000"/>
                <w:sz w:val="20"/>
              </w:rPr>
              <w:t> </w:t>
            </w:r>
            <w:r>
              <w:rPr>
                <w:rFonts w:ascii="Calibri;sans-serif" w:hAnsi="Calibri;sans-serif"/>
                <w:color w:val="000000"/>
                <w:sz w:val="20"/>
              </w:rPr>
              <w:t>and $3,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18,598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6942"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6942"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(17,168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(9,217</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6942"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(37,814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4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(0.89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694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58,371,480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42,354,520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bookmarkStart w:id="6" w:name="condensed_combined_statement_stockholder"/>
      <w:bookmarkEnd w:id="6"/>
      <w:r>
        <w:rPr>
          <w:rFonts w:ascii="Calibri;sans-serif" w:hAnsi="Calibri;sans-serif"/>
          <w:b/>
          <w:color w:val="000000"/>
          <w:sz w:val="20"/>
        </w:rPr>
        <w:t>Statements of Stockholders’ Deficit</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Times New Roman" w:hAnsi="Times New Roman"/>
          <w:sz w:val="20"/>
        </w:rPr>
      </w:pPr>
      <w:r>
        <w:rPr>
          <w:rFonts w:ascii="Calibri;sans-serif" w:hAnsi="Calibri;sans-serif"/>
          <w:b/>
          <w:color w:val="000000"/>
          <w:sz w:val="20"/>
        </w:rPr>
        <w:t>(in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1"/>
        <w:gridCol w:w="146"/>
        <w:gridCol w:w="146"/>
        <w:gridCol w:w="1036"/>
        <w:gridCol w:w="146"/>
        <w:gridCol w:w="146"/>
        <w:gridCol w:w="295"/>
        <w:gridCol w:w="486"/>
        <w:gridCol w:w="146"/>
        <w:gridCol w:w="146"/>
        <w:gridCol w:w="316"/>
        <w:gridCol w:w="753"/>
        <w:gridCol w:w="146"/>
        <w:gridCol w:w="146"/>
        <w:gridCol w:w="211"/>
        <w:gridCol w:w="781"/>
        <w:gridCol w:w="146"/>
        <w:gridCol w:w="146"/>
        <w:gridCol w:w="211"/>
        <w:gridCol w:w="991"/>
        <w:gridCol w:w="166"/>
        <w:gridCol w:w="146"/>
        <w:gridCol w:w="235"/>
        <w:gridCol w:w="944"/>
        <w:gridCol w:w="213"/>
      </w:tblGrid>
      <w:tr>
        <w:trPr/>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9"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1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57,970,044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855,921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(928,685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(72,759</w:t>
            </w:r>
          </w:p>
        </w:tc>
        <w:tc>
          <w:tcPr>
            <w:tcW w:w="21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96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401(k) matching contribution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w:t>
            </w:r>
          </w:p>
        </w:tc>
        <w:tc>
          <w:tcPr>
            <w:tcW w:w="213" w:type="dxa"/>
            <w:tcBorders/>
            <w:shd w:fill="FFFFFF" w:val="clear"/>
            <w:vAlign w:val="center"/>
          </w:tcPr>
          <w:p>
            <w:pPr>
              <w:pStyle w:val="TableContents"/>
              <w:bidi w:val="0"/>
              <w:spacing w:before="0" w:after="283"/>
              <w:jc w:val="left"/>
              <w:rPr/>
            </w:pPr>
            <w:r>
              <w:rPr/>
              <w:t> </w:t>
            </w:r>
          </w:p>
        </w:tc>
      </w:tr>
      <w:tr>
        <w:trPr/>
        <w:tc>
          <w:tcPr>
            <w:tcW w:w="196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196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5,626</w:t>
            </w:r>
          </w:p>
        </w:tc>
        <w:tc>
          <w:tcPr>
            <w:tcW w:w="213" w:type="dxa"/>
            <w:tcBorders/>
            <w:shd w:fill="FFFFFF" w:val="clear"/>
            <w:vAlign w:val="center"/>
          </w:tcPr>
          <w:p>
            <w:pPr>
              <w:pStyle w:val="TableContents"/>
              <w:bidi w:val="0"/>
              <w:spacing w:before="0" w:after="283"/>
              <w:jc w:val="left"/>
              <w:rPr/>
            </w:pPr>
            <w:r>
              <w:rPr/>
              <w:t> </w:t>
            </w:r>
          </w:p>
        </w:tc>
      </w:tr>
      <w:tr>
        <w:trPr/>
        <w:tc>
          <w:tcPr>
            <w:tcW w:w="196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ESPP shares issued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5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4"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w:t>
            </w:r>
          </w:p>
        </w:tc>
        <w:tc>
          <w:tcPr>
            <w:tcW w:w="213" w:type="dxa"/>
            <w:tcBorders/>
            <w:shd w:fill="CFF0FC" w:val="clear"/>
            <w:vAlign w:val="center"/>
          </w:tcPr>
          <w:p>
            <w:pPr>
              <w:pStyle w:val="TableContents"/>
              <w:bidi w:val="0"/>
              <w:spacing w:before="0" w:after="283"/>
              <w:jc w:val="left"/>
              <w:rPr/>
            </w:pPr>
            <w:r>
              <w:rPr/>
              <w:t> </w:t>
            </w:r>
          </w:p>
        </w:tc>
      </w:tr>
      <w:tr>
        <w:trPr/>
        <w:tc>
          <w:tcPr>
            <w:tcW w:w="196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(82,852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196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58,524,101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863,029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(1,011,537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(148,503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121"/>
        <w:gridCol w:w="146"/>
        <w:gridCol w:w="146"/>
        <w:gridCol w:w="1036"/>
        <w:gridCol w:w="146"/>
        <w:gridCol w:w="146"/>
        <w:gridCol w:w="295"/>
        <w:gridCol w:w="486"/>
        <w:gridCol w:w="146"/>
        <w:gridCol w:w="146"/>
        <w:gridCol w:w="281"/>
        <w:gridCol w:w="669"/>
        <w:gridCol w:w="146"/>
        <w:gridCol w:w="146"/>
        <w:gridCol w:w="211"/>
        <w:gridCol w:w="781"/>
        <w:gridCol w:w="146"/>
        <w:gridCol w:w="146"/>
        <w:gridCol w:w="234"/>
        <w:gridCol w:w="937"/>
        <w:gridCol w:w="166"/>
        <w:gridCol w:w="146"/>
        <w:gridCol w:w="259"/>
        <w:gridCol w:w="908"/>
        <w:gridCol w:w="215"/>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7"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Total</w:t>
              <w:br/>
              <w:t>Stockholders’</w:t>
            </w:r>
          </w:p>
        </w:tc>
        <w:tc>
          <w:tcPr>
            <w:tcW w:w="215" w:type="dxa"/>
            <w:tcBorders/>
            <w:shd w:fill="FFFFFF" w:val="clear"/>
            <w:vAlign w:val="center"/>
          </w:tcPr>
          <w:p>
            <w:pPr>
              <w:pStyle w:val="TableContents"/>
              <w:bidi w:val="0"/>
              <w:spacing w:before="0" w:after="283"/>
              <w:jc w:val="center"/>
              <w:rPr/>
            </w:pPr>
            <w:r>
              <w:rPr/>
              <w:t> </w:t>
            </w:r>
          </w:p>
        </w:tc>
      </w:tr>
      <w:tr>
        <w:trPr/>
        <w:tc>
          <w:tcPr>
            <w:tcW w:w="21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Deficit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41,468,871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652,276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7"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(727,093</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0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(74,814</w:t>
            </w:r>
          </w:p>
        </w:tc>
        <w:tc>
          <w:tcPr>
            <w:tcW w:w="21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1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401(k) matching contribution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456</w:t>
            </w:r>
          </w:p>
        </w:tc>
        <w:tc>
          <w:tcPr>
            <w:tcW w:w="215" w:type="dxa"/>
            <w:tcBorders/>
            <w:shd w:fill="FFFFFF" w:val="clear"/>
            <w:vAlign w:val="center"/>
          </w:tcPr>
          <w:p>
            <w:pPr>
              <w:pStyle w:val="TableContents"/>
              <w:bidi w:val="0"/>
              <w:spacing w:before="0" w:after="283"/>
              <w:jc w:val="left"/>
              <w:rPr/>
            </w:pPr>
            <w:r>
              <w:rPr/>
              <w:t> </w:t>
            </w:r>
          </w:p>
        </w:tc>
      </w:tr>
      <w:tr>
        <w:trPr/>
        <w:tc>
          <w:tcPr>
            <w:tcW w:w="21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Vesting of restricted shares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414,119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7,048</w:t>
            </w:r>
          </w:p>
        </w:tc>
        <w:tc>
          <w:tcPr>
            <w:tcW w:w="215" w:type="dxa"/>
            <w:tcBorders/>
            <w:shd w:fill="FFFFFF" w:val="clear"/>
            <w:vAlign w:val="center"/>
          </w:tcPr>
          <w:p>
            <w:pPr>
              <w:pStyle w:val="TableContents"/>
              <w:bidi w:val="0"/>
              <w:spacing w:before="0" w:after="283"/>
              <w:jc w:val="left"/>
              <w:rPr/>
            </w:pPr>
            <w:r>
              <w:rPr/>
              <w:t> </w:t>
            </w:r>
          </w:p>
        </w:tc>
      </w:tr>
      <w:tr>
        <w:trPr/>
        <w:tc>
          <w:tcPr>
            <w:tcW w:w="21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ESPP shares issued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1"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90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856</w:t>
            </w:r>
          </w:p>
        </w:tc>
        <w:tc>
          <w:tcPr>
            <w:tcW w:w="215" w:type="dxa"/>
            <w:tcBorders/>
            <w:shd w:fill="CFF0FC" w:val="clear"/>
            <w:vAlign w:val="center"/>
          </w:tcPr>
          <w:p>
            <w:pPr>
              <w:pStyle w:val="TableContents"/>
              <w:bidi w:val="0"/>
              <w:spacing w:before="0" w:after="283"/>
              <w:jc w:val="left"/>
              <w:rPr/>
            </w:pPr>
            <w:r>
              <w:rPr/>
              <w:t> </w:t>
            </w:r>
          </w:p>
        </w:tc>
      </w:tr>
      <w:tr>
        <w:trPr/>
        <w:tc>
          <w:tcPr>
            <w:tcW w:w="21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Issuance of common stock under ATM facility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1,514,219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14,073</w:t>
            </w:r>
          </w:p>
        </w:tc>
        <w:tc>
          <w:tcPr>
            <w:tcW w:w="215" w:type="dxa"/>
            <w:tcBorders/>
            <w:shd w:fill="FFFFFF" w:val="clear"/>
            <w:vAlign w:val="center"/>
          </w:tcPr>
          <w:p>
            <w:pPr>
              <w:pStyle w:val="TableContents"/>
              <w:bidi w:val="0"/>
              <w:spacing w:before="0" w:after="283"/>
              <w:jc w:val="left"/>
              <w:rPr/>
            </w:pPr>
            <w:r>
              <w:rPr/>
              <w:t> </w:t>
            </w:r>
          </w:p>
        </w:tc>
      </w:tr>
      <w:tr>
        <w:trPr/>
        <w:tc>
          <w:tcPr>
            <w:tcW w:w="21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(37,814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1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43,571,140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674,708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(764,907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(90,195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Calibri;sans-serif" w:hAnsi="Calibri;sans-serif"/>
          <w:b/>
          <w:color w:val="000000"/>
          <w:sz w:val="20"/>
        </w:rPr>
        <w:t>Statements of Cash Flows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Times New Roman" w:hAnsi="Times New Roman"/>
          <w:sz w:val="20"/>
        </w:rPr>
      </w:pPr>
      <w:r>
        <w:rPr>
          <w:rFonts w:ascii="Calibri;sans-serif" w:hAnsi="Calibri;sans-serif"/>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2"/>
        <w:gridCol w:w="146"/>
        <w:gridCol w:w="211"/>
        <w:gridCol w:w="781"/>
        <w:gridCol w:w="166"/>
        <w:gridCol w:w="146"/>
        <w:gridCol w:w="211"/>
        <w:gridCol w:w="781"/>
        <w:gridCol w:w="611"/>
      </w:tblGrid>
      <w:tr>
        <w:trPr/>
        <w:tc>
          <w:tcPr>
            <w:tcW w:w="7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(82,852</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(37,814</w:t>
            </w:r>
          </w:p>
        </w:tc>
        <w:tc>
          <w:tcPr>
            <w:tcW w:w="6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1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71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1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7,048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1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Issuance of PIK interest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1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interest on revenue interest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5,154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1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7152"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7152"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7152"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(5,143</w:t>
            </w:r>
          </w:p>
        </w:tc>
        <w:tc>
          <w:tcPr>
            <w:tcW w:w="611" w:type="dxa"/>
            <w:tcBorders/>
            <w:shd w:fill="CFF0FC"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7152"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152"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Calibri;sans-serif" w:hAnsi="Calibri;sans-serif"/>
                <w:color w:val="000000"/>
                <w:sz w:val="20"/>
              </w:rPr>
              <w:t>Accounts payable and accrued expenses (includes changes in related party amounts of $484</w:t>
            </w:r>
            <w:r>
              <w:rPr>
                <w:rFonts w:ascii="Times New Roman" w:hAnsi="Times New Roman"/>
                <w:color w:val="000000"/>
                <w:sz w:val="20"/>
              </w:rPr>
              <w:t> </w:t>
            </w:r>
            <w:r>
              <w:rPr>
                <w:rFonts w:ascii="Calibri;sans-serif" w:hAnsi="Calibri;sans-serif"/>
                <w:color w:val="000000"/>
                <w:sz w:val="20"/>
              </w:rPr>
              <w:t>and $137,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(5,015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(11,303</w:t>
            </w:r>
          </w:p>
        </w:tc>
        <w:tc>
          <w:tcPr>
            <w:tcW w:w="611" w:type="dxa"/>
            <w:tcBorders/>
            <w:shd w:fill="CFF0FC"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7152"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7152"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Operating right-of-use assets and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7152"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(69,020</w:t>
            </w:r>
          </w:p>
        </w:tc>
        <w:tc>
          <w:tcPr>
            <w:tcW w:w="16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(39,669</w:t>
            </w:r>
          </w:p>
        </w:tc>
        <w:tc>
          <w:tcPr>
            <w:tcW w:w="6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152"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paid for property, plant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152"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issuance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issuance of common stock under ATM facility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 cash and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(59,160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(25,811</w:t>
            </w:r>
          </w:p>
        </w:tc>
        <w:tc>
          <w:tcPr>
            <w:tcW w:w="6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and cash equivalents and restricted cash –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384,256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155,890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and cash equivalents and restricted cash –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325,096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130,079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paid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and equipment purchases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Settlement of ESPP liability in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2"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Settlement of 401(k) liability in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PHATHOM PHARMACEUTICALS, INC.</w:t>
      </w:r>
    </w:p>
    <w:p>
      <w:pPr>
        <w:pStyle w:val="TextBody"/>
        <w:bidi w:val="0"/>
        <w:jc w:val="center"/>
        <w:rPr>
          <w:rFonts w:ascii="Times New Roman" w:hAnsi="Times New Roman"/>
          <w:sz w:val="20"/>
        </w:rPr>
      </w:pPr>
      <w:bookmarkStart w:id="8" w:name="notes_to_unaudited_financial_statements"/>
      <w:bookmarkEnd w:id="8"/>
      <w:r>
        <w:rPr>
          <w:rFonts w:ascii="Calibri;sans-serif" w:hAnsi="Calibri;sans-serif"/>
          <w:b/>
          <w:color w:val="000000"/>
          <w:sz w:val="20"/>
        </w:rPr>
        <w:t>Notes to Unaudited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9" w:name="n1_organization_basis_presentation_summa"/>
      <w:bookmarkEnd w:id="9"/>
      <w:r>
        <w:rPr>
          <w:rFonts w:ascii="Calibri;sans-serif" w:hAnsi="Calibri;sans-serif"/>
          <w:b/>
          <w:color w:val="000000"/>
          <w:sz w:val="20"/>
        </w:rPr>
        <w:t>1. Organization, Basis of Presentation and Summary of Significant Accounting Policies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Organization and Basis of Presentation</w:t>
      </w:r>
    </w:p>
    <w:p>
      <w:pPr>
        <w:pStyle w:val="TextBody"/>
        <w:bidi w:val="0"/>
        <w:spacing w:before="200" w:after="283"/>
        <w:jc w:val="left"/>
        <w:rPr>
          <w:rFonts w:ascii="Times New Roman" w:hAnsi="Times New Roman"/>
          <w:sz w:val="20"/>
        </w:rPr>
      </w:pPr>
      <w:r>
        <w:rPr>
          <w:rFonts w:ascii="Calibri;sans-serif" w:hAnsi="Calibri;sans-serif"/>
          <w:color w:val="000000"/>
          <w:sz w:val="20"/>
        </w:rPr>
        <w:t>Phathom Pharmaceuticals, Inc., or the Company or Phathom, was incorporated in the state of Delaware in January 2018. The Company is a biopharmaceutical company focused on developing and commercializing novel treatments for gastrointestinal diseases. The Company’s financial statements are prepared in accordance with U.S. generally accepted accounting principles, or GAAP.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On October 27, 2023, the U.S. Food and Drug Administration, or FDA, approved the prior approval supplements to the Company's new drug applications, or NDAs, for VOQUEZNA TRIPLE PAK and VOQUEZNA DUAL PAK. Additionally, on November 1, 2023, the FDA approved the Company's NDA for VOQUEZNA tablets. As a result, the Company initiated commercial launch for VOQUEZNA for both the Erosive GERD and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indications, and VOQUEZNA TRIPLE PAK and VOQUEZNA DUAL PAK for treatment of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infection in the fourth quarter of 2023.</w:t>
      </w:r>
    </w:p>
    <w:p>
      <w:pPr>
        <w:pStyle w:val="TextBody"/>
        <w:bidi w:val="0"/>
        <w:spacing w:before="200" w:after="283"/>
        <w:jc w:val="left"/>
        <w:rPr>
          <w:rFonts w:ascii="Times New Roman" w:hAnsi="Times New Roman"/>
          <w:sz w:val="20"/>
        </w:rPr>
      </w:pPr>
      <w:r>
        <w:rPr>
          <w:rFonts w:ascii="Calibri;sans-serif" w:hAnsi="Calibri;sans-serif"/>
          <w:b/>
          <w:i/>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From inception to March 31, 2024,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and providing other selling, general and administrative support for these operations. The Company has a limited operating history, has generated limited revenue to date, and the sales and income potential of its business is unproven. The Company has incurred net losses and negative cash flows from operating activities since its inception and expects to continue to incur additional net losses in the future. The Company has funded its operations primarily through commercial bank debt, the revenue interest financing debt and various equity offerings, including the Company's at-the-market, or ATM, offerings. From inception through March 31, 2024, the Company sold 26,041,380</w:t>
      </w:r>
      <w:r>
        <w:rPr>
          <w:rFonts w:ascii="Times New Roman" w:hAnsi="Times New Roman"/>
          <w:color w:val="000000"/>
          <w:sz w:val="20"/>
        </w:rPr>
        <w:t xml:space="preserve"> </w:t>
      </w:r>
      <w:r>
        <w:rPr>
          <w:rFonts w:ascii="Calibri;sans-serif" w:hAnsi="Calibri;sans-serif"/>
          <w:color w:val="000000"/>
          <w:sz w:val="20"/>
        </w:rPr>
        <w:t>shares of common stock, generating net proceeds of approximately $421.5</w:t>
      </w:r>
      <w:r>
        <w:rPr>
          <w:rFonts w:ascii="Times New Roman" w:hAnsi="Times New Roman"/>
          <w:color w:val="000000"/>
          <w:sz w:val="20"/>
        </w:rPr>
        <w:t xml:space="preserve"> </w:t>
      </w:r>
      <w:r>
        <w:rPr>
          <w:rFonts w:ascii="Calibri;sans-serif" w:hAnsi="Calibri;sans-serif"/>
          <w:color w:val="000000"/>
          <w:sz w:val="20"/>
        </w:rPr>
        <w:t>million, after deducting underwriting discounts, commissions and offering costs.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Management believes that it has sufficient working capital on hand to fund operations through at least the next twelve months from the date these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Use of Estimates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preparation of the Company’s financial statements requires management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accruals for net product revenues, research and development expenses,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Fair Value Measurements</w:t>
      </w:r>
    </w:p>
    <w:p>
      <w:pPr>
        <w:pStyle w:val="TextBody"/>
        <w:bidi w:val="0"/>
        <w:spacing w:before="200" w:after="283"/>
        <w:jc w:val="left"/>
        <w:rPr>
          <w:rFonts w:ascii="Times New Roman" w:hAnsi="Times New Roman"/>
          <w:sz w:val="20"/>
        </w:rPr>
      </w:pPr>
      <w:r>
        <w:rPr>
          <w:rFonts w:ascii="Calibri;sans-serif" w:hAnsi="Calibri;sans-serif"/>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Level 1: Observable inputs such as quoted prices in active markets.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Level 2: Inputs, other than the quoted prices in active markets that are observable either directly or indirectly.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Level 3: Unobservable inputs in which there is little or no market data, which require the reporting entity to develop its own assumptions.</w:t>
      </w:r>
    </w:p>
    <w:p>
      <w:pPr>
        <w:pStyle w:val="TextBody"/>
        <w:bidi w:val="0"/>
        <w:spacing w:before="200" w:after="283"/>
        <w:jc w:val="left"/>
        <w:rPr>
          <w:rFonts w:ascii="Times New Roman" w:hAnsi="Times New Roman"/>
          <w:sz w:val="20"/>
        </w:rPr>
      </w:pPr>
      <w:r>
        <w:rPr>
          <w:rFonts w:ascii="Calibri;sans-serif" w:hAnsi="Calibri;sans-serif"/>
          <w:color w:val="000000"/>
          <w:sz w:val="20"/>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has no</w:t>
      </w:r>
      <w:r>
        <w:rPr>
          <w:rFonts w:ascii="Times New Roman" w:hAnsi="Times New Roman"/>
          <w:color w:val="000000"/>
          <w:sz w:val="20"/>
        </w:rPr>
        <w:t xml:space="preserve"> </w:t>
      </w:r>
      <w:r>
        <w:rPr>
          <w:rFonts w:ascii="Calibri;sans-serif" w:hAnsi="Calibri;sans-serif"/>
          <w:color w:val="000000"/>
          <w:sz w:val="20"/>
        </w:rPr>
        <w:t>financial assets measured at fair value on a recurring basis. None of the Company’s non-financial assets or liabilities are recorded at fair value on a non-recurring basis. No transfers between levels have occurred during the periods presented.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March 31, 2024 and December 31, 2023,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Cash and Cash Equivalents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considers all highly liquid investments with original maturities of three months or less when purchased to be cash equivalents. Cash and cash equivalents include cash in readily available checking accounts and money market funds. Restricted cash primarily consists of cash deposited by the Company to secure corporate leased vehicles.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Accounts Receivable, Net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Accounts receivable consists of amounts due from customers, primarily wholesale distributors, net of customer allowances for prompt pay discounts, distribution service fees, and other adjustments. Our contracts with customers have standard payment terms. The Company assesses the need for an allowance for credit losses primarily based on creditworthiness, historical payment experience and general economic conditions. The Company has not experienced any credit losses to date given our limited commercial operations with any of its customers, and has not currently recognized a material allowance for credit losses.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Concentrations of Credit Risk</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is also subject to credit risk from our accounts receivable related to our product sales. The Company monitors exposure within accounts receivable and records a reserve against uncollectible accounts receivable as necessary. The Company extends credit primarily to wholesale distributors. Customer creditworthiness is monitored and collateral is not required. The allowance for credit losses reflects the best estimate of expected credit losses of the accounts receivable portfolio determined on the basis of historical experience, current information, and forecasts of future economic conditions. The Company determines its allowance methodology by pooling receivable balances at the customer level. The Company considers various factors, including its previous loss history, individual credit risk associated to each customer, and the current and future conditions of the general economy. These credit risk factors are monitored on a quarterly basis and updated as necessary. To the extent that any individual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As of March 31, 2024, three</w:t>
      </w:r>
      <w:r>
        <w:rPr>
          <w:rFonts w:ascii="Times New Roman" w:hAnsi="Times New Roman"/>
          <w:color w:val="000000"/>
          <w:sz w:val="20"/>
        </w:rPr>
        <w:t xml:space="preserve"> </w:t>
      </w:r>
      <w:r>
        <w:rPr>
          <w:rFonts w:ascii="Calibri;sans-serif" w:hAnsi="Calibri;sans-serif"/>
          <w:color w:val="000000"/>
          <w:sz w:val="20"/>
        </w:rPr>
        <w:t>customers accounted for 80% of the accounts receivable balance, with each of these individual customers ranging from 22% to 30% of the accounts receivable balance. As of December 31, 2023, three</w:t>
      </w:r>
      <w:r>
        <w:rPr>
          <w:rFonts w:ascii="Times New Roman" w:hAnsi="Times New Roman"/>
          <w:color w:val="000000"/>
          <w:sz w:val="20"/>
        </w:rPr>
        <w:t xml:space="preserve"> </w:t>
      </w:r>
      <w:r>
        <w:rPr>
          <w:rFonts w:ascii="Calibri;sans-serif" w:hAnsi="Calibri;sans-serif"/>
          <w:color w:val="000000"/>
          <w:sz w:val="20"/>
        </w:rPr>
        <w:t>customers accounted for 87% of the accounts receivable balance, with each of these individual customers ranging from 28% to 30% of the accounts receivable balance. For the three months ended March 31, 2024, three</w:t>
      </w:r>
      <w:r>
        <w:rPr>
          <w:rFonts w:ascii="Times New Roman" w:hAnsi="Times New Roman"/>
          <w:color w:val="000000"/>
          <w:sz w:val="20"/>
        </w:rPr>
        <w:t xml:space="preserve"> </w:t>
      </w:r>
      <w:r>
        <w:rPr>
          <w:rFonts w:ascii="Calibri;sans-serif" w:hAnsi="Calibri;sans-serif"/>
          <w:color w:val="000000"/>
          <w:sz w:val="20"/>
        </w:rPr>
        <w:t>customers accounted for 70% of our product sales, with each of these individual customers ranging from 20% to 25% of our product sales.</w:t>
      </w:r>
    </w:p>
    <w:p>
      <w:pPr>
        <w:pStyle w:val="TextBody"/>
        <w:bidi w:val="0"/>
        <w:spacing w:before="200" w:after="200"/>
        <w:jc w:val="left"/>
        <w:rPr>
          <w:rFonts w:ascii="Calibri;sans-serif" w:hAnsi="Calibri;sans-serif"/>
          <w:b/>
          <w:i/>
          <w:color w:val="000000"/>
          <w:sz w:val="20"/>
        </w:rPr>
      </w:pPr>
      <w:r>
        <w:rPr>
          <w:rFonts w:ascii="Calibri;sans-serif" w:hAnsi="Calibri;sans-serif"/>
          <w:b/>
          <w:i/>
          <w:color w:val="000000"/>
          <w:sz w:val="20"/>
        </w:rPr>
        <w:t>Inventory</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Inventory consists of bulk active pharmaceutical ingredients that are used to manufacture vonoprazan tablets. Inventory related to indications prior to regulatory approval has been included in research and development expense in the period of purchase.</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values its inventory at the lower of cost or net realizable value. The Company measures inventory using actual cost under a first-in, first-out basis. The Company assesses recoverability of inventory each reporting period to determine any write down to net realizable value resulting from excess or obsolete inventories</w:t>
      </w:r>
      <w:r>
        <w:rPr>
          <w:rFonts w:ascii="Times New Roman" w:hAnsi="Times New Roman"/>
          <w:i/>
          <w:color w:val="000000"/>
          <w:sz w:val="20"/>
        </w:rPr>
        <w:t>.</w:t>
      </w:r>
    </w:p>
    <w:p>
      <w:pPr>
        <w:pStyle w:val="TextBody"/>
        <w:bidi w:val="0"/>
        <w:spacing w:before="200" w:after="283"/>
        <w:jc w:val="left"/>
        <w:rPr>
          <w:rFonts w:ascii="Times New Roman" w:hAnsi="Times New Roman"/>
          <w:sz w:val="20"/>
        </w:rPr>
      </w:pPr>
      <w:r>
        <w:rPr>
          <w:rFonts w:ascii="Calibri;sans-serif" w:hAnsi="Calibri;sans-serif"/>
          <w:b/>
          <w:i/>
          <w:color w:val="000000"/>
          <w:sz w:val="20"/>
        </w:rPr>
        <w:t>Property, Plant, and Equipment, Net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Property, plant and equipment are recorded at cost, less accumulated depreciation. Depreciation expense is recognized using the straight-line method over the useful life of the asset. Computer equipment and related software are depreciated over two</w:t>
      </w:r>
      <w:r>
        <w:rPr>
          <w:rFonts w:ascii="Times New Roman" w:hAnsi="Times New Roman"/>
          <w:color w:val="000000"/>
          <w:sz w:val="20"/>
        </w:rPr>
        <w:t xml:space="preserve"> </w:t>
      </w:r>
      <w:r>
        <w:rPr>
          <w:rFonts w:ascii="Calibri;sans-serif" w:hAnsi="Calibri;sans-serif"/>
          <w:color w:val="000000"/>
          <w:sz w:val="20"/>
        </w:rPr>
        <w:t>to three years. Equipment is depreciated over five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Impairment of Long-Lived Assets</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w:t>
      </w:r>
      <w:r>
        <w:rPr>
          <w:rFonts w:ascii="Times New Roman" w:hAnsi="Times New Roman"/>
          <w:color w:val="000000"/>
          <w:sz w:val="20"/>
        </w:rPr>
        <w:t xml:space="preserve"> </w:t>
      </w:r>
      <w:r>
        <w:rPr>
          <w:rFonts w:ascii="Calibri;sans-serif" w:hAnsi="Calibri;sans-serif"/>
          <w:color w:val="000000"/>
          <w:sz w:val="20"/>
        </w:rPr>
        <w:t>impairment losses have been recorded</w:t>
      </w:r>
      <w:r>
        <w:rPr>
          <w:rFonts w:ascii="Times New Roman" w:hAnsi="Times New Roman"/>
          <w:color w:val="000000"/>
          <w:sz w:val="20"/>
        </w:rPr>
        <w:t xml:space="preserve"> </w:t>
      </w:r>
      <w:r>
        <w:rPr>
          <w:rFonts w:ascii="Calibri;sans-serif" w:hAnsi="Calibri;sans-serif"/>
          <w:color w:val="000000"/>
          <w:sz w:val="20"/>
        </w:rPr>
        <w:t>for the three months ended March 31, 2024 and 2023.</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Other Long-Term Assets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Other long-term assets consist of deposits relating to our copay and patient support programs and security deposits on our leased properties.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Leases</w:t>
      </w:r>
    </w:p>
    <w:p>
      <w:pPr>
        <w:pStyle w:val="TextBody"/>
        <w:bidi w:val="0"/>
        <w:spacing w:before="200" w:after="283"/>
        <w:jc w:val="left"/>
        <w:rPr>
          <w:rFonts w:ascii="Times New Roman" w:hAnsi="Times New Roman"/>
          <w:sz w:val="20"/>
        </w:rPr>
      </w:pPr>
      <w:r>
        <w:rPr>
          <w:rFonts w:ascii="Calibri;sans-serif" w:hAnsi="Calibri;sans-serif"/>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Interest Financing Liability</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entered into a revenue interest financing agreement, or the Revenue Interest Financing Agreement, with entities managed or advised by NovaQuest Capital Management, or NQ, Sagard Holdings Manager LP, or Sagard, and Hercules Capital, Inc., or Hercules, together with NQ and Sagard, the Initial Investors, in which the Company received funds in return for royalties on net sales of products containing vonoprazan, in May 2022. Subsequently, in October 2022, the Company entered into a Joinder Agreement with the Initial Investors and CO Finance LVS XXXVII LLC, or the Additional Investor, together as the Investors. The net proceeds received under the transactions are recognized as short-term and long-term liabilities with interest expense based on an imputed effective rate derived from the expected future payments to the Investors. The Company recalculates the effective interest rate each period based on the current carrying value and the revised estimated future payments to the Investors. Changes in future payments to the Investors from previous estimates are included in current and future financing expense.</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Pursuant to Accounting Standards Codification 606, Revenue from Contracts with Customers, or ASC 606, the Company recognizes revenue when a customer obtains control of promised goods or services. The Company records the amount of revenue that reflects the consideration that it expects to receive in exchange for those goods or services.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it will collect the consideration to which it is entitled in exchange for the goods or services that it transfers to the customer. Once a contract is determined to be within the scope of ASC 606 at contract inception, the Company reviews the contract to determine which performance obligations it must deliver and which of these performance obligations are distinct. The Company recognizes as revenue the amount of the transaction price that is allocated to each performance obligation when that performance obligation is satisfied or as it is satisfied. Generally, the Company’s performance obligations are transferred to customers at a point in time, typically upon delivery.</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Product Revenue, Net</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sells its product to its customers, primarily wholesale distributors, in the United States. The Company’s customers subsequently resell the products to pharmacies and health care providers. In accordance with ASC 606, the Company recognizes net product revenues from sales when the customers obtain control of the Company’s products, which typically occurs upon delivery to the customer.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Revenues from product sales are recorded at the net sales price, or transaction price, which includes estimates of variable consideration that result from (a) invoice discounts for prompt payment and distribution service fees, (b) government and private payor rebates, chargebacks, discounts and fees, (c) product returns and (d) costs of co-pay assistance programs for patients, as well as other incentives for certain indirect customers. Reserves are established for the estimates of variable consideration based on the amounts earned or to be claimed on the related sales. The reserves are classified as reductions to accounts receivable, net if payable to a customer or accrued expenses if payable to a third-party or related to product returns. Where appropriate, the Company utilizes the expected value method to determine the appropriate amount for estimates of variable consideration based on factors such as current contractual and statutory requirements, specific known market events and trends, industry data and forecasted customer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will adjust these estimates, which would affect net product revenue and earnings in the period such variances become known.</w:t>
      </w:r>
    </w:p>
    <w:p>
      <w:pPr>
        <w:pStyle w:val="TextBody"/>
        <w:bidi w:val="0"/>
        <w:spacing w:before="200" w:after="283"/>
        <w:jc w:val="left"/>
        <w:rPr>
          <w:rFonts w:ascii="Times New Roman" w:hAnsi="Times New Roman"/>
          <w:sz w:val="20"/>
        </w:rPr>
      </w:pPr>
      <w:r>
        <w:rPr>
          <w:rFonts w:ascii="Calibri;sans-serif" w:hAnsi="Calibri;sans-serif"/>
          <w:i/>
          <w:color w:val="000000"/>
          <w:sz w:val="20"/>
        </w:rPr>
        <w:t>Distribution Service Fees:</w:t>
      </w:r>
      <w:r>
        <w:rPr>
          <w:rFonts w:ascii="Times New Roman" w:hAnsi="Times New Roman"/>
          <w:color w:val="000000"/>
          <w:sz w:val="20"/>
        </w:rPr>
        <w:t xml:space="preserve"> </w:t>
      </w:r>
      <w:r>
        <w:rPr>
          <w:rFonts w:ascii="Calibri;sans-serif" w:hAnsi="Calibri;sans-serif"/>
          <w:color w:val="000000"/>
          <w:sz w:val="20"/>
        </w:rPr>
        <w:t>The Company engages with wholesalers to distribute its products to end customers. The Company pays the wholesalers a fee for services such as: Data Reporting, Inventory Management, Chargeback Administration and Service Level Commitment. The Company estimates the amount of distribution services fees to be paid to the customers based on a contractually fixed percentage of wholesaler acquisition costs and are calculated at the time of sale based on the purchase amount and the transaction price is adjusted with the amount of such estimate at the time of sale to the customer.</w:t>
      </w:r>
    </w:p>
    <w:p>
      <w:pPr>
        <w:pStyle w:val="TextBody"/>
        <w:bidi w:val="0"/>
        <w:spacing w:before="200" w:after="283"/>
        <w:jc w:val="left"/>
        <w:rPr>
          <w:rFonts w:ascii="Times New Roman" w:hAnsi="Times New Roman"/>
          <w:sz w:val="20"/>
        </w:rPr>
      </w:pPr>
      <w:r>
        <w:rPr>
          <w:rFonts w:ascii="Calibri;sans-serif" w:hAnsi="Calibri;sans-serif"/>
          <w:i/>
          <w:color w:val="000000"/>
          <w:sz w:val="20"/>
        </w:rPr>
        <w:t>Prompt Pay Discounts:</w:t>
      </w:r>
      <w:r>
        <w:rPr>
          <w:rFonts w:ascii="Times New Roman" w:hAnsi="Times New Roman"/>
          <w:color w:val="000000"/>
          <w:sz w:val="20"/>
        </w:rPr>
        <w:t xml:space="preserve"> </w:t>
      </w:r>
      <w:r>
        <w:rPr>
          <w:rFonts w:ascii="Calibri;sans-serif" w:hAnsi="Calibri;sans-serif"/>
          <w:color w:val="000000"/>
          <w:sz w:val="20"/>
        </w:rPr>
        <w:t>The Company provides its customers with a percentage discount on their invoice if the customers pay within the agreed upon timeframe. The Company estimates the probability of customers paying promptly and the percentage of discount outlined in the agreement, and deducts the full amount of these discounts.</w:t>
      </w:r>
    </w:p>
    <w:p>
      <w:pPr>
        <w:pStyle w:val="TextBody"/>
        <w:bidi w:val="0"/>
        <w:spacing w:before="200" w:after="283"/>
        <w:jc w:val="left"/>
        <w:rPr>
          <w:rFonts w:ascii="Times New Roman" w:hAnsi="Times New Roman"/>
          <w:sz w:val="20"/>
        </w:rPr>
      </w:pPr>
      <w:r>
        <w:rPr>
          <w:rFonts w:ascii="Calibri;sans-serif" w:hAnsi="Calibri;sans-serif"/>
          <w:i/>
          <w:color w:val="000000"/>
          <w:sz w:val="20"/>
        </w:rPr>
        <w:t>Product Returns:</w:t>
      </w:r>
      <w:r>
        <w:rPr>
          <w:rFonts w:ascii="Times New Roman" w:hAnsi="Times New Roman"/>
          <w:color w:val="000000"/>
          <w:sz w:val="20"/>
        </w:rPr>
        <w:t xml:space="preserve"> </w:t>
      </w:r>
      <w:r>
        <w:rPr>
          <w:rFonts w:ascii="Calibri;sans-serif" w:hAnsi="Calibri;sans-serif"/>
          <w:color w:val="000000"/>
          <w:sz w:val="20"/>
        </w:rPr>
        <w:t>The Company provides customers a return credit in the amount of the purchase price paid by customers for all products returned in accordance with the Company’s returned goods policy. In the initial sales period, the Company estimates its provision for sales returns based on industry data and adjusts the transaction price with such estimate at the time of sale to the customer. Once sufficient history has been collected for product returns, the Company will utilize that history to inform its estimate assumptions. Once the product is returned, it is destroyed. The Company does not record a right-of-return asset.</w:t>
      </w:r>
    </w:p>
    <w:p>
      <w:pPr>
        <w:pStyle w:val="TextBody"/>
        <w:bidi w:val="0"/>
        <w:spacing w:before="200" w:after="283"/>
        <w:jc w:val="left"/>
        <w:rPr>
          <w:rFonts w:ascii="Times New Roman" w:hAnsi="Times New Roman"/>
          <w:sz w:val="20"/>
        </w:rPr>
      </w:pPr>
      <w:r>
        <w:rPr>
          <w:rFonts w:ascii="Calibri;sans-serif" w:hAnsi="Calibri;sans-serif"/>
          <w:i/>
          <w:color w:val="000000"/>
          <w:sz w:val="20"/>
        </w:rPr>
        <w:t>Chargebacks:</w:t>
      </w:r>
      <w:r>
        <w:rPr>
          <w:rFonts w:ascii="Times New Roman" w:hAnsi="Times New Roman"/>
          <w:color w:val="000000"/>
          <w:sz w:val="20"/>
        </w:rPr>
        <w:t xml:space="preserve"> </w:t>
      </w:r>
      <w:r>
        <w:rPr>
          <w:rFonts w:ascii="Calibri;sans-serif" w:hAnsi="Calibri;sans-serif"/>
          <w:color w:val="000000"/>
          <w:sz w:val="20"/>
        </w:rPr>
        <w:t>A chargeback is the difference between the manufacturer's invoice price to the wholesaler and the contract price the wholesaler’s customer has negotiated directly with the manufacturer. The wholesaler tracks these sales and "charges back" the manufacturer for the difference between the negotiated prices paid between the wholesaler's customers and wholesaler's acquisition cost. The Company estimates the percentage of goods sold that are eligible for chargeback and adjusts the transaction price for such discount at the time of sale to the customer.</w:t>
      </w:r>
    </w:p>
    <w:p>
      <w:pPr>
        <w:pStyle w:val="TextBody"/>
        <w:bidi w:val="0"/>
        <w:spacing w:before="200" w:after="283"/>
        <w:jc w:val="left"/>
        <w:rPr>
          <w:rFonts w:ascii="Times New Roman" w:hAnsi="Times New Roman"/>
          <w:sz w:val="20"/>
        </w:rPr>
      </w:pPr>
      <w:r>
        <w:rPr>
          <w:rFonts w:ascii="Calibri;sans-serif" w:hAnsi="Calibri;sans-serif"/>
          <w:i/>
          <w:color w:val="000000"/>
          <w:sz w:val="20"/>
        </w:rPr>
        <w:t>Administration Fees:</w:t>
      </w:r>
      <w:r>
        <w:rPr>
          <w:rFonts w:ascii="Times New Roman" w:hAnsi="Times New Roman"/>
          <w:color w:val="000000"/>
          <w:sz w:val="20"/>
        </w:rPr>
        <w:t xml:space="preserve"> </w:t>
      </w:r>
      <w:r>
        <w:rPr>
          <w:rFonts w:ascii="Calibri;sans-serif" w:hAnsi="Calibri;sans-serif"/>
          <w:color w:val="000000"/>
          <w:sz w:val="20"/>
        </w:rPr>
        <w:t>The Company engages with Pharmacy Benefit Managers, or PBMs, to administer prescription-drug plans for people with third-party insurance through a self-insured employer, health insurance plan, labor union or government plan. The Company pays PBMs “administrative fees” for their role in providing utilization data, administering rebates, and administering claims payments. The Company estimates the amount of administration fees to be paid to PBMs and adjusts the transaction price with the amount of such estimate at the time of sale to the customer.</w:t>
      </w:r>
    </w:p>
    <w:p>
      <w:pPr>
        <w:pStyle w:val="TextBody"/>
        <w:bidi w:val="0"/>
        <w:spacing w:before="200" w:after="283"/>
        <w:jc w:val="left"/>
        <w:rPr>
          <w:rFonts w:ascii="Times New Roman" w:hAnsi="Times New Roman"/>
          <w:sz w:val="20"/>
        </w:rPr>
      </w:pPr>
      <w:r>
        <w:rPr>
          <w:rFonts w:ascii="Calibri;sans-serif" w:hAnsi="Calibri;sans-serif"/>
          <w:i/>
          <w:color w:val="000000"/>
          <w:sz w:val="20"/>
        </w:rPr>
        <w:t>Rebates</w:t>
      </w:r>
      <w:r>
        <w:rPr>
          <w:rFonts w:ascii="Calibri;sans-serif" w:hAnsi="Calibri;sans-serif"/>
          <w:color w:val="000000"/>
          <w:sz w:val="20"/>
        </w:rPr>
        <w:t>: Rebates apply to:</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Medicaid, managed care, and supplemental rebates to all applicable states as defined by the statutory government pricing calculation requirements under the Medicaid Drug Rebate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Medicare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estimates the percentage of goods sold that are eligible for rebates and adjusts the transaction price for such discounts at the time of sale to the customers.</w:t>
      </w:r>
    </w:p>
    <w:p>
      <w:pPr>
        <w:pStyle w:val="TextBody"/>
        <w:bidi w:val="0"/>
        <w:spacing w:before="200" w:after="283"/>
        <w:jc w:val="left"/>
        <w:rPr>
          <w:rFonts w:ascii="Times New Roman" w:hAnsi="Times New Roman"/>
          <w:sz w:val="20"/>
        </w:rPr>
      </w:pPr>
      <w:r>
        <w:rPr>
          <w:rFonts w:ascii="Calibri;sans-serif" w:hAnsi="Calibri;sans-serif"/>
          <w:i/>
          <w:color w:val="000000"/>
          <w:sz w:val="20"/>
        </w:rPr>
        <w:t>Coverage Gap:</w:t>
      </w:r>
      <w:r>
        <w:rPr>
          <w:rFonts w:ascii="Times New Roman" w:hAnsi="Times New Roman"/>
          <w:color w:val="000000"/>
          <w:sz w:val="20"/>
        </w:rPr>
        <w:t xml:space="preserve"> </w:t>
      </w:r>
      <w:r>
        <w:rPr>
          <w:rFonts w:ascii="Calibri;sans-serif" w:hAnsi="Calibri;sans-serif"/>
          <w:color w:val="000000"/>
          <w:sz w:val="20"/>
        </w:rPr>
        <w:t>The Medicare Part D coverage gap, also called the donut hole, is a period of consumer payment for prescription medication costs which lies between the initial coverage 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to the customer.</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co-pays and discounts for its products, as it becomes available.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00" w:after="283"/>
        <w:jc w:val="left"/>
        <w:rPr>
          <w:rFonts w:ascii="Times New Roman" w:hAnsi="Times New Roman"/>
          <w:sz w:val="20"/>
        </w:rPr>
      </w:pPr>
      <w:r>
        <w:rPr>
          <w:rFonts w:ascii="Calibri;sans-serif" w:hAnsi="Calibri;sans-serif"/>
          <w:color w:val="000000"/>
          <w:sz w:val="20"/>
        </w:rPr>
        <w:t>Cost of revenue includes the cost of producing and distributing inventories that are related to product sales. This also includes royalties payable to Takeda Pharmaceutical Company Limited, or Takeda, pursuant to the Takeda License Agreement (Refer to Note 4 for further details). In addition, shipping and handling costs for product sales are recorded as incurred. Finally, cost of revenue may also include costs related to excess or obsolete inventory adjustment charges.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FDA approvals of VOQUEZNA, VOQUEZNA TRIPLE PAK, and VOQUEZNA DUAL PAK , the Company began capitalizing inventory manufactured by or purchased from third parties. As a result, certain manufacturing costs associated with product shipments were expensed prior to FDA approval and, therefore, are not included in cost of goods sold during the current period. These previously expensed costs were not material for the three months ended March 31, 2024.</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Research and Development Expenses and Accruals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or CROs, and consultants to conduct and support the Company’s ongoing clinical trials of vonoprazan, and costs related to manufacturing vonoprazan for clinical trials.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Selling, General and Administrative Expenses</w:t>
      </w:r>
    </w:p>
    <w:p>
      <w:pPr>
        <w:pStyle w:val="TextBody"/>
        <w:bidi w:val="0"/>
        <w:spacing w:before="200" w:after="283"/>
        <w:jc w:val="left"/>
        <w:rPr>
          <w:rFonts w:ascii="Times New Roman" w:hAnsi="Times New Roman"/>
          <w:sz w:val="20"/>
        </w:rPr>
      </w:pPr>
      <w:r>
        <w:rPr>
          <w:rFonts w:ascii="Calibri;sans-serif" w:hAnsi="Calibri;sans-serif"/>
          <w:color w:val="000000"/>
          <w:sz w:val="20"/>
        </w:rPr>
        <w:t>Selling, general and administrative expenses consist of salaries and employee-related costs, including stock-based compensation, for personnel in commercial, executive, finance, accounting, information technology, legal, medical affairs and human resources functions.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Advertising and Marketing Costs</w:t>
      </w:r>
    </w:p>
    <w:p>
      <w:pPr>
        <w:pStyle w:val="TextBody"/>
        <w:bidi w:val="0"/>
        <w:spacing w:before="200" w:after="283"/>
        <w:jc w:val="left"/>
        <w:rPr>
          <w:rFonts w:ascii="Times New Roman" w:hAnsi="Times New Roman"/>
          <w:sz w:val="20"/>
        </w:rPr>
      </w:pPr>
      <w:r>
        <w:rPr>
          <w:rFonts w:ascii="Calibri;sans-serif" w:hAnsi="Calibri;sans-serif"/>
          <w:color w:val="000000"/>
          <w:sz w:val="20"/>
        </w:rPr>
        <w:t>Advertising and marketing costs are expensed as incurred. Advertising and marketing costs for the three months ended March 31, 2024</w:t>
      </w:r>
      <w:r>
        <w:rPr>
          <w:rFonts w:ascii="Times New Roman" w:hAnsi="Times New Roman"/>
          <w:color w:val="000000"/>
          <w:sz w:val="20"/>
        </w:rPr>
        <w:t xml:space="preserve"> </w:t>
      </w:r>
      <w:r>
        <w:rPr>
          <w:rFonts w:ascii="Calibri;sans-serif" w:hAnsi="Calibri;sans-serif"/>
          <w:color w:val="000000"/>
          <w:sz w:val="20"/>
        </w:rPr>
        <w:t>were approximately $6.8</w:t>
      </w:r>
      <w:r>
        <w:rPr>
          <w:rFonts w:ascii="Times New Roman" w:hAnsi="Times New Roman"/>
          <w:color w:val="000000"/>
          <w:sz w:val="20"/>
        </w:rPr>
        <w:t xml:space="preserve"> </w:t>
      </w:r>
      <w:r>
        <w:rPr>
          <w:rFonts w:ascii="Calibri;sans-serif" w:hAnsi="Calibri;sans-serif"/>
          <w:color w:val="000000"/>
          <w:sz w:val="20"/>
        </w:rPr>
        <w:t>million and are included in selling, general and administrative expenses. Advertising and marketing costs were not material for the three months ended March 31, 2023.</w:t>
      </w:r>
    </w:p>
    <w:p>
      <w:pPr>
        <w:pStyle w:val="TextBody"/>
        <w:bidi w:val="0"/>
        <w:spacing w:before="200" w:after="283"/>
        <w:jc w:val="left"/>
        <w:rPr>
          <w:rFonts w:ascii="Times New Roman" w:hAnsi="Times New Roman"/>
          <w:sz w:val="20"/>
        </w:rPr>
      </w:pPr>
      <w:r>
        <w:rPr>
          <w:rFonts w:ascii="Calibri;sans-serif" w:hAnsi="Calibri;sans-serif"/>
          <w:b/>
          <w:i/>
          <w:color w:val="000000"/>
          <w:sz w:val="20"/>
        </w:rPr>
        <w:t>Stock-Based Compensation</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Stock-based compensation expense represents the cost of the grant date fair value of equity awards recognized over the requisite service period of the awards (generally the vesting period) on a straight-line basis with forfeitures recognized as they occur.</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also maintains an employee stock purchase program, or ESPP, under which it may issue shares. The Company estimates the fair value of shares that will be issued under the ESPP, and of stock options using the Black-Scholes valuation model, which requires the use of estimates. The Company recognizes stock-based compensation cost for shares that it will issue under the ESPP on a straight-line basis over the requisite service period of the award.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Income Taxes</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effect of a change in tax rates on deferred tax assets and liabilities is recognized in the statements of operations in the period that includes the enactment date.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bidi w:val="0"/>
        <w:spacing w:before="200" w:after="283"/>
        <w:jc w:val="left"/>
        <w:rPr>
          <w:rFonts w:ascii="Times New Roman" w:hAnsi="Times New Roman"/>
          <w:sz w:val="20"/>
        </w:rPr>
      </w:pPr>
      <w:r>
        <w:rPr>
          <w:rFonts w:ascii="Calibri;sans-serif" w:hAnsi="Calibri;sans-serif"/>
          <w:color w:val="000000"/>
          <w:sz w:val="20"/>
        </w:rPr>
        <w:t>Beginning in 2022, the Tax Cuts and Jobs Act eliminates the option to deduct research and development expenditures currently and requires taxpayers to amortize domestic and foreign research and development expenditures over 5 years</w:t>
      </w:r>
      <w:r>
        <w:rPr>
          <w:rFonts w:ascii="Times New Roman" w:hAnsi="Times New Roman"/>
          <w:color w:val="000000"/>
          <w:sz w:val="20"/>
        </w:rPr>
        <w:t xml:space="preserve"> </w:t>
      </w:r>
      <w:r>
        <w:rPr>
          <w:rFonts w:ascii="Calibri;sans-serif" w:hAnsi="Calibri;sans-serif"/>
          <w:color w:val="000000"/>
          <w:sz w:val="20"/>
        </w:rPr>
        <w:t>and 15 years, respectively. The requirement did not impact cash from operations in the periods presented.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Comprehensive Loss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Comprehensive loss is defined as a change in equity during a period from transactions and other events and circumstances from non-owner sources. The Company’s comprehensive loss was the same as its reported net loss for all periods presented.</w:t>
      </w:r>
    </w:p>
    <w:p>
      <w:pPr>
        <w:pStyle w:val="TextBody"/>
        <w:bidi w:val="0"/>
        <w:spacing w:before="200" w:after="283"/>
        <w:jc w:val="left"/>
        <w:rPr>
          <w:rFonts w:ascii="Times New Roman" w:hAnsi="Times New Roman"/>
          <w:sz w:val="20"/>
        </w:rPr>
      </w:pPr>
      <w:r>
        <w:rPr>
          <w:rFonts w:ascii="Calibri;sans-serif" w:hAnsi="Calibri;sans-serif"/>
          <w:b/>
          <w:i/>
          <w:color w:val="000000"/>
          <w:sz w:val="20"/>
        </w:rPr>
        <w:t>Segment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w:t>
      </w:r>
      <w:r>
        <w:rPr>
          <w:rFonts w:ascii="Times New Roman" w:hAnsi="Times New Roman"/>
          <w:color w:val="000000"/>
          <w:sz w:val="20"/>
        </w:rPr>
        <w:t xml:space="preserve"> </w:t>
      </w:r>
      <w:r>
        <w:rPr>
          <w:rFonts w:ascii="Calibri;sans-serif" w:hAnsi="Calibri;sans-serif"/>
          <w:color w:val="000000"/>
          <w:sz w:val="20"/>
        </w:rPr>
        <w:t>operating segment.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Net Loss Per Share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Basic net loss per share is computed by dividing the net loss by the weighted-average number of common shares outstanding for the period, without consideration for potentially dilutive securities. For the three months ended March 31, 2024, the Company had no</w:t>
      </w:r>
      <w:r>
        <w:rPr>
          <w:rFonts w:ascii="Times New Roman" w:hAnsi="Times New Roman"/>
          <w:color w:val="000000"/>
          <w:sz w:val="20"/>
        </w:rPr>
        <w:t xml:space="preserve"> </w:t>
      </w:r>
      <w:r>
        <w:rPr>
          <w:rFonts w:ascii="Calibri;sans-serif" w:hAnsi="Calibri;sans-serif"/>
          <w:color w:val="000000"/>
          <w:sz w:val="20"/>
        </w:rPr>
        <w:t>weighted-average unvested shares to exclude from the weighted-average number of common shares outstanding. For the three months ended March 31, 2023, the Company excluded 132,514</w:t>
      </w:r>
      <w:r>
        <w:rPr>
          <w:rFonts w:ascii="Times New Roman" w:hAnsi="Times New Roman"/>
          <w:color w:val="000000"/>
          <w:sz w:val="20"/>
        </w:rPr>
        <w:t xml:space="preserve"> </w:t>
      </w:r>
      <w:r>
        <w:rPr>
          <w:rFonts w:ascii="Calibri;sans-serif" w:hAnsi="Calibri;sans-serif"/>
          <w:color w:val="000000"/>
          <w:sz w:val="20"/>
        </w:rPr>
        <w:t>of weighted-average unvested shares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common shares subject to repurchase) would be antidilutive.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color w:val="000000"/>
          <w:sz w:val="20"/>
        </w:rPr>
        <w:t>Recently Adopted Accounting Standards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There were no recently adopted accounting standards which would have a material impact on the Company's financial statements.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Recently Issued Accounting Pronouncements</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2023. There were no new material accounting standards issued in the first quarter of 2024</w:t>
      </w:r>
      <w:r>
        <w:rPr>
          <w:rFonts w:ascii="Times New Roman" w:hAnsi="Times New Roman"/>
          <w:color w:val="000000"/>
          <w:sz w:val="20"/>
        </w:rPr>
        <w:t xml:space="preserve"> </w:t>
      </w:r>
      <w:r>
        <w:rPr>
          <w:rFonts w:ascii="Calibri;sans-serif" w:hAnsi="Calibri;sans-serif"/>
          <w:color w:val="000000"/>
          <w:sz w:val="20"/>
        </w:rPr>
        <w:t>that impacted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2. Balance Sheet Details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Property, Plant and Equipment, Net</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Property, plant and equipment, net, consist of the following (in thousands):</w:t>
      </w:r>
    </w:p>
    <w:tbl>
      <w:tblPr>
        <w:tblW w:w="6790" w:type="dxa"/>
        <w:jc w:val="left"/>
        <w:tblInd w:w="0" w:type="dxa"/>
        <w:tblLayout w:type="fixed"/>
        <w:tblCellMar>
          <w:top w:w="28" w:type="dxa"/>
          <w:left w:w="28" w:type="dxa"/>
          <w:bottom w:w="28" w:type="dxa"/>
          <w:right w:w="28" w:type="dxa"/>
        </w:tblCellMar>
      </w:tblPr>
      <w:tblGrid>
        <w:gridCol w:w="3946"/>
        <w:gridCol w:w="146"/>
        <w:gridCol w:w="229"/>
        <w:gridCol w:w="686"/>
        <w:gridCol w:w="166"/>
        <w:gridCol w:w="146"/>
        <w:gridCol w:w="314"/>
        <w:gridCol w:w="946"/>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1,477</w:t>
            </w:r>
          </w:p>
        </w:tc>
        <w:tc>
          <w:tcPr>
            <w:tcW w:w="21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1,089</w:t>
            </w:r>
          </w:p>
        </w:tc>
        <w:tc>
          <w:tcPr>
            <w:tcW w:w="21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w:t>
            </w:r>
          </w:p>
        </w:tc>
        <w:tc>
          <w:tcPr>
            <w:tcW w:w="21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Equipment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w:t>
            </w:r>
          </w:p>
        </w:tc>
        <w:tc>
          <w:tcPr>
            <w:tcW w:w="21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property, plant and equipment, gross</w:t>
            </w:r>
          </w:p>
        </w:tc>
        <w:tc>
          <w:tcPr>
            <w:tcW w:w="146" w:type="dxa"/>
            <w:tcBorders/>
            <w:shd w:fill="CFF0FC" w:val="clear"/>
            <w:vAlign w:val="center"/>
          </w:tcPr>
          <w:p>
            <w:pPr>
              <w:pStyle w:val="TableContents"/>
              <w:bidi w:val="0"/>
              <w:spacing w:before="0" w:after="283"/>
              <w:jc w:val="left"/>
              <w:rPr/>
            </w:pPr>
            <w:r>
              <w:rPr/>
              <w:t> </w:t>
            </w:r>
          </w:p>
        </w:tc>
        <w:tc>
          <w:tcPr>
            <w:tcW w:w="2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4,222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4,192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property, plant and equipment, net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Depreciation and amortization expense for each of the three months ended March 31, 2024 and 2023 was approximately $0.2</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respectively. No</w:t>
      </w:r>
      <w:r>
        <w:rPr>
          <w:rFonts w:ascii="Times New Roman" w:hAnsi="Times New Roman"/>
          <w:color w:val="000000"/>
          <w:sz w:val="20"/>
        </w:rPr>
        <w:t xml:space="preserve"> </w:t>
      </w:r>
      <w:r>
        <w:rPr>
          <w:rFonts w:ascii="Calibri;sans-serif" w:hAnsi="Calibri;sans-serif"/>
          <w:color w:val="000000"/>
          <w:sz w:val="20"/>
        </w:rPr>
        <w:t>property, plant or equipment was disposed of during the three months ended March 31, 2024 or the year ended December 31, 2023.</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Accrued Expenses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Accrued expenses consist of the following (in thousands):</w:t>
      </w:r>
    </w:p>
    <w:tbl>
      <w:tblPr>
        <w:tblW w:w="6480" w:type="dxa"/>
        <w:jc w:val="left"/>
        <w:tblInd w:w="0" w:type="dxa"/>
        <w:tblLayout w:type="fixed"/>
        <w:tblCellMar>
          <w:top w:w="28" w:type="dxa"/>
          <w:left w:w="28" w:type="dxa"/>
          <w:bottom w:w="28" w:type="dxa"/>
          <w:right w:w="28" w:type="dxa"/>
        </w:tblCellMar>
      </w:tblPr>
      <w:tblGrid>
        <w:gridCol w:w="3676"/>
        <w:gridCol w:w="146"/>
        <w:gridCol w:w="217"/>
        <w:gridCol w:w="698"/>
        <w:gridCol w:w="146"/>
        <w:gridCol w:w="146"/>
        <w:gridCol w:w="299"/>
        <w:gridCol w:w="96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compensation expenses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9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13,318</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professional &amp; consulting expenses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1,771</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1,009</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sales discounts and allowances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982</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Inventory</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Inventory consist of the following (in thousands):</w:t>
      </w:r>
    </w:p>
    <w:tbl>
      <w:tblPr>
        <w:tblW w:w="5010" w:type="dxa"/>
        <w:jc w:val="left"/>
        <w:tblInd w:w="0" w:type="dxa"/>
        <w:tblLayout w:type="fixed"/>
        <w:tblCellMar>
          <w:top w:w="28" w:type="dxa"/>
          <w:left w:w="28" w:type="dxa"/>
          <w:bottom w:w="28" w:type="dxa"/>
          <w:right w:w="28" w:type="dxa"/>
        </w:tblCellMar>
      </w:tblPr>
      <w:tblGrid>
        <w:gridCol w:w="2206"/>
        <w:gridCol w:w="146"/>
        <w:gridCol w:w="247"/>
        <w:gridCol w:w="668"/>
        <w:gridCol w:w="146"/>
        <w:gridCol w:w="146"/>
        <w:gridCol w:w="339"/>
        <w:gridCol w:w="92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6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Raw materials</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inventory, current</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1,208</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Raw materials, noncurrent</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8,234</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inventory</w:t>
            </w:r>
          </w:p>
        </w:tc>
        <w:tc>
          <w:tcPr>
            <w:tcW w:w="146" w:type="dxa"/>
            <w:tcBorders/>
            <w:shd w:fill="CFF0FC" w:val="cle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6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9,858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9,442</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Raw materials consist of materials, including active pharmaceutical ingredients, to be consumed in the production of inventory related to FDA approved products. Inventory that is used for clinical development purposes is expensed to research and development expense when consumed. Inventory, noncurrent includes inventory expected to remain on-hand beyond one year from the balance sheet date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b/>
          <w:color w:val="000000"/>
          <w:sz w:val="20"/>
        </w:rPr>
        <w:t>3. Related Party Transactions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Frazier Life Sciences IX, L.P., or Frazier, is a principal stockholder of the Company with representation on the Board of Directors. Frazier is compensated for their participation on the Board of Directors and as of March 31, 2024 and December 31, 2023, the Company had $14,000</w:t>
      </w:r>
      <w:r>
        <w:rPr>
          <w:rFonts w:ascii="Times New Roman" w:hAnsi="Times New Roman"/>
          <w:color w:val="000000"/>
          <w:sz w:val="20"/>
        </w:rPr>
        <w:t xml:space="preserve"> </w:t>
      </w:r>
      <w:r>
        <w:rPr>
          <w:rFonts w:ascii="Calibri;sans-serif" w:hAnsi="Calibri;sans-serif"/>
          <w:color w:val="000000"/>
          <w:sz w:val="20"/>
        </w:rPr>
        <w:t>and $28,000, respectively, in outstanding accounts payable and accrued expenses related to these services. For the three months ended March 31, 2024 and 2023, the Company incurred $20,000</w:t>
      </w:r>
      <w:r>
        <w:rPr>
          <w:rFonts w:ascii="Times New Roman" w:hAnsi="Times New Roman"/>
          <w:color w:val="000000"/>
          <w:sz w:val="20"/>
        </w:rPr>
        <w:t xml:space="preserve"> </w:t>
      </w:r>
      <w:r>
        <w:rPr>
          <w:rFonts w:ascii="Calibri;sans-serif" w:hAnsi="Calibri;sans-serif"/>
          <w:color w:val="000000"/>
          <w:sz w:val="20"/>
        </w:rPr>
        <w:t>and $3,000, respectively, of expenses related to participation on the Board of Directors. Frazier is also a principal stockholder in PCI Pharma Services, or PCI. Starting in the third quarter of 2019, the Company engaged PCI for clinical manufacturing services. As of March 31, 2024 and December 31, 2023, the Company had $1.7</w:t>
      </w:r>
      <w:r>
        <w:rPr>
          <w:rFonts w:ascii="Times New Roman" w:hAnsi="Times New Roman"/>
          <w:color w:val="000000"/>
          <w:sz w:val="20"/>
        </w:rPr>
        <w:t xml:space="preserve"> </w:t>
      </w:r>
      <w:r>
        <w:rPr>
          <w:rFonts w:ascii="Calibri;sans-serif" w:hAnsi="Calibri;sans-serif"/>
          <w:color w:val="000000"/>
          <w:sz w:val="20"/>
        </w:rPr>
        <w:t>million and $1.2</w:t>
      </w:r>
      <w:r>
        <w:rPr>
          <w:rFonts w:ascii="Times New Roman" w:hAnsi="Times New Roman"/>
          <w:color w:val="000000"/>
          <w:sz w:val="20"/>
        </w:rPr>
        <w:t xml:space="preserve"> </w:t>
      </w:r>
      <w:r>
        <w:rPr>
          <w:rFonts w:ascii="Calibri;sans-serif" w:hAnsi="Calibri;sans-serif"/>
          <w:color w:val="000000"/>
          <w:sz w:val="20"/>
        </w:rPr>
        <w:t>million, respectively, in outstanding accounts payable and accrued expenses related to these manufacturing services. For the three months ended March 31, 2024 and 2023, the Company incurred $0.7</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respectively, of expenses related to services performed by PCI.</w:t>
      </w:r>
    </w:p>
    <w:p>
      <w:pPr>
        <w:pStyle w:val="TextBody"/>
        <w:bidi w:val="0"/>
        <w:spacing w:before="200" w:after="283"/>
        <w:jc w:val="left"/>
        <w:rPr>
          <w:rFonts w:ascii="Times New Roman" w:hAnsi="Times New Roman"/>
          <w:sz w:val="20"/>
        </w:rPr>
      </w:pPr>
      <w:r>
        <w:rPr>
          <w:rFonts w:ascii="Calibri;sans-serif" w:hAnsi="Calibri;sans-serif"/>
          <w:color w:val="000000"/>
          <w:sz w:val="20"/>
        </w:rPr>
        <w:t>Takeda became a common stockholder of the Company in connection with the May 2019 license agreement (see Note 4). In connection with the license agreement between the Company and Takeda, pursuant to which it was granted an exclusive license to commercialize vonoprazan fumarate in the United States, Canada and Europe, or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March 31, 2024 and December 31, 2023, the Company had $1.5</w:t>
      </w:r>
      <w:r>
        <w:rPr>
          <w:rFonts w:ascii="Times New Roman" w:hAnsi="Times New Roman"/>
          <w:color w:val="000000"/>
          <w:sz w:val="20"/>
        </w:rPr>
        <w:t xml:space="preserve"> </w:t>
      </w:r>
      <w:r>
        <w:rPr>
          <w:rFonts w:ascii="Calibri;sans-serif" w:hAnsi="Calibri;sans-serif"/>
          <w:color w:val="000000"/>
          <w:sz w:val="20"/>
        </w:rPr>
        <w:t>million in outstanding accounts payable and accrued expenses related to these agreements. For the three months ended March 31, 2024 and 2023, the Company incurred no</w:t>
      </w:r>
      <w:r>
        <w:rPr>
          <w:rFonts w:ascii="Times New Roman" w:hAnsi="Times New Roman"/>
          <w:color w:val="000000"/>
          <w:sz w:val="20"/>
        </w:rPr>
        <w:t xml:space="preserve"> </w:t>
      </w:r>
      <w:r>
        <w:rPr>
          <w:rFonts w:ascii="Calibri;sans-serif" w:hAnsi="Calibri;sans-serif"/>
          <w:color w:val="000000"/>
          <w:sz w:val="20"/>
        </w:rPr>
        <w:t>expense and $0.1</w:t>
      </w:r>
      <w:r>
        <w:rPr>
          <w:rFonts w:ascii="Times New Roman" w:hAnsi="Times New Roman"/>
          <w:color w:val="000000"/>
          <w:sz w:val="20"/>
        </w:rPr>
        <w:t xml:space="preserve"> </w:t>
      </w:r>
      <w:r>
        <w:rPr>
          <w:rFonts w:ascii="Calibri;sans-serif" w:hAnsi="Calibri;sans-serif"/>
          <w:color w:val="000000"/>
          <w:sz w:val="20"/>
        </w:rPr>
        <w:t>million, respectively, of expenses related to these agreements. The Company has no</w:t>
      </w:r>
      <w:r>
        <w:rPr>
          <w:rFonts w:ascii="Times New Roman" w:hAnsi="Times New Roman"/>
          <w:color w:val="000000"/>
          <w:sz w:val="20"/>
        </w:rPr>
        <w:t xml:space="preserve"> </w:t>
      </w:r>
      <w:r>
        <w:rPr>
          <w:rFonts w:ascii="Calibri;sans-serif" w:hAnsi="Calibri;sans-serif"/>
          <w:color w:val="000000"/>
          <w:sz w:val="20"/>
        </w:rPr>
        <w:t>remaining minimum purchase obligation related to these agreements.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color w:val="000000"/>
          <w:sz w:val="20"/>
        </w:rPr>
        <w:t>4.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License Agreement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7, 2019, the Company entered into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pStyle w:val="TextBody"/>
        <w:bidi w:val="0"/>
        <w:spacing w:before="200" w:after="283"/>
        <w:jc w:val="left"/>
        <w:rPr>
          <w:rFonts w:ascii="Times New Roman" w:hAnsi="Times New Roman"/>
          <w:sz w:val="20"/>
        </w:rPr>
      </w:pPr>
      <w:r>
        <w:rPr>
          <w:rFonts w:ascii="Calibri;sans-serif" w:hAnsi="Calibri;sans-serif"/>
          <w:color w:val="000000"/>
          <w:sz w:val="20"/>
        </w:rPr>
        <w:t>In consideration of the Takeda License, the Company (i) paid Takeda $25</w:t>
      </w:r>
      <w:r>
        <w:rPr>
          <w:rFonts w:ascii="Times New Roman" w:hAnsi="Times New Roman"/>
          <w:color w:val="000000"/>
          <w:sz w:val="20"/>
        </w:rPr>
        <w:t xml:space="preserve"> </w:t>
      </w:r>
      <w:r>
        <w:rPr>
          <w:rFonts w:ascii="Calibri;sans-serif" w:hAnsi="Calibri;sans-serif"/>
          <w:color w:val="000000"/>
          <w:sz w:val="20"/>
        </w:rPr>
        <w:t>million in cash, (ii) issued Takeda 1,084,000</w:t>
      </w:r>
      <w:r>
        <w:rPr>
          <w:rFonts w:ascii="Times New Roman" w:hAnsi="Times New Roman"/>
          <w:color w:val="000000"/>
          <w:sz w:val="20"/>
        </w:rPr>
        <w:t xml:space="preserve"> </w:t>
      </w:r>
      <w:r>
        <w:rPr>
          <w:rFonts w:ascii="Calibri;sans-serif" w:hAnsi="Calibri;sans-serif"/>
          <w:color w:val="000000"/>
          <w:sz w:val="20"/>
        </w:rPr>
        <w:t>shares of its common stock at a fair value of $5.9</w:t>
      </w:r>
      <w:r>
        <w:rPr>
          <w:rFonts w:ascii="Times New Roman" w:hAnsi="Times New Roman"/>
          <w:color w:val="000000"/>
          <w:sz w:val="20"/>
        </w:rPr>
        <w:t xml:space="preserve"> </w:t>
      </w:r>
      <w:r>
        <w:rPr>
          <w:rFonts w:ascii="Calibri;sans-serif" w:hAnsi="Calibri;sans-serif"/>
          <w:color w:val="000000"/>
          <w:sz w:val="20"/>
        </w:rPr>
        <w:t>million, (iii) issued the Takeda Warrant to purchase 7,588,000</w:t>
      </w:r>
      <w:r>
        <w:rPr>
          <w:rFonts w:ascii="Times New Roman" w:hAnsi="Times New Roman"/>
          <w:color w:val="000000"/>
          <w:sz w:val="20"/>
        </w:rPr>
        <w:t xml:space="preserve"> </w:t>
      </w:r>
      <w:r>
        <w:rPr>
          <w:rFonts w:ascii="Calibri;sans-serif" w:hAnsi="Calibri;sans-serif"/>
          <w:color w:val="000000"/>
          <w:sz w:val="20"/>
        </w:rPr>
        <w:t>shares of its common stock at an exercise price of $0.00004613</w:t>
      </w:r>
      <w:r>
        <w:rPr>
          <w:rFonts w:ascii="Times New Roman" w:hAnsi="Times New Roman"/>
          <w:color w:val="000000"/>
          <w:sz w:val="20"/>
        </w:rPr>
        <w:t xml:space="preserve"> </w:t>
      </w:r>
      <w:r>
        <w:rPr>
          <w:rFonts w:ascii="Calibri;sans-serif" w:hAnsi="Calibri;sans-serif"/>
          <w:color w:val="000000"/>
          <w:sz w:val="20"/>
        </w:rPr>
        <w:t>per share at an initial fair value of $47.9</w:t>
      </w:r>
      <w:r>
        <w:rPr>
          <w:rFonts w:ascii="Times New Roman" w:hAnsi="Times New Roman"/>
          <w:color w:val="000000"/>
          <w:sz w:val="20"/>
        </w:rPr>
        <w:t xml:space="preserve"> </w:t>
      </w:r>
      <w:r>
        <w:rPr>
          <w:rFonts w:ascii="Calibri;sans-serif" w:hAnsi="Calibri;sans-serif"/>
          <w:color w:val="000000"/>
          <w:sz w:val="20"/>
        </w:rPr>
        <w:t>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w:t>
      </w:r>
      <w:r>
        <w:rPr>
          <w:rFonts w:ascii="Times New Roman" w:hAnsi="Times New Roman"/>
          <w:color w:val="000000"/>
          <w:sz w:val="20"/>
        </w:rPr>
        <w:t xml:space="preserve"> </w:t>
      </w:r>
      <w:r>
        <w:rPr>
          <w:rFonts w:ascii="Calibri;sans-serif" w:hAnsi="Calibri;sans-serif"/>
          <w:color w:val="000000"/>
          <w:sz w:val="20"/>
        </w:rPr>
        <w:t>additional warrant was issued. In addition, the Company is obligated to pay Takeda up to an aggregate of $250</w:t>
      </w:r>
      <w:r>
        <w:rPr>
          <w:rFonts w:ascii="Times New Roman" w:hAnsi="Times New Roman"/>
          <w:color w:val="000000"/>
          <w:sz w:val="20"/>
        </w:rPr>
        <w:t xml:space="preserve"> </w:t>
      </w:r>
      <w:r>
        <w:rPr>
          <w:rFonts w:ascii="Calibri;sans-serif" w:hAnsi="Calibri;sans-serif"/>
          <w:color w:val="000000"/>
          <w:sz w:val="20"/>
        </w:rPr>
        <w:t>million in sales milestones upon the achievement of specified levels of product sales, and a low double-digit royalty rate on aggregate net sales of licensed products, subject to certain adjustments. The Takeda Warrant had an exercise price of $0.00004613</w:t>
      </w:r>
      <w:r>
        <w:rPr>
          <w:rFonts w:ascii="Times New Roman" w:hAnsi="Times New Roman"/>
          <w:color w:val="000000"/>
          <w:sz w:val="20"/>
        </w:rPr>
        <w:t xml:space="preserve"> </w:t>
      </w:r>
      <w:r>
        <w:rPr>
          <w:rFonts w:ascii="Calibri;sans-serif" w:hAnsi="Calibri;sans-serif"/>
          <w:color w:val="000000"/>
          <w:sz w:val="20"/>
        </w:rPr>
        <w:t>per share, and was to expire on May 7, 2029</w:t>
      </w:r>
      <w:r>
        <w:rPr>
          <w:rFonts w:ascii="Times New Roman" w:hAnsi="Times New Roman"/>
          <w:color w:val="000000"/>
          <w:sz w:val="20"/>
        </w:rPr>
        <w:t xml:space="preserve"> </w:t>
      </w:r>
      <w:r>
        <w:rPr>
          <w:rFonts w:ascii="Calibri;sans-serif" w:hAnsi="Calibri;sans-serif"/>
          <w:color w:val="000000"/>
          <w:sz w:val="20"/>
        </w:rPr>
        <w:t>and became exercisable upon the consummation of the IPO. All Takeda Warrants were exercised by March 2022.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three months ended March 31, 2024, the Company recorded $0.2</w:t>
      </w:r>
      <w:r>
        <w:rPr>
          <w:rFonts w:ascii="Times New Roman" w:hAnsi="Times New Roman"/>
          <w:color w:val="000000"/>
          <w:sz w:val="20"/>
        </w:rPr>
        <w:t xml:space="preserve"> </w:t>
      </w:r>
      <w:r>
        <w:rPr>
          <w:rFonts w:ascii="Calibri;sans-serif" w:hAnsi="Calibri;sans-serif"/>
          <w:color w:val="000000"/>
          <w:sz w:val="20"/>
        </w:rPr>
        <w:t>million of royalty expense under the Takeda License, which is included within accrued expenses as of March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Purchase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€2.9</w:t>
      </w:r>
      <w:r>
        <w:rPr>
          <w:rFonts w:ascii="Times New Roman" w:hAnsi="Times New Roman"/>
          <w:color w:val="000000"/>
          <w:sz w:val="20"/>
        </w:rPr>
        <w:t xml:space="preserve"> </w:t>
      </w:r>
      <w:r>
        <w:rPr>
          <w:rFonts w:ascii="Calibri;sans-serif" w:hAnsi="Calibri;sans-serif"/>
          <w:color w:val="000000"/>
          <w:sz w:val="20"/>
        </w:rPr>
        <w:t>million, or approximately $3.2</w:t>
      </w:r>
      <w:r>
        <w:rPr>
          <w:rFonts w:ascii="Times New Roman" w:hAnsi="Times New Roman"/>
          <w:color w:val="000000"/>
          <w:sz w:val="20"/>
        </w:rPr>
        <w:t xml:space="preserve"> </w:t>
      </w:r>
      <w:r>
        <w:rPr>
          <w:rFonts w:ascii="Calibri;sans-serif" w:hAnsi="Calibri;sans-serif"/>
          <w:color w:val="000000"/>
          <w:sz w:val="20"/>
        </w:rPr>
        <w:t>million, in the first 24-month period following the launch of the final product.</w:t>
      </w:r>
      <w:r>
        <w:rPr>
          <w:rFonts w:ascii="Times New Roman" w:hAnsi="Times New Roman"/>
          <w:color w:val="000000"/>
          <w:sz w:val="20"/>
        </w:rPr>
        <w:t xml:space="preserve"> </w:t>
      </w:r>
      <w:r>
        <w:rPr>
          <w:rFonts w:ascii="Calibri;sans-serif" w:hAnsi="Calibri;sans-serif"/>
          <w:color w:val="000000"/>
          <w:sz w:val="20"/>
        </w:rPr>
        <w:t>The Company incurred no</w:t>
      </w:r>
      <w:r>
        <w:rPr>
          <w:rFonts w:ascii="Times New Roman" w:hAnsi="Times New Roman"/>
          <w:color w:val="000000"/>
          <w:sz w:val="20"/>
        </w:rPr>
        <w:t xml:space="preserve"> </w:t>
      </w:r>
      <w:r>
        <w:rPr>
          <w:rFonts w:ascii="Calibri;sans-serif" w:hAnsi="Calibri;sans-serif"/>
          <w:color w:val="000000"/>
          <w:sz w:val="20"/>
        </w:rPr>
        <w:t>expenses under the agreement during the three months ended March 31, 2024 and 2023. As of March 31, 2024, €2.6</w:t>
      </w:r>
      <w:r>
        <w:rPr>
          <w:rFonts w:ascii="Times New Roman" w:hAnsi="Times New Roman"/>
          <w:color w:val="000000"/>
          <w:sz w:val="20"/>
        </w:rPr>
        <w:t xml:space="preserve"> </w:t>
      </w:r>
      <w:r>
        <w:rPr>
          <w:rFonts w:ascii="Calibri;sans-serif" w:hAnsi="Calibri;sans-serif"/>
          <w:color w:val="000000"/>
          <w:sz w:val="20"/>
        </w:rPr>
        <w:t>million, or approximately $2.8</w:t>
      </w:r>
      <w:r>
        <w:rPr>
          <w:rFonts w:ascii="Times New Roman" w:hAnsi="Times New Roman"/>
          <w:color w:val="000000"/>
          <w:sz w:val="20"/>
        </w:rPr>
        <w:t xml:space="preserve"> </w:t>
      </w:r>
      <w:r>
        <w:rPr>
          <w:rFonts w:ascii="Calibri;sans-serif" w:hAnsi="Calibri;sans-serif"/>
          <w:color w:val="000000"/>
          <w:sz w:val="20"/>
        </w:rPr>
        <w:t>million, remains of the minimum purchase obligation.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Contingencies</w:t>
      </w:r>
    </w:p>
    <w:p>
      <w:pPr>
        <w:pStyle w:val="TextBody"/>
        <w:bidi w:val="0"/>
        <w:spacing w:before="200" w:after="283"/>
        <w:jc w:val="left"/>
        <w:rPr>
          <w:rFonts w:ascii="Times New Roman" w:hAnsi="Times New Roman"/>
          <w:sz w:val="20"/>
        </w:rPr>
      </w:pPr>
      <w:r>
        <w:rPr>
          <w:rFonts w:ascii="Calibri;sans-serif" w:hAnsi="Calibri;sans-serif"/>
          <w:color w:val="000000"/>
          <w:sz w:val="20"/>
        </w:rPr>
        <w:t>In the event the Company becomes subject to claims or suits arising in the ordinary course of business, the Company would accrue a liability for such matters when it is probable that future expenditures will be made and such expenditures can be reasonably estimated.</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5. Lease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As of March 31, 2024, the Company had operating leases for office space in both Buffalo Grove, Illinois and Florham Park, New Jersey, with weighted average remaining lease terms of 1.1</w:t>
      </w:r>
      <w:r>
        <w:rPr>
          <w:rFonts w:ascii="Times New Roman" w:hAnsi="Times New Roman"/>
          <w:color w:val="000000"/>
          <w:sz w:val="20"/>
        </w:rPr>
        <w:t xml:space="preserve"> </w:t>
      </w:r>
      <w:r>
        <w:rPr>
          <w:rFonts w:ascii="Calibri;sans-serif" w:hAnsi="Calibri;sans-serif"/>
          <w:color w:val="000000"/>
          <w:sz w:val="20"/>
        </w:rPr>
        <w:t>years and 1.4</w:t>
      </w:r>
      <w:r>
        <w:rPr>
          <w:rFonts w:ascii="Times New Roman" w:hAnsi="Times New Roman"/>
          <w:color w:val="000000"/>
          <w:sz w:val="20"/>
        </w:rPr>
        <w:t xml:space="preserve"> </w:t>
      </w:r>
      <w:r>
        <w:rPr>
          <w:rFonts w:ascii="Calibri;sans-serif" w:hAnsi="Calibri;sans-serif"/>
          <w:color w:val="000000"/>
          <w:sz w:val="20"/>
        </w:rPr>
        <w:t>years, respectively.</w:t>
      </w:r>
      <w:r>
        <w:rPr>
          <w:rFonts w:ascii="Times New Roman" w:hAnsi="Times New Roman"/>
          <w:color w:val="000000"/>
          <w:sz w:val="20"/>
        </w:rPr>
        <w:t xml:space="preserve"> </w:t>
      </w:r>
      <w:r>
        <w:rPr>
          <w:rFonts w:ascii="Calibri;sans-serif" w:hAnsi="Calibri;sans-serif"/>
          <w:color w:val="000000"/>
          <w:sz w:val="20"/>
        </w:rPr>
        <w:t>All</w:t>
      </w:r>
      <w:r>
        <w:rPr>
          <w:rFonts w:ascii="Times New Roman" w:hAnsi="Times New Roman"/>
          <w:color w:val="000000"/>
          <w:sz w:val="20"/>
        </w:rPr>
        <w:t xml:space="preserve"> </w:t>
      </w:r>
      <w:r>
        <w:rPr>
          <w:rFonts w:ascii="Calibri;sans-serif" w:hAnsi="Calibri;sans-serif"/>
          <w:color w:val="000000"/>
          <w:sz w:val="20"/>
        </w:rPr>
        <w:t>operating leases contain an option to extend the term for one additional five year period, which was not considered in the determination of the right-of-use asset or lease liability as the Company did not consider it reasonably certain that it would exercise such options.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total rent expense for each of the three months ended March 31, 2024 and 2023 was approximately $0.3</w:t>
      </w:r>
      <w:r>
        <w:rPr>
          <w:rFonts w:ascii="Times New Roman" w:hAnsi="Times New Roman"/>
          <w:color w:val="000000"/>
          <w:sz w:val="20"/>
        </w:rPr>
        <w:t xml:space="preserve"> </w:t>
      </w:r>
      <w:r>
        <w:rPr>
          <w:rFonts w:ascii="Calibri;sans-serif" w:hAnsi="Calibri;sans-serif"/>
          <w:color w:val="000000"/>
          <w:sz w:val="20"/>
        </w:rPr>
        <w:t>million. Total short-term lease costs relating to leased vehicles was approximately $2.2</w:t>
      </w:r>
      <w:r>
        <w:rPr>
          <w:rFonts w:ascii="Times New Roman" w:hAnsi="Times New Roman"/>
          <w:color w:val="000000"/>
          <w:sz w:val="20"/>
        </w:rPr>
        <w:t xml:space="preserve"> </w:t>
      </w:r>
      <w:r>
        <w:rPr>
          <w:rFonts w:ascii="Calibri;sans-serif" w:hAnsi="Calibri;sans-serif"/>
          <w:color w:val="000000"/>
          <w:sz w:val="20"/>
        </w:rPr>
        <w:t>million for the three months ended March 31, 2024, and was not material for the three months ended March 31, 2023.</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As of March 31, 2024, the future minimum annual lease payments under the operating leases were as follows (in thousands):</w:t>
      </w:r>
    </w:p>
    <w:tbl>
      <w:tblPr>
        <w:tblW w:w="5355" w:type="dxa"/>
        <w:jc w:val="left"/>
        <w:tblInd w:w="0" w:type="dxa"/>
        <w:tblLayout w:type="fixed"/>
        <w:tblCellMar>
          <w:top w:w="28" w:type="dxa"/>
          <w:left w:w="28" w:type="dxa"/>
          <w:bottom w:w="28" w:type="dxa"/>
          <w:right w:w="28" w:type="dxa"/>
        </w:tblCellMar>
      </w:tblPr>
      <w:tblGrid>
        <w:gridCol w:w="4036"/>
        <w:gridCol w:w="146"/>
        <w:gridCol w:w="211"/>
        <w:gridCol w:w="57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1,078</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1,022</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incremental borrowing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Operating cash flows for each of the three months ended March 31, 2024 and 2023 included cash payments for operating leases of approximately $0.2</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color w:val="000000"/>
          <w:sz w:val="22"/>
        </w:rPr>
        <w:t>6</w:t>
      </w:r>
      <w:r>
        <w:rPr>
          <w:rFonts w:ascii="Calibri;sans-serif" w:hAnsi="Calibri;sans-serif"/>
          <w:b/>
          <w:color w:val="000000"/>
          <w:sz w:val="20"/>
        </w:rPr>
        <w:t>. Debt</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Total debt consists of the following (in thousands):</w:t>
      </w:r>
    </w:p>
    <w:tbl>
      <w:tblPr>
        <w:tblW w:w="5952" w:type="dxa"/>
        <w:jc w:val="left"/>
        <w:tblInd w:w="0" w:type="dxa"/>
        <w:tblLayout w:type="fixed"/>
        <w:tblCellMar>
          <w:top w:w="28" w:type="dxa"/>
          <w:left w:w="28" w:type="dxa"/>
          <w:bottom w:w="28" w:type="dxa"/>
          <w:right w:w="28" w:type="dxa"/>
        </w:tblCellMar>
      </w:tblPr>
      <w:tblGrid>
        <w:gridCol w:w="3031"/>
        <w:gridCol w:w="146"/>
        <w:gridCol w:w="211"/>
        <w:gridCol w:w="781"/>
        <w:gridCol w:w="166"/>
        <w:gridCol w:w="146"/>
        <w:gridCol w:w="268"/>
        <w:gridCol w:w="992"/>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non-current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158,863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148,057</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Unamortized debt discount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03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debt, net of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Loan Agreement provides for term loans in an aggregate principal amount of up to $200</w:t>
      </w:r>
      <w:r>
        <w:rPr>
          <w:rFonts w:ascii="Times New Roman" w:hAnsi="Times New Roman"/>
          <w:color w:val="000000"/>
          <w:sz w:val="20"/>
        </w:rPr>
        <w:t xml:space="preserve"> </w:t>
      </w:r>
      <w:r>
        <w:rPr>
          <w:rFonts w:ascii="Calibri;sans-serif" w:hAnsi="Calibri;sans-serif"/>
          <w:color w:val="000000"/>
          <w:sz w:val="20"/>
        </w:rPr>
        <w:t>million, or the Term Loan, under multiple tranches. The tranches consist of (i) a first tranche consisting of term loans in an aggregate principal amount of $100</w:t>
      </w:r>
      <w:r>
        <w:rPr>
          <w:rFonts w:ascii="Times New Roman" w:hAnsi="Times New Roman"/>
          <w:color w:val="000000"/>
          <w:sz w:val="20"/>
        </w:rPr>
        <w:t xml:space="preserve"> </w:t>
      </w:r>
      <w:r>
        <w:rPr>
          <w:rFonts w:ascii="Calibri;sans-serif" w:hAnsi="Calibri;sans-serif"/>
          <w:color w:val="000000"/>
          <w:sz w:val="20"/>
        </w:rPr>
        <w:t>million, all of which was funded on the Closing Date, or the First Advance, (ii) a second tranche consisting of up to an additional $50</w:t>
      </w:r>
      <w:r>
        <w:rPr>
          <w:rFonts w:ascii="Times New Roman" w:hAnsi="Times New Roman"/>
          <w:color w:val="000000"/>
          <w:sz w:val="20"/>
        </w:rPr>
        <w:t xml:space="preserve"> </w:t>
      </w:r>
      <w:r>
        <w:rPr>
          <w:rFonts w:ascii="Calibri;sans-serif" w:hAnsi="Calibri;sans-serif"/>
          <w:color w:val="000000"/>
          <w:sz w:val="20"/>
        </w:rPr>
        <w:t>million, (iii) a third and fourth tranches consisting of an additional total $50</w:t>
      </w:r>
      <w:r>
        <w:rPr>
          <w:rFonts w:ascii="Times New Roman" w:hAnsi="Times New Roman"/>
          <w:color w:val="000000"/>
          <w:sz w:val="20"/>
        </w:rPr>
        <w:t xml:space="preserve"> </w:t>
      </w:r>
      <w:r>
        <w:rPr>
          <w:rFonts w:ascii="Calibri;sans-serif" w:hAnsi="Calibri;sans-serif"/>
          <w:color w:val="000000"/>
          <w:sz w:val="20"/>
        </w:rPr>
        <w:t>million, which became available in May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0"/>
        </w:rPr>
        <w:t>On September 27, 2022, the Company entered into an amendment to the Loan Agreement, or the Second Loan Amendment, pursuant to which the date the second tranche of funding of $50</w:t>
      </w:r>
      <w:r>
        <w:rPr>
          <w:rFonts w:ascii="Times New Roman" w:hAnsi="Times New Roman"/>
          <w:color w:val="000000"/>
          <w:sz w:val="20"/>
        </w:rPr>
        <w:t xml:space="preserve"> </w:t>
      </w:r>
      <w:r>
        <w:rPr>
          <w:rFonts w:ascii="Calibri;sans-serif" w:hAnsi="Calibri;sans-serif"/>
          <w:color w:val="000000"/>
          <w:sz w:val="20"/>
        </w:rPr>
        <w:t>million will remain available to the Company has been moved until May 15, 2023, rather than December 15, 2022.</w:t>
      </w:r>
      <w:r>
        <w:rPr>
          <w:rFonts w:ascii="Times New Roman" w:hAnsi="Times New Roman"/>
          <w:color w:val="000000"/>
          <w:sz w:val="20"/>
        </w:rPr>
        <w:t xml:space="preserve"> </w:t>
      </w:r>
    </w:p>
    <w:p>
      <w:pPr>
        <w:pStyle w:val="TextBody"/>
        <w:bidi w:val="0"/>
        <w:spacing w:before="200" w:after="120"/>
        <w:jc w:val="left"/>
        <w:rPr>
          <w:rFonts w:ascii="Times New Roman" w:hAnsi="Times New Roman"/>
          <w:sz w:val="20"/>
        </w:rPr>
      </w:pPr>
      <w:r>
        <w:rPr>
          <w:rFonts w:ascii="Calibri;sans-serif" w:hAnsi="Calibri;sans-serif"/>
          <w:color w:val="000000"/>
          <w:sz w:val="20"/>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w:t>
      </w:r>
      <w:r>
        <w:rPr>
          <w:rFonts w:ascii="Times New Roman" w:hAnsi="Times New Roman"/>
          <w:color w:val="000000"/>
          <w:sz w:val="20"/>
        </w:rPr>
        <w:t xml:space="preserve"> </w:t>
      </w:r>
      <w:r>
        <w:rPr>
          <w:rFonts w:ascii="Calibri;sans-serif" w:hAnsi="Calibri;sans-serif"/>
          <w:color w:val="000000"/>
          <w:sz w:val="20"/>
        </w:rPr>
        <w:t>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w:t>
      </w:r>
      <w:r>
        <w:rPr>
          <w:rFonts w:ascii="Times New Roman" w:hAnsi="Times New Roman"/>
          <w:color w:val="000000"/>
          <w:sz w:val="20"/>
        </w:rPr>
        <w:t xml:space="preserve"> </w:t>
      </w:r>
      <w:r>
        <w:rPr>
          <w:rFonts w:ascii="Calibri;sans-serif" w:hAnsi="Calibri;sans-serif"/>
          <w:color w:val="000000"/>
          <w:sz w:val="20"/>
        </w:rPr>
        <w:t>and a covenant extension amendment fee of $100,000</w:t>
      </w:r>
      <w:r>
        <w:rPr>
          <w:rFonts w:ascii="Times New Roman" w:hAnsi="Times New Roman"/>
          <w:color w:val="000000"/>
          <w:sz w:val="20"/>
        </w:rPr>
        <w:t xml:space="preserve"> </w:t>
      </w:r>
      <w:r>
        <w:rPr>
          <w:rFonts w:ascii="Calibri;sans-serif" w:hAnsi="Calibri;sans-serif"/>
          <w:color w:val="000000"/>
          <w:sz w:val="20"/>
        </w:rPr>
        <w:t>was paid to the Agent. These fees have been recorded as debt discount and are being amortized to interest expense using the effective interest method over the remaining term of the Term Loan.</w:t>
      </w:r>
    </w:p>
    <w:p>
      <w:pPr>
        <w:pStyle w:val="TextBody"/>
        <w:bidi w:val="0"/>
        <w:spacing w:before="200" w:after="120"/>
        <w:jc w:val="left"/>
        <w:rPr>
          <w:rFonts w:ascii="Times New Roman" w:hAnsi="Times New Roman"/>
          <w:sz w:val="20"/>
        </w:rPr>
      </w:pPr>
      <w:r>
        <w:rPr>
          <w:rFonts w:ascii="Calibri;sans-serif" w:hAnsi="Calibri;sans-serif"/>
          <w:color w:val="000000"/>
          <w:sz w:val="20"/>
        </w:rPr>
        <w:t>On December 14, 2023, the Company entered into a Fourth Amendment to Loan and Security Agreement, or the Fourth Loan Amendment, with the lenders, pursuant to which, among other things, (i) increases the aggregate principal amount of the term loans from $200</w:t>
      </w:r>
      <w:r>
        <w:rPr>
          <w:rFonts w:ascii="Times New Roman" w:hAnsi="Times New Roman"/>
          <w:color w:val="000000"/>
          <w:sz w:val="20"/>
        </w:rPr>
        <w:t xml:space="preserve"> </w:t>
      </w:r>
      <w:r>
        <w:rPr>
          <w:rFonts w:ascii="Calibri;sans-serif" w:hAnsi="Calibri;sans-serif"/>
          <w:color w:val="000000"/>
          <w:sz w:val="20"/>
        </w:rPr>
        <w:t>million to $300</w:t>
      </w:r>
      <w:r>
        <w:rPr>
          <w:rFonts w:ascii="Times New Roman" w:hAnsi="Times New Roman"/>
          <w:color w:val="000000"/>
          <w:sz w:val="20"/>
        </w:rPr>
        <w:t xml:space="preserve"> </w:t>
      </w:r>
      <w:r>
        <w:rPr>
          <w:rFonts w:ascii="Calibri;sans-serif" w:hAnsi="Calibri;sans-serif"/>
          <w:color w:val="000000"/>
          <w:sz w:val="20"/>
        </w:rPr>
        <w:t>million; (ii) provides for the possibility of accessing the remaining $200</w:t>
      </w:r>
      <w:r>
        <w:rPr>
          <w:rFonts w:ascii="Times New Roman" w:hAnsi="Times New Roman"/>
          <w:color w:val="000000"/>
          <w:sz w:val="20"/>
        </w:rPr>
        <w:t xml:space="preserve"> </w:t>
      </w:r>
      <w:r>
        <w:rPr>
          <w:rFonts w:ascii="Calibri;sans-serif" w:hAnsi="Calibri;sans-serif"/>
          <w:color w:val="000000"/>
          <w:sz w:val="20"/>
        </w:rPr>
        <w:t>million commitment through five tranches referred to as the second through sixth tranches, which are available subject to certain milestones and conditions: (a) Second Tranche: $50</w:t>
      </w:r>
      <w:r>
        <w:rPr>
          <w:rFonts w:ascii="Times New Roman" w:hAnsi="Times New Roman"/>
          <w:color w:val="000000"/>
          <w:sz w:val="20"/>
        </w:rPr>
        <w:t xml:space="preserve"> </w:t>
      </w:r>
      <w:r>
        <w:rPr>
          <w:rFonts w:ascii="Calibri;sans-serif" w:hAnsi="Calibri;sans-serif"/>
          <w:color w:val="000000"/>
          <w:sz w:val="20"/>
        </w:rPr>
        <w:t>million, $40</w:t>
      </w:r>
      <w:r>
        <w:rPr>
          <w:rFonts w:ascii="Times New Roman" w:hAnsi="Times New Roman"/>
          <w:color w:val="000000"/>
          <w:sz w:val="20"/>
        </w:rPr>
        <w:t xml:space="preserve"> </w:t>
      </w:r>
      <w:r>
        <w:rPr>
          <w:rFonts w:ascii="Calibri;sans-serif" w:hAnsi="Calibri;sans-serif"/>
          <w:color w:val="000000"/>
          <w:sz w:val="20"/>
        </w:rPr>
        <w:t>million of which was funded on December 14, 2023, available through March 15, 2024, (b) Third Tranche: $25</w:t>
      </w:r>
      <w:r>
        <w:rPr>
          <w:rFonts w:ascii="Times New Roman" w:hAnsi="Times New Roman"/>
          <w:color w:val="000000"/>
          <w:sz w:val="20"/>
        </w:rPr>
        <w:t xml:space="preserve"> </w:t>
      </w:r>
      <w:r>
        <w:rPr>
          <w:rFonts w:ascii="Calibri;sans-serif" w:hAnsi="Calibri;sans-serif"/>
          <w:color w:val="000000"/>
          <w:sz w:val="20"/>
        </w:rPr>
        <w:t>million available through June 15, 2024, (c) Fourth Tranche: $25</w:t>
      </w:r>
      <w:r>
        <w:rPr>
          <w:rFonts w:ascii="Times New Roman" w:hAnsi="Times New Roman"/>
          <w:color w:val="000000"/>
          <w:sz w:val="20"/>
        </w:rPr>
        <w:t xml:space="preserve"> </w:t>
      </w:r>
      <w:r>
        <w:rPr>
          <w:rFonts w:ascii="Calibri;sans-serif" w:hAnsi="Calibri;sans-serif"/>
          <w:color w:val="000000"/>
          <w:sz w:val="20"/>
        </w:rPr>
        <w:t>million available through December 15, 2024, (d) Fifth Tranche: $50</w:t>
      </w:r>
      <w:r>
        <w:rPr>
          <w:rFonts w:ascii="Times New Roman" w:hAnsi="Times New Roman"/>
          <w:color w:val="000000"/>
          <w:sz w:val="20"/>
        </w:rPr>
        <w:t xml:space="preserve"> </w:t>
      </w:r>
      <w:r>
        <w:rPr>
          <w:rFonts w:ascii="Calibri;sans-serif" w:hAnsi="Calibri;sans-serif"/>
          <w:color w:val="000000"/>
          <w:sz w:val="20"/>
        </w:rPr>
        <w:t>million available, subject to the achievement of a specified revenue milestone, or the Fifth Tranche milestone, through June 30, 2025, and (e) Sixth Tranche: $50</w:t>
      </w:r>
      <w:r>
        <w:rPr>
          <w:rFonts w:ascii="Times New Roman" w:hAnsi="Times New Roman"/>
          <w:color w:val="000000"/>
          <w:sz w:val="20"/>
        </w:rPr>
        <w:t xml:space="preserve"> </w:t>
      </w:r>
      <w:r>
        <w:rPr>
          <w:rFonts w:ascii="Calibri;sans-serif" w:hAnsi="Calibri;sans-serif"/>
          <w:color w:val="000000"/>
          <w:sz w:val="20"/>
        </w:rPr>
        <w:t>million available, subject to the achievement of a specific revenue milestone, or the Sixth Tranche milestone, through December 31, 2025; (iii) extends the interest only period and the maturity date from October 2026 to December 2027, (iv) reduces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the Company achieving the Sixth Tranche milestone, the cash interest floating rated shall be decreased by 0.35% to 9.50%, and (v) decreases the payment-in-kind interest rate from 3.35% per annum to 2.15% per annum. In connection with the Fourth Loan Amendment, an amendment fee of $250,000</w:t>
      </w:r>
      <w:r>
        <w:rPr>
          <w:rFonts w:ascii="Times New Roman" w:hAnsi="Times New Roman"/>
          <w:color w:val="000000"/>
          <w:sz w:val="20"/>
        </w:rPr>
        <w:t xml:space="preserve"> </w:t>
      </w:r>
      <w:r>
        <w:rPr>
          <w:rFonts w:ascii="Calibri;sans-serif" w:hAnsi="Calibri;sans-serif"/>
          <w:color w:val="000000"/>
          <w:sz w:val="20"/>
        </w:rPr>
        <w:t>was paid to the Agent and was recorded as a debt discount and is being amortized to interest expense using the effective interest method over the remaining term of the Term Loan.</w:t>
      </w:r>
    </w:p>
    <w:p>
      <w:pPr>
        <w:pStyle w:val="TextBody"/>
        <w:bidi w:val="0"/>
        <w:spacing w:before="200" w:after="283"/>
        <w:jc w:val="left"/>
        <w:rPr>
          <w:rFonts w:ascii="Times New Roman" w:hAnsi="Times New Roman"/>
          <w:sz w:val="20"/>
        </w:rPr>
      </w:pPr>
      <w:r>
        <w:rPr>
          <w:rFonts w:ascii="Calibri;sans-serif" w:hAnsi="Calibri;sans-serif"/>
          <w:color w:val="000000"/>
          <w:sz w:val="20"/>
        </w:rPr>
        <w:t>On March 15, 2024, the Company drew down on the remaining $10</w:t>
      </w:r>
      <w:r>
        <w:rPr>
          <w:rFonts w:ascii="Times New Roman" w:hAnsi="Times New Roman"/>
          <w:color w:val="000000"/>
          <w:sz w:val="20"/>
        </w:rPr>
        <w:t xml:space="preserve"> </w:t>
      </w:r>
      <w:r>
        <w:rPr>
          <w:rFonts w:ascii="Calibri;sans-serif" w:hAnsi="Calibri;sans-serif"/>
          <w:color w:val="000000"/>
          <w:sz w:val="20"/>
        </w:rPr>
        <w:t>million available of the Second Tranche.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After the interest-only period, the principal balance and related interest will be required to be repaid in full on the Maturity Date.</w:t>
      </w:r>
    </w:p>
    <w:p>
      <w:pPr>
        <w:pStyle w:val="TextBody"/>
        <w:bidi w:val="0"/>
        <w:spacing w:before="200" w:after="283"/>
        <w:jc w:val="left"/>
        <w:rPr>
          <w:rFonts w:ascii="Times New Roman" w:hAnsi="Times New Roman"/>
          <w:sz w:val="20"/>
        </w:rPr>
      </w:pPr>
      <w:r>
        <w:rPr>
          <w:rFonts w:ascii="Calibri;sans-serif" w:hAnsi="Calibri;sans-serif"/>
          <w:color w:val="000000"/>
          <w:sz w:val="20"/>
        </w:rPr>
        <w:t>In addition, the Company is obligated to pay a final payment fee of 7.50% of the original principal amount of amounts actually advanced under the Term Loan, or each a Term Loan Advance and together, the Term Loan Advances. In connection with the Fourth Loan Amendment, the final payment fee was amended to be $1</w:t>
      </w:r>
      <w:r>
        <w:rPr>
          <w:rFonts w:ascii="Times New Roman" w:hAnsi="Times New Roman"/>
          <w:color w:val="000000"/>
          <w:sz w:val="20"/>
        </w:rPr>
        <w:t xml:space="preserve"> </w:t>
      </w:r>
      <w:r>
        <w:rPr>
          <w:rFonts w:ascii="Calibri;sans-serif" w:hAnsi="Calibri;sans-serif"/>
          <w:color w:val="000000"/>
          <w:sz w:val="20"/>
        </w:rPr>
        <w:t>million plus 3.00% of any future tranche drawdowns under the agreement, due upon final maturity. Additionally, the initial final payment fee for the first term Loan advance was amended to become payable on October 1, 2026. As of March 31, 2024, the aggregate final payment fee for the first Term Loan Advance of $7.5</w:t>
      </w:r>
      <w:r>
        <w:rPr>
          <w:rFonts w:ascii="Times New Roman" w:hAnsi="Times New Roman"/>
          <w:color w:val="000000"/>
          <w:sz w:val="20"/>
        </w:rPr>
        <w:t xml:space="preserve"> </w:t>
      </w:r>
      <w:r>
        <w:rPr>
          <w:rFonts w:ascii="Calibri;sans-serif" w:hAnsi="Calibri;sans-serif"/>
          <w:color w:val="000000"/>
          <w:sz w:val="20"/>
        </w:rPr>
        <w:t>million and $2.2</w:t>
      </w:r>
      <w:r>
        <w:rPr>
          <w:rFonts w:ascii="Times New Roman" w:hAnsi="Times New Roman"/>
          <w:color w:val="000000"/>
          <w:sz w:val="20"/>
        </w:rPr>
        <w:t xml:space="preserve"> </w:t>
      </w:r>
      <w:r>
        <w:rPr>
          <w:rFonts w:ascii="Calibri;sans-serif" w:hAnsi="Calibri;sans-serif"/>
          <w:color w:val="000000"/>
          <w:sz w:val="20"/>
        </w:rPr>
        <w:t>million for the second Term Loan Advance, have both been recorded within other long-term liabilities.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Fourth Loan Amendment the Company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As collateral for the obligations, the Company has granted to Hercules a senior security interest in all of Company’s right, title, and interest in, to and under substantially all of Company’s property, inclusive of intellectual property.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pStyle w:val="TextBody"/>
        <w:bidi w:val="0"/>
        <w:spacing w:before="120" w:after="283"/>
        <w:jc w:val="left"/>
        <w:rPr>
          <w:rFonts w:ascii="Calibri" w:hAnsi="Calibri"/>
          <w:color w:val="000000"/>
          <w:sz w:val="20"/>
        </w:rPr>
      </w:pPr>
      <w:r>
        <w:rPr>
          <w:rFonts w:ascii="Calibri" w:hAnsi="Calibri"/>
          <w:color w:val="000000"/>
          <w:sz w:val="20"/>
        </w:rPr>
        <w:t>(i)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Minimum cash covenant - The Company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 </w:t>
      </w:r>
    </w:p>
    <w:p>
      <w:pPr>
        <w:pStyle w:val="TextBody"/>
        <w:bidi w:val="0"/>
        <w:spacing w:before="120" w:after="283"/>
        <w:jc w:val="left"/>
        <w:rPr>
          <w:rFonts w:ascii="Calibri" w:hAnsi="Calibri"/>
          <w:color w:val="000000"/>
          <w:sz w:val="20"/>
        </w:rPr>
      </w:pPr>
      <w:r>
        <w:rPr>
          <w:rFonts w:ascii="Calibri" w:hAnsi="Calibri"/>
          <w:color w:val="000000"/>
          <w:sz w:val="20"/>
        </w:rPr>
        <w:t>(ii)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Performance covenant - Beginning September 30, 2024 and all times thereafter the Company must satisfy any one of the following:</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Times New Roman" w:hAnsi="Times New Roman"/>
          <w:sz w:val="24"/>
        </w:rPr>
      </w:pPr>
      <w:r>
        <w:rPr>
          <w:rFonts w:ascii="Calibri;sans-serif" w:hAnsi="Calibri;sans-serif"/>
          <w:color w:val="000000"/>
          <w:sz w:val="20"/>
        </w:rPr>
        <w:t>Market capitalization exceeding $900</w:t>
      </w:r>
      <w:r>
        <w:rPr>
          <w:rFonts w:ascii="Times New Roman" w:hAnsi="Times New Roman"/>
          <w:color w:val="000000"/>
          <w:sz w:val="24"/>
        </w:rPr>
        <w:t xml:space="preserve"> </w:t>
      </w:r>
      <w:r>
        <w:rPr>
          <w:rFonts w:ascii="Calibri;sans-serif" w:hAnsi="Calibri;sans-serif"/>
          <w:color w:val="000000"/>
          <w:sz w:val="20"/>
        </w:rPr>
        <w:t>million;</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Times New Roman" w:hAnsi="Times New Roman"/>
          <w:sz w:val="24"/>
        </w:rPr>
      </w:pPr>
      <w:r>
        <w:rPr>
          <w:rFonts w:ascii="Calibri;sans-serif" w:hAnsi="Calibri;sans-serif"/>
          <w:color w:val="000000"/>
          <w:sz w:val="20"/>
        </w:rPr>
        <w:t>Minimum cash balance exceeding (x) outstanding principal amount of term loans, multiplied by (y) (A) 50%, prior to achieving trailing three months</w:t>
      </w:r>
      <w:r>
        <w:rPr>
          <w:rFonts w:ascii="Times New Roman" w:hAnsi="Times New Roman"/>
          <w:color w:val="000000"/>
          <w:sz w:val="24"/>
        </w:rPr>
        <w:t xml:space="preserve"> </w:t>
      </w:r>
      <w:r>
        <w:rPr>
          <w:rFonts w:ascii="Calibri;sans-serif" w:hAnsi="Calibri;sans-serif"/>
          <w:color w:val="000000"/>
          <w:sz w:val="20"/>
        </w:rPr>
        <w:t>net product revenue of greater than $35</w:t>
      </w:r>
      <w:r>
        <w:rPr>
          <w:rFonts w:ascii="Times New Roman" w:hAnsi="Times New Roman"/>
          <w:color w:val="000000"/>
          <w:sz w:val="24"/>
        </w:rPr>
        <w:t xml:space="preserve"> </w:t>
      </w:r>
      <w:r>
        <w:rPr>
          <w:rFonts w:ascii="Calibri;sans-serif" w:hAnsi="Calibri;sans-serif"/>
          <w:color w:val="000000"/>
          <w:sz w:val="20"/>
        </w:rPr>
        <w:t>million, and (B) 35% thereafter; or</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Times New Roman" w:hAnsi="Times New Roman"/>
          <w:sz w:val="24"/>
        </w:rPr>
      </w:pPr>
      <w:r>
        <w:rPr>
          <w:rFonts w:ascii="Calibri;sans-serif" w:hAnsi="Calibri;sans-serif"/>
          <w:color w:val="000000"/>
          <w:sz w:val="20"/>
        </w:rPr>
        <w:t>Trailing three months</w:t>
      </w:r>
      <w:r>
        <w:rPr>
          <w:rFonts w:ascii="Times New Roman" w:hAnsi="Times New Roman"/>
          <w:color w:val="000000"/>
          <w:sz w:val="24"/>
        </w:rPr>
        <w:t xml:space="preserve"> </w:t>
      </w:r>
      <w:r>
        <w:rPr>
          <w:rFonts w:ascii="Calibri;sans-serif" w:hAnsi="Calibri;sans-serif"/>
          <w:color w:val="000000"/>
          <w:sz w:val="20"/>
        </w:rPr>
        <w:t>net product revenue of at least (x) 30% of agreed upon projected net revenues for periods in the calendar year 2024 and 25% for all periods thereafter or (y) $120</w:t>
      </w:r>
      <w:r>
        <w:rPr>
          <w:rFonts w:ascii="Times New Roman" w:hAnsi="Times New Roman"/>
          <w:color w:val="000000"/>
          <w:sz w:val="24"/>
        </w:rPr>
        <w:t xml:space="preserve"> </w:t>
      </w:r>
      <w:r>
        <w:rPr>
          <w:rFonts w:ascii="Calibri;sans-serif" w:hAnsi="Calibri;sans-serif"/>
          <w:color w:val="000000"/>
          <w:sz w:val="20"/>
        </w:rPr>
        <w:t>million.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subject to any specified cure periods, all amounts owed by the Company may be declared immediately due and payable by Hercules, as collateral agent. As of March 31, 2024, the Company was in compliance with all applicable covenants under the Loan Agreement.</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w:t>
      </w:r>
      <w:r>
        <w:rPr>
          <w:rFonts w:ascii="Times New Roman" w:hAnsi="Times New Roman"/>
          <w:color w:val="000000"/>
          <w:sz w:val="20"/>
        </w:rPr>
        <w:t xml:space="preserve"> </w:t>
      </w:r>
      <w:r>
        <w:rPr>
          <w:rFonts w:ascii="Calibri;sans-serif" w:hAnsi="Calibri;sans-serif"/>
          <w:color w:val="000000"/>
          <w:sz w:val="20"/>
        </w:rPr>
        <w:t>shares of common stock. The Warrant will be exercisable for a period of seven years</w:t>
      </w:r>
      <w:r>
        <w:rPr>
          <w:rFonts w:ascii="Times New Roman" w:hAnsi="Times New Roman"/>
          <w:color w:val="000000"/>
          <w:sz w:val="20"/>
        </w:rPr>
        <w:t xml:space="preserve"> </w:t>
      </w:r>
      <w:r>
        <w:rPr>
          <w:rFonts w:ascii="Calibri;sans-serif" w:hAnsi="Calibri;sans-serif"/>
          <w:color w:val="000000"/>
          <w:sz w:val="20"/>
        </w:rPr>
        <w:t>from the date of issuance at a per-share exercise price equal to $33.43, which was the closing price of the Company’s common stock on September 16, 2021. In connection with the entry into the Third Loan Amendment, the Company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connection with the entry into the Fourth Loan Amendment, the Company eliminated the warrant agreement for all future tranches. The Warrant issued with the initial tranche was not modified as part of this amendment. The exercise price and terms of the outstanding Warrant remain unchanged.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initial $1.3</w:t>
      </w:r>
      <w:r>
        <w:rPr>
          <w:rFonts w:ascii="Times New Roman" w:hAnsi="Times New Roman"/>
          <w:color w:val="000000"/>
          <w:sz w:val="20"/>
        </w:rPr>
        <w:t xml:space="preserve"> </w:t>
      </w:r>
      <w:r>
        <w:rPr>
          <w:rFonts w:ascii="Calibri;sans-serif" w:hAnsi="Calibri;sans-serif"/>
          <w:color w:val="000000"/>
          <w:sz w:val="20"/>
        </w:rPr>
        <w:t>million fair value of the Warrant, the $9.7</w:t>
      </w:r>
      <w:r>
        <w:rPr>
          <w:rFonts w:ascii="Times New Roman" w:hAnsi="Times New Roman"/>
          <w:color w:val="000000"/>
          <w:sz w:val="20"/>
        </w:rPr>
        <w:t xml:space="preserve"> </w:t>
      </w:r>
      <w:r>
        <w:rPr>
          <w:rFonts w:ascii="Calibri;sans-serif" w:hAnsi="Calibri;sans-serif"/>
          <w:color w:val="000000"/>
          <w:sz w:val="20"/>
        </w:rPr>
        <w:t>million final interest payment fees and $3.5</w:t>
      </w:r>
      <w:r>
        <w:rPr>
          <w:rFonts w:ascii="Times New Roman" w:hAnsi="Times New Roman"/>
          <w:color w:val="000000"/>
          <w:sz w:val="20"/>
        </w:rPr>
        <w:t xml:space="preserve"> </w:t>
      </w:r>
      <w:r>
        <w:rPr>
          <w:rFonts w:ascii="Calibri;sans-serif" w:hAnsi="Calibri;sans-serif"/>
          <w:color w:val="000000"/>
          <w:sz w:val="20"/>
        </w:rPr>
        <w:t>million of debt issuance costs have been recorded as debt discount and are being amortized to interest expense using the effective interest method over the term of the Term Loan.</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Future minimum principal payments under the Term Loan, including the final payment fee, as of March 31, 2024 are as follows (in thousands):</w:t>
      </w:r>
    </w:p>
    <w:tbl>
      <w:tblPr>
        <w:tblW w:w="5115" w:type="dxa"/>
        <w:jc w:val="left"/>
        <w:tblInd w:w="0" w:type="dxa"/>
        <w:tblLayout w:type="fixed"/>
        <w:tblCellMar>
          <w:top w:w="28" w:type="dxa"/>
          <w:left w:w="28" w:type="dxa"/>
          <w:bottom w:w="28" w:type="dxa"/>
          <w:right w:w="28" w:type="dxa"/>
        </w:tblCellMar>
      </w:tblPr>
      <w:tblGrid>
        <w:gridCol w:w="3586"/>
        <w:gridCol w:w="146"/>
        <w:gridCol w:w="211"/>
        <w:gridCol w:w="781"/>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174,276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principal and interest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181,776</w:t>
            </w:r>
          </w:p>
        </w:tc>
        <w:tc>
          <w:tcPr>
            <w:tcW w:w="3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payment-in-kind and final payment fee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(31,776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5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term loan borrowings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150,000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three months ended March 31, 2024 and 2023, the Company recognized $5.0</w:t>
      </w:r>
      <w:r>
        <w:rPr>
          <w:rFonts w:ascii="Times New Roman" w:hAnsi="Times New Roman"/>
          <w:color w:val="000000"/>
          <w:sz w:val="20"/>
        </w:rPr>
        <w:t xml:space="preserve"> </w:t>
      </w:r>
      <w:r>
        <w:rPr>
          <w:rFonts w:ascii="Calibri;sans-serif" w:hAnsi="Calibri;sans-serif"/>
          <w:color w:val="000000"/>
          <w:sz w:val="20"/>
        </w:rPr>
        <w:t>million and $4.0</w:t>
      </w:r>
      <w:r>
        <w:rPr>
          <w:rFonts w:ascii="Times New Roman" w:hAnsi="Times New Roman"/>
          <w:color w:val="000000"/>
          <w:sz w:val="20"/>
        </w:rPr>
        <w:t xml:space="preserve"> </w:t>
      </w:r>
      <w:r>
        <w:rPr>
          <w:rFonts w:ascii="Calibri;sans-serif" w:hAnsi="Calibri;sans-serif"/>
          <w:color w:val="000000"/>
          <w:sz w:val="20"/>
        </w:rPr>
        <w:t>million, respectively, of interest expense, including amortization of the debt discount, in connection with the Hercules Loan Agreement. As of March 31, 2024, the Company had an outstanding loan balance of $158.9</w:t>
      </w:r>
      <w:r>
        <w:rPr>
          <w:rFonts w:ascii="Times New Roman" w:hAnsi="Times New Roman"/>
          <w:color w:val="000000"/>
          <w:sz w:val="20"/>
        </w:rPr>
        <w:t xml:space="preserve"> </w:t>
      </w:r>
      <w:r>
        <w:rPr>
          <w:rFonts w:ascii="Calibri;sans-serif" w:hAnsi="Calibri;sans-serif"/>
          <w:color w:val="000000"/>
          <w:sz w:val="20"/>
        </w:rPr>
        <w:t>million and accrued interest of $1.3</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Calibri;sans-serif" w:hAnsi="Calibri;sans-serif"/>
          <w:b/>
          <w:color w:val="000000"/>
          <w:sz w:val="20"/>
        </w:rPr>
        <w:t>7. Revenue Interest Financing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On May 3, 2022, the Company entered into a Revenue Interest Financing Agreement with Initial Investors NQ, Sagard, and Hercules pursuant to which the Company will receive up to $260</w:t>
      </w:r>
      <w:r>
        <w:rPr>
          <w:rFonts w:ascii="Times New Roman" w:hAnsi="Times New Roman"/>
          <w:color w:val="000000"/>
          <w:sz w:val="20"/>
        </w:rPr>
        <w:t xml:space="preserve"> </w:t>
      </w:r>
      <w:r>
        <w:rPr>
          <w:rFonts w:ascii="Calibri;sans-serif" w:hAnsi="Calibri;sans-serif"/>
          <w:color w:val="000000"/>
          <w:sz w:val="20"/>
        </w:rPr>
        <w:t>million in funding from the Initial Investors. Under the terms of the Revenue Interest Financing Agreement, the Company received $100</w:t>
      </w:r>
      <w:r>
        <w:rPr>
          <w:rFonts w:ascii="Times New Roman" w:hAnsi="Times New Roman"/>
          <w:color w:val="000000"/>
          <w:sz w:val="20"/>
        </w:rPr>
        <w:t xml:space="preserve"> </w:t>
      </w:r>
      <w:r>
        <w:rPr>
          <w:rFonts w:ascii="Calibri;sans-serif" w:hAnsi="Calibri;sans-serif"/>
          <w:color w:val="000000"/>
          <w:sz w:val="20"/>
        </w:rPr>
        <w:t>million at the initial closing and received an additional $160</w:t>
      </w:r>
      <w:r>
        <w:rPr>
          <w:rFonts w:ascii="Times New Roman" w:hAnsi="Times New Roman"/>
          <w:color w:val="000000"/>
          <w:sz w:val="20"/>
        </w:rPr>
        <w:t xml:space="preserve"> </w:t>
      </w:r>
      <w:r>
        <w:rPr>
          <w:rFonts w:ascii="Calibri;sans-serif" w:hAnsi="Calibri;sans-serif"/>
          <w:color w:val="000000"/>
          <w:sz w:val="20"/>
        </w:rPr>
        <w:t>million upon FDA approval of VOQUEZNA for treatment of Erosive GERD during the fourth quarter of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Additionally, on October 31, 2022, the Company entered into a Joinder Agreement with the Initial Investors and CO Finance LVS XXXVII LLC, or the Additional Investor, and Hercules, together as the investors. Under the terms of the Joinder Agreement, the Company received $15</w:t>
      </w:r>
      <w:r>
        <w:rPr>
          <w:rFonts w:ascii="Times New Roman" w:hAnsi="Times New Roman"/>
          <w:color w:val="000000"/>
          <w:sz w:val="20"/>
        </w:rPr>
        <w:t xml:space="preserve"> </w:t>
      </w:r>
      <w:r>
        <w:rPr>
          <w:rFonts w:ascii="Calibri;sans-serif" w:hAnsi="Calibri;sans-serif"/>
          <w:color w:val="000000"/>
          <w:sz w:val="20"/>
        </w:rPr>
        <w:t>million in additional funding upon FDA approval of vonoprazan for Erosive GERD, or Approval Additional Funding, during the fourth quarter of 2023, and provides for $25</w:t>
      </w:r>
      <w:r>
        <w:rPr>
          <w:rFonts w:ascii="Times New Roman" w:hAnsi="Times New Roman"/>
          <w:color w:val="000000"/>
          <w:sz w:val="20"/>
        </w:rPr>
        <w:t xml:space="preserve"> </w:t>
      </w:r>
      <w:r>
        <w:rPr>
          <w:rFonts w:ascii="Calibri;sans-serif" w:hAnsi="Calibri;sans-serif"/>
          <w:color w:val="000000"/>
          <w:sz w:val="20"/>
        </w:rPr>
        <w:t>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and joined the Revenue Interest Financing Agreement to extend commitments for the Additional Investor Funding. The total amount funded by the Initial Investors and any subsequent investors is referred to herein as the Investment Amount.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Revenue Interest Financing Agreement, the investors are entitled to receive a 10% royalty on net sales of products containing vonoprazan. The royalty rate is subject to a step-down on net sales exceeding certain annual thresholds and if the Company receives FDA approval for vonoprazan for an indication relating to the treatment of heartburn associated with Non-Erosive GERD. The investors’ right to receive royalties on net sales will terminate when the investors have aggregate payments equal to 200% of the Investment Amount. In addition, at any time after the earlier of (i) April 30, 2024 and (ii) the date that the payment for Erosive GERD regulatory approval is made, the Company has the right to make a cap payment equal to 200% of the Investment Amount less any royalties already paid, at which time the agreement will terminate.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sufficient to gross the investors up to the applicable Minimum Amount.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taking place prior to April 1, 2025, between April 1, 2025 and April 1, 2028, and after April 1, 2028, the Company is obligated to pay 1.30 times Investment Amount, 1.65 times Investment Amount, and 2.0 times investment amount, respectively, less any amounts the Company previously paid pursuant to the agreement.</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year ended December 31, 2023, the Company received gross proceeds of $175.0</w:t>
      </w:r>
      <w:r>
        <w:rPr>
          <w:rFonts w:ascii="Times New Roman" w:hAnsi="Times New Roman"/>
          <w:color w:val="000000"/>
          <w:sz w:val="20"/>
        </w:rPr>
        <w:t xml:space="preserve"> </w:t>
      </w:r>
      <w:r>
        <w:rPr>
          <w:rFonts w:ascii="Calibri;sans-serif" w:hAnsi="Calibri;sans-serif"/>
          <w:color w:val="000000"/>
          <w:sz w:val="20"/>
        </w:rPr>
        <w:t>million before deducting transaction costs of $2.3</w:t>
      </w:r>
      <w:r>
        <w:rPr>
          <w:rFonts w:ascii="Times New Roman" w:hAnsi="Times New Roman"/>
          <w:color w:val="000000"/>
          <w:sz w:val="20"/>
        </w:rPr>
        <w:t xml:space="preserve"> </w:t>
      </w:r>
      <w:r>
        <w:rPr>
          <w:rFonts w:ascii="Calibri;sans-serif" w:hAnsi="Calibri;sans-serif"/>
          <w:color w:val="000000"/>
          <w:sz w:val="20"/>
        </w:rPr>
        <w:t>million, resulting in net proceeds of $172.7</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Changes in future payments from previous estimates are included in the current and future financing expense. The carrying value of the revenue interest financing liability was $319.0</w:t>
      </w:r>
      <w:r>
        <w:rPr>
          <w:rFonts w:ascii="Times New Roman" w:hAnsi="Times New Roman"/>
          <w:color w:val="000000"/>
          <w:sz w:val="20"/>
        </w:rPr>
        <w:t xml:space="preserve"> </w:t>
      </w:r>
      <w:r>
        <w:rPr>
          <w:rFonts w:ascii="Calibri;sans-serif" w:hAnsi="Calibri;sans-serif"/>
          <w:color w:val="000000"/>
          <w:sz w:val="20"/>
        </w:rPr>
        <w:t>million and $306.9</w:t>
      </w:r>
      <w:r>
        <w:rPr>
          <w:rFonts w:ascii="Times New Roman" w:hAnsi="Times New Roman"/>
          <w:color w:val="000000"/>
          <w:sz w:val="20"/>
        </w:rPr>
        <w:t xml:space="preserve"> </w:t>
      </w:r>
      <w:r>
        <w:rPr>
          <w:rFonts w:ascii="Calibri;sans-serif" w:hAnsi="Calibri;sans-serif"/>
          <w:color w:val="000000"/>
          <w:sz w:val="20"/>
        </w:rPr>
        <w:t>million as of March 31, 2024 and December 31, 2023,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Total revenue interest financing liability consists of the following (in thousands):</w:t>
      </w:r>
    </w:p>
    <w:tbl>
      <w:tblPr>
        <w:tblW w:w="6000" w:type="dxa"/>
        <w:jc w:val="left"/>
        <w:tblInd w:w="0" w:type="dxa"/>
        <w:tblLayout w:type="fixed"/>
        <w:tblCellMar>
          <w:top w:w="28" w:type="dxa"/>
          <w:left w:w="28" w:type="dxa"/>
          <w:bottom w:w="28" w:type="dxa"/>
          <w:right w:w="28" w:type="dxa"/>
        </w:tblCellMar>
      </w:tblPr>
      <w:tblGrid>
        <w:gridCol w:w="4651"/>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Liability balance as of January 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109,525</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the Revenue Interest Financing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175,000</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(2,325</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royalty payments and payables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Plus: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24,727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Ending liability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306,927</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liability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299,816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Liability balance as of January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306,927</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the Revenue Interest Financing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royalty payments and payables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Plus: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Ending liability balance as of March 31, 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319,006</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(16,478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liability balance as of March 31, 2024</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302,528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three months ended March 31, 2024 and 2023, the Company recognized $12.1</w:t>
      </w:r>
      <w:r>
        <w:rPr>
          <w:rFonts w:ascii="Times New Roman" w:hAnsi="Times New Roman"/>
          <w:color w:val="000000"/>
          <w:sz w:val="20"/>
        </w:rPr>
        <w:t xml:space="preserve"> </w:t>
      </w:r>
      <w:r>
        <w:rPr>
          <w:rFonts w:ascii="Calibri;sans-serif" w:hAnsi="Calibri;sans-serif"/>
          <w:color w:val="000000"/>
          <w:sz w:val="20"/>
        </w:rPr>
        <w:t>million and $5.2</w:t>
      </w:r>
      <w:r>
        <w:rPr>
          <w:rFonts w:ascii="Times New Roman" w:hAnsi="Times New Roman"/>
          <w:color w:val="000000"/>
          <w:sz w:val="20"/>
        </w:rPr>
        <w:t xml:space="preserve"> </w:t>
      </w:r>
      <w:r>
        <w:rPr>
          <w:rFonts w:ascii="Calibri;sans-serif" w:hAnsi="Calibri;sans-serif"/>
          <w:color w:val="000000"/>
          <w:sz w:val="20"/>
        </w:rPr>
        <w:t>million, respectively, of interest expense in connection with the revenue interest financing liability.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pStyle w:val="TextBody"/>
        <w:bidi w:val="0"/>
        <w:spacing w:before="200" w:after="283"/>
        <w:jc w:val="left"/>
        <w:rPr>
          <w:rFonts w:ascii="Times New Roman" w:hAnsi="Times New Roman"/>
          <w:sz w:val="20"/>
        </w:rPr>
      </w:pPr>
      <w:r>
        <w:rPr>
          <w:rFonts w:ascii="Calibri;sans-serif" w:hAnsi="Calibri;sans-serif"/>
          <w:b/>
          <w:color w:val="000000"/>
          <w:sz w:val="20"/>
        </w:rPr>
        <w:t>8. Stockholders’ Equity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March 2019, the founders granted the Company a repurchase right for the 3,373,408</w:t>
      </w:r>
      <w:r>
        <w:rPr>
          <w:rFonts w:ascii="Times New Roman" w:hAnsi="Times New Roman"/>
          <w:color w:val="000000"/>
          <w:sz w:val="20"/>
        </w:rPr>
        <w:t xml:space="preserve"> </w:t>
      </w:r>
      <w:r>
        <w:rPr>
          <w:rFonts w:ascii="Calibri;sans-serif" w:hAnsi="Calibri;sans-serif"/>
          <w:color w:val="000000"/>
          <w:sz w:val="20"/>
        </w:rPr>
        <w:t>shares of common stock originally purchased in 2018. The Company had the right, but not the obligation, to repurchase unvested shares in the event the founder’s relationship with the Company is terminated, subject to certain limitations, at the original purchase price of the stock. The repurchase right lapsed for 843,352</w:t>
      </w:r>
      <w:r>
        <w:rPr>
          <w:rFonts w:ascii="Times New Roman" w:hAnsi="Times New Roman"/>
          <w:color w:val="000000"/>
          <w:sz w:val="20"/>
        </w:rPr>
        <w:t xml:space="preserve"> </w:t>
      </w:r>
      <w:r>
        <w:rPr>
          <w:rFonts w:ascii="Calibri;sans-serif" w:hAnsi="Calibri;sans-serif"/>
          <w:color w:val="000000"/>
          <w:sz w:val="20"/>
        </w:rPr>
        <w:t>shares in March 2019 and the repurchase right for the remaining 2,530,056</w:t>
      </w:r>
      <w:r>
        <w:rPr>
          <w:rFonts w:ascii="Times New Roman" w:hAnsi="Times New Roman"/>
          <w:color w:val="000000"/>
          <w:sz w:val="20"/>
        </w:rPr>
        <w:t xml:space="preserve"> </w:t>
      </w:r>
      <w:r>
        <w:rPr>
          <w:rFonts w:ascii="Calibri;sans-serif" w:hAnsi="Calibri;sans-serif"/>
          <w:color w:val="000000"/>
          <w:sz w:val="20"/>
        </w:rPr>
        <w:t>shares lapses in equal monthly amounts over the following 48-month period ended in March 2023. The fair value of the founder shares at the date the repurchase right was granted was recognized as stock-based compensation expense on a straight-line basis over the vesting period. As of March 31, 2024, no</w:t>
      </w:r>
      <w:r>
        <w:rPr>
          <w:rFonts w:ascii="Times New Roman" w:hAnsi="Times New Roman"/>
          <w:color w:val="000000"/>
          <w:sz w:val="20"/>
        </w:rPr>
        <w:t xml:space="preserve"> </w:t>
      </w:r>
      <w:r>
        <w:rPr>
          <w:rFonts w:ascii="Calibri;sans-serif" w:hAnsi="Calibri;sans-serif"/>
          <w:color w:val="000000"/>
          <w:sz w:val="20"/>
        </w:rPr>
        <w:t>shares of common stock were subject to repurchase by the Company. The amount of recognized and unrecognized stock-based compensation related to the founder stock was immaterial for all periods presented.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From inception through March 31, 2024, the Company sold 26,041,380</w:t>
      </w:r>
      <w:r>
        <w:rPr>
          <w:rFonts w:ascii="Times New Roman" w:hAnsi="Times New Roman"/>
          <w:color w:val="000000"/>
          <w:sz w:val="20"/>
        </w:rPr>
        <w:t xml:space="preserve"> </w:t>
      </w:r>
      <w:r>
        <w:rPr>
          <w:rFonts w:ascii="Calibri;sans-serif" w:hAnsi="Calibri;sans-serif"/>
          <w:color w:val="000000"/>
          <w:sz w:val="20"/>
        </w:rPr>
        <w:t>shares of common stock, generating net proceeds of approximately $421.5</w:t>
      </w:r>
      <w:r>
        <w:rPr>
          <w:rFonts w:ascii="Times New Roman" w:hAnsi="Times New Roman"/>
          <w:color w:val="000000"/>
          <w:sz w:val="20"/>
        </w:rPr>
        <w:t xml:space="preserve"> </w:t>
      </w:r>
      <w:r>
        <w:rPr>
          <w:rFonts w:ascii="Calibri;sans-serif" w:hAnsi="Calibri;sans-serif"/>
          <w:color w:val="000000"/>
          <w:sz w:val="20"/>
        </w:rPr>
        <w:t>million, after deducting underwriting discounts, commissions and offering costs. This includes the May 2023 underwritten public offering, in which the Company sold 12,793,750</w:t>
      </w:r>
      <w:r>
        <w:rPr>
          <w:rFonts w:ascii="Times New Roman" w:hAnsi="Times New Roman"/>
          <w:color w:val="000000"/>
          <w:sz w:val="20"/>
        </w:rPr>
        <w:t xml:space="preserve"> </w:t>
      </w:r>
      <w:r>
        <w:rPr>
          <w:rFonts w:ascii="Calibri;sans-serif" w:hAnsi="Calibri;sans-serif"/>
          <w:color w:val="000000"/>
          <w:sz w:val="20"/>
        </w:rPr>
        <w:t>shares of its common stock, which included the exercise in full by the underwriters of their option to purchase 1,668,750</w:t>
      </w:r>
      <w:r>
        <w:rPr>
          <w:rFonts w:ascii="Times New Roman" w:hAnsi="Times New Roman"/>
          <w:color w:val="000000"/>
          <w:sz w:val="20"/>
        </w:rPr>
        <w:t xml:space="preserve"> </w:t>
      </w:r>
      <w:r>
        <w:rPr>
          <w:rFonts w:ascii="Calibri;sans-serif" w:hAnsi="Calibri;sans-serif"/>
          <w:color w:val="000000"/>
          <w:sz w:val="20"/>
        </w:rPr>
        <w:t>shares, at a price of $11.75</w:t>
      </w:r>
      <w:r>
        <w:rPr>
          <w:rFonts w:ascii="Times New Roman" w:hAnsi="Times New Roman"/>
          <w:color w:val="000000"/>
          <w:sz w:val="20"/>
        </w:rPr>
        <w:t xml:space="preserve"> </w:t>
      </w:r>
      <w:r>
        <w:rPr>
          <w:rFonts w:ascii="Calibri;sans-serif" w:hAnsi="Calibri;sans-serif"/>
          <w:color w:val="000000"/>
          <w:sz w:val="20"/>
        </w:rPr>
        <w:t>per share for total gross proceeds of $150.3</w:t>
      </w:r>
      <w:r>
        <w:rPr>
          <w:rFonts w:ascii="Times New Roman" w:hAnsi="Times New Roman"/>
          <w:color w:val="000000"/>
          <w:sz w:val="20"/>
        </w:rPr>
        <w:t xml:space="preserve"> </w:t>
      </w:r>
      <w:r>
        <w:rPr>
          <w:rFonts w:ascii="Calibri;sans-serif" w:hAnsi="Calibri;sans-serif"/>
          <w:color w:val="000000"/>
          <w:sz w:val="20"/>
        </w:rPr>
        <w:t>million. The net purchase price after deducting underwriting discounts and commissions was $11.08</w:t>
      </w:r>
      <w:r>
        <w:rPr>
          <w:rFonts w:ascii="Times New Roman" w:hAnsi="Times New Roman"/>
          <w:color w:val="000000"/>
          <w:sz w:val="20"/>
        </w:rPr>
        <w:t xml:space="preserve"> </w:t>
      </w:r>
      <w:r>
        <w:rPr>
          <w:rFonts w:ascii="Calibri;sans-serif" w:hAnsi="Calibri;sans-serif"/>
          <w:color w:val="000000"/>
          <w:sz w:val="20"/>
        </w:rPr>
        <w:t>per share, which generated net proceeds of $141.8</w:t>
      </w:r>
      <w:r>
        <w:rPr>
          <w:rFonts w:ascii="Times New Roman" w:hAnsi="Times New Roman"/>
          <w:color w:val="000000"/>
          <w:sz w:val="20"/>
        </w:rPr>
        <w:t xml:space="preserve"> </w:t>
      </w:r>
      <w:r>
        <w:rPr>
          <w:rFonts w:ascii="Calibri;sans-serif" w:hAnsi="Calibri;sans-serif"/>
          <w:color w:val="000000"/>
          <w:sz w:val="20"/>
        </w:rPr>
        <w:t>million. The Company incurred an additional $0.4</w:t>
      </w:r>
      <w:r>
        <w:rPr>
          <w:rFonts w:ascii="Times New Roman" w:hAnsi="Times New Roman"/>
          <w:color w:val="000000"/>
          <w:sz w:val="20"/>
        </w:rPr>
        <w:t xml:space="preserve"> </w:t>
      </w:r>
      <w:r>
        <w:rPr>
          <w:rFonts w:ascii="Calibri;sans-serif" w:hAnsi="Calibri;sans-serif"/>
          <w:color w:val="000000"/>
          <w:sz w:val="20"/>
        </w:rPr>
        <w:t>million of offering expenses in connection with this public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ATM Offerings</w:t>
      </w:r>
    </w:p>
    <w:p>
      <w:pPr>
        <w:pStyle w:val="TextBody"/>
        <w:bidi w:val="0"/>
        <w:spacing w:before="200" w:after="283"/>
        <w:jc w:val="left"/>
        <w:rPr>
          <w:rFonts w:ascii="Times New Roman" w:hAnsi="Times New Roman"/>
          <w:sz w:val="20"/>
        </w:rPr>
      </w:pPr>
      <w:r>
        <w:rPr>
          <w:rFonts w:ascii="Calibri;sans-serif" w:hAnsi="Calibri;sans-serif"/>
          <w:color w:val="000000"/>
          <w:sz w:val="20"/>
        </w:rPr>
        <w:t>On November 10, 2020, the Company entered into an Open Market Sale Agreement</w:t>
      </w:r>
      <w:r>
        <w:rPr>
          <w:rFonts w:ascii="Calibri;sans-serif" w:hAnsi="Calibri;sans-serif"/>
          <w:color w:val="000000"/>
          <w:sz w:val="13"/>
        </w:rPr>
        <w:t>SM</w:t>
      </w:r>
      <w:r>
        <w:rPr>
          <w:rFonts w:ascii="Calibri;sans-serif" w:hAnsi="Calibri;sans-serif"/>
          <w:color w:val="000000"/>
          <w:sz w:val="20"/>
        </w:rPr>
        <w:t>, or the Sales Agreement, with Jefferies LLC, or the Sales Agent, under which the Company may, from time to time, sell shares of common stock having an aggregate offering price of up to an amount registered under an effective registration statement through the Sales Agent. Sales of common stock made pursuant to the Sales Agreement, if any, were initially made under a shelf registration statement on Form S-3 which was filed on November 10, 2020 and declared effective by the SEC on November 16, 2020, which included an at-the-market prospectus pursuant to which the Company was able to sell shares of the Company's common stock having an aggregate offering price of up to $125</w:t>
      </w:r>
      <w:r>
        <w:rPr>
          <w:rFonts w:ascii="Times New Roman" w:hAnsi="Times New Roman"/>
          <w:color w:val="000000"/>
          <w:sz w:val="20"/>
        </w:rPr>
        <w:t xml:space="preserve"> </w:t>
      </w:r>
      <w:r>
        <w:rPr>
          <w:rFonts w:ascii="Calibri;sans-serif" w:hAnsi="Calibri;sans-serif"/>
          <w:color w:val="000000"/>
          <w:sz w:val="20"/>
        </w:rPr>
        <w:t>million, or the 2020 ATM Offering. In November 2023, the Company filed a shelf registration statement on Form S-3 which was filed on November 9, 2023 and declared effective by the SEC on November 17, 2023, which included an at-the-market prospectus pursuant to which the Company may, from time to time, sell shares of common stock having an aggregate offering price of up to $150</w:t>
      </w:r>
      <w:r>
        <w:rPr>
          <w:rFonts w:ascii="Times New Roman" w:hAnsi="Times New Roman"/>
          <w:color w:val="000000"/>
          <w:sz w:val="20"/>
        </w:rPr>
        <w:t xml:space="preserve"> </w:t>
      </w:r>
      <w:r>
        <w:rPr>
          <w:rFonts w:ascii="Calibri;sans-serif" w:hAnsi="Calibri;sans-serif"/>
          <w:color w:val="000000"/>
          <w:sz w:val="20"/>
        </w:rPr>
        <w:t>million through the Sales Agent, or the 2023 ATM Offering. The Company is not obligated to, and cannot provide any assurances that the Company will, make any sales of the shares under the Sales Agreement. The Sales Agreement may be terminated by the Sales Agent or the Company at any time. For the year ended December 31, 2023, the Company sold 1,514,219</w:t>
      </w:r>
      <w:r>
        <w:rPr>
          <w:rFonts w:ascii="Times New Roman" w:hAnsi="Times New Roman"/>
          <w:color w:val="000000"/>
          <w:sz w:val="20"/>
        </w:rPr>
        <w:t xml:space="preserve"> </w:t>
      </w:r>
      <w:r>
        <w:rPr>
          <w:rFonts w:ascii="Calibri;sans-serif" w:hAnsi="Calibri;sans-serif"/>
          <w:color w:val="000000"/>
          <w:sz w:val="20"/>
        </w:rPr>
        <w:t>shares for net proceeds of approximately $14.1</w:t>
      </w:r>
      <w:r>
        <w:rPr>
          <w:rFonts w:ascii="Times New Roman" w:hAnsi="Times New Roman"/>
          <w:color w:val="000000"/>
          <w:sz w:val="20"/>
        </w:rPr>
        <w:t xml:space="preserve"> </w:t>
      </w:r>
      <w:r>
        <w:rPr>
          <w:rFonts w:ascii="Calibri;sans-serif" w:hAnsi="Calibri;sans-serif"/>
          <w:color w:val="000000"/>
          <w:sz w:val="20"/>
        </w:rPr>
        <w:t>million after deducting $0.4</w:t>
      </w:r>
      <w:r>
        <w:rPr>
          <w:rFonts w:ascii="Times New Roman" w:hAnsi="Times New Roman"/>
          <w:color w:val="000000"/>
          <w:sz w:val="20"/>
        </w:rPr>
        <w:t xml:space="preserve"> </w:t>
      </w:r>
      <w:r>
        <w:rPr>
          <w:rFonts w:ascii="Calibri;sans-serif" w:hAnsi="Calibri;sans-serif"/>
          <w:color w:val="000000"/>
          <w:sz w:val="20"/>
        </w:rPr>
        <w:t>million of issuance costs. The Company used $39.9</w:t>
      </w:r>
      <w:r>
        <w:rPr>
          <w:rFonts w:ascii="Times New Roman" w:hAnsi="Times New Roman"/>
          <w:color w:val="000000"/>
          <w:sz w:val="20"/>
        </w:rPr>
        <w:t xml:space="preserve"> </w:t>
      </w:r>
      <w:r>
        <w:rPr>
          <w:rFonts w:ascii="Calibri;sans-serif" w:hAnsi="Calibri;sans-serif"/>
          <w:color w:val="000000"/>
          <w:sz w:val="20"/>
        </w:rPr>
        <w:t>million of the $125</w:t>
      </w:r>
      <w:r>
        <w:rPr>
          <w:rFonts w:ascii="Times New Roman" w:hAnsi="Times New Roman"/>
          <w:color w:val="000000"/>
          <w:sz w:val="20"/>
        </w:rPr>
        <w:t xml:space="preserve"> </w:t>
      </w:r>
      <w:r>
        <w:rPr>
          <w:rFonts w:ascii="Calibri;sans-serif" w:hAnsi="Calibri;sans-serif"/>
          <w:color w:val="000000"/>
          <w:sz w:val="20"/>
        </w:rPr>
        <w:t>million of shares available under the 2020 ATM Offering. As of March 31, 2024, all of the available $150</w:t>
      </w:r>
      <w:r>
        <w:rPr>
          <w:rFonts w:ascii="Times New Roman" w:hAnsi="Times New Roman"/>
          <w:color w:val="000000"/>
          <w:sz w:val="20"/>
        </w:rPr>
        <w:t xml:space="preserve"> </w:t>
      </w:r>
      <w:r>
        <w:rPr>
          <w:rFonts w:ascii="Calibri;sans-serif" w:hAnsi="Calibri;sans-serif"/>
          <w:color w:val="000000"/>
          <w:sz w:val="20"/>
        </w:rPr>
        <w:t>million under the 2023 ATM Offering remains available.</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Common Stock Reserves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Common stock reserved for future issuance consists of the following:</w:t>
      </w:r>
    </w:p>
    <w:tbl>
      <w:tblPr>
        <w:tblW w:w="6518" w:type="dxa"/>
        <w:jc w:val="left"/>
        <w:tblInd w:w="0" w:type="dxa"/>
        <w:tblLayout w:type="fixed"/>
        <w:tblCellMar>
          <w:top w:w="28" w:type="dxa"/>
          <w:left w:w="28" w:type="dxa"/>
          <w:bottom w:w="28" w:type="dxa"/>
          <w:right w:w="28" w:type="dxa"/>
        </w:tblCellMar>
      </w:tblPr>
      <w:tblGrid>
        <w:gridCol w:w="4801"/>
        <w:gridCol w:w="146"/>
        <w:gridCol w:w="170"/>
        <w:gridCol w:w="1210"/>
        <w:gridCol w:w="1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Common stock warrants</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91,228</w:t>
            </w:r>
          </w:p>
        </w:tc>
        <w:tc>
          <w:tcPr>
            <w:tcW w:w="191" w:type="dxa"/>
            <w:tcBorders/>
            <w:shd w:fill="CFF0FC" w:val="cle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 options and restricted stock units outstanding</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9,163,884</w:t>
            </w:r>
          </w:p>
        </w:tc>
        <w:tc>
          <w:tcPr>
            <w:tcW w:w="191" w:type="dxa"/>
            <w:tcBorders/>
            <w:shd w:fill="FFFFFF" w:val="cle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Shares available for issuance under the 2019 Incentive Plan</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21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1,708,426</w:t>
            </w:r>
          </w:p>
        </w:tc>
        <w:tc>
          <w:tcPr>
            <w:tcW w:w="191" w:type="dxa"/>
            <w:tcBorders/>
            <w:shd w:fill="CFF0FC" w:val="cle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Shares available for issuance under the ESPP Plan</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1,433,220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12,396,758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Preferred Stock</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is authorized to issue up to 40</w:t>
      </w:r>
      <w:r>
        <w:rPr>
          <w:rFonts w:ascii="Times New Roman" w:hAnsi="Times New Roman"/>
          <w:color w:val="000000"/>
          <w:sz w:val="20"/>
        </w:rPr>
        <w:t xml:space="preserve"> </w:t>
      </w:r>
      <w:r>
        <w:rPr>
          <w:rFonts w:ascii="Calibri;sans-serif" w:hAnsi="Calibri;sans-serif"/>
          <w:color w:val="000000"/>
          <w:sz w:val="20"/>
        </w:rPr>
        <w:t>million shares of preferred stock. As of March 31, 2024 and December 31, 2023, there were no</w:t>
      </w:r>
      <w:r>
        <w:rPr>
          <w:rFonts w:ascii="Times New Roman" w:hAnsi="Times New Roman"/>
          <w:color w:val="000000"/>
          <w:sz w:val="20"/>
        </w:rPr>
        <w:t xml:space="preserve"> </w:t>
      </w:r>
      <w:r>
        <w:rPr>
          <w:rFonts w:ascii="Calibri;sans-serif" w:hAnsi="Calibri;sans-serif"/>
          <w:color w:val="000000"/>
          <w:sz w:val="20"/>
        </w:rPr>
        <w:t>shares of preferred stock issued or outstanding.</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Equity Incentive Plan</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Company’s 2019 Equity Incentive Plan, or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w:t>
      </w:r>
      <w:r>
        <w:rPr>
          <w:rFonts w:ascii="Times New Roman" w:hAnsi="Times New Roman"/>
          <w:color w:val="000000"/>
          <w:sz w:val="20"/>
        </w:rPr>
        <w:t xml:space="preserve"> </w:t>
      </w:r>
      <w:r>
        <w:rPr>
          <w:rFonts w:ascii="Calibri;sans-serif" w:hAnsi="Calibri;sans-serif"/>
          <w:color w:val="000000"/>
          <w:sz w:val="20"/>
        </w:rPr>
        <w:t>shares of common stock authorized for issuance under the Existing Incentive Plan, of which, 1,400,528</w:t>
      </w:r>
      <w:r>
        <w:rPr>
          <w:rFonts w:ascii="Times New Roman" w:hAnsi="Times New Roman"/>
          <w:color w:val="000000"/>
          <w:sz w:val="20"/>
        </w:rPr>
        <w:t xml:space="preserve"> </w:t>
      </w:r>
      <w:r>
        <w:rPr>
          <w:rFonts w:ascii="Calibri;sans-serif" w:hAnsi="Calibri;sans-serif"/>
          <w:color w:val="000000"/>
          <w:sz w:val="20"/>
        </w:rPr>
        <w:t>stock options and 16,260</w:t>
      </w:r>
      <w:r>
        <w:rPr>
          <w:rFonts w:ascii="Times New Roman" w:hAnsi="Times New Roman"/>
          <w:color w:val="000000"/>
          <w:sz w:val="20"/>
        </w:rPr>
        <w:t xml:space="preserve"> </w:t>
      </w:r>
      <w:r>
        <w:rPr>
          <w:rFonts w:ascii="Calibri;sans-serif" w:hAnsi="Calibri;sans-serif"/>
          <w:color w:val="000000"/>
          <w:sz w:val="20"/>
        </w:rPr>
        <w:t>restricted stock awards were granted in 2019. As a result of the adoption of the 2019 Incentive Award Plan, or the 2019 Plan, in October 2019, no</w:t>
      </w:r>
      <w:r>
        <w:rPr>
          <w:rFonts w:ascii="Times New Roman" w:hAnsi="Times New Roman"/>
          <w:color w:val="000000"/>
          <w:sz w:val="20"/>
        </w:rPr>
        <w:t xml:space="preserve"> </w:t>
      </w:r>
      <w:r>
        <w:rPr>
          <w:rFonts w:ascii="Calibri;sans-serif" w:hAnsi="Calibri;sans-serif"/>
          <w:color w:val="000000"/>
          <w:sz w:val="20"/>
        </w:rPr>
        <w:t>further shares are available for issuance under the Existing Incentive Plan.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2019 Incentive Award Plan</w:t>
      </w:r>
    </w:p>
    <w:p>
      <w:pPr>
        <w:pStyle w:val="TextBody"/>
        <w:bidi w:val="0"/>
        <w:spacing w:before="200" w:after="283"/>
        <w:jc w:val="left"/>
        <w:rPr>
          <w:rFonts w:ascii="Times New Roman" w:hAnsi="Times New Roman"/>
          <w:sz w:val="20"/>
        </w:rPr>
      </w:pPr>
      <w:r>
        <w:rPr>
          <w:rFonts w:ascii="Calibri;sans-serif" w:hAnsi="Calibri;sans-serif"/>
          <w:color w:val="000000"/>
          <w:sz w:val="20"/>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On July 14, 2023, the Company completed a voluntary, one-time stock option exchange program, or the Option Exchange, pursuant to which eligible employees were able to exchange certain outstanding stock options granted under the 2019 Plan for a lesser amount of new restricted stock units, or RSUs, issued under the 2019 Plan. Participants in the Option Exchange received one RSU for every two shares of Phathom common stock underlying the eligible options surrendered. This exchange ratio was applied on a grant by grant basis. The Option Exchange resulted in 2,406,622</w:t>
      </w:r>
      <w:r>
        <w:rPr>
          <w:rFonts w:ascii="Times New Roman" w:hAnsi="Times New Roman"/>
          <w:color w:val="000000"/>
          <w:sz w:val="20"/>
        </w:rPr>
        <w:t xml:space="preserve"> </w:t>
      </w:r>
      <w:r>
        <w:rPr>
          <w:rFonts w:ascii="Calibri;sans-serif" w:hAnsi="Calibri;sans-serif"/>
          <w:color w:val="000000"/>
          <w:sz w:val="20"/>
        </w:rPr>
        <w:t>options being exchanged for 1,203,341</w:t>
      </w:r>
      <w:r>
        <w:rPr>
          <w:rFonts w:ascii="Times New Roman" w:hAnsi="Times New Roman"/>
          <w:color w:val="000000"/>
          <w:sz w:val="20"/>
        </w:rPr>
        <w:t xml:space="preserve"> </w:t>
      </w:r>
      <w:r>
        <w:rPr>
          <w:rFonts w:ascii="Calibri;sans-serif" w:hAnsi="Calibri;sans-serif"/>
          <w:color w:val="000000"/>
          <w:sz w:val="20"/>
        </w:rPr>
        <w:t>RSUs. The Company is recognizing an additional $2.2</w:t>
      </w:r>
      <w:r>
        <w:rPr>
          <w:rFonts w:ascii="Times New Roman" w:hAnsi="Times New Roman"/>
          <w:color w:val="000000"/>
          <w:sz w:val="20"/>
        </w:rPr>
        <w:t xml:space="preserve"> </w:t>
      </w:r>
      <w:r>
        <w:rPr>
          <w:rFonts w:ascii="Calibri;sans-serif" w:hAnsi="Calibri;sans-serif"/>
          <w:color w:val="000000"/>
          <w:sz w:val="20"/>
        </w:rPr>
        <w:t>million of incremental expense related to the Option Exchange to be recognized over a three-year vesting period.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As of March 31, 2024, 1,708,426</w:t>
      </w:r>
      <w:r>
        <w:rPr>
          <w:rFonts w:ascii="Times New Roman" w:hAnsi="Times New Roman"/>
          <w:color w:val="000000"/>
          <w:sz w:val="20"/>
        </w:rPr>
        <w:t xml:space="preserve"> </w:t>
      </w:r>
      <w:r>
        <w:rPr>
          <w:rFonts w:ascii="Calibri;sans-serif" w:hAnsi="Calibri;sans-serif"/>
          <w:color w:val="000000"/>
          <w:sz w:val="20"/>
        </w:rPr>
        <w:t>shares remain available for issuance, which reflects 2,595,112</w:t>
      </w:r>
      <w:r>
        <w:rPr>
          <w:rFonts w:ascii="Times New Roman" w:hAnsi="Times New Roman"/>
          <w:color w:val="000000"/>
          <w:sz w:val="20"/>
        </w:rPr>
        <w:t xml:space="preserve"> </w:t>
      </w:r>
      <w:r>
        <w:rPr>
          <w:rFonts w:ascii="Calibri;sans-serif" w:hAnsi="Calibri;sans-serif"/>
          <w:color w:val="000000"/>
          <w:sz w:val="20"/>
        </w:rPr>
        <w:t>stock options and RSUs awards granted, and 294,659</w:t>
      </w:r>
      <w:r>
        <w:rPr>
          <w:rFonts w:ascii="Times New Roman" w:hAnsi="Times New Roman"/>
          <w:color w:val="000000"/>
          <w:sz w:val="20"/>
        </w:rPr>
        <w:t xml:space="preserve"> </w:t>
      </w:r>
      <w:r>
        <w:rPr>
          <w:rFonts w:ascii="Calibri;sans-serif" w:hAnsi="Calibri;sans-serif"/>
          <w:color w:val="000000"/>
          <w:sz w:val="20"/>
        </w:rPr>
        <w:t>of awards cancelled or forfeited, during the three months ended March 31, 2024</w:t>
      </w:r>
      <w:r>
        <w:rPr>
          <w:rFonts w:ascii="Times New Roman" w:hAnsi="Times New Roman"/>
          <w:color w:val="000000"/>
          <w:sz w:val="20"/>
        </w:rPr>
        <w:t xml:space="preserve"> </w:t>
      </w:r>
      <w:r>
        <w:rPr>
          <w:rFonts w:ascii="Calibri;sans-serif" w:hAnsi="Calibri;sans-serif"/>
          <w:color w:val="000000"/>
          <w:sz w:val="20"/>
        </w:rPr>
        <w:t>as well as an annual increase of 2,898,503</w:t>
      </w:r>
      <w:r>
        <w:rPr>
          <w:rFonts w:ascii="Times New Roman" w:hAnsi="Times New Roman"/>
          <w:color w:val="000000"/>
          <w:sz w:val="20"/>
        </w:rPr>
        <w:t xml:space="preserve"> </w:t>
      </w:r>
      <w:r>
        <w:rPr>
          <w:rFonts w:ascii="Calibri;sans-serif" w:hAnsi="Calibri;sans-serif"/>
          <w:color w:val="000000"/>
          <w:sz w:val="20"/>
        </w:rPr>
        <w:t>shares authorized on January 1, 2024.</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Performance-Based Units</w:t>
      </w:r>
    </w:p>
    <w:p>
      <w:pPr>
        <w:pStyle w:val="TextBody"/>
        <w:bidi w:val="0"/>
        <w:spacing w:before="200" w:after="200"/>
        <w:jc w:val="left"/>
        <w:rPr>
          <w:rFonts w:ascii="Times New Roman" w:hAnsi="Times New Roman"/>
          <w:sz w:val="20"/>
        </w:rPr>
      </w:pPr>
      <w:r>
        <w:rPr>
          <w:rFonts w:ascii="Calibri;sans-serif" w:hAnsi="Calibri;sans-serif"/>
          <w:color w:val="000000"/>
          <w:sz w:val="20"/>
        </w:rPr>
        <w:t xml:space="preserve">During 2020, the Company granted the initial performance-based units, or PSUs, whereby vesting depended upon the approval by the FDA of vonoprazan for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and then, or concurrent with, Erosive GERD. The PSU milestones were achieved upon FDA approval of vonoprazan for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and Erosive GERD during the fourth quarter of 2023. No</w:t>
      </w:r>
      <w:r>
        <w:rPr>
          <w:rFonts w:ascii="Times New Roman" w:hAnsi="Times New Roman"/>
          <w:color w:val="000000"/>
          <w:sz w:val="20"/>
        </w:rPr>
        <w:t xml:space="preserve"> </w:t>
      </w:r>
      <w:r>
        <w:rPr>
          <w:rFonts w:ascii="Calibri;sans-serif" w:hAnsi="Calibri;sans-serif"/>
          <w:color w:val="000000"/>
          <w:sz w:val="20"/>
        </w:rPr>
        <w:t>PSUs are outstanding as of March 31, 2024.</w:t>
      </w:r>
    </w:p>
    <w:p>
      <w:pPr>
        <w:pStyle w:val="TextBody"/>
        <w:bidi w:val="0"/>
        <w:spacing w:before="200" w:after="200"/>
        <w:jc w:val="left"/>
        <w:rPr>
          <w:rFonts w:ascii="Calibri;sans-serif" w:hAnsi="Calibri;sans-serif"/>
          <w:b/>
          <w:i/>
          <w:color w:val="000000"/>
          <w:sz w:val="20"/>
        </w:rPr>
      </w:pPr>
      <w:r>
        <w:rPr>
          <w:rFonts w:ascii="Calibri;sans-serif" w:hAnsi="Calibri;sans-serif"/>
          <w:b/>
          <w:i/>
          <w:color w:val="000000"/>
          <w:sz w:val="20"/>
        </w:rPr>
        <w:t>Restricted Stock Units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RSU activity under the 2019 Plan during the three months ended March 31, 2024:</w:t>
      </w:r>
    </w:p>
    <w:tbl>
      <w:tblPr>
        <w:tblW w:w="6292" w:type="dxa"/>
        <w:jc w:val="left"/>
        <w:tblInd w:w="0" w:type="dxa"/>
        <w:tblLayout w:type="fixed"/>
        <w:tblCellMar>
          <w:top w:w="28" w:type="dxa"/>
          <w:left w:w="28" w:type="dxa"/>
          <w:bottom w:w="28" w:type="dxa"/>
          <w:right w:w="28" w:type="dxa"/>
        </w:tblCellMar>
      </w:tblPr>
      <w:tblGrid>
        <w:gridCol w:w="3016"/>
        <w:gridCol w:w="146"/>
        <w:gridCol w:w="146"/>
        <w:gridCol w:w="931"/>
        <w:gridCol w:w="166"/>
        <w:gridCol w:w="146"/>
        <w:gridCol w:w="364"/>
        <w:gridCol w:w="986"/>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Number of</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Unvested balance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2,653,892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726,712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01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(340,542</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1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Unvested 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2,905,069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 w:after="283"/>
        <w:jc w:val="left"/>
        <w:rPr/>
      </w:pPr>
      <w:r>
        <w:rPr/>
        <w:t> </w:t>
      </w:r>
    </w:p>
    <w:p>
      <w:pPr>
        <w:pStyle w:val="TextBody"/>
        <w:bidi w:val="0"/>
        <w:jc w:val="left"/>
        <w:rPr>
          <w:rFonts w:ascii="Times New Roman" w:hAnsi="Times New Roman"/>
          <w:sz w:val="20"/>
        </w:rPr>
      </w:pPr>
      <w:r>
        <w:rPr>
          <w:rFonts w:ascii="Calibri;sans-serif" w:hAnsi="Calibri;sans-serif"/>
          <w:color w:val="000000"/>
          <w:sz w:val="20"/>
        </w:rPr>
        <w:t>As of March 31, 2024, the Company had $27.5</w:t>
      </w:r>
      <w:r>
        <w:rPr>
          <w:rFonts w:ascii="Times New Roman" w:hAnsi="Times New Roman"/>
          <w:color w:val="000000"/>
          <w:sz w:val="20"/>
        </w:rPr>
        <w:t xml:space="preserve"> </w:t>
      </w:r>
      <w:r>
        <w:rPr>
          <w:rFonts w:ascii="Calibri;sans-serif" w:hAnsi="Calibri;sans-serif"/>
          <w:color w:val="000000"/>
          <w:sz w:val="20"/>
        </w:rPr>
        <w:t>million of unrecognized stock-based compensation expense, which is expected to be recognized over a weighted-average period of 2.3</w:t>
      </w:r>
      <w:r>
        <w:rPr>
          <w:rFonts w:ascii="Times New Roman" w:hAnsi="Times New Roman"/>
          <w:color w:val="000000"/>
          <w:sz w:val="20"/>
        </w:rPr>
        <w:t xml:space="preserve"> </w:t>
      </w:r>
      <w:r>
        <w:rPr>
          <w:rFonts w:ascii="Calibri;sans-serif" w:hAnsi="Calibri;sans-serif"/>
          <w:color w:val="000000"/>
          <w:sz w:val="20"/>
        </w:rPr>
        <w:t>years. The total fair value of RSUs vested during the three months ended March 31, 2024, was approximately $3.5</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Employee Stock Purchase Plan</w:t>
      </w:r>
    </w:p>
    <w:p>
      <w:pPr>
        <w:pStyle w:val="TextBody"/>
        <w:bidi w:val="0"/>
        <w:spacing w:before="200" w:after="283"/>
        <w:jc w:val="left"/>
        <w:rPr>
          <w:rFonts w:ascii="Times New Roman" w:hAnsi="Times New Roman"/>
          <w:sz w:val="20"/>
        </w:rPr>
      </w:pPr>
      <w:r>
        <w:rPr>
          <w:rFonts w:ascii="Calibri;sans-serif" w:hAnsi="Calibri;sans-serif"/>
          <w:color w:val="000000"/>
          <w:sz w:val="20"/>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w:t>
      </w:r>
      <w:r>
        <w:rPr>
          <w:rFonts w:ascii="Times New Roman" w:hAnsi="Times New Roman"/>
          <w:color w:val="000000"/>
          <w:sz w:val="20"/>
        </w:rPr>
        <w:t xml:space="preserve"> </w:t>
      </w:r>
      <w:r>
        <w:rPr>
          <w:rFonts w:ascii="Calibri;sans-serif" w:hAnsi="Calibri;sans-serif"/>
          <w:color w:val="000000"/>
          <w:sz w:val="20"/>
        </w:rPr>
        <w:t>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March 31, 2024, 1,433,220 shares of common stock remain available for issuance, which includes the 119,779 shares sold to employees during the three months ended March 31, 2024 as well as an annual increase of 579,701 shares authorized on January 1, 2024.</w:t>
      </w:r>
    </w:p>
    <w:p>
      <w:pPr>
        <w:pStyle w:val="TextBody"/>
        <w:bidi w:val="0"/>
        <w:spacing w:before="200" w:after="200"/>
        <w:jc w:val="left"/>
        <w:rPr>
          <w:rFonts w:ascii="Times New Roman" w:hAnsi="Times New Roman"/>
          <w:sz w:val="20"/>
        </w:rPr>
      </w:pPr>
      <w:r>
        <w:rPr>
          <w:rFonts w:ascii="Calibri;sans-serif" w:hAnsi="Calibri;sans-serif"/>
          <w:color w:val="000000"/>
          <w:sz w:val="20"/>
        </w:rPr>
        <w:t>The ESPP is considered a compensatory plan, and for the three months ended March 31, 2024 and 2023 the Company recorded related stock-based compensation of $0.5</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respectively. The weighted-average assumptions used to estimate the fair value of ESPP awards using the Black-Scholes option valuation model were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80" w:type="dxa"/>
        <w:jc w:val="left"/>
        <w:tblInd w:w="0" w:type="dxa"/>
        <w:tblLayout w:type="fixed"/>
        <w:tblCellMar>
          <w:top w:w="28" w:type="dxa"/>
          <w:left w:w="28" w:type="dxa"/>
          <w:bottom w:w="28" w:type="dxa"/>
          <w:right w:w="28" w:type="dxa"/>
        </w:tblCellMar>
      </w:tblPr>
      <w:tblGrid>
        <w:gridCol w:w="2226"/>
        <w:gridCol w:w="146"/>
        <w:gridCol w:w="811"/>
        <w:gridCol w:w="146"/>
        <w:gridCol w:w="95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March 31,</w:t>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2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Assumptions:</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pPr>
            <w:r>
              <w:rPr/>
              <w:t> </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0.49</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0.49</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119.08%</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69.10%</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5.16%</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4.77%</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estimated weighted-average fair value of ESPP awards for the three months ended March 31, 2024 and 2023, were $3.59</w:t>
      </w:r>
      <w:r>
        <w:rPr>
          <w:rFonts w:ascii="Times New Roman" w:hAnsi="Times New Roman"/>
          <w:color w:val="000000"/>
          <w:sz w:val="20"/>
        </w:rPr>
        <w:t xml:space="preserve"> </w:t>
      </w:r>
      <w:r>
        <w:rPr>
          <w:rFonts w:ascii="Calibri;sans-serif" w:hAnsi="Calibri;sans-serif"/>
          <w:color w:val="000000"/>
          <w:sz w:val="20"/>
        </w:rPr>
        <w:t>and $2.87, respectively. As of March 31, 2024, the total unrecognized compensation expense related to the ESPP was $0.7</w:t>
      </w:r>
      <w:r>
        <w:rPr>
          <w:rFonts w:ascii="Times New Roman" w:hAnsi="Times New Roman"/>
          <w:color w:val="000000"/>
          <w:sz w:val="20"/>
        </w:rPr>
        <w:t xml:space="preserve"> </w:t>
      </w:r>
      <w:r>
        <w:rPr>
          <w:rFonts w:ascii="Calibri;sans-serif" w:hAnsi="Calibri;sans-serif"/>
          <w:color w:val="000000"/>
          <w:sz w:val="20"/>
        </w:rPr>
        <w:t>million, which is expected to be recognized over a weighted-average period of approximately 0.3</w:t>
      </w:r>
      <w:r>
        <w:rPr>
          <w:rFonts w:ascii="Times New Roman" w:hAnsi="Times New Roman"/>
          <w:color w:val="000000"/>
          <w:sz w:val="20"/>
        </w:rPr>
        <w:t xml:space="preserve"> </w:t>
      </w:r>
      <w:r>
        <w:rPr>
          <w:rFonts w:ascii="Calibri;sans-serif" w:hAnsi="Calibri;sans-serif"/>
          <w:color w:val="000000"/>
          <w:sz w:val="20"/>
        </w:rPr>
        <w:t>years.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401(k) Plan</w:t>
      </w:r>
    </w:p>
    <w:p>
      <w:pPr>
        <w:pStyle w:val="TextBody"/>
        <w:bidi w:val="0"/>
        <w:spacing w:before="200" w:after="283"/>
        <w:jc w:val="left"/>
        <w:rPr>
          <w:rFonts w:ascii="Times New Roman" w:hAnsi="Times New Roman"/>
          <w:sz w:val="20"/>
        </w:rPr>
      </w:pPr>
      <w:r>
        <w:rPr>
          <w:rFonts w:ascii="Calibri;sans-serif" w:hAnsi="Calibri;sans-serif"/>
          <w:color w:val="000000"/>
          <w:sz w:val="20"/>
        </w:rPr>
        <w:t>During 2020, the Company established a 401(k) savings plan. The Company’s contributions to the plan are discretionary. During the three months ended March 31, 2024 and 2023, the Company incurred $1.7</w:t>
      </w:r>
      <w:r>
        <w:rPr>
          <w:rFonts w:ascii="Times New Roman" w:hAnsi="Times New Roman"/>
          <w:color w:val="000000"/>
          <w:sz w:val="20"/>
        </w:rPr>
        <w:t xml:space="preserve"> </w:t>
      </w:r>
      <w:r>
        <w:rPr>
          <w:rFonts w:ascii="Calibri;sans-serif" w:hAnsi="Calibri;sans-serif"/>
          <w:color w:val="000000"/>
          <w:sz w:val="20"/>
        </w:rPr>
        <w:t>million and $0.8</w:t>
      </w:r>
      <w:r>
        <w:rPr>
          <w:rFonts w:ascii="Times New Roman" w:hAnsi="Times New Roman"/>
          <w:color w:val="000000"/>
          <w:sz w:val="20"/>
        </w:rPr>
        <w:t xml:space="preserve"> </w:t>
      </w:r>
      <w:r>
        <w:rPr>
          <w:rFonts w:ascii="Calibri;sans-serif" w:hAnsi="Calibri;sans-serif"/>
          <w:color w:val="000000"/>
          <w:sz w:val="20"/>
        </w:rPr>
        <w:t>million, respectively, of expense related to estimated employer contribution liabilities, which was based on a 75% match of employees’ contributions during the periods. During the three months ended March 31, 2024 and 2023, the Board of Directors approved employer matching contributions settled by contributing 93,736</w:t>
      </w:r>
      <w:r>
        <w:rPr>
          <w:rFonts w:ascii="Times New Roman" w:hAnsi="Times New Roman"/>
          <w:color w:val="000000"/>
          <w:sz w:val="20"/>
        </w:rPr>
        <w:t xml:space="preserve"> </w:t>
      </w:r>
      <w:r>
        <w:rPr>
          <w:rFonts w:ascii="Calibri;sans-serif" w:hAnsi="Calibri;sans-serif"/>
          <w:color w:val="000000"/>
          <w:sz w:val="20"/>
        </w:rPr>
        <w:t>and 52,130, respectively, shares of common stock.</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Stock Options</w:t>
      </w:r>
    </w:p>
    <w:p>
      <w:pPr>
        <w:pStyle w:val="TextBody"/>
        <w:bidi w:val="0"/>
        <w:spacing w:before="200" w:after="283"/>
        <w:jc w:val="left"/>
        <w:rPr>
          <w:rFonts w:ascii="Times New Roman" w:hAnsi="Times New Roman"/>
          <w:sz w:val="20"/>
        </w:rPr>
      </w:pPr>
      <w:r>
        <w:rPr>
          <w:rFonts w:ascii="Calibri;sans-serif" w:hAnsi="Calibri;sans-serif"/>
          <w:color w:val="000000"/>
          <w:sz w:val="20"/>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w:t>
      </w:r>
      <w:r>
        <w:rPr>
          <w:rFonts w:ascii="Times New Roman" w:hAnsi="Times New Roman"/>
          <w:color w:val="000000"/>
          <w:sz w:val="20"/>
        </w:rPr>
        <w:t xml:space="preserve"> </w:t>
      </w:r>
      <w:r>
        <w:rPr>
          <w:rFonts w:ascii="Calibri;sans-serif" w:hAnsi="Calibri;sans-serif"/>
          <w:color w:val="000000"/>
          <w:sz w:val="20"/>
        </w:rPr>
        <w:t>based on the fact that the Company has never paid cash dividends and does not expect to pay any cash dividends in the foreseeable future.</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 summary of the Company’s stock option activity and related information is as follows:</w:t>
      </w:r>
    </w:p>
    <w:tbl>
      <w:tblPr>
        <w:tblW w:w="9882" w:type="dxa"/>
        <w:jc w:val="left"/>
        <w:tblInd w:w="0" w:type="dxa"/>
        <w:tblLayout w:type="fixed"/>
        <w:tblCellMar>
          <w:top w:w="28" w:type="dxa"/>
          <w:left w:w="28" w:type="dxa"/>
          <w:bottom w:w="28" w:type="dxa"/>
          <w:right w:w="28" w:type="dxa"/>
        </w:tblCellMar>
      </w:tblPr>
      <w:tblGrid>
        <w:gridCol w:w="4051"/>
        <w:gridCol w:w="146"/>
        <w:gridCol w:w="150"/>
        <w:gridCol w:w="961"/>
        <w:gridCol w:w="166"/>
        <w:gridCol w:w="146"/>
        <w:gridCol w:w="263"/>
        <w:gridCol w:w="713"/>
        <w:gridCol w:w="146"/>
        <w:gridCol w:w="146"/>
        <w:gridCol w:w="250"/>
        <w:gridCol w:w="801"/>
        <w:gridCol w:w="146"/>
        <w:gridCol w:w="146"/>
        <w:gridCol w:w="299"/>
        <w:gridCol w:w="96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Aggregate</w:t>
              <w:br/>
              <w:t>Intrinsic</w:t>
              <w:br/>
              <w:t xml:space="preserve">Value </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January 1, 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4,550,081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1,868,400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cancelled</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(159,666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6,258,815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Options exercisable as of March 31, 2024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2,661,798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4,280</w:t>
            </w:r>
          </w:p>
        </w:tc>
        <w:tc>
          <w:tcPr>
            <w:tcW w:w="3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Vested and expected to vest as of March 31, 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6,258,815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11,944</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estimated weighted-average fair value of employee and nonemployee director stock options granted for the three months ended March 31, 2024 and 2023 was $5.31</w:t>
      </w:r>
      <w:r>
        <w:rPr>
          <w:rFonts w:ascii="Times New Roman" w:hAnsi="Times New Roman"/>
          <w:color w:val="000000"/>
          <w:sz w:val="20"/>
        </w:rPr>
        <w:t xml:space="preserve"> </w:t>
      </w:r>
      <w:r>
        <w:rPr>
          <w:rFonts w:ascii="Calibri;sans-serif" w:hAnsi="Calibri;sans-serif"/>
          <w:color w:val="000000"/>
          <w:sz w:val="20"/>
        </w:rPr>
        <w:t>and $5.13, respectively, per option. As of March 31, 2024, the Company had $20.2</w:t>
      </w:r>
      <w:r>
        <w:rPr>
          <w:rFonts w:ascii="Times New Roman" w:hAnsi="Times New Roman"/>
          <w:color w:val="000000"/>
          <w:sz w:val="20"/>
        </w:rPr>
        <w:t xml:space="preserve"> </w:t>
      </w:r>
      <w:r>
        <w:rPr>
          <w:rFonts w:ascii="Calibri;sans-serif" w:hAnsi="Calibri;sans-serif"/>
          <w:color w:val="000000"/>
          <w:sz w:val="20"/>
        </w:rPr>
        <w:t>million of unrecognized stock-based compensation expense, which is expected to be recognized over a weighted-average period of 2.8</w:t>
      </w:r>
      <w:r>
        <w:rPr>
          <w:rFonts w:ascii="Times New Roman" w:hAnsi="Times New Roman"/>
          <w:color w:val="000000"/>
          <w:sz w:val="20"/>
        </w:rPr>
        <w:t xml:space="preserve"> </w:t>
      </w:r>
      <w:r>
        <w:rPr>
          <w:rFonts w:ascii="Calibri;sans-serif" w:hAnsi="Calibri;sans-serif"/>
          <w:color w:val="000000"/>
          <w:sz w:val="20"/>
        </w:rPr>
        <w:t>years.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weighted-average assumptions used to estimate the fair value of stock options using the Black-Scholes option valuation model were as follows:</w:t>
      </w:r>
    </w:p>
    <w:tbl>
      <w:tblPr>
        <w:tblW w:w="4231" w:type="dxa"/>
        <w:jc w:val="left"/>
        <w:tblInd w:w="0" w:type="dxa"/>
        <w:tblLayout w:type="fixed"/>
        <w:tblCellMar>
          <w:top w:w="28" w:type="dxa"/>
          <w:left w:w="28" w:type="dxa"/>
          <w:bottom w:w="28" w:type="dxa"/>
          <w:right w:w="28" w:type="dxa"/>
        </w:tblCellMar>
      </w:tblPr>
      <w:tblGrid>
        <w:gridCol w:w="2226"/>
        <w:gridCol w:w="146"/>
        <w:gridCol w:w="728"/>
        <w:gridCol w:w="150"/>
        <w:gridCol w:w="98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March 31,</w:t>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2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Assumptions:</w:t>
            </w:r>
          </w:p>
        </w:tc>
        <w:tc>
          <w:tcPr>
            <w:tcW w:w="146"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ind w:left="0" w:right="0" w:firstLine="200"/>
              <w:jc w:val="right"/>
              <w:rPr/>
            </w:pPr>
            <w:r>
              <w:rPr/>
              <w:t> </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6.07</w:t>
            </w:r>
          </w:p>
        </w:tc>
        <w:tc>
          <w:tcPr>
            <w:tcW w:w="15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6.08</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74.61%</w:t>
            </w:r>
          </w:p>
        </w:tc>
        <w:tc>
          <w:tcPr>
            <w:tcW w:w="150"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63.77%</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4.05%</w:t>
            </w:r>
          </w:p>
        </w:tc>
        <w:tc>
          <w:tcPr>
            <w:tcW w:w="15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3.46%</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color w:val="000000"/>
              </w:rPr>
            </w:pPr>
            <w:r>
              <w:rPr>
                <w:color w:val="000000"/>
              </w:rPr>
              <w:t>—</w:t>
            </w:r>
          </w:p>
        </w:tc>
        <w:tc>
          <w:tcPr>
            <w:tcW w:w="150"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Stock-Based Compensation Expense</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Stock-based compensation expense recognized for all equity awards, including founder stock, has been reported in the statements of operations and comprehensive loss as follows (in thousands):</w:t>
      </w:r>
    </w:p>
    <w:tbl>
      <w:tblPr>
        <w:tblW w:w="5704" w:type="dxa"/>
        <w:jc w:val="left"/>
        <w:tblInd w:w="0" w:type="dxa"/>
        <w:tblLayout w:type="fixed"/>
        <w:tblCellMar>
          <w:top w:w="28" w:type="dxa"/>
          <w:left w:w="28" w:type="dxa"/>
          <w:bottom w:w="28" w:type="dxa"/>
          <w:right w:w="28" w:type="dxa"/>
        </w:tblCellMar>
      </w:tblPr>
      <w:tblGrid>
        <w:gridCol w:w="3511"/>
        <w:gridCol w:w="146"/>
        <w:gridCol w:w="211"/>
        <w:gridCol w:w="571"/>
        <w:gridCol w:w="146"/>
        <w:gridCol w:w="146"/>
        <w:gridCol w:w="211"/>
        <w:gridCol w:w="571"/>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1,776</w:t>
            </w:r>
          </w:p>
        </w:tc>
        <w:tc>
          <w:tcPr>
            <w:tcW w:w="1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5,272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9. Revenue Recognition</w:t>
      </w:r>
    </w:p>
    <w:p>
      <w:pPr>
        <w:pStyle w:val="TextBody"/>
        <w:bidi w:val="0"/>
        <w:spacing w:before="200" w:after="200"/>
        <w:jc w:val="left"/>
        <w:rPr>
          <w:rFonts w:ascii="Times New Roman" w:hAnsi="Times New Roman"/>
          <w:sz w:val="20"/>
        </w:rPr>
      </w:pPr>
      <w:r>
        <w:rPr>
          <w:rFonts w:ascii="Calibri;sans-serif" w:hAnsi="Calibri;sans-serif"/>
          <w:color w:val="000000"/>
          <w:sz w:val="20"/>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balance sheets. During the three months ended March 31, 2024, the Company recognized $1.9</w:t>
      </w:r>
      <w:r>
        <w:rPr>
          <w:rFonts w:ascii="Times New Roman" w:hAnsi="Times New Roman"/>
          <w:color w:val="000000"/>
          <w:sz w:val="20"/>
        </w:rPr>
        <w:t xml:space="preserve"> </w:t>
      </w:r>
      <w:r>
        <w:rPr>
          <w:rFonts w:ascii="Calibri;sans-serif" w:hAnsi="Calibri;sans-serif"/>
          <w:color w:val="000000"/>
          <w:sz w:val="20"/>
        </w:rPr>
        <w:t>million of net product revenues related to sales of VOQUEZNA. During the three months ended March 31, 2023, the Company had no</w:t>
      </w:r>
      <w:r>
        <w:rPr>
          <w:rFonts w:ascii="Times New Roman" w:hAnsi="Times New Roman"/>
          <w:color w:val="000000"/>
          <w:sz w:val="20"/>
        </w:rPr>
        <w:t xml:space="preserve"> </w:t>
      </w:r>
      <w:r>
        <w:rPr>
          <w:rFonts w:ascii="Calibri;sans-serif" w:hAnsi="Calibri;sans-serif"/>
          <w:color w:val="000000"/>
          <w:sz w:val="20"/>
        </w:rPr>
        <w:t>net product revenues due to the launch of VOQUEZNA during the fourth quarter of 2023. Sales allowances and accruals mostly consisted of distribution fees and rebates.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consolidated_statements_operations"/>
      <w:bookmarkEnd w:id="10"/>
      <w:r>
        <w:rPr>
          <w:rFonts w:ascii="Calibri;sans-serif" w:hAnsi="Calibri;sans-serif"/>
          <w:b/>
          <w:color w:val="000000"/>
          <w:sz w:val="20"/>
        </w:rPr>
        <w:t>Item 2. Management’s Discussion and Analysis o</w:t>
      </w:r>
      <w:bookmarkStart w:id="11" w:name="item_2_managements_discussion_analysis_f"/>
      <w:bookmarkEnd w:id="11"/>
      <w:r>
        <w:rPr>
          <w:rFonts w:ascii="Calibri;sans-serif" w:hAnsi="Calibri;sans-serif"/>
          <w:b/>
          <w:color w:val="000000"/>
          <w:sz w:val="20"/>
        </w:rPr>
        <w:t>f Financial Condition and Results of Operations</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2023 and the related Management’s Discussion and Analysis of Financial Condition and Results of Operations, both of which are contained in our Annual Report on Form 10-K for the year ended December 31, 2023, or the 2023 Form 10-K.</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Forward Looking Statements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We are a biopharmaceutical company focused on developing and commercializing novel treatments for gastrointestinal, or GI, diseases. Our approved products, VOQUEZNA®, VOQUEZNA® TRIPLE PAK® and VOQUEZNA® DUAL PAK®, contain vonoprazan, an oral small molecule potassium-competitive acid blocker, or PCAB. PCABs are a novel class of medicines that block acid secretion in the stomach. Vonoprazan is the first gastric anti-secretory agent from a novel class approved in the United States, Europe, or Canada in over 30 years, and has shown rapid, potent, and durable anti-secretory effects. Vonoprazan has also demonstrated clinical benefits over the current standard of care as a single agent in the treatment of erosive gastroesophageal reflux disease, or Erosive GERD, also known as erosive esophagitis, and in combination with antibiotics for the treatment of </w:t>
      </w:r>
      <w:r>
        <w:rPr>
          <w:rFonts w:ascii="Calibri;sans-serif" w:hAnsi="Calibri;sans-serif"/>
          <w:i/>
          <w:color w:val="000000"/>
          <w:sz w:val="20"/>
        </w:rPr>
        <w:t>Helicobacter pylori</w:t>
      </w:r>
      <w:r>
        <w:rPr>
          <w:rFonts w:ascii="Calibri;sans-serif" w:hAnsi="Calibri;sans-serif"/>
          <w:color w:val="000000"/>
          <w:sz w:val="20"/>
        </w:rPr>
        <w:t xml:space="preserve">, or </w:t>
      </w:r>
      <w:r>
        <w:rPr>
          <w:rFonts w:ascii="Calibri;sans-serif" w:hAnsi="Calibri;sans-serif"/>
          <w:i/>
          <w:color w:val="000000"/>
          <w:sz w:val="20"/>
        </w:rPr>
        <w:t>H. pylori</w:t>
      </w:r>
      <w:r>
        <w:rPr>
          <w:rFonts w:ascii="Calibri;sans-serif" w:hAnsi="Calibri;sans-serif"/>
          <w:color w:val="000000"/>
          <w:sz w:val="20"/>
        </w:rPr>
        <w:t>, infection. Takeda Pharmaceutical Company Limited, or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In 2021 we reported positive topline data from two pivotal Phase 3 clinical trials for vonoprazan: one for the treatment of </w:t>
      </w:r>
      <w:r>
        <w:rPr>
          <w:rFonts w:ascii="Calibri;sans-serif" w:hAnsi="Calibri;sans-serif"/>
          <w:i/>
          <w:color w:val="000000"/>
          <w:sz w:val="20"/>
        </w:rPr>
        <w:t xml:space="preserve">H. pylori </w:t>
      </w:r>
      <w:r>
        <w:rPr>
          <w:rFonts w:ascii="Calibri;sans-serif" w:hAnsi="Calibri;sans-serif"/>
          <w:color w:val="000000"/>
          <w:sz w:val="20"/>
        </w:rPr>
        <w:t xml:space="preserve">infection, or PHALCON-HP, and a second for the treatment of Erosive GERD, or PHALCON-EE. These data are supplemented by the extensive existing clinical data generated by Takeda as part of its development program for vonoprazan in Japan and other markets. In September 2021, we submitted two new drug applications, or NDAs, for combination packs that contain vonoprazan for the treatment of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infection in adults, one in combination with amoxicillin and clarithromycin (vonoprazan triple therapy) and the other in combination with amoxicillin alone (vonoprazan dual therapy). In May 2022, the U.S. Food and Drug Administration,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combination with amoxicillin, with or without clarithromycin, for the treatment of </w:t>
      </w:r>
      <w:r>
        <w:rPr>
          <w:rFonts w:ascii="Calibri;sans-serif" w:hAnsi="Calibri;sans-serif"/>
          <w:i/>
          <w:color w:val="000000"/>
          <w:sz w:val="20"/>
        </w:rPr>
        <w:t xml:space="preserve">H. pylori </w:t>
      </w:r>
      <w:r>
        <w:rPr>
          <w:rFonts w:ascii="Calibri;sans-serif" w:hAnsi="Calibri;sans-serif"/>
          <w:color w:val="000000"/>
          <w:sz w:val="20"/>
        </w:rPr>
        <w:t>infection in adults.</w:t>
      </w:r>
      <w:r>
        <w:rPr>
          <w:rFonts w:ascii="Times New Roman" w:hAnsi="Times New Roman"/>
          <w:color w:val="000000"/>
          <w:sz w:val="20"/>
        </w:rPr>
        <w:t xml:space="preserve"> </w:t>
      </w:r>
      <w:r>
        <w:rPr>
          <w:rFonts w:ascii="Calibri;sans-serif" w:hAnsi="Calibri;sans-serif"/>
          <w:color w:val="000000"/>
          <w:sz w:val="20"/>
        </w:rPr>
        <w:t xml:space="preserve">We initiated commercial launch for VOQUEZNA for both the Erosive GERD and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indications, and VOQUEZNA TRIPLE PAK and VOQUEZNA DUAL PAK for treatment of H. pylori infection in the fourth quarter of 2023. In addition, based on our qualified infectious disease product, or QIDP, designations for VOQUEZNA TRIPLE PAK and VOQUEZNA DUAL PAK, we received an extension of five years of new chemical entity, or NCE, exclusivity based 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vonoprazan component in those NDAs. We believe the extended NCE exclusivity should apply to any other approved or future products containing vonoprazan we develop and for which we obtain FDA approval.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We are also continuing to develop vonoprazan as a treatment for heartburn symptoms associated with Non-Erosive GERD. In January 2023, we reported positive topline results from PHALCON-NERD-301, a Phase 3 study evaluating the safety and efficacy of vonoprazan for the daily treatment of adults with Non-Erosive GERD, and in August 2023, we announced successful completion of the 20-week extension period of PHALCON-NERD-301. Based on the results of this study, in September 2023, we submitted an NDA seeking approval of vonoprazan as a once-daily treatment for heartburn symptoms associated with Non-Erosive GERD in adults. The FDA has assigned this NDA a Prescription Drug User Fee Act, or PDUFA, target action date of July 19, 2024, and if approved, we anticipate launching vonoprazan for this new indication in the third quarter of 2024. In addition, in 2024 we plan to initiate a Phase 3 trial evaluating the novel dosing regimen of vonoprazan as an "as-needed" treatment for episodic heartburn relief in patients with Non-Erosive GERD, a dosing regimen not approved in the United States for proton pump inhibitors, or PPIs. This trial would constitute our fourth Phase 3 trial for vonoprazan. In February 2022, we reported positive topline results from PHALCON-NERD-201, a Phase 2 proof-of-concept study evaluating this novel dosing regimen. We plan to expand the clinical development of vonoprazan in the U.S. into eosinophilic esophagitis, or EoE, the most common type of eosinophilic gastrointestinal disease. Given the limited treatment options for EoE and vonoprazan’s demonstrated potential, we believe EoE is an important indication for future study and expect to initiate a Phase 2 trial evaluating vonoprazan as a treatment for EoE in adult and adolescent patients later in 2024.</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Our commercial launch continues to build momentum and demonstrate strong physician and patient demand. As of April 26, 2024, over 43,000 prescriptions for VOQUEZNA tablets, VOQUEZNA Triple Pak, and VOQUEZNA Dual Pak have been written and over 17,500 prescriptions have been filled since launch. These prescriptions were written by more than 3,800 unique prescribers. In addition, due to increasing commercial demand, we continue to make progress in securing broad commercial coverage for VOQUEZNA. As of April 26, 2024, approximately 72 million, or an estimated 48 percent, of U.S. commercial lives now have access to VOQUEZNA tablets.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are independently commercializing VOQUEZNA, VOQUEZNA TRIPLE PAK, and VOQUEZNA DUAL PAK in the United States. We plan to evaluate commercial partnerships for vonoprazan in Europe and Canada, expand development of vonoprazan into other indications, dosing regimens and alternative formulations and packaging, and in-license or acquire additional clinical or commercial stage product candidates for the treatment of GI diseases in a capital efficient manner.</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commenced our operations in 2018 and have devoted substantially all of our resources to date to organizing and staffing our company, business planning, raising capital, in-licensing our initial and approved product candidate, vonoprazan, meeting with regulatory authorities, managing our clinical trials of vonoprazan, preparing for commercialization of our initial products containing vonoprazan, commercial launch of our approved products,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March 31, 2024, we sold 26,041,380 shares of our common stock, generating net proceeds of approximately $421.5 million, after deducting underwriting discounts, commissions and offering costs. As of March 31, 2024, we had cash and cash equivalents of $322.2 million. Based on our current operating plan, we believe that our existing cash and cash equivalents together with the drawdown of the remaining $150 million under our Loan Agreement with Hercules together with anticipated product revenues, are sufficient to fund operations for at least the next twelve months and will be sufficient to fund our operations through the end of 2026.</w:t>
      </w:r>
    </w:p>
    <w:p>
      <w:pPr>
        <w:pStyle w:val="TextBody"/>
        <w:bidi w:val="0"/>
        <w:spacing w:before="200" w:after="283"/>
        <w:jc w:val="left"/>
        <w:rPr>
          <w:rFonts w:ascii="Times New Roman" w:hAnsi="Times New Roman"/>
          <w:sz w:val="20"/>
        </w:rPr>
      </w:pPr>
      <w:r>
        <w:rPr>
          <w:rFonts w:ascii="Calibri;sans-serif" w:hAnsi="Calibri;sans-serif"/>
          <w:color w:val="000000"/>
          <w:sz w:val="20"/>
        </w:rPr>
        <w:t>Since inception, we have incurred significant operating losses. Our net loss was $82.9 million and $37.8 million for the three months ended March 31, 2024 and 2023, respectively. As of March 31, 2024, we had an accumulated deficit of $1.0 billion. We expect to continue to incur operating losses for the foreseeable future. It could be several years, if ever, before VOQUEZNA, VOQUEZNA TRIPLE PAK and VOQUEZNA DUAL PAK or other product candidates, if approved, generate significant revenues to offset these operating losses. As a result, we are uncertain when or if we will achieve profitability and, if so, whether we will be able to sustain it. The net losses we incur may fluctuate significantly from quarter to quarter and year to year.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We have generated limited revenue to date, until such time as we can generate significant revenue from sales of our approved products containing vonoprazan, we expect to finance our cash needs through equity offerings, our Loan Agreement, our Revenue Interest Financing Agreement, additional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ongoing conflicts throughout the world and global economic conditions. Our failure to raise capital or enter into such other arrangements when needed would have a negative impact on our financial condition and could force us to delay, limit, reduce or terminate our product development or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commercialization efforts or grant rights to develop and market product candidates that we would otherwise prefer to develop and market ourselves.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License Agreement with Takeda</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pStyle w:val="TextBody"/>
        <w:bidi w:val="0"/>
        <w:spacing w:before="200" w:after="283"/>
        <w:jc w:val="left"/>
        <w:rPr>
          <w:rFonts w:ascii="Times New Roman" w:hAnsi="Times New Roman"/>
          <w:sz w:val="20"/>
        </w:rPr>
      </w:pPr>
      <w:r>
        <w:rPr>
          <w:rFonts w:ascii="Calibri;sans-serif" w:hAnsi="Calibri;sans-serif"/>
          <w:b/>
          <w:color w:val="000000"/>
          <w:sz w:val="20"/>
        </w:rPr>
        <w:t>Components of Results of Operations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00" w:after="283"/>
        <w:jc w:val="left"/>
        <w:rPr>
          <w:rFonts w:ascii="Times New Roman" w:hAnsi="Times New Roman"/>
          <w:sz w:val="20"/>
        </w:rPr>
      </w:pPr>
      <w:r>
        <w:rPr>
          <w:rFonts w:ascii="Calibri;sans-serif" w:hAnsi="Calibri;sans-serif"/>
          <w:color w:val="000000"/>
          <w:sz w:val="20"/>
        </w:rPr>
        <w:t>We began to recognize revenue from product sales, net of rebates, chargebacks, discounts, and other adjustments, in November 2023 in conjunction with the commercial launch of VOQUEZNA, VOQUEZNA TRIPLE PAK, and VOQUEZNA DUAL PAK in the United States.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00" w:after="283"/>
        <w:jc w:val="left"/>
        <w:rPr>
          <w:rFonts w:ascii="Times New Roman" w:hAnsi="Times New Roman"/>
          <w:sz w:val="20"/>
        </w:rPr>
      </w:pPr>
      <w:r>
        <w:rPr>
          <w:rFonts w:ascii="Calibri;sans-serif" w:hAnsi="Calibri;sans-serif"/>
          <w:color w:val="000000"/>
          <w:sz w:val="20"/>
        </w:rPr>
        <w:t>Cost of revenue includes the cost of producing and distributing inventories that are related to product sales. This also includes royalties payable to Takeda, pursuant to the Takeda License Agreement (Refer to Note 4 for further details). In addition, shipping and handling costs for product sales are recorded as incurred. Finally, cost of revenue may also include costs related to excess or obsolete inventory adjustment charges.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Research and Development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Research and development expenses include:</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salaries, payroll taxes, employee benefits, and stock-based compensation charges for those individuals involved in research and development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external research and development expenses incurred under agreements with CROs, and consultants to conduct and support our ongoing clinical trials of vonoprazan; and</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 xml:space="preserve">costs related to the manufacturing of vonoprazan for our clinical trials.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plan to invest in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200" w:after="283"/>
        <w:jc w:val="left"/>
        <w:rPr>
          <w:rFonts w:ascii="Times New Roman" w:hAnsi="Times New Roman"/>
          <w:sz w:val="20"/>
        </w:rPr>
      </w:pPr>
      <w:r>
        <w:rPr>
          <w:rFonts w:ascii="Calibri;sans-serif" w:hAnsi="Calibri;sans-serif"/>
          <w:color w:val="000000"/>
          <w:sz w:val="20"/>
        </w:rPr>
        <w:t>Our future clinical development costs may vary significantly based on factors such as:</w:t>
      </w:r>
      <w:r>
        <w:rPr>
          <w:rFonts w:ascii="Times New Roman" w:hAnsi="Times New Roman"/>
          <w:color w:val="000000"/>
          <w:sz w:val="2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per patient trial costs;</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number of trials required for approval;</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number of sites included in the trials;</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countries in which the trials are conducted;</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length of time required to enroll eligible patients;</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number of patients that participate in the trials;</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number of doses evaluated in the trials;</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drop-out or discontinuation rates of patients;</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potential additional safety monitoring requested by regulatory agencies;</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duration of patient participation in the trials and follow-up;</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 xml:space="preserve">the phase of development of the product candidate; and </w:t>
      </w:r>
    </w:p>
    <w:p>
      <w:pPr>
        <w:pStyle w:val="TextBody"/>
        <w:bidi w:val="0"/>
        <w:spacing w:before="200" w:after="283"/>
        <w:jc w:val="left"/>
        <w:rPr>
          <w:color w:val="000000"/>
        </w:rPr>
      </w:pPr>
      <w:r>
        <w:rPr>
          <w:color w:val="000000"/>
        </w:rPr>
        <w: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efficacy and safety profile of the product candidate.</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Selling, General and Administrative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Selling, general and administrative expenses consist of salaries and employee-related costs, including stock-based compensation, for personnel in commercial, executive, finance, accounting, legal, human resources and other administrative functions, legal fees relating to intellectual property and corporate matters, and professional fees for accounting and consulting services. We anticipate that our selling, general and administrative expenses will increase in the future to support our commercialization activities and research and development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Interest Income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Interest income consists of interest on our money market funds.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Interest Expense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Beginning on May 3, 2022, interest expense includes interest on the Revenue Interest Financing Agreement, which is based on the imputed effective rate derived from expected future payments and the carrying value of the obligation. We recalculate the effective interest rate each period based on the current carrying value and the revised estimated future payments. Changes in future payments from previous estimates are included in current and future financing expense.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Beginning on December 14, 2023, interest expense under the Hercules Loan consists of (i) cash interest at a variable annual rate equal to the greater of (a) 9.85% and (b) the Prime Rate (as reported in the Wall Street Journal) plus 1.35% and provided that the cash interest rate shall be capped at 10.35% and upon Company achieving the certain milestones, the cash interest shall be decreased by 0.35%, (ii) payment-in-kind interest at a per annum rate of interest equal to 2.15%, and (iii) amortization of the Hercules Loan Agreement debt discount recorded in connection with the fair value of warrants issued to the lenders, the debt issuance costs incurred, and the obligation to make a final payment.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From September 17, 2021 through December 13, 2023, interest expense under the Hercules Loan consisted of (i) cash interest at a variable annual rate equal to the greater of (a) 5.50% and (b) the Prime Rate (as reported in the Wall Street Journal) plus 2.25% or the Interest Rate, (ii) payment-in-kind interest at a per annum rate of interest equal to 3.35%, and (iii) amortization of the Hercules Loan Agreement debt discount recorded in connection with the fair value of warrants issued to the lenders, the debt issuance costs incurred, and the obligation to make a final payment.</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Results of Operations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Comparison of the Three months Ended March 31, 2024 and 2023</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our results of operations for the three months ended March 31, 2024 and 2023 (in thousands):</w:t>
      </w:r>
    </w:p>
    <w:tbl>
      <w:tblPr>
        <w:tblW w:w="6843" w:type="dxa"/>
        <w:jc w:val="left"/>
        <w:tblInd w:w="0" w:type="dxa"/>
        <w:tblLayout w:type="fixed"/>
        <w:tblCellMar>
          <w:top w:w="28" w:type="dxa"/>
          <w:left w:w="28" w:type="dxa"/>
          <w:bottom w:w="28" w:type="dxa"/>
          <w:right w:w="28" w:type="dxa"/>
        </w:tblCellMar>
      </w:tblPr>
      <w:tblGrid>
        <w:gridCol w:w="2921"/>
        <w:gridCol w:w="146"/>
        <w:gridCol w:w="211"/>
        <w:gridCol w:w="736"/>
        <w:gridCol w:w="166"/>
        <w:gridCol w:w="146"/>
        <w:gridCol w:w="211"/>
        <w:gridCol w:w="736"/>
        <w:gridCol w:w="166"/>
        <w:gridCol w:w="146"/>
        <w:gridCol w:w="211"/>
        <w:gridCol w:w="736"/>
        <w:gridCol w:w="31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1,912</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1,486</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(2,049</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62,010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43,412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41,363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(69,954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(39,877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2,853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(17,168</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(9,217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(7,951</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(5,161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(37,814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(45,038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Revenue. </w:t>
      </w:r>
      <w:r>
        <w:rPr>
          <w:rFonts w:ascii="Calibri;sans-serif" w:hAnsi="Calibri;sans-serif"/>
          <w:color w:val="000000"/>
          <w:sz w:val="20"/>
        </w:rPr>
        <w:t>Product revenues were $1.9 million for the three months ended March 31, 2024 related to sales of VOQUEZNA which was launched in the fourth quarter of 2023.</w:t>
      </w:r>
    </w:p>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Cost of Revenue. </w:t>
      </w:r>
      <w:r>
        <w:rPr>
          <w:rFonts w:ascii="Calibri;sans-serif" w:hAnsi="Calibri;sans-serif"/>
          <w:color w:val="000000"/>
          <w:sz w:val="20"/>
        </w:rPr>
        <w:t>Cost of revenue was $0.4 million for the three months ended March 31, 2024.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three months ended March 31, 2024. These previously expensed costs were not material.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i/>
          <w:color w:val="000000"/>
          <w:sz w:val="20"/>
        </w:rPr>
        <w:t>Research and Development Expenses.</w:t>
      </w:r>
      <w:r>
        <w:rPr>
          <w:rFonts w:ascii="Times New Roman" w:hAnsi="Times New Roman"/>
          <w:color w:val="000000"/>
          <w:sz w:val="20"/>
        </w:rPr>
        <w:t xml:space="preserve"> </w:t>
      </w:r>
      <w:r>
        <w:rPr>
          <w:rFonts w:ascii="Calibri;sans-serif" w:hAnsi="Calibri;sans-serif"/>
          <w:color w:val="000000"/>
          <w:sz w:val="20"/>
        </w:rPr>
        <w:t>Research and development expenses were $9.4 million and $11.5 million for the three months ended March 31, 2024 and 2023, respectively. The decrease of $2.1 million consisted of a reduction of $1.1 million of clinical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study related expenses due to the wrapping up of our PHALCON-NERD-301 study, $0.7 million of chemistry manufacturing and controls, or CMC, costs related to vonoprazan and $0.6 million related to personnel-related expenses primarily for stock-based compensation and other research expenses, partially offset by an increase of $0.3 million of regulatory expenses.</w:t>
      </w:r>
    </w:p>
    <w:p>
      <w:pPr>
        <w:pStyle w:val="TextBody"/>
        <w:bidi w:val="0"/>
        <w:spacing w:before="200" w:after="283"/>
        <w:jc w:val="left"/>
        <w:rPr>
          <w:rFonts w:ascii="Times New Roman" w:hAnsi="Times New Roman"/>
          <w:sz w:val="20"/>
        </w:rPr>
      </w:pPr>
      <w:r>
        <w:rPr>
          <w:rFonts w:ascii="Calibri;sans-serif" w:hAnsi="Calibri;sans-serif"/>
          <w:i/>
          <w:color w:val="000000"/>
          <w:sz w:val="20"/>
        </w:rPr>
        <w:t>Selling, General and Administrative Expenses.</w:t>
      </w:r>
      <w:r>
        <w:rPr>
          <w:rFonts w:ascii="Times New Roman" w:hAnsi="Times New Roman"/>
          <w:color w:val="000000"/>
          <w:sz w:val="20"/>
        </w:rPr>
        <w:t xml:space="preserve"> </w:t>
      </w:r>
      <w:r>
        <w:rPr>
          <w:rFonts w:ascii="Calibri;sans-serif" w:hAnsi="Calibri;sans-serif"/>
          <w:color w:val="000000"/>
          <w:sz w:val="20"/>
        </w:rPr>
        <w:t>Selling, general and administrative expenses were $62.0 million and $18.6 million for the three months ended March 31, 2024 and 2023, respectively. The increase of $43.4 million was due to increases of $22.3 million primarily for selling and promotional activities in support of our commercial launch of VOQUEZNA products, $20.5 million in personnel-related expenses, $0.3 million in consulting expense and $0.3 million of legal expense.</w:t>
      </w:r>
    </w:p>
    <w:p>
      <w:pPr>
        <w:pStyle w:val="TextBody"/>
        <w:bidi w:val="0"/>
        <w:spacing w:before="200" w:after="283"/>
        <w:jc w:val="left"/>
        <w:rPr>
          <w:rFonts w:ascii="Times New Roman" w:hAnsi="Times New Roman"/>
          <w:sz w:val="20"/>
        </w:rPr>
      </w:pPr>
      <w:r>
        <w:rPr>
          <w:rFonts w:ascii="Calibri;sans-serif" w:hAnsi="Calibri;sans-serif"/>
          <w:i/>
          <w:color w:val="000000"/>
          <w:sz w:val="20"/>
        </w:rPr>
        <w:t>Other Income (Expense).</w:t>
      </w:r>
      <w:r>
        <w:rPr>
          <w:rFonts w:ascii="Times New Roman" w:hAnsi="Times New Roman"/>
          <w:color w:val="000000"/>
          <w:sz w:val="20"/>
        </w:rPr>
        <w:t xml:space="preserve"> </w:t>
      </w:r>
      <w:r>
        <w:rPr>
          <w:rFonts w:ascii="Calibri;sans-serif" w:hAnsi="Calibri;sans-serif"/>
          <w:color w:val="000000"/>
          <w:sz w:val="20"/>
        </w:rPr>
        <w:t>Other expense of $12.9 million for the three months ended March 31, 2024 consisted of $17.2 million of interest expense under the Hercules Loan Agreement and Revenue Interest Financing Agreement, partially offset by $4.3 million of interest income related to cash held in money market funds. Other expense of $7.7 million for the three months ended March 31, 2023 consisted of $9.2 million of interest expense under the Hercules Loan Agreement and Revenue Interest Financing Agreement, partially offset by $1.5 million of interest income related to cash held in money market funds. Interest expense increased due to higher Hercules debt balance as well as a higher liability related to our Revenue Interest Financing Agreement versus the prior period, partially offset by higher interest income due to our increased cash position.</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have incurred net losses and negative cash flows from operations since our inception and anticipate we will continue to incur net losses for the foreseeable future. As of March 31, 2024, we had cash and cash equivalents of $322.2 million.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Loan Agreement with Hercules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September 17, 2021, or the Closing Date, we entered into a Loan and Security Agreement, as amended, the Loan Agreement, with Hercules Capital, Inc. (in such capacity, the Agent or Hercules), as administrative agent and collateral agent and as a lender and the other financial institutions that from time to time become parties to the Loan Agreement as lenders (collectively, the Lenders).</w:t>
      </w:r>
    </w:p>
    <w:p>
      <w:pPr>
        <w:pStyle w:val="TextBody"/>
        <w:bidi w:val="0"/>
        <w:spacing w:before="200" w:after="283"/>
        <w:jc w:val="left"/>
        <w:rPr>
          <w:rFonts w:ascii="Times New Roman" w:hAnsi="Times New Roman"/>
          <w:sz w:val="20"/>
        </w:rPr>
      </w:pPr>
      <w:r>
        <w:rPr>
          <w:rFonts w:ascii="Calibri;sans-serif" w:hAnsi="Calibri;sans-serif"/>
          <w:color w:val="000000"/>
          <w:sz w:val="20"/>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to us in May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0"/>
        </w:rPr>
        <w:t>On September 27, 2022, we entered into an amendment to the Loan Agreement, or the Second Loan Amendment, pursuant to which the date the second tranche of funding of $50 million will remain available to us has been moved until May 15, 2023, rather than December 15, 2022.</w:t>
      </w:r>
      <w:r>
        <w:rPr>
          <w:rFonts w:ascii="Times New Roman" w:hAnsi="Times New Roman"/>
          <w:color w:val="000000"/>
          <w:sz w:val="20"/>
        </w:rPr>
        <w:t xml:space="preserve"> </w:t>
      </w:r>
    </w:p>
    <w:p>
      <w:pPr>
        <w:pStyle w:val="TextBody"/>
        <w:bidi w:val="0"/>
        <w:spacing w:before="200" w:after="120"/>
        <w:jc w:val="left"/>
        <w:rPr>
          <w:rFonts w:ascii="Calibri;sans-serif" w:hAnsi="Calibri;sans-serif"/>
          <w:color w:val="000000"/>
          <w:sz w:val="20"/>
        </w:rPr>
      </w:pPr>
      <w:r>
        <w:rPr>
          <w:rFonts w:ascii="Calibri;sans-serif" w:hAnsi="Calibri;sans-serif"/>
          <w:color w:val="000000"/>
          <w:sz w:val="20"/>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pStyle w:val="TextBody"/>
        <w:bidi w:val="0"/>
        <w:spacing w:before="200" w:after="283"/>
        <w:jc w:val="left"/>
        <w:rPr>
          <w:rFonts w:ascii="Times New Roman" w:hAnsi="Times New Roman"/>
          <w:sz w:val="20"/>
        </w:rPr>
      </w:pPr>
      <w:r>
        <w:rPr>
          <w:rFonts w:ascii="Calibri;sans-serif" w:hAnsi="Calibri;sans-serif"/>
          <w:color w:val="000000"/>
          <w:sz w:val="20"/>
        </w:rPr>
        <w:t>On December 14, 2023, we entered into a Fourth Amendment to Loan and Security Agreement, or the Fourth Loan Amendment, with the lenders, pursuant to which, among other things, (i) increases the aggregate principal amount of the term loans from $200 million to $300 million; (ii) provides for the possibility of accessing the $200 million commitment through five additional tranches referred to as tranches 2 through 6, which are available subject to certain milestones and conditions: (a) Tranche 2: $50 million, $40 million of which was funded on December 14, 2023, available through March 15, 2024, (b) Tranche 3: $25 million available through June 15, 2024, (c) Tranche 4: $25 million available through December 15, 2024, (d) Tranche 5: $50 million available, subject to the achievement of a specified revenue milestone, through June 30, 2025, and (e) Tranche 6: $50 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available, subject to the achievement of a specified revenue milestone, through December 31, 2025; (iii) extends the interest only period and the maturity date from October 2026 to December 2027, (iv) reduces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us achieving the certain milestones, the cash interest shall be decreased by 0.35%, and (v) decreases the payment-in-kind interest rate from 3.35% per annum to 2.15% per annum. In connection with the Fourth Loan Amendment, an amendment fee of $250,000 was paid to the Agent and was recorded as a debt discount and being amortized to interest expense using the effective interest method over the remaining term of the Term Loan.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March 15, 2024, we drew down the remaining $10 million available of the Second Tranche.</w:t>
      </w:r>
    </w:p>
    <w:p>
      <w:pPr>
        <w:pStyle w:val="TextBody"/>
        <w:bidi w:val="0"/>
        <w:spacing w:before="200" w:after="283"/>
        <w:jc w:val="left"/>
        <w:rPr>
          <w:rFonts w:ascii="Times New Roman" w:hAnsi="Times New Roman"/>
          <w:sz w:val="20"/>
        </w:rPr>
      </w:pPr>
      <w:r>
        <w:rPr>
          <w:rFonts w:ascii="Calibri;sans-serif" w:hAnsi="Calibri;sans-serif"/>
          <w:color w:val="000000"/>
          <w:sz w:val="20"/>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 only through the Maturity Date. After the interest-only period, the principal balance and related interest will be required to be repaid in full on the Maturity Date.</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 addition, we are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March 31, 2024, the aggregate final payment fee for the first Term Loan Advance of $7.5 million and $2.2 million for the second Term Loan Advance, and have both been recorded within other long-term liabilities.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Fourth Loan Amendment, we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pStyle w:val="TextBody"/>
        <w:bidi w:val="0"/>
        <w:spacing w:before="120" w:after="283"/>
        <w:jc w:val="left"/>
        <w:rPr>
          <w:rFonts w:ascii="Calibri" w:hAnsi="Calibri"/>
          <w:color w:val="000000"/>
          <w:sz w:val="20"/>
        </w:rPr>
      </w:pPr>
      <w:r>
        <w:rPr>
          <w:rFonts w:ascii="Calibri" w:hAnsi="Calibri"/>
          <w:color w:val="000000"/>
          <w:sz w:val="20"/>
        </w:rPr>
        <w:t>(i)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Minimum cash covenant - We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 </w:t>
      </w:r>
    </w:p>
    <w:p>
      <w:pPr>
        <w:pStyle w:val="TextBody"/>
        <w:bidi w:val="0"/>
        <w:spacing w:before="120" w:after="283"/>
        <w:jc w:val="left"/>
        <w:rPr>
          <w:rFonts w:ascii="Calibri" w:hAnsi="Calibri"/>
          <w:color w:val="000000"/>
          <w:sz w:val="20"/>
        </w:rPr>
      </w:pPr>
      <w:r>
        <w:rPr>
          <w:rFonts w:ascii="Calibri" w:hAnsi="Calibri"/>
          <w:color w:val="000000"/>
          <w:sz w:val="20"/>
        </w:rPr>
        <w:t>(ii)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Performance covenant - Beginning September 30, 2024 and all times thereafter we must satisfy any one of the following:</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Market capitalization exceeding $900 million;</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Minimum cash balance exceeding (x) outstanding principal amount of term loans, multiplied by (y) (A) 50%, prior to achieving trailing three months net product revenue of greater than $35 million, and (B) 35% thereafter; or</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Trailing three months net product revenue of at least (x) 30% of agreed upon projected net revenues for periods in the calendar year 2024 and 25% for all periods thereafter or (y) $120 million.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subject to any specified cure periods, all amounts owed by us may be declared immediately due and payable by Hercules, as collateral agent. As of March 31, 2024, we were in compliance with all applicable covenants under the Loan Agreement.</w:t>
      </w:r>
    </w:p>
    <w:p>
      <w:pPr>
        <w:pStyle w:val="TextBody"/>
        <w:bidi w:val="0"/>
        <w:spacing w:before="200" w:after="283"/>
        <w:jc w:val="left"/>
        <w:rPr>
          <w:rFonts w:ascii="Times New Roman" w:hAnsi="Times New Roman"/>
          <w:sz w:val="20"/>
        </w:rPr>
      </w:pPr>
      <w:r>
        <w:rPr>
          <w:rFonts w:ascii="Calibri;sans-serif" w:hAnsi="Calibri;sans-serif"/>
          <w:color w:val="000000"/>
          <w:sz w:val="20"/>
        </w:rPr>
        <w:t>As collateral for the obligations, we granted Hercules a senior security interest in all of our right, title, and interest in, to and under substantially all of our property, inclusive of intellectual property.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entry into the Loan Agreement, we issued to Hercules a warrant, or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is exercisable for a period of seven years from the date of issuance at a per-share exercise price equal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to $33.43, which was the closing price of our common stock on September 16, 2021. In connection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connection with the entry into the Fourth Amendment, we eliminated the warrant agreement for all future tranches. The Warrant issued with the initial tranche was not modified as part of this amendment. The exercise price and terms of the outstanding Warrant remain unchanged.</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initial $1.3 million fair value of the Warrant, the $9.7 million final interest payment fees and $3.5 million of debt issuance costs have been recorded as debt discount and are being amortized to interest expense using the effective interest method over the term of the Term Loan.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Interest Financing Agreement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3, 2022, we entered into a Revenue Interest Financing Agreement, or the Revenue Interest Financing Agreement, with entities managed or advised by NovaQuest Capital Management, or NQ, Sagard Holdings Manager LP, or Sagard, and Hercules Capital, Inc., or Hercules, together with NQ and Sagard, or the Initial Investors, pursuant to which we could receive up to $260 million in funding from the Initial Investors. Under the terms of the Revenue Interest Financing Agreement, we received $100 million at the initial closing and received an additional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Capital, Inc.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provides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The total amount funded by the Initial Investors and any subsequent investors is referred to herein as the Investment Amount.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Revenue Interest Financing Agreement, the Initial Investors and the Additional Investor, are entitled to receive a 10% royalty on net sales of products containing vonoprazan. The royalty rate is subject to a step-down on net sales exceeding certain annual thresholds and if we receive FDA approval for vonoprazan for an indication relating to the treatment of heartburn associated with Non-Erosive GERD. The investors’ right to receive royalties on net sales will terminate when the investors have aggregate payments equal to 200% of the Investment Amount. In addition, at any time after the earlier of (i) April 30, 2024 and (ii) the date that the payment for Erosive GERD regulatory approval is made, we have the right to make a cap payment equal to 200% of the Investment Amount less any royalties already paid, at which time the agreement will terminate.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pStyle w:val="TextBody"/>
        <w:bidi w:val="0"/>
        <w:spacing w:before="200" w:after="283"/>
        <w:jc w:val="left"/>
        <w:rPr>
          <w:rFonts w:ascii="Times New Roman" w:hAnsi="Times New Roman"/>
          <w:sz w:val="20"/>
        </w:rPr>
      </w:pPr>
      <w:r>
        <w:rPr>
          <w:rFonts w:ascii="Calibri;sans-serif" w:hAnsi="Calibri;sans-serif"/>
          <w:color w:val="000000"/>
          <w:sz w:val="20"/>
        </w:rPr>
        <w:t>Upon the occurrence of an event of default taking place prior to April 1, 2025, between April 1, 2025 and April 1, 2028, and after April 1, 2028, we are obligated to pay 1.30 times Investment Amount, 1.65 times Investment Amount, and 2.0 times investment amount, respectively, less any amounts we previously paid pursuant to the agreement.</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At-the-Market-Offerings</w:t>
      </w:r>
    </w:p>
    <w:p>
      <w:pPr>
        <w:pStyle w:val="TextBody"/>
        <w:bidi w:val="0"/>
        <w:spacing w:before="200" w:after="283"/>
        <w:jc w:val="left"/>
        <w:rPr>
          <w:rFonts w:ascii="Times New Roman" w:hAnsi="Times New Roman"/>
          <w:sz w:val="20"/>
        </w:rPr>
      </w:pPr>
      <w:r>
        <w:rPr>
          <w:rFonts w:ascii="Calibri;sans-serif" w:hAnsi="Calibri;sans-serif"/>
          <w:color w:val="000000"/>
          <w:sz w:val="20"/>
        </w:rPr>
        <w:t>On November 10, 2020, we entered into an Open Market Sale Agreement</w:t>
      </w:r>
      <w:r>
        <w:rPr>
          <w:rFonts w:ascii="Calibri;sans-serif" w:hAnsi="Calibri;sans-serif"/>
          <w:color w:val="000000"/>
          <w:sz w:val="13"/>
        </w:rPr>
        <w:t>SM</w:t>
      </w:r>
      <w:r>
        <w:rPr>
          <w:rFonts w:ascii="Calibri;sans-serif" w:hAnsi="Calibri;sans-serif"/>
          <w:color w:val="000000"/>
          <w:sz w:val="20"/>
        </w:rPr>
        <w:t>, or the Sales Agreement, with Jefferies LLC, or the Sales Agent, under which we may, from time to time, sell shares of our common stock having an aggregate offering price of up to an amount registered under an effective registration statement through the Sales Agent. Sales of our common stock made pursuant to the Sales Agreement, if any, were initially made under a shelf registration statement on Form S-3 which was filed on November 10, 2020 and declared effective by the SEC on November 16, 2020, which included an at-the-market prospectus pursuant to which we were able to sell shares of the Company's common stock having an aggregate offering price of up to $125 million, or the 2020 ATM Offering. In November 2023, we filed a shelf registration statement on Form S-3 which was filed on November 9, 2023 and declared effective by the SEC on November 17, 2023, which included an at-the-market prospectus pursuant to which we may, from time to time, sell shares of our common stock having an aggregate offering price of up to $150 million through the Sales Agent, or the 2023 ATM Offering. We are not obligated to, and we cannot provide any assurances that we will, make any sales of the shares under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Sales Agreement. The Sales Agreement may be terminated by the Sales Agent or us at any time. For the year ended December 31, 2023, we sold 1,514,219 shares for net proceeds of approximately $14.1 million after deducting $0.4 million of issuance costs. We sold $39.9 million of the $125 million of shares available under the 2020 ATM Offering. As of March 31, 2024, all of the available $150 million under the 2023 ATM Offering remains available.</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Underwritten Public Offerings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23, 2023, we completed an underwritten public offering, in which we sold 12,793,750 shares of our common stock, which included the exercise in full by the underwriters of their option to purchase 1,668,750 shares, at a price of $11.75 per share for total gross proceeds of $150.3 million. The net purchase price after deducting underwriting discounts and commissions was $11.08 per share, which generated net proceeds of $141.8 million. We incurred an additional $0.4 million of offering expenses in connection with this public offering.</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Funding Requirements</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Based on our current operating plan, we believe that our existing cash and cash equivalents together with the drawdown of the remaining $150 million under our Loan Agreement with Hercules together with anticipated product revenues, are sufficient to fund operations for at least the next twelve months and will be sufficient to fund our operations through the end of 2026. We expect such amounts will allow us to complete our ongoing Phase 3 clinical trial studying vonoprazan for Non-Erosive GERD (daily dosing), and commercial activities for VOQUEZNA for </w:t>
      </w:r>
      <w:r>
        <w:rPr>
          <w:rFonts w:ascii="Calibri;sans-serif" w:hAnsi="Calibri;sans-serif"/>
          <w:i/>
          <w:color w:val="000000"/>
          <w:sz w:val="20"/>
        </w:rPr>
        <w:t xml:space="preserve">H. pylori </w:t>
      </w:r>
      <w:r>
        <w:rPr>
          <w:rFonts w:ascii="Calibri;sans-serif" w:hAnsi="Calibri;sans-serif"/>
          <w:color w:val="000000"/>
          <w:sz w:val="20"/>
        </w:rPr>
        <w:t>and Erosive GERD.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pStyle w:val="TextBody"/>
        <w:bidi w:val="0"/>
        <w:spacing w:before="200" w:after="283"/>
        <w:jc w:val="left"/>
        <w:rPr>
          <w:rFonts w:ascii="Times New Roman" w:hAnsi="Times New Roman"/>
          <w:sz w:val="20"/>
        </w:rPr>
      </w:pPr>
      <w:r>
        <w:rPr>
          <w:rFonts w:ascii="Calibri;sans-serif" w:hAnsi="Calibri;sans-serif"/>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initiation, type, number, scope, results, costs and timing of our clinical trials of vonoprazan, and preclinical studies or clinical trials of other potential product candidates we may choose to pursue in the future, including feedback received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and timing of manufacturing for vonoprazan or any future product candidates, including commercial scale manufacturing for any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timing and outcome of regulatory review of future vonoprazan applications or such applications for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of obtaining, maintaining and enforcing our patents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costs associated with hiring additional personnel and consultants as our business grows;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timing and amount of the milestone or other payments we must make to Takeda and any future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and timing of establishing or securing sales and marketing capabilities for vonoprazan or any future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our ability to achieve sufficient market acceptance, coverage and adequate reimbursement from third-party payers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patients’ willingness to pay out-of-pocket for any approved products in the absence of coverage and/or adequate reimbursement from third-party payers;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terms and timing of establishing and maintaining collaborations, licenses and other similar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costs associated with any products or technologies that we may in-license or acquire.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Until such time, if ever, as we can generate substantial product revenues to support our cost structure, we expect to finance our cash needs through equity offerings, the Loan Agreement, the Revenue Interest Financing Agreement,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 Based on our current operating plan, we believe that our existing cash and cash equivalents together with the drawdown of the remaining $150 million under our Loan Agreement with Hercules together with anticipated product revenues, are sufficient to fund operations for at least the next twelve months and will be sufficient to fund our operations through the end of 2026.</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Cash Flows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sets forth a summary of the net cash flow activity for each of the periods indicated (in thousands):</w:t>
      </w:r>
    </w:p>
    <w:tbl>
      <w:tblPr>
        <w:tblW w:w="6588" w:type="dxa"/>
        <w:jc w:val="left"/>
        <w:tblInd w:w="0" w:type="dxa"/>
        <w:tblLayout w:type="fixed"/>
        <w:tblCellMar>
          <w:top w:w="28" w:type="dxa"/>
          <w:left w:w="28" w:type="dxa"/>
          <w:bottom w:w="28" w:type="dxa"/>
          <w:right w:w="28" w:type="dxa"/>
        </w:tblCellMar>
      </w:tblPr>
      <w:tblGrid>
        <w:gridCol w:w="2566"/>
        <w:gridCol w:w="146"/>
        <w:gridCol w:w="211"/>
        <w:gridCol w:w="736"/>
        <w:gridCol w:w="166"/>
        <w:gridCol w:w="146"/>
        <w:gridCol w:w="211"/>
        <w:gridCol w:w="736"/>
        <w:gridCol w:w="166"/>
        <w:gridCol w:w="146"/>
        <w:gridCol w:w="211"/>
        <w:gridCol w:w="736"/>
        <w:gridCol w:w="4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 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(69,020</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(39,669</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(29,351</w:t>
            </w:r>
          </w:p>
        </w:tc>
        <w:tc>
          <w:tcPr>
            <w:tcW w:w="41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5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5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(33,349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Operating Activities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Net cash used in operating activities was approximately $69.0 million and $39.7 million for the three months ended March 31, 2024 and 2023, respectively. The net cash used in operating activities for the three months ended March 31, 2024 was due to approximately $61.9 million spent on ongoing research and development and selling, general and administrative activities and a $7.1 million net change in operating assets and liabilities. The net change in operating assets and liabilities primarily related to a $4.8 million decrease in accounts payable and accrued expenses (including interest, operating lease assets and liabilities), and a $2.3 million net increase in accounts receivable, inventory, and prepaid assets and other current assets in support of our growth and launch of our first commercial products. The net cash used in operating activities for the three months ended March 31, 2023 was due to approximately $23.3 million spent on ongoing research and development and general and administrative activities and a $16.4 million net change in operating assets and liabilities. The net change in operating assets and liabilities primarily related to a $11.3 million decrease in accounts payable and accrued expenses (including interest, operating lease assets and liabilities), and a $5.1 million increase in prepaid assets and other current assets.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 xml:space="preserve">Investing Activities </w:t>
      </w:r>
    </w:p>
    <w:p>
      <w:pPr>
        <w:pStyle w:val="TextBody"/>
        <w:bidi w:val="0"/>
        <w:spacing w:before="200" w:after="283"/>
        <w:jc w:val="left"/>
        <w:rPr>
          <w:rFonts w:ascii="Times New Roman" w:hAnsi="Times New Roman"/>
          <w:sz w:val="20"/>
        </w:rPr>
      </w:pPr>
      <w:r>
        <w:rPr>
          <w:rFonts w:ascii="Calibri;sans-serif" w:hAnsi="Calibri;sans-serif"/>
          <w:color w:val="000000"/>
          <w:sz w:val="20"/>
        </w:rPr>
        <w:t>Net cash used in investing activities for the three months ended March 31, 2024 and 2023, was related to payments for acquiring property, plant and equipment.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 xml:space="preserve">Financing Activities </w:t>
      </w:r>
    </w:p>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Net cash provided by financing activities for the three months ended March 31, 2024 was $9.9 million related to net proceeds from the issuance of debt under our Hercules Loan Agreement. Net cash provided by financing activities for the three months ended March 31, 2023 was $14.1 million related to activity from the sale of our common stock under the 2020 ATM Offering.</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Contractual Obligations and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There were no material changes outside the ordinary course of our business during the three months ended March 31, 2024 to the information regarding our contractual obligations that was disclosed in Management’s Discussion and Analysis of Financial Condition and Results of Operations contained in our 2023 Form 10-K.</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Critical Accounting Policies and Significant Judgments and Estimates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For a description of our critical accounting policies, please see the section entitled “Management’s Discussion and Analysis of Financial Condition and Results of Operations — Critical Accounting Policies and Significant Judgments and Estimates” contained in our 2023 Form 10-K. There have not been any material changes to the critical accounting policies discussed therein during the three months ended March 31, 2024.</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Other Company Information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JOBS Act</w:t>
      </w:r>
    </w:p>
    <w:p>
      <w:pPr>
        <w:pStyle w:val="TextBody"/>
        <w:bidi w:val="0"/>
        <w:spacing w:before="200" w:after="283"/>
        <w:jc w:val="left"/>
        <w:rPr>
          <w:rFonts w:ascii="Times New Roman" w:hAnsi="Times New Roman"/>
          <w:sz w:val="20"/>
        </w:rPr>
      </w:pPr>
      <w:r>
        <w:rPr>
          <w:rFonts w:ascii="Calibri;sans-serif" w:hAnsi="Calibri;sans-serif"/>
          <w:color w:val="000000"/>
          <w:sz w:val="20"/>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Recent Accounting Pronouncements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information required by this item is included in Note 1, Organization, Basis of Presentation and Summary of Significant Accounting Policies included in Part 1, Item 1 of this quarterly report.</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Off-Balance Sheet Arrangements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During the periods presented we did not have, nor do we currently have, any off-balance sheet arrangements as defined under SEC rules.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color w:val="000000"/>
          <w:sz w:val="20"/>
        </w:rPr>
      </w:pPr>
      <w:bookmarkStart w:id="12" w:name="item_3_quantitative_qualitative_disclosu"/>
      <w:bookmarkEnd w:id="12"/>
      <w:r>
        <w:rPr>
          <w:rFonts w:ascii="Calibri;sans-serif" w:hAnsi="Calibri;sans-serif"/>
          <w:b/>
          <w:color w:val="000000"/>
          <w:sz w:val="20"/>
        </w:rPr>
        <w:t>Item 3. Quantitative and Qualitative Disclosures About Market Risk</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March 31,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2023 Form 10-K.</w:t>
      </w:r>
    </w:p>
    <w:p>
      <w:pPr>
        <w:pStyle w:val="TextBody"/>
        <w:bidi w:val="0"/>
        <w:spacing w:before="200" w:after="283"/>
        <w:jc w:val="left"/>
        <w:rPr>
          <w:rFonts w:ascii="Times New Roman" w:hAnsi="Times New Roman"/>
          <w:sz w:val="20"/>
        </w:rPr>
      </w:pPr>
      <w:bookmarkStart w:id="13" w:name="item_4_controls_procedures"/>
      <w:bookmarkEnd w:id="13"/>
      <w:r>
        <w:rPr>
          <w:rFonts w:ascii="Calibri;sans-serif" w:hAnsi="Calibri;sans-serif"/>
          <w:b/>
          <w:color w:val="000000"/>
          <w:sz w:val="20"/>
        </w:rPr>
        <w:t>Item 4. Controls</w:t>
      </w:r>
      <w:r>
        <w:rPr>
          <w:rFonts w:ascii="Times New Roman" w:hAnsi="Times New Roman"/>
          <w:color w:val="000000"/>
          <w:sz w:val="20"/>
        </w:rPr>
        <w:t xml:space="preserve"> </w:t>
      </w:r>
      <w:r>
        <w:rPr>
          <w:rFonts w:ascii="Calibri;sans-serif" w:hAnsi="Calibri;sans-serif"/>
          <w:b/>
          <w:color w:val="000000"/>
          <w:sz w:val="20"/>
        </w:rPr>
        <w:t>and Procedures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Conclusion Regarding the Effectiveness of Disclosure Controls and Procedures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Changes in Internal Control Over Financial Reporting</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There have been no changes in our internal control over financial reporting during the three months ended March 31,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r_information"/>
      <w:bookmarkEnd w:id="14"/>
      <w:r>
        <w:rPr>
          <w:rFonts w:ascii="Calibri;sans-serif" w:hAnsi="Calibri;sans-serif"/>
          <w:b/>
          <w:color w:val="000000"/>
          <w:sz w:val="20"/>
        </w:rPr>
        <w:t>PART II. OTHER</w:t>
      </w:r>
      <w:r>
        <w:rPr>
          <w:rFonts w:ascii="Times New Roman" w:hAnsi="Times New Roman"/>
          <w:color w:val="000000"/>
          <w:sz w:val="20"/>
        </w:rPr>
        <w:t xml:space="preserve"> </w:t>
      </w:r>
      <w:r>
        <w:rPr>
          <w:rFonts w:ascii="Calibri;sans-serif" w:hAnsi="Calibri;sans-serif"/>
          <w:b/>
          <w:color w:val="000000"/>
          <w:sz w:val="20"/>
        </w:rPr>
        <w:t>INFORMATION</w:t>
      </w:r>
    </w:p>
    <w:p>
      <w:pPr>
        <w:pStyle w:val="TextBody"/>
        <w:bidi w:val="0"/>
        <w:spacing w:before="200" w:after="283"/>
        <w:jc w:val="left"/>
        <w:rPr>
          <w:rFonts w:ascii="Times New Roman" w:hAnsi="Times New Roman"/>
          <w:sz w:val="20"/>
        </w:rPr>
      </w:pPr>
      <w:bookmarkStart w:id="15" w:name="item_1_legal_proceedings"/>
      <w:bookmarkEnd w:id="15"/>
      <w:r>
        <w:rPr>
          <w:rFonts w:ascii="Calibri;sans-serif" w:hAnsi="Calibri;sans-serif"/>
          <w:b/>
          <w:color w:val="000000"/>
          <w:sz w:val="20"/>
        </w:rPr>
        <w:t>Item 1. Legal</w:t>
      </w:r>
      <w:r>
        <w:rPr>
          <w:rFonts w:ascii="Times New Roman" w:hAnsi="Times New Roman"/>
          <w:color w:val="000000"/>
          <w:sz w:val="20"/>
        </w:rPr>
        <w:t xml:space="preserve"> </w:t>
      </w:r>
      <w:r>
        <w:rPr>
          <w:rFonts w:ascii="Calibri;sans-serif" w:hAnsi="Calibri;sans-serif"/>
          <w:b/>
          <w:color w:val="000000"/>
          <w:sz w:val="20"/>
        </w:rPr>
        <w:t>Proceedings</w:t>
      </w:r>
    </w:p>
    <w:p>
      <w:pPr>
        <w:pStyle w:val="TextBody"/>
        <w:bidi w:val="0"/>
        <w:spacing w:before="200" w:after="283"/>
        <w:jc w:val="left"/>
        <w:rPr>
          <w:rFonts w:ascii="Times New Roman" w:hAnsi="Times New Roman"/>
          <w:sz w:val="20"/>
        </w:rPr>
      </w:pPr>
      <w:r>
        <w:rPr>
          <w:rFonts w:ascii="Calibri;sans-serif" w:hAnsi="Calibri;sans-serif"/>
          <w:color w:val="000000"/>
          <w:sz w:val="20"/>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16" w:name="item_1a_risk_factors"/>
      <w:bookmarkEnd w:id="16"/>
      <w:r>
        <w:rPr>
          <w:rFonts w:ascii="Calibri;sans-serif" w:hAnsi="Calibri;sans-serif"/>
          <w:b/>
          <w:color w:val="000000"/>
          <w:sz w:val="20"/>
        </w:rPr>
        <w:t>Item 1A. Risk Factors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There have been no material changes to the risk factors disclosed in Part I, Item 1A, “Risk Factors” of our 2023 Form 10-K.</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bookmarkStart w:id="17" w:name="item_2_unregistered_sales_equity_secur_1"/>
      <w:bookmarkEnd w:id="17"/>
      <w:r>
        <w:rPr>
          <w:rFonts w:ascii="Calibri;sans-serif" w:hAnsi="Calibri;sans-serif"/>
          <w:b/>
          <w:color w:val="000000"/>
          <w:sz w:val="20"/>
        </w:rPr>
        <w:t>Item 2. Unregistered Sales of Equity Securities and Use of Proceeds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Unregistered Sales of Equity Securities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None.</w:t>
      </w:r>
    </w:p>
    <w:p>
      <w:pPr>
        <w:pStyle w:val="TextBody"/>
        <w:bidi w:val="0"/>
        <w:spacing w:before="200" w:after="283"/>
        <w:jc w:val="left"/>
        <w:rPr>
          <w:rFonts w:ascii="Times New Roman" w:hAnsi="Times New Roman"/>
          <w:sz w:val="20"/>
        </w:rPr>
      </w:pPr>
      <w:r>
        <w:rPr>
          <w:rFonts w:ascii="Calibri;sans-serif" w:hAnsi="Calibri;sans-serif"/>
          <w:b/>
          <w:color w:val="000000"/>
          <w:sz w:val="20"/>
        </w:rPr>
        <w:t>Issuer Repurchases of Equity Securities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None.</w:t>
      </w:r>
    </w:p>
    <w:p>
      <w:pPr>
        <w:pStyle w:val="TextBody"/>
        <w:bidi w:val="0"/>
        <w:spacing w:before="200" w:after="283"/>
        <w:jc w:val="left"/>
        <w:rPr>
          <w:rFonts w:ascii="Calibri;sans-serif" w:hAnsi="Calibri;sans-serif"/>
          <w:b/>
          <w:color w:val="000000"/>
          <w:sz w:val="20"/>
        </w:rPr>
      </w:pPr>
      <w:bookmarkStart w:id="18" w:name="item_3_defaults_upon_senior_securities_1"/>
      <w:bookmarkEnd w:id="18"/>
      <w:r>
        <w:rPr>
          <w:rFonts w:ascii="Calibri;sans-serif" w:hAnsi="Calibri;sans-serif"/>
          <w:b/>
          <w:color w:val="000000"/>
          <w:sz w:val="20"/>
        </w:rPr>
        <w:t>Item 3. Defaults Upon Senior Securities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Not Applicable.</w:t>
      </w:r>
    </w:p>
    <w:p>
      <w:pPr>
        <w:pStyle w:val="TextBody"/>
        <w:bidi w:val="0"/>
        <w:spacing w:before="200" w:after="283"/>
        <w:jc w:val="left"/>
        <w:rPr>
          <w:rFonts w:ascii="Calibri;sans-serif" w:hAnsi="Calibri;sans-serif"/>
          <w:b/>
          <w:color w:val="000000"/>
          <w:sz w:val="20"/>
        </w:rPr>
      </w:pPr>
      <w:bookmarkStart w:id="19" w:name="item_4_mine_safety_disclosures_1"/>
      <w:bookmarkEnd w:id="19"/>
      <w:r>
        <w:rPr>
          <w:rFonts w:ascii="Calibri;sans-serif" w:hAnsi="Calibri;sans-serif"/>
          <w:b/>
          <w:color w:val="000000"/>
          <w:sz w:val="20"/>
        </w:rPr>
        <w:t>Item 4. Mine Safety Disclosures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Not Applicable.</w:t>
      </w:r>
    </w:p>
    <w:p>
      <w:pPr>
        <w:pStyle w:val="TextBody"/>
        <w:bidi w:val="0"/>
        <w:spacing w:before="200" w:after="283"/>
        <w:jc w:val="left"/>
        <w:rPr>
          <w:rFonts w:ascii="Times New Roman" w:hAnsi="Times New Roman"/>
          <w:sz w:val="20"/>
        </w:rPr>
      </w:pPr>
      <w:bookmarkStart w:id="20" w:name="item_5_or_information_1"/>
      <w:bookmarkEnd w:id="20"/>
      <w:r>
        <w:rPr>
          <w:rFonts w:ascii="Calibri;sans-serif" w:hAnsi="Calibri;sans-serif"/>
          <w:b/>
          <w:color w:val="000000"/>
          <w:sz w:val="20"/>
        </w:rPr>
        <w:t>Item 5. Other</w:t>
      </w:r>
      <w:r>
        <w:rPr>
          <w:rFonts w:ascii="Times New Roman" w:hAnsi="Times New Roman"/>
          <w:color w:val="000000"/>
          <w:sz w:val="20"/>
        </w:rPr>
        <w:t xml:space="preserve"> </w:t>
      </w:r>
      <w:r>
        <w:rPr>
          <w:rFonts w:ascii="Calibri;sans-serif" w:hAnsi="Calibri;sans-serif"/>
          <w:b/>
          <w:color w:val="000000"/>
          <w:sz w:val="20"/>
        </w:rPr>
        <w:t>Information</w:t>
      </w:r>
    </w:p>
    <w:p>
      <w:pPr>
        <w:pStyle w:val="TextBody"/>
        <w:bidi w:val="0"/>
        <w:spacing w:before="200" w:after="283"/>
        <w:jc w:val="left"/>
        <w:rPr>
          <w:rFonts w:ascii="Times New Roman" w:hAnsi="Times New Roman"/>
          <w:sz w:val="20"/>
        </w:rPr>
      </w:pPr>
      <w:r>
        <w:rPr>
          <w:rFonts w:ascii="Calibri;sans-serif" w:hAnsi="Calibri;sans-serif"/>
          <w:b/>
          <w:color w:val="000000"/>
          <w:sz w:val="20"/>
        </w:rPr>
        <w:t>Director and Officer Trading Arrangements: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Rule 10b5-1 Trading Plans</w:t>
      </w:r>
      <w:r>
        <w:rPr>
          <w:rFonts w:ascii="Times New Roman" w:hAnsi="Times New Roman"/>
          <w:color w:val="000000"/>
          <w:sz w:val="20"/>
        </w:rPr>
        <w:t xml:space="preserve"> </w:t>
      </w:r>
    </w:p>
    <w:p>
      <w:pPr>
        <w:pStyle w:val="TextBody"/>
        <w:bidi w:val="0"/>
        <w:spacing w:before="200" w:after="120"/>
        <w:jc w:val="left"/>
        <w:rPr>
          <w:rFonts w:ascii="Times New Roman" w:hAnsi="Times New Roman"/>
          <w:sz w:val="20"/>
        </w:rPr>
      </w:pPr>
      <w:r>
        <w:rPr>
          <w:rFonts w:ascii="Calibri;sans-serif" w:hAnsi="Calibri;sans-serif"/>
          <w:color w:val="000000"/>
          <w:sz w:val="20"/>
        </w:rPr>
        <w:t>From time to time, our officers (as defined in Rule 16a-1(f) of the Exchange Act) and directors may enter into Rule 10b5-1 or non-Rule 10b5-1 trading arrangements (as each such term is defined in Item 408 of Regulation S-K). During the three months ended March 31, 2024, none of our officers or directors adopted, modified</w:t>
      </w:r>
      <w:r>
        <w:rPr>
          <w:rFonts w:ascii="Times New Roman" w:hAnsi="Times New Roman"/>
          <w:color w:val="000000"/>
          <w:sz w:val="20"/>
        </w:rPr>
        <w:t xml:space="preserve"> </w:t>
      </w:r>
      <w:r>
        <w:rPr>
          <w:rFonts w:ascii="Calibri;sans-serif" w:hAnsi="Calibri;sans-serif"/>
          <w:color w:val="000000"/>
          <w:sz w:val="20"/>
        </w:rPr>
        <w:t>or terminated</w:t>
      </w:r>
      <w:r>
        <w:rPr>
          <w:rFonts w:ascii="Times New Roman" w:hAnsi="Times New Roman"/>
          <w:color w:val="000000"/>
          <w:sz w:val="20"/>
        </w:rPr>
        <w:t xml:space="preserve"> </w:t>
      </w:r>
      <w:r>
        <w:rPr>
          <w:rFonts w:ascii="Calibri;sans-serif" w:hAnsi="Calibri;sans-serif"/>
          <w:color w:val="000000"/>
          <w:sz w:val="20"/>
        </w:rPr>
        <w:t>any such trading arrangements.</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bookmarkStart w:id="21" w:name="item_6_exhibits_1"/>
      <w:bookmarkEnd w:id="21"/>
      <w:r>
        <w:rPr>
          <w:rFonts w:ascii="Calibri;sans-serif" w:hAnsi="Calibri;sans-serif"/>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
        <w:gridCol w:w="146"/>
        <w:gridCol w:w="6112"/>
        <w:gridCol w:w="146"/>
        <w:gridCol w:w="507"/>
        <w:gridCol w:w="146"/>
        <w:gridCol w:w="587"/>
        <w:gridCol w:w="146"/>
        <w:gridCol w:w="706"/>
        <w:gridCol w:w="146"/>
        <w:gridCol w:w="842"/>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92"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w:t>
            </w:r>
          </w:p>
        </w:tc>
      </w:tr>
      <w:tr>
        <w:trPr/>
        <w:tc>
          <w:tcPr>
            <w:tcW w:w="721" w:type="dxa"/>
            <w:tcBorders>
              <w:bottom w:val="single" w:sz="4" w:space="0" w:color="000000"/>
            </w:tcBorders>
            <w:tcMar>
              <w:top w:w="0" w:type="dxa"/>
              <w:left w:w="0" w:type="dxa"/>
              <w:right w:w="0" w:type="dxa"/>
            </w:tcMar>
            <w:vAlign w:val="center"/>
          </w:tcPr>
          <w:p>
            <w:pPr>
              <w:pStyle w:val="TableContents"/>
              <w:bidi w:val="0"/>
              <w:jc w:val="center"/>
              <w:rPr>
                <w:rFonts w:ascii="Calibri;sans-serif" w:hAnsi="Calibri;sans-serif"/>
                <w:b/>
                <w:color w:val="000000"/>
                <w:sz w:val="18"/>
              </w:rPr>
            </w:pPr>
            <w:r>
              <w:rPr>
                <w:rFonts w:ascii="Calibri;sans-serif" w:hAnsi="Calibri;sans-serif"/>
                <w:b/>
                <w:color w:val="000000"/>
                <w:sz w:val="18"/>
              </w:rPr>
              <w:t>Exhibit</w:t>
            </w:r>
          </w:p>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jc w:val="center"/>
              <w:rPr>
                <w:rFonts w:ascii="Calibri;sans-serif" w:hAnsi="Calibri;sans-serif"/>
                <w:b/>
                <w:color w:val="000000"/>
                <w:sz w:val="18"/>
              </w:rPr>
            </w:pPr>
            <w:r>
              <w:rPr>
                <w:rFonts w:ascii="Calibri;sans-serif" w:hAnsi="Calibri;sans-serif"/>
                <w:b/>
                <w:color w:val="000000"/>
                <w:sz w:val="18"/>
              </w:rPr>
              <w:t>Filed</w:t>
            </w:r>
          </w:p>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Herewith</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2">
              <w:r>
                <w:rPr>
                  <w:rStyle w:val="InternetLink"/>
                  <w:rFonts w:ascii="Calibri;sans-serif" w:hAnsi="Calibri;sans-serif"/>
                  <w:color w:val="0000FF"/>
                  <w:sz w:val="18"/>
                  <w:u w:val="single"/>
                </w:rPr>
                <w:t>Amended and Restated Certificate of Incorporation</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10/29/19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3">
              <w:r>
                <w:rPr>
                  <w:rStyle w:val="InternetLink"/>
                  <w:rFonts w:ascii="Calibri;sans-serif" w:hAnsi="Calibri;sans-serif"/>
                  <w:color w:val="0000FF"/>
                  <w:sz w:val="18"/>
                  <w:u w:val="single"/>
                </w:rPr>
                <w:t>Certificate of Amendment to Amended and Restated Certificate of Incorporation, as filed with the Secretary of the State of Delaware on May 26, 2023</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5/30/23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3.3</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4">
              <w:r>
                <w:rPr>
                  <w:rStyle w:val="InternetLink"/>
                  <w:rFonts w:ascii="Calibri;sans-serif" w:hAnsi="Calibri;sans-serif"/>
                  <w:color w:val="0000FF"/>
                  <w:sz w:val="18"/>
                  <w:u w:val="single"/>
                </w:rPr>
                <w:t>Amended and Restated Bylaws, effective as of December 13, 2023</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12/15/23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4.1</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5">
              <w:r>
                <w:rPr>
                  <w:rStyle w:val="InternetLink"/>
                  <w:rFonts w:ascii="Calibri;sans-serif" w:hAnsi="Calibri;sans-serif"/>
                  <w:color w:val="0000FF"/>
                  <w:sz w:val="18"/>
                  <w:u w:val="single"/>
                </w:rPr>
                <w:t>Form of Common Stock Certificate</w:t>
              </w:r>
            </w:hyperlink>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S-1/A</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10/15/19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4.2</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6">
              <w:r>
                <w:rPr>
                  <w:rStyle w:val="InternetLink"/>
                  <w:rFonts w:ascii="Calibri;sans-serif" w:hAnsi="Calibri;sans-serif"/>
                  <w:color w:val="0000FF"/>
                  <w:sz w:val="18"/>
                  <w:u w:val="single"/>
                </w:rPr>
                <w:t>Warrant to purchase stock issued to Silicon Valley Bank, dated May 14, 2019</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9/30/19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4.3</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4.3</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7">
              <w:r>
                <w:rPr>
                  <w:rStyle w:val="InternetLink"/>
                  <w:rFonts w:ascii="Calibri;sans-serif" w:hAnsi="Calibri;sans-serif"/>
                  <w:color w:val="0000FF"/>
                  <w:sz w:val="18"/>
                  <w:u w:val="single"/>
                </w:rPr>
                <w:t>Warrant to purchase stock issued to WestRiver Innovation Lending Fund VIII, L.P., dated May 14, 2019</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9/30/19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4.4</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4.4</w:t>
            </w:r>
          </w:p>
        </w:tc>
        <w:tc>
          <w:tcPr>
            <w:tcW w:w="146" w:type="dxa"/>
            <w:tcBorders/>
            <w:vAlign w:val="center"/>
          </w:tcPr>
          <w:p>
            <w:pPr>
              <w:pStyle w:val="TableContents"/>
              <w:bidi w:val="0"/>
              <w:spacing w:before="0" w:after="283"/>
              <w:jc w:val="center"/>
              <w:rPr/>
            </w:pPr>
            <w:r>
              <w:rPr/>
              <w:t> </w:t>
            </w:r>
          </w:p>
        </w:tc>
        <w:tc>
          <w:tcPr>
            <w:tcW w:w="6112" w:type="dxa"/>
            <w:tcBorders/>
            <w:vAlign w:val="center"/>
          </w:tcPr>
          <w:p>
            <w:pPr>
              <w:pStyle w:val="TableContents"/>
              <w:bidi w:val="0"/>
              <w:spacing w:before="0" w:after="283"/>
              <w:jc w:val="left"/>
              <w:rPr/>
            </w:pPr>
            <w:hyperlink r:id="rId8">
              <w:r>
                <w:rPr>
                  <w:rStyle w:val="InternetLink"/>
                  <w:rFonts w:ascii="Calibri;sans-serif" w:hAnsi="Calibri;sans-serif"/>
                  <w:color w:val="0000FF"/>
                  <w:sz w:val="18"/>
                  <w:u w:val="single"/>
                </w:rPr>
                <w:t>Warrant to purchase stock issued to Hercules Capital, dated September 17, 2021</w:t>
              </w:r>
            </w:hyperlink>
          </w:p>
        </w:tc>
        <w:tc>
          <w:tcPr>
            <w:tcW w:w="146" w:type="dxa"/>
            <w:tcBorders/>
            <w:vAlign w:val="center"/>
          </w:tcPr>
          <w:p>
            <w:pPr>
              <w:pStyle w:val="TableContents"/>
              <w:bidi w:val="0"/>
              <w:spacing w:before="0" w:after="283"/>
              <w:jc w:val="center"/>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center"/>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11/8/21</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10.2</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center"/>
              <w:rPr/>
            </w:pPr>
            <w:r>
              <w:rPr/>
              <w:t> </w:t>
            </w:r>
          </w:p>
        </w:tc>
        <w:tc>
          <w:tcPr>
            <w:tcW w:w="6112" w:type="dxa"/>
            <w:tcBorders/>
            <w:vAlign w:val="center"/>
          </w:tcPr>
          <w:p>
            <w:pPr>
              <w:pStyle w:val="TableContents"/>
              <w:bidi w:val="0"/>
              <w:spacing w:before="0" w:after="283"/>
              <w:jc w:val="left"/>
              <w:rPr/>
            </w:pPr>
            <w:hyperlink r:id="rId9">
              <w:r>
                <w:rPr>
                  <w:rStyle w:val="InternetLink"/>
                  <w:rFonts w:ascii="Calibri;sans-serif" w:hAnsi="Calibri;sans-serif"/>
                  <w:color w:val="0000FF"/>
                  <w:sz w:val="18"/>
                  <w:u w:val="single"/>
                </w:rPr>
                <w:t>First Amendment to Warrant to purchase stock issued to Hercules Capital, dated May 9, 2023</w:t>
              </w:r>
            </w:hyperlink>
          </w:p>
        </w:tc>
        <w:tc>
          <w:tcPr>
            <w:tcW w:w="146" w:type="dxa"/>
            <w:tcBorders/>
            <w:vAlign w:val="center"/>
          </w:tcPr>
          <w:p>
            <w:pPr>
              <w:pStyle w:val="TableContents"/>
              <w:bidi w:val="0"/>
              <w:spacing w:before="0" w:after="283"/>
              <w:jc w:val="center"/>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center"/>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5/10/23</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center"/>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4.6</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10">
              <w:r>
                <w:rPr>
                  <w:rStyle w:val="InternetLink"/>
                  <w:rFonts w:ascii="Calibri;sans-serif" w:hAnsi="Calibri;sans-serif"/>
                  <w:color w:val="0000FF"/>
                  <w:sz w:val="18"/>
                  <w:u w:val="single"/>
                </w:rPr>
                <w:t>Form of Warrant to purchase stock issuable pursuant to the Loan and Security Agreement, as amended, by and between the Registrant and Hercules Capital, Inc.</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5/10/23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4.6</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4.7</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11">
              <w:r>
                <w:rPr>
                  <w:rStyle w:val="InternetLink"/>
                  <w:rFonts w:ascii="Calibri;sans-serif" w:hAnsi="Calibri;sans-serif"/>
                  <w:color w:val="0000FF"/>
                  <w:sz w:val="18"/>
                  <w:u w:val="single"/>
                </w:rPr>
                <w:t>Note Purchase Agreement, dated May 7, 2019, by and among the Registrant and the other parties party thereto, as amended</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S-1/A</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10/15/19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31.1</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1_1.htm">
              <w:r>
                <w:rPr>
                  <w:rStyle w:val="InternetLink"/>
                  <w:rFonts w:ascii="Calibri;sans-serif" w:hAnsi="Calibri;sans-serif"/>
                  <w:color w:val="0000FF"/>
                  <w:sz w:val="18"/>
                  <w:u w:val="single"/>
                </w:rPr>
                <w:t>Certification of Chief Executive Officer of Phathom Pharmaceuticals, Inc., as required by Rule 13a-14(a) or Rule 15d-14(a),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31.2</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1_2.htm">
              <w:r>
                <w:rPr>
                  <w:rStyle w:val="InternetLink"/>
                  <w:rFonts w:ascii="Calibri;sans-serif" w:hAnsi="Calibri;sans-serif"/>
                  <w:color w:val="0000FF"/>
                  <w:sz w:val="18"/>
                  <w:u w:val="single"/>
                </w:rPr>
                <w:t>Certification of Chief Financial Officer of Phathom Pharmaceuticals, Inc., as required by Rule 13a-14(a) or Rule 15d-14(a),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32.1*</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2_1.htm">
              <w:r>
                <w:rPr>
                  <w:rStyle w:val="InternetLink"/>
                  <w:rFonts w:ascii="Calibri;sans-serif" w:hAnsi="Calibri;sans-serif"/>
                  <w:color w:val="0000FF"/>
                  <w:sz w:val="18"/>
                  <w:u w:val="single"/>
                </w:rPr>
                <w:t>Certification of Chief Executive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32.2*</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2_2.htm">
              <w:r>
                <w:rPr>
                  <w:rStyle w:val="InternetLink"/>
                  <w:rFonts w:ascii="Calibri;sans-serif" w:hAnsi="Calibri;sans-serif"/>
                  <w:color w:val="0000FF"/>
                  <w:sz w:val="18"/>
                  <w:u w:val="single"/>
                </w:rPr>
                <w:t>Certification of Chief Financial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101.INS</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101.SCH</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Inline XBRL Taxonomy Extension Schema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104</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2" w:name="signatures_1"/>
      <w:bookmarkEnd w:id="22"/>
      <w:r>
        <w:rPr>
          <w:rFonts w:ascii="Calibri;sans-serif" w:hAnsi="Calibri;sans-serif"/>
          <w:b/>
          <w:color w:val="000000"/>
          <w:sz w:val="20"/>
        </w:rPr>
        <w:t>SIGNATURES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526"/>
        <w:gridCol w:w="1111"/>
        <w:gridCol w:w="346"/>
        <w:gridCol w:w="146"/>
        <w:gridCol w:w="3541"/>
      </w:tblGrid>
      <w:tr>
        <w:trPr/>
        <w:tc>
          <w:tcPr>
            <w:tcW w:w="5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4033" w:type="dxa"/>
            <w:gridSpan w:val="3"/>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PHATHOM PHARMACEUTICALS, INC.</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52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w:t>
            </w:r>
          </w:p>
        </w:tc>
        <w:tc>
          <w:tcPr>
            <w:tcW w:w="11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May 9, 2024</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46" w:type="dxa"/>
            <w:tcBorders/>
            <w:vAlign w:val="center"/>
          </w:tcPr>
          <w:p>
            <w:pPr>
              <w:pStyle w:val="TableContents"/>
              <w:bidi w:val="0"/>
              <w:spacing w:before="0" w:after="283"/>
              <w:jc w:val="left"/>
              <w:rPr/>
            </w:pPr>
            <w:r>
              <w:rPr/>
              <w:t> </w:t>
            </w:r>
          </w:p>
        </w:tc>
        <w:tc>
          <w:tcPr>
            <w:tcW w:w="35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Terrie Curran</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Terrie Curran</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Executive Officer and Director</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52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w:t>
            </w:r>
          </w:p>
        </w:tc>
        <w:tc>
          <w:tcPr>
            <w:tcW w:w="111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May 9, 2024</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46" w:type="dxa"/>
            <w:tcBorders/>
            <w:vAlign w:val="center"/>
          </w:tcPr>
          <w:p>
            <w:pPr>
              <w:pStyle w:val="TableContents"/>
              <w:bidi w:val="0"/>
              <w:spacing w:before="0" w:after="283"/>
              <w:jc w:val="left"/>
              <w:rPr/>
            </w:pPr>
            <w:r>
              <w:rPr/>
              <w:t> </w:t>
            </w:r>
          </w:p>
        </w:tc>
        <w:tc>
          <w:tcPr>
            <w:tcW w:w="35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Molly Henderson</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Molly Henderson</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Financial and Business Officer</w:t>
            </w:r>
          </w:p>
        </w:tc>
      </w:tr>
      <w:tr>
        <w:trPr/>
        <w:tc>
          <w:tcPr>
            <w:tcW w:w="526"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3" w:name="phat-ex31_1.htm"/>
      <w:bookmarkStart w:id="24" w:name="ksphat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Terrie Curran,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Phathom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10000"/>
          <w:sz w:val="20"/>
        </w:rPr>
      </w:pPr>
      <w:r>
        <w:rPr>
          <w:rFonts w:ascii="Times New Roman" w:hAnsi="Times New Roman"/>
          <w:color w:val="010000"/>
          <w:sz w:val="20"/>
        </w:rPr>
        <w:t>b)</w:t>
      </w:r>
    </w:p>
    <w:p>
      <w:pPr>
        <w:pStyle w:val="TextBody"/>
        <w:bidi w:val="0"/>
        <w:spacing w:before="240" w:after="283"/>
        <w:jc w:val="left"/>
        <w:rPr>
          <w:rFonts w:ascii="Times New Roman" w:hAnsi="Times New Roman"/>
          <w:color w:val="010000"/>
          <w:sz w:val="20"/>
        </w:rPr>
      </w:pPr>
      <w:r>
        <w:rPr>
          <w:rFonts w:ascii="Times New Roman" w:hAnsi="Times New Roman"/>
          <w:color w:val="010000"/>
          <w:sz w:val="20"/>
        </w:rPr>
        <w:t>(Paragraph omitted pursuant to SEC Release Nos. 33-8238/34-47986 and 33-8392/34-49313);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47" w:type="dxa"/>
        <w:jc w:val="left"/>
        <w:tblInd w:w="0" w:type="dxa"/>
        <w:tblLayout w:type="fixed"/>
        <w:tblCellMar>
          <w:top w:w="28" w:type="dxa"/>
          <w:left w:w="28" w:type="dxa"/>
          <w:bottom w:w="28" w:type="dxa"/>
          <w:right w:w="28" w:type="dxa"/>
        </w:tblCellMar>
      </w:tblPr>
      <w:tblGrid>
        <w:gridCol w:w="163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1636" w:type="dxa"/>
            <w:tcBorders/>
            <w:vAlign w:val="center"/>
          </w:tcPr>
          <w:p>
            <w:pPr>
              <w:pStyle w:val="TableContents"/>
              <w:pBdr/>
              <w:bidi w:val="0"/>
              <w:spacing w:before="0" w:after="283"/>
              <w:ind w:left="0" w:right="0" w:hanging="154"/>
              <w:jc w:val="left"/>
              <w:rPr>
                <w:rFonts w:ascii="Times New Roman" w:hAnsi="Times New Roman"/>
                <w:color w:val="000000"/>
                <w:sz w:val="20"/>
              </w:rPr>
            </w:pPr>
            <w:r>
              <w:rPr>
                <w:rFonts w:ascii="Times New Roman" w:hAnsi="Times New Roman"/>
                <w:color w:val="000000"/>
                <w:sz w:val="20"/>
              </w:rPr>
              <w:t>Date: May 9, 2024</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Terrie Curran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Terrie Curran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phat-ex31_2.htm"/>
      <w:bookmarkStart w:id="26" w:name="ksphat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Molly Henderson,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Phathom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10000"/>
          <w:sz w:val="20"/>
        </w:rPr>
      </w:pPr>
      <w:r>
        <w:rPr>
          <w:rFonts w:ascii="Times New Roman" w:hAnsi="Times New Roman"/>
          <w:color w:val="010000"/>
          <w:sz w:val="20"/>
        </w:rPr>
        <w:t>b)</w:t>
      </w:r>
    </w:p>
    <w:p>
      <w:pPr>
        <w:pStyle w:val="TextBody"/>
        <w:bidi w:val="0"/>
        <w:spacing w:before="240" w:after="283"/>
        <w:jc w:val="left"/>
        <w:rPr>
          <w:rFonts w:ascii="Times New Roman" w:hAnsi="Times New Roman"/>
          <w:color w:val="010000"/>
          <w:sz w:val="20"/>
        </w:rPr>
      </w:pPr>
      <w:r>
        <w:rPr>
          <w:rFonts w:ascii="Times New Roman" w:hAnsi="Times New Roman"/>
          <w:color w:val="010000"/>
          <w:sz w:val="20"/>
        </w:rPr>
        <w:t>(Paragraph omitted pursuant to SEC Release Nos. 33-8238/34-47986 and 33-8392/34-49313);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1636" w:type="dxa"/>
            <w:tcBorders/>
            <w:vAlign w:val="center"/>
          </w:tcPr>
          <w:p>
            <w:pPr>
              <w:pStyle w:val="TableContents"/>
              <w:pBdr/>
              <w:bidi w:val="0"/>
              <w:spacing w:before="0" w:after="283"/>
              <w:ind w:left="0" w:right="0" w:hanging="154"/>
              <w:jc w:val="left"/>
              <w:rPr>
                <w:rFonts w:ascii="Times New Roman" w:hAnsi="Times New Roman"/>
                <w:color w:val="000000"/>
                <w:sz w:val="20"/>
              </w:rPr>
            </w:pPr>
            <w:r>
              <w:rPr>
                <w:rFonts w:ascii="Times New Roman" w:hAnsi="Times New Roman"/>
                <w:color w:val="000000"/>
                <w:sz w:val="20"/>
              </w:rPr>
              <w:t>Date: May 9, 2024</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Molly Henderson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Molly Henderson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27" w:name="phat-ex32_1.htm"/>
      <w:bookmarkStart w:id="28" w:name="ksphatex32_1"/>
      <w:bookmarkEnd w:id="27"/>
      <w:bookmarkEnd w:id="2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March 31, 2024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993" w:type="dxa"/>
        <w:jc w:val="left"/>
        <w:tblInd w:w="0" w:type="dxa"/>
        <w:tblLayout w:type="fixed"/>
        <w:tblCellMar>
          <w:top w:w="28" w:type="dxa"/>
          <w:left w:w="28" w:type="dxa"/>
          <w:bottom w:w="28" w:type="dxa"/>
          <w:right w:w="28" w:type="dxa"/>
        </w:tblCellMar>
      </w:tblPr>
      <w:tblGrid>
        <w:gridCol w:w="1636"/>
        <w:gridCol w:w="146"/>
        <w:gridCol w:w="32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Terrie Curran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Terrie Curran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29" w:name="phat-ex32_2.htm"/>
      <w:bookmarkStart w:id="30" w:name="ksphatex32_2"/>
      <w:bookmarkEnd w:id="29"/>
      <w:bookmarkEnd w:id="30"/>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March 31, 2024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1636"/>
        <w:gridCol w:w="14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Molly Henderson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Molly Henderson</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3183/000119312519277761/d795888dex31.htm" TargetMode="External"/><Relationship Id="rId3" Type="http://schemas.openxmlformats.org/officeDocument/2006/relationships/hyperlink" Target="https://www.sec.gov/Archives/edgar/data/1783183/000119312523156713/d487635dex31.htm" TargetMode="External"/><Relationship Id="rId4" Type="http://schemas.openxmlformats.org/officeDocument/2006/relationships/hyperlink" Target="https://www.sec.gov/ix?doc=/Archives/edgar/data/0001783183/000119312523296630/d602391d8k.htm" TargetMode="External"/><Relationship Id="rId5" Type="http://schemas.openxmlformats.org/officeDocument/2006/relationships/hyperlink" Target="https://www.sec.gov/Archives/edgar/data/1783183/000119312519267053/d63338dex41.htm" TargetMode="External"/><Relationship Id="rId6" Type="http://schemas.openxmlformats.org/officeDocument/2006/relationships/hyperlink" Target="https://www.sec.gov/Archives/edgar/data/1783183/000119312519258922/d63338dex43.htm" TargetMode="External"/><Relationship Id="rId7" Type="http://schemas.openxmlformats.org/officeDocument/2006/relationships/hyperlink" Target="https://www.sec.gov/Archives/edgar/data/1783183/000119312519258922/d63338dex44.htm" TargetMode="External"/><Relationship Id="rId8" Type="http://schemas.openxmlformats.org/officeDocument/2006/relationships/hyperlink" Target="https://www.sec.gov/Archives/edgar/data/1783183/000156459021055073/phat-ex102_212.htm" TargetMode="External"/><Relationship Id="rId9" Type="http://schemas.openxmlformats.org/officeDocument/2006/relationships/hyperlink" Target="https://www.sec.gov/Archives/edgar/data/1783183/000095017023020109/phat-ex4_5.htm" TargetMode="External"/><Relationship Id="rId10" Type="http://schemas.openxmlformats.org/officeDocument/2006/relationships/hyperlink" Target="https://www.sec.gov/Archives/edgar/data/1783183/000095017023020109/phat-ex4_6.htm" TargetMode="External"/><Relationship Id="rId11" Type="http://schemas.openxmlformats.org/officeDocument/2006/relationships/hyperlink" Target="https://www.sec.gov/Archives/edgar/data/1783183/000119312519267053/d63338dex45.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23419</Words>
  <Characters>127598</Characters>
  <CharactersWithSpaces>151467</CharactersWithSpaces>
  <Paragraphs>3411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