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149860</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157480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6" w:lineRule="exact"/>
        <w:rPr>
          <w:sz w:val="24"/>
          <w:szCs w:val="24"/>
          <w:color w:val="auto"/>
        </w:rPr>
      </w:pPr>
    </w:p>
    <w:p>
      <w:pPr>
        <w:ind w:left="520" w:right="300" w:hanging="512"/>
        <w:spacing w:after="0" w:line="256"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300" w:hanging="512"/>
        <w:spacing w:after="0" w:line="256"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480"/>
        <w:spacing w:after="0"/>
        <w:tabs>
          <w:tab w:leader="none" w:pos="670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18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001-39094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25"/>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82-4151574</w:t>
            </w:r>
          </w:p>
        </w:tc>
      </w:tr>
      <w:tr>
        <w:trPr>
          <w:trHeight w:val="162"/>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7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100 Campus Drive, Suite 102</w:t>
            </w:r>
          </w:p>
        </w:tc>
        <w:tc>
          <w:tcPr>
            <w:tcW w:w="3120" w:type="dxa"/>
            <w:vAlign w:val="bottom"/>
          </w:tcPr>
          <w:p>
            <w:pPr>
              <w:spacing w:after="0"/>
              <w:rPr>
                <w:sz w:val="24"/>
                <w:szCs w:val="24"/>
                <w:color w:val="auto"/>
              </w:rPr>
            </w:pPr>
          </w:p>
        </w:tc>
      </w:tr>
      <w:tr>
        <w:trPr>
          <w:trHeight w:val="225"/>
        </w:trPr>
        <w:tc>
          <w:tcPr>
            <w:tcW w:w="4360" w:type="dxa"/>
            <w:vAlign w:val="bottom"/>
          </w:tcPr>
          <w:p>
            <w:pPr>
              <w:jc w:val="center"/>
              <w:ind w:right="1959"/>
              <w:spacing w:after="0"/>
              <w:rPr>
                <w:sz w:val="20"/>
                <w:szCs w:val="20"/>
                <w:color w:val="auto"/>
              </w:rPr>
            </w:pPr>
            <w:r>
              <w:rPr>
                <w:rFonts w:ascii="Arial" w:cs="Arial" w:eastAsia="Arial" w:hAnsi="Arial"/>
                <w:sz w:val="18"/>
                <w:szCs w:val="18"/>
                <w:b w:val="1"/>
                <w:bCs w:val="1"/>
                <w:color w:val="auto"/>
                <w:w w:val="91"/>
              </w:rPr>
              <w:t>Florham Park, New Jersey</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07932</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19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742-8466</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00" w:type="dxa"/>
            <w:vAlign w:val="bottom"/>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24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32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line="202" w:lineRule="exact"/>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6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20"/>
        <w:spacing w:after="0" w:line="23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7, 2022, the registrant had 41,620,855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6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231F20"/>
                <w:w w:val="98"/>
              </w:rPr>
              <w:t>EXPLANATORY NOTE</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00" w:type="dxa"/>
            <w:vAlign w:val="bottom"/>
            <w:gridSpan w:val="16"/>
          </w:tcPr>
          <w:p>
            <w:pPr>
              <w:jc w:val="center"/>
              <w:ind w:right="960"/>
              <w:spacing w:after="0"/>
              <w:rPr>
                <w:sz w:val="20"/>
                <w:szCs w:val="20"/>
                <w:color w:val="auto"/>
              </w:rPr>
            </w:pPr>
            <w:r>
              <w:rPr>
                <w:rFonts w:ascii="Arial" w:cs="Arial" w:eastAsia="Arial" w:hAnsi="Arial"/>
                <w:sz w:val="18"/>
                <w:szCs w:val="18"/>
                <w:b w:val="1"/>
                <w:bCs w:val="1"/>
                <w:color w:val="231F20"/>
                <w:w w:val="99"/>
              </w:rPr>
              <w:t>This quarterly filing is amended to correct the date on the signature page.</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8"/>
          </w:tcPr>
          <w:p>
            <w:pPr>
              <w:jc w:val="center"/>
              <w:ind w:right="2580"/>
              <w:spacing w:after="0"/>
              <w:rPr>
                <w:sz w:val="20"/>
                <w:szCs w:val="20"/>
                <w:color w:val="auto"/>
              </w:rPr>
            </w:pPr>
            <w:r>
              <w:rPr>
                <w:rFonts w:ascii="Arial" w:cs="Arial" w:eastAsia="Arial" w:hAnsi="Arial"/>
                <w:sz w:val="18"/>
                <w:szCs w:val="18"/>
                <w:b w:val="1"/>
                <w:bCs w:val="1"/>
                <w:color w:val="231F20"/>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960" w:type="dxa"/>
            <w:vAlign w:val="bottom"/>
            <w:gridSpan w:val="21"/>
          </w:tcPr>
          <w:p>
            <w:pPr>
              <w:ind w:left="40"/>
              <w:spacing w:after="0"/>
              <w:rPr>
                <w:sz w:val="20"/>
                <w:szCs w:val="20"/>
                <w:color w:val="auto"/>
              </w:rPr>
            </w:pPr>
            <w:r>
              <w:rPr>
                <w:rFonts w:ascii="Arial" w:cs="Arial" w:eastAsia="Arial" w:hAnsi="Arial"/>
                <w:sz w:val="18"/>
                <w:szCs w:val="18"/>
                <w:b w:val="1"/>
                <w:bCs w:val="1"/>
                <w:color w:val="0000FF"/>
              </w:rPr>
              <w:t>PART I. FINANCIAL INFORMATION</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1</w:t>
            </w:r>
          </w:p>
        </w:tc>
        <w:tc>
          <w:tcPr>
            <w:tcW w:w="830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40" w:type="dxa"/>
            <w:vAlign w:val="bottom"/>
            <w:tcBorders>
              <w:top w:val="single" w:sz="8" w:color="0000FF"/>
            </w:tcBorders>
            <w:gridSpan w:val="11"/>
            <w:vMerge w:val="restart"/>
          </w:tcPr>
          <w:p>
            <w:pPr>
              <w:spacing w:after="0"/>
              <w:rPr>
                <w:sz w:val="20"/>
                <w:szCs w:val="20"/>
                <w:color w:val="auto"/>
              </w:rPr>
            </w:pPr>
            <w:r>
              <w:rPr>
                <w:rFonts w:ascii="Arial" w:cs="Arial" w:eastAsia="Arial" w:hAnsi="Arial"/>
                <w:sz w:val="18"/>
                <w:szCs w:val="18"/>
                <w:color w:val="0000FF"/>
              </w:rPr>
              <w:t>Balance Sheets</w:t>
            </w:r>
          </w:p>
        </w:tc>
        <w:tc>
          <w:tcPr>
            <w:tcW w:w="5660" w:type="dxa"/>
            <w:vAlign w:val="bottom"/>
            <w:gridSpan w:val="8"/>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40" w:type="dxa"/>
            <w:vAlign w:val="bottom"/>
            <w:gridSpan w:val="11"/>
            <w:vMerge w:val="continue"/>
          </w:tcPr>
          <w:p>
            <w:pPr>
              <w:spacing w:after="0"/>
              <w:rPr>
                <w:sz w:val="17"/>
                <w:szCs w:val="17"/>
                <w:color w:val="auto"/>
              </w:rPr>
            </w:pPr>
          </w:p>
        </w:tc>
        <w:tc>
          <w:tcPr>
            <w:tcW w:w="5660" w:type="dxa"/>
            <w:vAlign w:val="bottom"/>
            <w:gridSpan w:val="8"/>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300" w:type="dxa"/>
            <w:vAlign w:val="bottom"/>
            <w:gridSpan w:val="19"/>
            <w:vMerge w:val="restart"/>
          </w:tcPr>
          <w:p>
            <w:pPr>
              <w:spacing w:after="0"/>
              <w:rPr>
                <w:sz w:val="20"/>
                <w:szCs w:val="20"/>
                <w:color w:val="auto"/>
              </w:rPr>
            </w:pPr>
            <w:r>
              <w:rPr>
                <w:rFonts w:ascii="Arial" w:cs="Arial" w:eastAsia="Arial" w:hAnsi="Arial"/>
                <w:sz w:val="18"/>
                <w:szCs w:val="18"/>
                <w:color w:val="0000FF"/>
              </w:rPr>
              <w:t>Statements of Operations and Comprehensive Loss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300" w:type="dxa"/>
            <w:vAlign w:val="bottom"/>
            <w:gridSpan w:val="19"/>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520" w:type="dxa"/>
            <w:vAlign w:val="bottom"/>
            <w:tcBorders>
              <w:bottom w:val="single" w:sz="8" w:color="0000EE"/>
            </w:tcBorders>
            <w:gridSpan w:val="14"/>
          </w:tcPr>
          <w:p>
            <w:pPr>
              <w:spacing w:after="0" w:line="202" w:lineRule="exact"/>
              <w:rPr>
                <w:sz w:val="20"/>
                <w:szCs w:val="20"/>
                <w:color w:val="auto"/>
              </w:rPr>
            </w:pPr>
            <w:r>
              <w:rPr>
                <w:rFonts w:ascii="Arial" w:cs="Arial" w:eastAsia="Arial" w:hAnsi="Arial"/>
                <w:sz w:val="18"/>
                <w:szCs w:val="18"/>
                <w:color w:val="0000FF"/>
              </w:rPr>
              <w:t>Statements of Stockholders’ Equity (Deficit)</w:t>
            </w:r>
          </w:p>
        </w:tc>
        <w:tc>
          <w:tcPr>
            <w:tcW w:w="4780" w:type="dxa"/>
            <w:vAlign w:val="bottom"/>
            <w:gridSpan w:val="5"/>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300" w:type="dxa"/>
            <w:vAlign w:val="bottom"/>
            <w:gridSpan w:val="19"/>
          </w:tcPr>
          <w:p>
            <w:pPr>
              <w:spacing w:after="0"/>
              <w:rPr>
                <w:sz w:val="20"/>
                <w:szCs w:val="20"/>
                <w:color w:val="auto"/>
              </w:rPr>
            </w:pPr>
            <w:r>
              <w:rPr>
                <w:rFonts w:ascii="Arial" w:cs="Arial" w:eastAsia="Arial" w:hAnsi="Arial"/>
                <w:sz w:val="18"/>
                <w:szCs w:val="18"/>
                <w:color w:val="0000FF"/>
              </w:rPr>
              <w:t>Statements of Cash Flows</w:t>
            </w:r>
          </w:p>
        </w:tc>
        <w:tc>
          <w:tcPr>
            <w:tcW w:w="12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28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Notes to Unaudited Financial Statements</w:t>
            </w:r>
          </w:p>
        </w:tc>
        <w:tc>
          <w:tcPr>
            <w:tcW w:w="20" w:type="dxa"/>
            <w:vAlign w:val="bottom"/>
            <w:tcBorders>
              <w:bottom w:val="single" w:sz="8" w:color="0000EE"/>
            </w:tcBorders>
          </w:tcPr>
          <w:p>
            <w:pPr>
              <w:spacing w:after="0"/>
              <w:rPr>
                <w:sz w:val="19"/>
                <w:szCs w:val="19"/>
                <w:color w:val="auto"/>
              </w:rPr>
            </w:pPr>
          </w:p>
        </w:tc>
        <w:tc>
          <w:tcPr>
            <w:tcW w:w="5000" w:type="dxa"/>
            <w:vAlign w:val="bottom"/>
            <w:gridSpan w:val="6"/>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2</w:t>
            </w:r>
          </w:p>
        </w:tc>
        <w:tc>
          <w:tcPr>
            <w:tcW w:w="830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tcBorders>
            <w:gridSpan w:val="16"/>
            <w:vMerge w:val="restart"/>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2"/>
            <w:vMerge w:val="restart"/>
          </w:tcPr>
          <w:p>
            <w:pPr>
              <w:spacing w:after="0"/>
              <w:rPr>
                <w:sz w:val="18"/>
                <w:szCs w:val="18"/>
                <w:color w:val="auto"/>
              </w:rPr>
            </w:pPr>
          </w:p>
        </w:tc>
        <w:tc>
          <w:tcPr>
            <w:tcW w:w="1220" w:type="dxa"/>
            <w:vAlign w:val="bottom"/>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4720" w:type="dxa"/>
            <w:vAlign w:val="bottom"/>
            <w:tcBorders>
              <w:bottom w:val="single" w:sz="8" w:color="0000FF"/>
            </w:tcBorders>
            <w:gridSpan w:val="16"/>
            <w:vMerge w:val="continue"/>
          </w:tcPr>
          <w:p>
            <w:pPr>
              <w:spacing w:after="0"/>
              <w:rPr>
                <w:sz w:val="17"/>
                <w:szCs w:val="17"/>
                <w:color w:val="auto"/>
              </w:rPr>
            </w:pPr>
          </w:p>
        </w:tc>
        <w:tc>
          <w:tcPr>
            <w:tcW w:w="23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4</w:t>
            </w:r>
          </w:p>
        </w:tc>
        <w:tc>
          <w:tcPr>
            <w:tcW w:w="2000" w:type="dxa"/>
            <w:vAlign w:val="bottom"/>
            <w:gridSpan w:val="8"/>
            <w:vMerge w:val="restart"/>
          </w:tcPr>
          <w:p>
            <w:pPr>
              <w:spacing w:after="0"/>
              <w:rPr>
                <w:sz w:val="20"/>
                <w:szCs w:val="20"/>
                <w:color w:val="auto"/>
              </w:rPr>
            </w:pPr>
            <w:r>
              <w:rPr>
                <w:rFonts w:ascii="Arial" w:cs="Arial" w:eastAsia="Arial" w:hAnsi="Arial"/>
                <w:sz w:val="18"/>
                <w:szCs w:val="18"/>
                <w:color w:val="0000FF"/>
                <w:w w:val="99"/>
              </w:rPr>
              <w:t>Controls and Procedures</w:t>
            </w:r>
          </w:p>
        </w:tc>
        <w:tc>
          <w:tcPr>
            <w:tcW w:w="6300" w:type="dxa"/>
            <w:vAlign w:val="bottom"/>
            <w:gridSpan w:val="11"/>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2000" w:type="dxa"/>
            <w:vAlign w:val="bottom"/>
            <w:tcBorders>
              <w:bottom w:val="single" w:sz="8" w:color="0000FF"/>
            </w:tcBorders>
            <w:gridSpan w:val="8"/>
            <w:vMerge w:val="continue"/>
          </w:tcPr>
          <w:p>
            <w:pPr>
              <w:spacing w:after="0"/>
              <w:rPr>
                <w:sz w:val="17"/>
                <w:szCs w:val="17"/>
                <w:color w:val="auto"/>
              </w:rPr>
            </w:pPr>
          </w:p>
        </w:tc>
        <w:tc>
          <w:tcPr>
            <w:tcW w:w="6300" w:type="dxa"/>
            <w:vAlign w:val="bottom"/>
            <w:gridSpan w:val="11"/>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9"/>
        </w:trPr>
        <w:tc>
          <w:tcPr>
            <w:tcW w:w="9960" w:type="dxa"/>
            <w:vAlign w:val="bottom"/>
            <w:gridSpan w:val="21"/>
            <w:vMerge w:val="restart"/>
          </w:tcPr>
          <w:p>
            <w:pPr>
              <w:ind w:left="40"/>
              <w:spacing w:after="0"/>
              <w:rPr>
                <w:sz w:val="20"/>
                <w:szCs w:val="20"/>
                <w:color w:val="auto"/>
              </w:rPr>
            </w:pPr>
            <w:r>
              <w:rPr>
                <w:rFonts w:ascii="Arial" w:cs="Arial" w:eastAsia="Arial" w:hAnsi="Arial"/>
                <w:sz w:val="18"/>
                <w:szCs w:val="18"/>
                <w:b w:val="1"/>
                <w:bCs w:val="1"/>
                <w:color w:val="0000FF"/>
              </w:rPr>
              <w:t>PART II. OTHER INFORMATION</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9960" w:type="dxa"/>
            <w:vAlign w:val="bottom"/>
            <w:gridSpan w:val="21"/>
            <w:vMerge w:val="continue"/>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6800" w:type="dxa"/>
            <w:vAlign w:val="bottom"/>
            <w:gridSpan w:val="13"/>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1A</w:t>
            </w:r>
          </w:p>
        </w:tc>
        <w:tc>
          <w:tcPr>
            <w:tcW w:w="8300" w:type="dxa"/>
            <w:vAlign w:val="bottom"/>
            <w:gridSpan w:val="19"/>
            <w:vMerge w:val="restart"/>
          </w:tcPr>
          <w:p>
            <w:pPr>
              <w:spacing w:after="0"/>
              <w:rPr>
                <w:sz w:val="20"/>
                <w:szCs w:val="20"/>
                <w:color w:val="auto"/>
              </w:rPr>
            </w:pPr>
            <w:r>
              <w:rPr>
                <w:rFonts w:ascii="Arial" w:cs="Arial" w:eastAsia="Arial" w:hAnsi="Arial"/>
                <w:sz w:val="18"/>
                <w:szCs w:val="18"/>
                <w:color w:val="0000FF"/>
              </w:rPr>
              <w:t>Risk Factors</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8300" w:type="dxa"/>
            <w:vAlign w:val="bottom"/>
            <w:gridSpan w:val="19"/>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2</w:t>
            </w:r>
          </w:p>
        </w:tc>
        <w:tc>
          <w:tcPr>
            <w:tcW w:w="4860" w:type="dxa"/>
            <w:vAlign w:val="bottom"/>
            <w:gridSpan w:val="17"/>
            <w:vMerge w:val="restart"/>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440" w:type="dxa"/>
            <w:vAlign w:val="bottom"/>
            <w:gridSpan w:val="2"/>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4860" w:type="dxa"/>
            <w:vAlign w:val="bottom"/>
            <w:tcBorders>
              <w:bottom w:val="single" w:sz="8" w:color="0000FF"/>
            </w:tcBorders>
            <w:gridSpan w:val="17"/>
            <w:vMerge w:val="continue"/>
          </w:tcPr>
          <w:p>
            <w:pPr>
              <w:spacing w:after="0"/>
              <w:rPr>
                <w:sz w:val="17"/>
                <w:szCs w:val="17"/>
                <w:color w:val="auto"/>
              </w:rPr>
            </w:pPr>
          </w:p>
        </w:tc>
        <w:tc>
          <w:tcPr>
            <w:tcW w:w="3440" w:type="dxa"/>
            <w:vAlign w:val="bottom"/>
            <w:gridSpan w:val="2"/>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3</w:t>
            </w:r>
          </w:p>
        </w:tc>
        <w:tc>
          <w:tcPr>
            <w:tcW w:w="2560" w:type="dxa"/>
            <w:vAlign w:val="bottom"/>
            <w:gridSpan w:val="10"/>
            <w:vMerge w:val="restart"/>
          </w:tcPr>
          <w:p>
            <w:pPr>
              <w:spacing w:after="0"/>
              <w:rPr>
                <w:sz w:val="20"/>
                <w:szCs w:val="20"/>
                <w:color w:val="auto"/>
              </w:rPr>
            </w:pPr>
            <w:r>
              <w:rPr>
                <w:rFonts w:ascii="Arial" w:cs="Arial" w:eastAsia="Arial" w:hAnsi="Arial"/>
                <w:sz w:val="18"/>
                <w:szCs w:val="18"/>
                <w:color w:val="0000FF"/>
                <w:w w:val="99"/>
              </w:rPr>
              <w:t>Defaults Upon Senior Securities</w:t>
            </w:r>
          </w:p>
        </w:tc>
        <w:tc>
          <w:tcPr>
            <w:tcW w:w="5740" w:type="dxa"/>
            <w:vAlign w:val="bottom"/>
            <w:gridSpan w:val="9"/>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2560" w:type="dxa"/>
            <w:vAlign w:val="bottom"/>
            <w:tcBorders>
              <w:bottom w:val="single" w:sz="8" w:color="0000FF"/>
            </w:tcBorders>
            <w:gridSpan w:val="10"/>
            <w:vMerge w:val="continue"/>
          </w:tcPr>
          <w:p>
            <w:pPr>
              <w:spacing w:after="0"/>
              <w:rPr>
                <w:sz w:val="17"/>
                <w:szCs w:val="17"/>
                <w:color w:val="auto"/>
              </w:rPr>
            </w:pPr>
          </w:p>
        </w:tc>
        <w:tc>
          <w:tcPr>
            <w:tcW w:w="5740" w:type="dxa"/>
            <w:vAlign w:val="bottom"/>
            <w:gridSpan w:val="9"/>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4</w:t>
            </w:r>
          </w:p>
        </w:tc>
        <w:tc>
          <w:tcPr>
            <w:tcW w:w="1940" w:type="dxa"/>
            <w:vAlign w:val="bottom"/>
            <w:gridSpan w:val="7"/>
            <w:vMerge w:val="restart"/>
          </w:tcPr>
          <w:p>
            <w:pPr>
              <w:spacing w:after="0"/>
              <w:rPr>
                <w:sz w:val="20"/>
                <w:szCs w:val="20"/>
                <w:color w:val="auto"/>
              </w:rPr>
            </w:pPr>
            <w:r>
              <w:rPr>
                <w:rFonts w:ascii="Arial" w:cs="Arial" w:eastAsia="Arial" w:hAnsi="Arial"/>
                <w:sz w:val="18"/>
                <w:szCs w:val="18"/>
                <w:color w:val="0000FF"/>
                <w:w w:val="99"/>
              </w:rPr>
              <w:t>Mine Safety Disclosures</w:t>
            </w:r>
          </w:p>
        </w:tc>
        <w:tc>
          <w:tcPr>
            <w:tcW w:w="6360" w:type="dxa"/>
            <w:vAlign w:val="bottom"/>
            <w:gridSpan w:val="12"/>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940" w:type="dxa"/>
            <w:vAlign w:val="bottom"/>
            <w:tcBorders>
              <w:bottom w:val="single" w:sz="8" w:color="0000FF"/>
            </w:tcBorders>
            <w:gridSpan w:val="7"/>
            <w:vMerge w:val="continue"/>
          </w:tcPr>
          <w:p>
            <w:pPr>
              <w:spacing w:after="0"/>
              <w:rPr>
                <w:sz w:val="17"/>
                <w:szCs w:val="17"/>
                <w:color w:val="auto"/>
              </w:rPr>
            </w:pPr>
          </w:p>
        </w:tc>
        <w:tc>
          <w:tcPr>
            <w:tcW w:w="6360" w:type="dxa"/>
            <w:vAlign w:val="bottom"/>
            <w:gridSpan w:val="12"/>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5</w:t>
            </w:r>
          </w:p>
        </w:tc>
        <w:tc>
          <w:tcPr>
            <w:tcW w:w="8300" w:type="dxa"/>
            <w:vAlign w:val="bottom"/>
            <w:gridSpan w:val="19"/>
            <w:vMerge w:val="restart"/>
          </w:tcPr>
          <w:p>
            <w:pPr>
              <w:spacing w:after="0"/>
              <w:rPr>
                <w:sz w:val="20"/>
                <w:szCs w:val="20"/>
                <w:color w:val="auto"/>
              </w:rPr>
            </w:pPr>
            <w:r>
              <w:rPr>
                <w:rFonts w:ascii="Arial" w:cs="Arial" w:eastAsia="Arial" w:hAnsi="Arial"/>
                <w:sz w:val="18"/>
                <w:szCs w:val="18"/>
                <w:color w:val="0000FF"/>
              </w:rPr>
              <w:t>Other Information</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8300" w:type="dxa"/>
            <w:vAlign w:val="bottom"/>
            <w:gridSpan w:val="19"/>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vMerge w:val="restart"/>
          </w:tcPr>
          <w:p>
            <w:pPr>
              <w:ind w:left="560"/>
              <w:spacing w:after="0"/>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vMerge w:val="restart"/>
          </w:tcPr>
          <w:p>
            <w:pPr>
              <w:spacing w:after="0"/>
              <w:rPr>
                <w:sz w:val="20"/>
                <w:szCs w:val="20"/>
                <w:color w:val="auto"/>
              </w:rPr>
            </w:pPr>
            <w:r>
              <w:rPr>
                <w:rFonts w:ascii="Arial" w:cs="Arial" w:eastAsia="Arial" w:hAnsi="Arial"/>
                <w:sz w:val="18"/>
                <w:szCs w:val="18"/>
                <w:color w:val="0000FF"/>
              </w:rPr>
              <w:t>Exhibits</w:t>
            </w:r>
          </w:p>
        </w:tc>
        <w:tc>
          <w:tcPr>
            <w:tcW w:w="6900" w:type="dxa"/>
            <w:vAlign w:val="bottom"/>
            <w:gridSpan w:val="14"/>
            <w:vMerge w:val="restart"/>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400" w:type="dxa"/>
            <w:vAlign w:val="bottom"/>
            <w:gridSpan w:val="5"/>
            <w:vMerge w:val="continue"/>
          </w:tcPr>
          <w:p>
            <w:pPr>
              <w:spacing w:after="0"/>
              <w:rPr>
                <w:sz w:val="17"/>
                <w:szCs w:val="17"/>
                <w:color w:val="auto"/>
              </w:rPr>
            </w:pPr>
          </w:p>
        </w:tc>
        <w:tc>
          <w:tcPr>
            <w:tcW w:w="6900" w:type="dxa"/>
            <w:vAlign w:val="bottom"/>
            <w:gridSpan w:val="14"/>
            <w:vMerge w:val="continue"/>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300" w:type="dxa"/>
            <w:vAlign w:val="bottom"/>
            <w:gridSpan w:val="19"/>
          </w:tcPr>
          <w:p>
            <w:pPr>
              <w:spacing w:after="0" w:line="202" w:lineRule="exact"/>
              <w:rPr>
                <w:sz w:val="20"/>
                <w:szCs w:val="20"/>
                <w:color w:val="auto"/>
              </w:rPr>
            </w:pPr>
            <w:r>
              <w:rPr>
                <w:rFonts w:ascii="Arial" w:cs="Arial" w:eastAsia="Arial" w:hAnsi="Arial"/>
                <w:sz w:val="18"/>
                <w:szCs w:val="18"/>
                <w:color w:val="0000FF"/>
              </w:rPr>
              <w:t>Signatures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770"/>
        </w:trPr>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PHATHOM PHARMACEUTICALS, INC.</w:t>
      </w:r>
    </w:p>
    <w:p>
      <w:pPr>
        <w:spacing w:after="0" w:line="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Balance Sheets</w:t>
      </w:r>
    </w:p>
    <w:p>
      <w:pPr>
        <w:ind w:left="51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1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2021</w:t>
            </w: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196,838</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183,259</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3,267</w:t>
            </w:r>
          </w:p>
        </w:tc>
      </w:tr>
      <w:tr>
        <w:trPr>
          <w:trHeight w:val="21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197,813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186,526</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650</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2,482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1,914</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341</w:t>
            </w:r>
          </w:p>
        </w:tc>
      </w:tr>
      <w:tr>
        <w:trPr>
          <w:trHeight w:val="24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201,931</w:t>
            </w: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189,431</w:t>
            </w:r>
          </w:p>
        </w:tc>
      </w:tr>
      <w:tr>
        <w:trPr>
          <w:trHeight w:val="197"/>
        </w:trPr>
        <w:tc>
          <w:tcPr>
            <w:tcW w:w="7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 (including related party amounts of $80 and $1,343, respectively)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7,135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5,150</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Accrued clinical trial expenses</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1,402</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(including related party amounts of $2,383 and $2,330, respectively)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13,289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11,405</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477</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revenue interest financing liability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Operating lease liabilities, current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685</w:t>
            </w:r>
          </w:p>
        </w:tc>
        <w:tc>
          <w:tcPr>
            <w:tcW w:w="1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487</w:t>
            </w:r>
          </w:p>
        </w:tc>
      </w:tr>
      <w:tr>
        <w:trPr>
          <w:trHeight w:val="209"/>
        </w:trPr>
        <w:tc>
          <w:tcPr>
            <w:tcW w:w="77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22,879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18,921</w:t>
            </w:r>
          </w:p>
        </w:tc>
      </w:tr>
      <w:tr>
        <w:trPr>
          <w:trHeight w:val="216"/>
        </w:trPr>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of discount</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93,878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89,671</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Revenue interest financing liability</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102,850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1,183</w:t>
            </w:r>
          </w:p>
        </w:tc>
      </w:tr>
      <w:tr>
        <w:trPr>
          <w:trHeight w:val="216"/>
        </w:trPr>
        <w:tc>
          <w:tcPr>
            <w:tcW w:w="77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7,500</w:t>
            </w:r>
          </w:p>
        </w:tc>
      </w:tr>
      <w:tr>
        <w:trPr>
          <w:trHeight w:val="21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228,354</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117,275</w:t>
            </w:r>
          </w:p>
        </w:tc>
      </w:tr>
      <w:tr>
        <w:trPr>
          <w:trHeight w:val="209"/>
        </w:trPr>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4)</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88"/>
        </w:trPr>
        <w:tc>
          <w:tcPr>
            <w:tcW w:w="7760" w:type="dxa"/>
            <w:vAlign w:val="bottom"/>
          </w:tcPr>
          <w:p>
            <w:pPr>
              <w:ind w:left="200"/>
              <w:spacing w:after="0" w:line="189" w:lineRule="exact"/>
              <w:rPr>
                <w:sz w:val="20"/>
                <w:szCs w:val="20"/>
                <w:color w:val="auto"/>
              </w:rPr>
            </w:pPr>
            <w:r>
              <w:rPr>
                <w:rFonts w:ascii="Arial" w:cs="Arial" w:eastAsia="Arial" w:hAnsi="Arial"/>
                <w:sz w:val="18"/>
                <w:szCs w:val="18"/>
                <w:color w:val="auto"/>
              </w:rPr>
              <w:t>Preferred stock, $0.0001 par value; authorized shares — 40,000,000; no shares issued and</w:t>
            </w: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760" w:type="dxa"/>
            <w:vAlign w:val="bottom"/>
          </w:tcPr>
          <w:p>
            <w:pPr>
              <w:ind w:left="200"/>
              <w:spacing w:after="0"/>
              <w:rPr>
                <w:sz w:val="20"/>
                <w:szCs w:val="20"/>
                <w:color w:val="auto"/>
              </w:rPr>
            </w:pPr>
            <w:r>
              <w:rPr>
                <w:rFonts w:ascii="Arial" w:cs="Arial" w:eastAsia="Arial" w:hAnsi="Arial"/>
                <w:sz w:val="18"/>
                <w:szCs w:val="18"/>
                <w:color w:val="auto"/>
              </w:rPr>
              <w:t>outstanding at September 30, 2022 and December 31, 2021</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188"/>
        </w:trPr>
        <w:tc>
          <w:tcPr>
            <w:tcW w:w="776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Common stock, $0.0001 par value; authorized shares — 400,000,000; issued shares —</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776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41,620,874 and 31,656,035 at September 30, 2022 and December 31, 2021, respectively;</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189"/>
        </w:trPr>
        <w:tc>
          <w:tcPr>
            <w:tcW w:w="776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outstanding shares — 41,143,826 and 30,511,226 at September 30, 2022 and December</w:t>
            </w:r>
          </w:p>
        </w:tc>
        <w:tc>
          <w:tcPr>
            <w:tcW w:w="20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7"/>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31, 2021, respectively</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Treasury stock — 19 and 1 at September 30, 2022 and December 31, 2021, respectively</w:t>
            </w:r>
          </w:p>
        </w:tc>
        <w:tc>
          <w:tcPr>
            <w:tcW w:w="20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645,620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601,523</w:t>
            </w:r>
          </w:p>
        </w:tc>
      </w:tr>
      <w:tr>
        <w:trPr>
          <w:trHeight w:val="216"/>
        </w:trPr>
        <w:tc>
          <w:tcPr>
            <w:tcW w:w="77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(672,046 )</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(529,370 )</w:t>
            </w:r>
          </w:p>
        </w:tc>
      </w:tr>
      <w:tr>
        <w:trPr>
          <w:trHeight w:val="20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(deficit) equity</w:t>
            </w: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(26,423 )</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72,156</w:t>
            </w:r>
          </w:p>
        </w:tc>
      </w:tr>
      <w:tr>
        <w:trPr>
          <w:trHeight w:val="210"/>
        </w:trPr>
        <w:tc>
          <w:tcPr>
            <w:tcW w:w="77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201,931</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189,431</w:t>
            </w:r>
          </w:p>
        </w:tc>
      </w:tr>
      <w:tr>
        <w:trPr>
          <w:trHeight w:val="20"/>
        </w:trPr>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-4276725</wp:posOffset>
            </wp:positionV>
            <wp:extent cx="10287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-3016885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-2039620</wp:posOffset>
            </wp:positionV>
            <wp:extent cx="10287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1028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ind w:left="398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540" w:type="dxa"/>
            <w:vAlign w:val="bottom"/>
            <w:gridSpan w:val="3"/>
          </w:tcPr>
          <w:p>
            <w:pPr>
              <w:jc w:val="right"/>
              <w:ind w:right="47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80" w:type="dxa"/>
            <w:vAlign w:val="bottom"/>
          </w:tcPr>
          <w:p>
            <w:pPr>
              <w:ind w:left="200"/>
              <w:spacing w:after="0" w:line="189" w:lineRule="exact"/>
              <w:rPr>
                <w:sz w:val="20"/>
                <w:szCs w:val="20"/>
                <w:color w:val="auto"/>
              </w:rPr>
            </w:pPr>
            <w:r>
              <w:rPr>
                <w:rFonts w:ascii="Arial" w:cs="Arial" w:eastAsia="Arial" w:hAnsi="Arial"/>
                <w:sz w:val="18"/>
                <w:szCs w:val="18"/>
                <w:color w:val="auto"/>
              </w:rPr>
              <w:t>Research and development (includes related party amounts of $77,</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200"/>
              <w:spacing w:after="0"/>
              <w:rPr>
                <w:sz w:val="20"/>
                <w:szCs w:val="20"/>
                <w:color w:val="auto"/>
              </w:rPr>
            </w:pPr>
            <w:r>
              <w:rPr>
                <w:rFonts w:ascii="Arial" w:cs="Arial" w:eastAsia="Arial" w:hAnsi="Arial"/>
                <w:sz w:val="18"/>
                <w:szCs w:val="18"/>
                <w:color w:val="auto"/>
              </w:rPr>
              <w:t>$849, $1,800, and $2,695, respectively)</w:t>
            </w:r>
          </w:p>
        </w:tc>
        <w:tc>
          <w:tcPr>
            <w:tcW w:w="1220" w:type="dxa"/>
            <w:vAlign w:val="bottom"/>
          </w:tcPr>
          <w:p>
            <w:pPr>
              <w:jc w:val="right"/>
              <w:spacing w:after="0"/>
              <w:rPr>
                <w:sz w:val="20"/>
                <w:szCs w:val="20"/>
                <w:color w:val="auto"/>
              </w:rPr>
            </w:pPr>
            <w:r>
              <w:rPr>
                <w:rFonts w:ascii="Arial" w:cs="Arial" w:eastAsia="Arial" w:hAnsi="Arial"/>
                <w:sz w:val="18"/>
                <w:szCs w:val="18"/>
                <w:color w:val="auto"/>
              </w:rPr>
              <w:t>$19,020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$16,608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$55,495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$58,786</w:t>
            </w:r>
          </w:p>
        </w:tc>
        <w:tc>
          <w:tcPr>
            <w:tcW w:w="0" w:type="dxa"/>
            <w:vAlign w:val="bottom"/>
          </w:tcPr>
          <w:p>
            <w:pPr>
              <w:spacing w:after="0"/>
              <w:rPr>
                <w:sz w:val="1"/>
                <w:szCs w:val="1"/>
                <w:color w:val="auto"/>
              </w:rPr>
            </w:pPr>
          </w:p>
        </w:tc>
      </w:tr>
      <w:tr>
        <w:trPr>
          <w:trHeight w:val="188"/>
        </w:trPr>
        <w:tc>
          <w:tcPr>
            <w:tcW w:w="608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General and administrative (includes related party amounts of $0, $0,</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23,509</w:t>
            </w:r>
          </w:p>
        </w:tc>
        <w:tc>
          <w:tcPr>
            <w:tcW w:w="120" w:type="dxa"/>
            <w:vAlign w:val="bottom"/>
            <w:vMerge w:val="restart"/>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vMerge w:val="restart"/>
            <w:shd w:val="clear" w:color="auto" w:fill="CFF0FC"/>
          </w:tcPr>
          <w:p>
            <w:pPr>
              <w:spacing w:after="0"/>
              <w:rPr>
                <w:sz w:val="16"/>
                <w:szCs w:val="16"/>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70,303</w:t>
            </w:r>
          </w:p>
        </w:tc>
        <w:tc>
          <w:tcPr>
            <w:tcW w:w="100" w:type="dxa"/>
            <w:vAlign w:val="bottom"/>
            <w:vMerge w:val="restart"/>
            <w:shd w:val="clear" w:color="auto" w:fill="CFF0FC"/>
          </w:tcPr>
          <w:p>
            <w:pPr>
              <w:spacing w:after="0"/>
              <w:rPr>
                <w:sz w:val="16"/>
                <w:szCs w:val="16"/>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43,254</w:t>
            </w:r>
          </w:p>
        </w:tc>
        <w:tc>
          <w:tcPr>
            <w:tcW w:w="0" w:type="dxa"/>
            <w:vAlign w:val="bottom"/>
          </w:tcPr>
          <w:p>
            <w:pPr>
              <w:spacing w:after="0"/>
              <w:rPr>
                <w:sz w:val="1"/>
                <w:szCs w:val="1"/>
                <w:color w:val="auto"/>
              </w:rPr>
            </w:pPr>
          </w:p>
        </w:tc>
      </w:tr>
      <w:tr>
        <w:trPr>
          <w:trHeight w:val="203"/>
        </w:trPr>
        <w:tc>
          <w:tcPr>
            <w:tcW w:w="6080" w:type="dxa"/>
            <w:vAlign w:val="bottom"/>
            <w:tcBorders>
              <w:bottom w:val="single" w:sz="8" w:color="CFF0FC"/>
            </w:tcBorders>
            <w:shd w:val="clear" w:color="auto" w:fill="CFF0FC"/>
          </w:tcPr>
          <w:p>
            <w:pPr>
              <w:ind w:left="200"/>
              <w:spacing w:after="0" w:line="203" w:lineRule="exact"/>
              <w:rPr>
                <w:sz w:val="20"/>
                <w:szCs w:val="20"/>
                <w:color w:val="auto"/>
              </w:rPr>
            </w:pPr>
            <w:r>
              <w:rPr>
                <w:rFonts w:ascii="Arial" w:cs="Arial" w:eastAsia="Arial" w:hAnsi="Arial"/>
                <w:sz w:val="18"/>
                <w:szCs w:val="18"/>
                <w:color w:val="auto"/>
              </w:rPr>
              <w:t>$0, and $16, respectively)</w:t>
            </w: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vMerge w:val="continue"/>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42,529</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125,798</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102,040</w:t>
            </w:r>
          </w:p>
        </w:tc>
        <w:tc>
          <w:tcPr>
            <w:tcW w:w="0" w:type="dxa"/>
            <w:vAlign w:val="bottom"/>
          </w:tcPr>
          <w:p>
            <w:pPr>
              <w:spacing w:after="0"/>
              <w:rPr>
                <w:sz w:val="1"/>
                <w:szCs w:val="1"/>
                <w:color w:val="auto"/>
              </w:rPr>
            </w:pPr>
          </w:p>
        </w:tc>
      </w:tr>
      <w:tr>
        <w:trPr>
          <w:trHeight w:val="209"/>
        </w:trPr>
        <w:tc>
          <w:tcPr>
            <w:tcW w:w="60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spacing w:after="0"/>
              <w:rPr>
                <w:sz w:val="18"/>
                <w:szCs w:val="18"/>
                <w:color w:val="auto"/>
              </w:rPr>
            </w:pPr>
          </w:p>
        </w:tc>
        <w:tc>
          <w:tcPr>
            <w:tcW w:w="1320" w:type="dxa"/>
            <w:vAlign w:val="bottom"/>
            <w:gridSpan w:val="2"/>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20" w:type="dxa"/>
            <w:vAlign w:val="bottom"/>
          </w:tcPr>
          <w:p>
            <w:pPr>
              <w:jc w:val="right"/>
              <w:spacing w:after="0"/>
              <w:rPr>
                <w:sz w:val="20"/>
                <w:szCs w:val="20"/>
                <w:color w:val="auto"/>
              </w:rPr>
            </w:pPr>
            <w:r>
              <w:rPr>
                <w:rFonts w:ascii="Arial" w:cs="Arial" w:eastAsia="Arial" w:hAnsi="Arial"/>
                <w:sz w:val="18"/>
                <w:szCs w:val="18"/>
                <w:color w:val="auto"/>
              </w:rPr>
              <w:t>(42,529)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(33,137)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(125,798)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(102,040)</w:t>
            </w:r>
          </w:p>
        </w:tc>
        <w:tc>
          <w:tcPr>
            <w:tcW w:w="0" w:type="dxa"/>
            <w:vAlign w:val="bottom"/>
          </w:tcPr>
          <w:p>
            <w:pPr>
              <w:spacing w:after="0"/>
              <w:rPr>
                <w:sz w:val="1"/>
                <w:szCs w:val="1"/>
                <w:color w:val="auto"/>
              </w:rPr>
            </w:pPr>
          </w:p>
        </w:tc>
      </w:tr>
      <w:tr>
        <w:trPr>
          <w:trHeight w:val="210"/>
        </w:trPr>
        <w:tc>
          <w:tcPr>
            <w:tcW w:w="608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0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(9,277)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(17,703)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(8,562)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(16,878)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49"/>
        </w:trPr>
        <w:tc>
          <w:tcPr>
            <w:tcW w:w="6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$(51,091)</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$(36,662)</w:t>
            </w:r>
          </w:p>
        </w:tc>
        <w:tc>
          <w:tcPr>
            <w:tcW w:w="1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$(142,676)</w:t>
            </w: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$(108,057)</w:t>
            </w:r>
          </w:p>
        </w:tc>
        <w:tc>
          <w:tcPr>
            <w:tcW w:w="0" w:type="dxa"/>
            <w:vAlign w:val="bottom"/>
          </w:tcPr>
          <w:p>
            <w:pPr>
              <w:spacing w:after="0"/>
              <w:rPr>
                <w:sz w:val="1"/>
                <w:szCs w:val="1"/>
                <w:color w:val="auto"/>
              </w:rPr>
            </w:pPr>
          </w:p>
        </w:tc>
      </w:tr>
      <w:tr>
        <w:trPr>
          <w:trHeight w:val="197"/>
        </w:trPr>
        <w:tc>
          <w:tcPr>
            <w:tcW w:w="608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$(0.98)</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shd w:val="clear" w:color="auto" w:fill="CFF0FC"/>
              </w:rPr>
              <w:t>Weighted-average shares of common stock outstanding, basic and diluted</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shd w:val="clear" w:color="auto" w:fill="CFF0FC"/>
              </w:rPr>
              <w:t>38,820,266</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shd w:val="clear" w:color="auto" w:fill="CFF0FC"/>
              </w:rPr>
              <w:t>37,299,351</w:t>
            </w:r>
          </w:p>
        </w:tc>
        <w:tc>
          <w:tcPr>
            <w:tcW w:w="1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shd w:val="clear" w:color="auto" w:fill="CFF0FC"/>
              </w:rPr>
              <w:t>38,379,292</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shd w:val="clear" w:color="auto" w:fill="CFF0FC"/>
              </w:rPr>
              <w:t>36,748,492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-1765300</wp:posOffset>
            </wp:positionV>
            <wp:extent cx="768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-1765300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-1765300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-642620</wp:posOffset>
            </wp:positionV>
            <wp:extent cx="7683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-642620</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-642620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-350520</wp:posOffset>
            </wp:positionV>
            <wp:extent cx="173990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9900" cy="18859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4"/>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900" w:type="dxa"/>
            <w:vAlign w:val="bottom"/>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December 31, 2021</w:t>
            </w: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30,511,22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3"/>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601,523</w:t>
            </w:r>
          </w:p>
        </w:tc>
        <w:tc>
          <w:tcPr>
            <w:tcW w:w="420" w:type="dxa"/>
            <w:vAlign w:val="bottom"/>
            <w:gridSpan w:val="3"/>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(529,370 )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Cashless exercise of common stock warrants</w:t>
            </w:r>
          </w:p>
        </w:tc>
        <w:tc>
          <w:tcPr>
            <w:tcW w:w="1000" w:type="dxa"/>
            <w:vAlign w:val="bottom"/>
          </w:tcPr>
          <w:p>
            <w:pPr>
              <w:jc w:val="right"/>
              <w:spacing w:after="0"/>
              <w:rPr>
                <w:sz w:val="20"/>
                <w:szCs w:val="20"/>
                <w:color w:val="auto"/>
              </w:rPr>
            </w:pPr>
            <w:r>
              <w:rPr>
                <w:rFonts w:ascii="Arial" w:cs="Arial" w:eastAsia="Arial" w:hAnsi="Arial"/>
                <w:sz w:val="18"/>
                <w:szCs w:val="18"/>
                <w:color w:val="auto"/>
              </w:rPr>
              <w:t>7,359,285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401(k) matching contribution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Vesting of restricted shares</w:t>
            </w:r>
          </w:p>
        </w:tc>
        <w:tc>
          <w:tcPr>
            <w:tcW w:w="1000" w:type="dxa"/>
            <w:vAlign w:val="bottom"/>
          </w:tcPr>
          <w:p>
            <w:pPr>
              <w:jc w:val="right"/>
              <w:spacing w:after="0"/>
              <w:rPr>
                <w:sz w:val="20"/>
                <w:szCs w:val="20"/>
                <w:color w:val="auto"/>
              </w:rPr>
            </w:pPr>
            <w:r>
              <w:rPr>
                <w:rFonts w:ascii="Arial" w:cs="Arial" w:eastAsia="Arial" w:hAnsi="Arial"/>
                <w:sz w:val="18"/>
                <w:szCs w:val="18"/>
                <w:color w:val="auto"/>
              </w:rPr>
              <w:t>222,595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ESPP shares 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39,951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(40,665 )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(40,665 )</w:t>
            </w:r>
          </w:p>
        </w:tc>
        <w:tc>
          <w:tcPr>
            <w:tcW w:w="0" w:type="dxa"/>
            <w:vAlign w:val="bottom"/>
          </w:tcPr>
          <w:p>
            <w:pPr>
              <w:spacing w:after="0"/>
              <w:rPr>
                <w:sz w:val="1"/>
                <w:szCs w:val="1"/>
                <w:color w:val="auto"/>
              </w:rPr>
            </w:pPr>
          </w:p>
        </w:tc>
      </w:tr>
      <w:tr>
        <w:trPr>
          <w:trHeight w:val="182"/>
        </w:trPr>
        <w:tc>
          <w:tcPr>
            <w:tcW w:w="3900" w:type="dxa"/>
            <w:vAlign w:val="bottom"/>
            <w:tcBorders>
              <w:top w:val="single" w:sz="8" w:color="CFF0FC"/>
            </w:tcBorders>
            <w:gridSpan w:val="2"/>
          </w:tcPr>
          <w:p>
            <w:pPr>
              <w:ind w:left="20"/>
              <w:spacing w:after="0" w:line="182" w:lineRule="exact"/>
              <w:rPr>
                <w:sz w:val="20"/>
                <w:szCs w:val="20"/>
                <w:color w:val="auto"/>
              </w:rPr>
            </w:pPr>
            <w:r>
              <w:rPr>
                <w:rFonts w:ascii="Arial" w:cs="Arial" w:eastAsia="Arial" w:hAnsi="Arial"/>
                <w:sz w:val="18"/>
                <w:szCs w:val="18"/>
                <w:color w:val="auto"/>
              </w:rPr>
              <w:t>Balance at March 31, 2022</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38,149,81</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gridSpan w:val="2"/>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608,067</w:t>
            </w:r>
          </w:p>
        </w:tc>
        <w:tc>
          <w:tcPr>
            <w:tcW w:w="220" w:type="dxa"/>
            <w:vAlign w:val="bottom"/>
            <w:gridSpan w:val="2"/>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(570,035 )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Vesting of restricted shares</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222,590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(50,920 )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(50,920 )</w:t>
            </w:r>
          </w:p>
        </w:tc>
        <w:tc>
          <w:tcPr>
            <w:tcW w:w="0" w:type="dxa"/>
            <w:vAlign w:val="bottom"/>
          </w:tcPr>
          <w:p>
            <w:pPr>
              <w:spacing w:after="0"/>
              <w:rPr>
                <w:sz w:val="1"/>
                <w:szCs w:val="1"/>
                <w:color w:val="auto"/>
              </w:rPr>
            </w:pPr>
          </w:p>
        </w:tc>
      </w:tr>
      <w:tr>
        <w:trPr>
          <w:trHeight w:val="182"/>
        </w:trPr>
        <w:tc>
          <w:tcPr>
            <w:tcW w:w="3900" w:type="dxa"/>
            <w:vAlign w:val="bottom"/>
            <w:tcBorders>
              <w:top w:val="single" w:sz="8" w:color="CFF0FC"/>
            </w:tcBorders>
            <w:gridSpan w:val="2"/>
          </w:tcPr>
          <w:p>
            <w:pPr>
              <w:ind w:left="20"/>
              <w:spacing w:after="0" w:line="182" w:lineRule="exact"/>
              <w:rPr>
                <w:sz w:val="20"/>
                <w:szCs w:val="20"/>
                <w:color w:val="auto"/>
              </w:rPr>
            </w:pPr>
            <w:r>
              <w:rPr>
                <w:rFonts w:ascii="Arial" w:cs="Arial" w:eastAsia="Arial" w:hAnsi="Arial"/>
                <w:sz w:val="18"/>
                <w:szCs w:val="18"/>
                <w:color w:val="auto"/>
              </w:rPr>
              <w:t>Balance at June 30, 2022</w:t>
            </w: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38,372,40</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140" w:type="dxa"/>
            <w:vAlign w:val="bottom"/>
            <w:gridSpan w:val="3"/>
          </w:tcPr>
          <w:p>
            <w:pPr>
              <w:jc w:val="right"/>
              <w:ind w:right="69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613,952</w:t>
            </w: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(620,955 )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(7,000 )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gridSpan w:val="2"/>
            <w:shd w:val="clear" w:color="auto" w:fill="CFF0FC"/>
          </w:tcPr>
          <w:p>
            <w:pPr>
              <w:ind w:left="20"/>
              <w:spacing w:after="0" w:line="169" w:lineRule="exact"/>
              <w:rPr>
                <w:sz w:val="20"/>
                <w:szCs w:val="20"/>
                <w:color w:val="auto"/>
              </w:rPr>
            </w:pPr>
            <w:r>
              <w:rPr>
                <w:rFonts w:ascii="Arial" w:cs="Arial" w:eastAsia="Arial" w:hAnsi="Arial"/>
                <w:sz w:val="18"/>
                <w:szCs w:val="18"/>
                <w:color w:val="auto"/>
              </w:rPr>
              <w:t>Issuance of common stock from exercise of</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401(k) matching contribution</w:t>
            </w:r>
          </w:p>
        </w:tc>
        <w:tc>
          <w:tcPr>
            <w:tcW w:w="1000" w:type="dxa"/>
            <w:vAlign w:val="bottom"/>
          </w:tcPr>
          <w:p>
            <w:pPr>
              <w:jc w:val="right"/>
              <w:spacing w:after="0"/>
              <w:rPr>
                <w:sz w:val="20"/>
                <w:szCs w:val="20"/>
                <w:color w:val="auto"/>
              </w:rPr>
            </w:pPr>
            <w:r>
              <w:rPr>
                <w:rFonts w:ascii="Arial" w:cs="Arial" w:eastAsia="Arial" w:hAnsi="Arial"/>
                <w:sz w:val="18"/>
                <w:szCs w:val="18"/>
                <w:color w:val="auto"/>
              </w:rPr>
              <w:t>84,784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Vesting of restricted shares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222,595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under ATM facility</w:t>
            </w:r>
          </w:p>
        </w:tc>
        <w:tc>
          <w:tcPr>
            <w:tcW w:w="1000" w:type="dxa"/>
            <w:vAlign w:val="bottom"/>
          </w:tcPr>
          <w:p>
            <w:pPr>
              <w:jc w:val="right"/>
              <w:spacing w:after="0"/>
              <w:rPr>
                <w:sz w:val="20"/>
                <w:szCs w:val="20"/>
                <w:color w:val="auto"/>
              </w:rPr>
            </w:pPr>
            <w:r>
              <w:rPr>
                <w:rFonts w:ascii="Arial" w:cs="Arial" w:eastAsia="Arial" w:hAnsi="Arial"/>
                <w:sz w:val="18"/>
                <w:szCs w:val="18"/>
                <w:color w:val="auto"/>
              </w:rPr>
              <w:t>2,414,897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ESPP shares issued</w:t>
            </w:r>
          </w:p>
        </w:tc>
        <w:tc>
          <w:tcPr>
            <w:tcW w:w="1000" w:type="dxa"/>
            <w:vAlign w:val="bottom"/>
          </w:tcPr>
          <w:p>
            <w:pPr>
              <w:jc w:val="right"/>
              <w:spacing w:after="0"/>
              <w:rPr>
                <w:sz w:val="20"/>
                <w:szCs w:val="20"/>
                <w:color w:val="auto"/>
              </w:rPr>
            </w:pPr>
            <w:r>
              <w:rPr>
                <w:rFonts w:ascii="Arial" w:cs="Arial" w:eastAsia="Arial" w:hAnsi="Arial"/>
                <w:sz w:val="18"/>
                <w:szCs w:val="18"/>
                <w:color w:val="auto"/>
              </w:rPr>
              <w:t>49,147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(51,091 )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(51,091 )</w:t>
            </w:r>
          </w:p>
        </w:tc>
        <w:tc>
          <w:tcPr>
            <w:tcW w:w="0" w:type="dxa"/>
            <w:vAlign w:val="bottom"/>
          </w:tcPr>
          <w:p>
            <w:pPr>
              <w:spacing w:after="0"/>
              <w:rPr>
                <w:sz w:val="1"/>
                <w:szCs w:val="1"/>
                <w:color w:val="auto"/>
              </w:rPr>
            </w:pPr>
          </w:p>
        </w:tc>
      </w:tr>
      <w:tr>
        <w:trPr>
          <w:trHeight w:val="182"/>
        </w:trPr>
        <w:tc>
          <w:tcPr>
            <w:tcW w:w="37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Balance at September 30, 2022</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41,143,82</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140" w:type="dxa"/>
            <w:vAlign w:val="bottom"/>
            <w:gridSpan w:val="3"/>
          </w:tcPr>
          <w:p>
            <w:pPr>
              <w:jc w:val="right"/>
              <w:ind w:right="69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645,620</w:t>
            </w:r>
          </w:p>
        </w:tc>
        <w:tc>
          <w:tcPr>
            <w:tcW w:w="42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(672,046 )</w:t>
            </w:r>
          </w:p>
        </w:tc>
        <w:tc>
          <w:tcPr>
            <w:tcW w:w="1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(26,423 )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-2365375</wp:posOffset>
            </wp:positionV>
            <wp:extent cx="77470"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-2365375</wp:posOffset>
            </wp:positionV>
            <wp:extent cx="7683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-2365375</wp:posOffset>
            </wp:positionV>
            <wp:extent cx="6858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-2365375</wp:posOffset>
            </wp:positionV>
            <wp:extent cx="6858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-2365375</wp:posOffset>
            </wp:positionV>
            <wp:extent cx="6858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291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-1662430</wp:posOffset>
            </wp:positionV>
            <wp:extent cx="7747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-1662430</wp:posOffset>
            </wp:positionV>
            <wp:extent cx="76835"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-1662430</wp:posOffset>
            </wp:positionV>
            <wp:extent cx="68580"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-1662430</wp:posOffset>
            </wp:positionV>
            <wp:extent cx="68580"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-1662430</wp:posOffset>
            </wp:positionV>
            <wp:extent cx="6858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-290830</wp:posOffset>
            </wp:positionV>
            <wp:extent cx="7747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-290830</wp:posOffset>
            </wp:positionV>
            <wp:extent cx="7683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29146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-290830</wp:posOffset>
            </wp:positionV>
            <wp:extent cx="6858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-290830</wp:posOffset>
            </wp:positionV>
            <wp:extent cx="6858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-290830</wp:posOffset>
            </wp:positionV>
            <wp:extent cx="68580"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 (Deficit)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500" w:type="dxa"/>
            <w:vAlign w:val="bottom"/>
            <w:gridSpan w:val="4"/>
            <w:vMerge w:val="restart"/>
          </w:tcPr>
          <w:p>
            <w:pPr>
              <w:jc w:val="right"/>
              <w:ind w:right="69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92"/>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80" w:type="dxa"/>
            <w:vAlign w:val="bottom"/>
            <w:gridSpan w:val="2"/>
            <w:vMerge w:val="restart"/>
          </w:tcPr>
          <w:p>
            <w:pPr>
              <w:jc w:val="right"/>
              <w:ind w:right="11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250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2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1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39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December 31, 2020</w:t>
            </w:r>
          </w:p>
        </w:tc>
        <w:tc>
          <w:tcPr>
            <w:tcW w:w="11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28,516,01</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579,755</w:t>
            </w:r>
          </w:p>
        </w:tc>
        <w:tc>
          <w:tcPr>
            <w:tcW w:w="3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(385,487 )</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194,271</w:t>
            </w:r>
          </w:p>
        </w:tc>
        <w:tc>
          <w:tcPr>
            <w:tcW w:w="0" w:type="dxa"/>
            <w:vAlign w:val="bottom"/>
          </w:tcPr>
          <w:p>
            <w:pPr>
              <w:spacing w:after="0"/>
              <w:rPr>
                <w:sz w:val="1"/>
                <w:szCs w:val="1"/>
                <w:color w:val="auto"/>
              </w:rPr>
            </w:pPr>
          </w:p>
        </w:tc>
      </w:tr>
      <w:tr>
        <w:trPr>
          <w:trHeight w:val="188"/>
        </w:trPr>
        <w:tc>
          <w:tcPr>
            <w:tcW w:w="3900" w:type="dxa"/>
            <w:vAlign w:val="bottom"/>
          </w:tcPr>
          <w:p>
            <w:pPr>
              <w:ind w:left="20"/>
              <w:spacing w:after="0" w:line="189" w:lineRule="exact"/>
              <w:rPr>
                <w:sz w:val="20"/>
                <w:szCs w:val="20"/>
                <w:color w:val="auto"/>
              </w:rPr>
            </w:pPr>
            <w:r>
              <w:rPr>
                <w:rFonts w:ascii="Arial" w:cs="Arial" w:eastAsia="Arial" w:hAnsi="Arial"/>
                <w:sz w:val="18"/>
                <w:szCs w:val="18"/>
                <w:color w:val="auto"/>
              </w:rPr>
              <w:t>Issuance of common stock from exercise of</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36,998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401(k) matching contribution</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8,356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Vesting of restricted shares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301,656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3,818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ESPP shares issued</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13,490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(34,843 )</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(34,843 )</w:t>
            </w:r>
          </w:p>
        </w:tc>
        <w:tc>
          <w:tcPr>
            <w:tcW w:w="0" w:type="dxa"/>
            <w:vAlign w:val="bottom"/>
          </w:tcPr>
          <w:p>
            <w:pPr>
              <w:spacing w:after="0"/>
              <w:rPr>
                <w:sz w:val="1"/>
                <w:szCs w:val="1"/>
                <w:color w:val="auto"/>
              </w:rPr>
            </w:pPr>
          </w:p>
        </w:tc>
      </w:tr>
      <w:tr>
        <w:trPr>
          <w:trHeight w:val="182"/>
        </w:trPr>
        <w:tc>
          <w:tcPr>
            <w:tcW w:w="3900" w:type="dxa"/>
            <w:vAlign w:val="bottom"/>
          </w:tcPr>
          <w:p>
            <w:pPr>
              <w:ind w:left="20"/>
              <w:spacing w:after="0" w:line="182" w:lineRule="exact"/>
              <w:rPr>
                <w:sz w:val="20"/>
                <w:szCs w:val="20"/>
                <w:color w:val="auto"/>
              </w:rPr>
            </w:pPr>
            <w:r>
              <w:rPr>
                <w:rFonts w:ascii="Arial" w:cs="Arial" w:eastAsia="Arial" w:hAnsi="Arial"/>
                <w:sz w:val="18"/>
                <w:szCs w:val="18"/>
                <w:color w:val="auto"/>
              </w:rPr>
              <w:t>Balance at March 31, 2021</w:t>
            </w:r>
          </w:p>
        </w:tc>
        <w:tc>
          <w:tcPr>
            <w:tcW w:w="11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28,876,51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9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584,666</w:t>
            </w:r>
          </w:p>
        </w:tc>
        <w:tc>
          <w:tcPr>
            <w:tcW w:w="3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(420,330 )</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164,339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00" w:type="dxa"/>
            <w:vAlign w:val="bottom"/>
            <w:shd w:val="clear" w:color="auto" w:fill="CFF0FC"/>
          </w:tcPr>
          <w:p>
            <w:pPr>
              <w:ind w:left="20"/>
              <w:spacing w:after="0" w:line="169" w:lineRule="exact"/>
              <w:rPr>
                <w:sz w:val="20"/>
                <w:szCs w:val="20"/>
                <w:color w:val="auto"/>
              </w:rPr>
            </w:pPr>
            <w:r>
              <w:rPr>
                <w:rFonts w:ascii="Arial" w:cs="Arial" w:eastAsia="Arial" w:hAnsi="Arial"/>
                <w:sz w:val="18"/>
                <w:szCs w:val="18"/>
                <w:color w:val="auto"/>
              </w:rPr>
              <w:t>Issuance of common stock from exercise of</w:t>
            </w: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8,000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Vesting of restricted shares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301,659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(36,552 )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(36,552 )</w:t>
            </w:r>
          </w:p>
        </w:tc>
        <w:tc>
          <w:tcPr>
            <w:tcW w:w="0" w:type="dxa"/>
            <w:vAlign w:val="bottom"/>
          </w:tcPr>
          <w:p>
            <w:pPr>
              <w:spacing w:after="0"/>
              <w:rPr>
                <w:sz w:val="1"/>
                <w:szCs w:val="1"/>
                <w:color w:val="auto"/>
              </w:rPr>
            </w:pPr>
          </w:p>
        </w:tc>
      </w:tr>
      <w:tr>
        <w:trPr>
          <w:trHeight w:val="182"/>
        </w:trPr>
        <w:tc>
          <w:tcPr>
            <w:tcW w:w="39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June 30, 2021</w:t>
            </w:r>
          </w:p>
        </w:tc>
        <w:tc>
          <w:tcPr>
            <w:tcW w:w="11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29,186,16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FF0FC"/>
          </w:tcPr>
          <w:p>
            <w:pPr>
              <w:spacing w:after="0"/>
              <w:rPr>
                <w:sz w:val="22"/>
                <w:szCs w:val="22"/>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589,007</w:t>
            </w:r>
          </w:p>
        </w:tc>
        <w:tc>
          <w:tcPr>
            <w:tcW w:w="3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(456,882 )</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132,128</w:t>
            </w:r>
          </w:p>
        </w:tc>
        <w:tc>
          <w:tcPr>
            <w:tcW w:w="0" w:type="dxa"/>
            <w:vAlign w:val="bottom"/>
          </w:tcPr>
          <w:p>
            <w:pPr>
              <w:spacing w:after="0"/>
              <w:rPr>
                <w:sz w:val="1"/>
                <w:szCs w:val="1"/>
                <w:color w:val="auto"/>
              </w:rPr>
            </w:pPr>
          </w:p>
        </w:tc>
      </w:tr>
      <w:tr>
        <w:trPr>
          <w:trHeight w:val="169"/>
        </w:trPr>
        <w:tc>
          <w:tcPr>
            <w:tcW w:w="3900" w:type="dxa"/>
            <w:vAlign w:val="bottom"/>
            <w:tcBorders>
              <w:top w:val="single" w:sz="8" w:color="CFF0FC"/>
            </w:tcBorders>
          </w:tcPr>
          <w:p>
            <w:pPr>
              <w:ind w:left="20"/>
              <w:spacing w:after="0" w:line="169" w:lineRule="exact"/>
              <w:rPr>
                <w:sz w:val="20"/>
                <w:szCs w:val="20"/>
                <w:color w:val="auto"/>
              </w:rPr>
            </w:pPr>
            <w:r>
              <w:rPr>
                <w:rFonts w:ascii="Arial" w:cs="Arial" w:eastAsia="Arial" w:hAnsi="Arial"/>
                <w:sz w:val="18"/>
                <w:szCs w:val="18"/>
                <w:color w:val="auto"/>
              </w:rPr>
              <w:t>Issuance of common stock from exercise of</w:t>
            </w:r>
          </w:p>
        </w:tc>
        <w:tc>
          <w:tcPr>
            <w:tcW w:w="11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50,073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401(k) matching contribution</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18,394</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Vesting of restricted shares</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776,045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ESPP shares issued</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16,747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warrants</w:t>
            </w: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(36,662 )</w:t>
            </w:r>
          </w:p>
        </w:tc>
        <w:tc>
          <w:tcPr>
            <w:tcW w:w="0" w:type="dxa"/>
            <w:vAlign w:val="bottom"/>
          </w:tcPr>
          <w:p>
            <w:pPr>
              <w:spacing w:after="0"/>
              <w:rPr>
                <w:sz w:val="1"/>
                <w:szCs w:val="1"/>
                <w:color w:val="auto"/>
              </w:rPr>
            </w:pPr>
          </w:p>
        </w:tc>
      </w:tr>
      <w:tr>
        <w:trPr>
          <w:trHeight w:val="182"/>
        </w:trPr>
        <w:tc>
          <w:tcPr>
            <w:tcW w:w="390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at September 30, 2021</w:t>
            </w:r>
          </w:p>
        </w:tc>
        <w:tc>
          <w:tcPr>
            <w:tcW w:w="11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30,047,42</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597,022</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(493,544 )</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103,481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-2622550</wp:posOffset>
            </wp:positionV>
            <wp:extent cx="77470"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-2622550</wp:posOffset>
            </wp:positionV>
            <wp:extent cx="77470" cy="291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29146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-2622550</wp:posOffset>
            </wp:positionV>
            <wp:extent cx="6858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-2622550</wp:posOffset>
            </wp:positionV>
            <wp:extent cx="6858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-2622550</wp:posOffset>
            </wp:positionV>
            <wp:extent cx="68580" cy="291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9146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-1396365</wp:posOffset>
            </wp:positionV>
            <wp:extent cx="3274695" cy="283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4695" cy="28321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PHATHOM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r>
      <w:tr>
        <w:trPr>
          <w:trHeight w:val="19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(142,676 )</w:t>
            </w:r>
          </w:p>
        </w:tc>
        <w:tc>
          <w:tcPr>
            <w:tcW w:w="5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(108,057 )</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386</w:t>
            </w:r>
          </w:p>
        </w:tc>
      </w:tr>
      <w:tr>
        <w:trPr>
          <w:trHeight w:val="205"/>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17,476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12,474</w:t>
            </w:r>
          </w:p>
        </w:tc>
      </w:tr>
      <w:tr>
        <w:trPr>
          <w:trHeight w:val="200"/>
        </w:trPr>
        <w:tc>
          <w:tcPr>
            <w:tcW w:w="7740" w:type="dxa"/>
            <w:vAlign w:val="bottom"/>
          </w:tcPr>
          <w:p>
            <w:pPr>
              <w:ind w:left="200"/>
              <w:spacing w:after="0"/>
              <w:rPr>
                <w:sz w:val="20"/>
                <w:szCs w:val="20"/>
                <w:color w:val="auto"/>
              </w:rPr>
            </w:pPr>
            <w:r>
              <w:rPr>
                <w:rFonts w:ascii="Arial" w:cs="Arial" w:eastAsia="Arial" w:hAnsi="Arial"/>
                <w:sz w:val="16"/>
                <w:szCs w:val="16"/>
                <w:color w:val="auto"/>
              </w:rPr>
              <w:t>Issuance of PIK interest debt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2,594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130</w:t>
            </w:r>
          </w:p>
        </w:tc>
      </w:tr>
      <w:tr>
        <w:trPr>
          <w:trHeight w:val="205"/>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interest on revenue interest financing liability</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8,349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0"/>
        </w:trPr>
        <w:tc>
          <w:tcPr>
            <w:tcW w:w="7740" w:type="dxa"/>
            <w:vAlign w:val="bottom"/>
          </w:tcPr>
          <w:p>
            <w:pPr>
              <w:ind w:left="200"/>
              <w:spacing w:after="0"/>
              <w:rPr>
                <w:sz w:val="20"/>
                <w:szCs w:val="20"/>
                <w:color w:val="auto"/>
              </w:rPr>
            </w:pPr>
            <w:r>
              <w:rPr>
                <w:rFonts w:ascii="Arial" w:cs="Arial" w:eastAsia="Arial" w:hAnsi="Arial"/>
                <w:sz w:val="16"/>
                <w:szCs w:val="16"/>
                <w:color w:val="auto"/>
              </w:rPr>
              <w:t>Amortization of debt discount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1,613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3,088</w:t>
            </w:r>
          </w:p>
        </w:tc>
      </w:tr>
      <w:tr>
        <w:trPr>
          <w:trHeight w:val="205"/>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722</w:t>
            </w:r>
          </w:p>
        </w:tc>
      </w:tr>
      <w:tr>
        <w:trPr>
          <w:trHeight w:val="200"/>
        </w:trPr>
        <w:tc>
          <w:tcPr>
            <w:tcW w:w="774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67"/>
        </w:trPr>
        <w:tc>
          <w:tcPr>
            <w:tcW w:w="7740" w:type="dxa"/>
            <w:vAlign w:val="bottom"/>
            <w:shd w:val="clear" w:color="auto" w:fill="CFF0FC"/>
          </w:tcPr>
          <w:p>
            <w:pPr>
              <w:ind w:left="380"/>
              <w:spacing w:after="0" w:line="167" w:lineRule="exact"/>
              <w:rPr>
                <w:sz w:val="20"/>
                <w:szCs w:val="20"/>
                <w:color w:val="auto"/>
              </w:rPr>
            </w:pPr>
            <w:r>
              <w:rPr>
                <w:rFonts w:ascii="Arial" w:cs="Arial" w:eastAsia="Arial" w:hAnsi="Arial"/>
                <w:sz w:val="16"/>
                <w:szCs w:val="16"/>
                <w:color w:val="auto"/>
              </w:rPr>
              <w:t>Prepaid expenses and other current assets (includes the change in related party</w:t>
            </w:r>
          </w:p>
        </w:tc>
        <w:tc>
          <w:tcPr>
            <w:tcW w:w="3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r>
      <w:tr>
        <w:trPr>
          <w:trHeight w:val="201"/>
        </w:trPr>
        <w:tc>
          <w:tcPr>
            <w:tcW w:w="7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amounts of $0, and $82, respectively)</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3,177</w:t>
            </w:r>
          </w:p>
        </w:tc>
      </w:tr>
      <w:tr>
        <w:trPr>
          <w:trHeight w:val="164"/>
        </w:trPr>
        <w:tc>
          <w:tcPr>
            <w:tcW w:w="7740" w:type="dxa"/>
            <w:vAlign w:val="bottom"/>
          </w:tcPr>
          <w:p>
            <w:pPr>
              <w:ind w:left="380"/>
              <w:spacing w:after="0" w:line="164" w:lineRule="exact"/>
              <w:rPr>
                <w:sz w:val="20"/>
                <w:szCs w:val="20"/>
                <w:color w:val="auto"/>
              </w:rPr>
            </w:pPr>
            <w:r>
              <w:rPr>
                <w:rFonts w:ascii="Arial" w:cs="Arial" w:eastAsia="Arial" w:hAnsi="Arial"/>
                <w:sz w:val="16"/>
                <w:szCs w:val="16"/>
                <w:color w:val="auto"/>
              </w:rPr>
              <w:t>Accounts payable and accrued expenses (includes the change in related party</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8"/>
        </w:trPr>
        <w:tc>
          <w:tcPr>
            <w:tcW w:w="7740" w:type="dxa"/>
            <w:vAlign w:val="bottom"/>
          </w:tcPr>
          <w:p>
            <w:pPr>
              <w:ind w:left="520"/>
              <w:spacing w:after="0"/>
              <w:rPr>
                <w:sz w:val="20"/>
                <w:szCs w:val="20"/>
                <w:color w:val="auto"/>
              </w:rPr>
            </w:pPr>
            <w:r>
              <w:rPr>
                <w:rFonts w:ascii="Arial" w:cs="Arial" w:eastAsia="Arial" w:hAnsi="Arial"/>
                <w:sz w:val="16"/>
                <w:szCs w:val="16"/>
                <w:color w:val="auto"/>
              </w:rPr>
              <w:t>amounts of $(1,210), and $1,251, respectively)</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4,762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(9,629 )</w:t>
            </w:r>
          </w:p>
        </w:tc>
      </w:tr>
      <w:tr>
        <w:trPr>
          <w:trHeight w:val="206"/>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clinical trial expenses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(9,506 )</w:t>
            </w:r>
          </w:p>
        </w:tc>
      </w:tr>
      <w:tr>
        <w:trPr>
          <w:trHeight w:val="199"/>
        </w:trPr>
        <w:tc>
          <w:tcPr>
            <w:tcW w:w="77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206"/>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right-of-use asset and lease liabilities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(306 )</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r>
      <w:tr>
        <w:trPr>
          <w:trHeight w:val="199"/>
        </w:trPr>
        <w:tc>
          <w:tcPr>
            <w:tcW w:w="7740" w:type="dxa"/>
            <w:vAlign w:val="bottom"/>
          </w:tcPr>
          <w:p>
            <w:pPr>
              <w:ind w:left="380"/>
              <w:spacing w:after="0"/>
              <w:rPr>
                <w:sz w:val="20"/>
                <w:szCs w:val="20"/>
                <w:color w:val="auto"/>
              </w:rPr>
            </w:pPr>
            <w:r>
              <w:rPr>
                <w:rFonts w:ascii="Arial" w:cs="Arial" w:eastAsia="Arial" w:hAnsi="Arial"/>
                <w:sz w:val="16"/>
                <w:szCs w:val="16"/>
                <w:color w:val="auto"/>
              </w:rPr>
              <w:t>Other long-term assets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(105,834 )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(107,195 )</w:t>
            </w:r>
          </w:p>
        </w:tc>
      </w:tr>
      <w:tr>
        <w:trPr>
          <w:trHeight w:val="199"/>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property, plant and equipment</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(629 )</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(228 )</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(629 )</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(228 )</w:t>
            </w:r>
          </w:p>
        </w:tc>
      </w:tr>
      <w:tr>
        <w:trPr>
          <w:trHeight w:val="199"/>
        </w:trPr>
        <w:tc>
          <w:tcPr>
            <w:tcW w:w="7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common stock from exercise of stock options</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1,781</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Repayment of long-term debt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(54,125 )</w:t>
            </w:r>
          </w:p>
        </w:tc>
      </w:tr>
      <w:tr>
        <w:trPr>
          <w:trHeight w:val="200"/>
        </w:trPr>
        <w:tc>
          <w:tcPr>
            <w:tcW w:w="7740" w:type="dxa"/>
            <w:vAlign w:val="bottom"/>
          </w:tcPr>
          <w:p>
            <w:pPr>
              <w:ind w:left="20"/>
              <w:spacing w:after="0"/>
              <w:rPr>
                <w:sz w:val="20"/>
                <w:szCs w:val="20"/>
                <w:color w:val="auto"/>
              </w:rPr>
            </w:pPr>
            <w:r>
              <w:rPr>
                <w:rFonts w:ascii="Arial" w:cs="Arial" w:eastAsia="Arial" w:hAnsi="Arial"/>
                <w:sz w:val="16"/>
                <w:szCs w:val="16"/>
                <w:color w:val="auto"/>
              </w:rPr>
              <w:t>Net proceeds from issuance of long-term debt</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96,889</w:t>
            </w:r>
          </w:p>
        </w:tc>
      </w:tr>
      <w:tr>
        <w:trPr>
          <w:trHeight w:val="20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proceeds from revenue interest financing transaction</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95,446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0"/>
        </w:trPr>
        <w:tc>
          <w:tcPr>
            <w:tcW w:w="7740" w:type="dxa"/>
            <w:vAlign w:val="bottom"/>
          </w:tcPr>
          <w:p>
            <w:pPr>
              <w:ind w:left="20"/>
              <w:spacing w:after="0"/>
              <w:rPr>
                <w:sz w:val="20"/>
                <w:szCs w:val="20"/>
                <w:color w:val="auto"/>
              </w:rPr>
            </w:pPr>
            <w:r>
              <w:rPr>
                <w:rFonts w:ascii="Arial" w:cs="Arial" w:eastAsia="Arial" w:hAnsi="Arial"/>
                <w:sz w:val="16"/>
                <w:szCs w:val="16"/>
                <w:color w:val="auto"/>
              </w:rPr>
              <w:t>Net proceeds from issuance of common stock under ATM facility</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24,596</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120,042</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44,545</w:t>
            </w: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13,579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(62,878 )</w:t>
            </w: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183,259</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287,496</w:t>
            </w: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196,838</w:t>
            </w:r>
          </w:p>
        </w:tc>
        <w:tc>
          <w:tcPr>
            <w:tcW w:w="5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224,618</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77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r>
      <w:tr>
        <w:trPr>
          <w:trHeight w:val="203"/>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paid</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4,938</w:t>
            </w:r>
          </w:p>
        </w:tc>
        <w:tc>
          <w:tcPr>
            <w:tcW w:w="52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2,920</w:t>
            </w:r>
          </w:p>
        </w:tc>
      </w:tr>
      <w:tr>
        <w:trPr>
          <w:trHeight w:val="186"/>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4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common stock warrants in connection with long-term debt</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1,290</w:t>
            </w:r>
          </w:p>
        </w:tc>
      </w:tr>
      <w:tr>
        <w:trPr>
          <w:trHeight w:val="183"/>
        </w:trPr>
        <w:tc>
          <w:tcPr>
            <w:tcW w:w="7740" w:type="dxa"/>
            <w:vAlign w:val="bottom"/>
          </w:tcPr>
          <w:p>
            <w:pPr>
              <w:ind w:left="20"/>
              <w:spacing w:after="0"/>
              <w:rPr>
                <w:sz w:val="20"/>
                <w:szCs w:val="20"/>
                <w:color w:val="auto"/>
              </w:rPr>
            </w:pPr>
            <w:r>
              <w:rPr>
                <w:rFonts w:ascii="Arial" w:cs="Arial" w:eastAsia="Arial" w:hAnsi="Arial"/>
                <w:sz w:val="16"/>
                <w:szCs w:val="16"/>
                <w:color w:val="auto"/>
              </w:rPr>
              <w:t>Property and equipment purchases included in accounts payable and accrued liabilities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5"/>
                <w:szCs w:val="15"/>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w:t>
            </w: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Final interest payment fee</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7,500</w:t>
            </w:r>
          </w:p>
        </w:tc>
      </w:tr>
      <w:tr>
        <w:trPr>
          <w:trHeight w:val="186"/>
        </w:trPr>
        <w:tc>
          <w:tcPr>
            <w:tcW w:w="7740" w:type="dxa"/>
            <w:vAlign w:val="bottom"/>
          </w:tcPr>
          <w:p>
            <w:pPr>
              <w:ind w:left="20"/>
              <w:spacing w:after="0"/>
              <w:rPr>
                <w:sz w:val="20"/>
                <w:szCs w:val="20"/>
                <w:color w:val="auto"/>
              </w:rPr>
            </w:pPr>
            <w:r>
              <w:rPr>
                <w:rFonts w:ascii="Arial" w:cs="Arial" w:eastAsia="Arial" w:hAnsi="Arial"/>
                <w:sz w:val="16"/>
                <w:szCs w:val="16"/>
                <w:color w:val="auto"/>
              </w:rPr>
              <w:t>Operating lease liabilities arising from obtaining right-of-use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554</w:t>
            </w:r>
          </w:p>
        </w:tc>
        <w:tc>
          <w:tcPr>
            <w:tcW w:w="16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0"/>
        </w:trPr>
        <w:tc>
          <w:tcPr>
            <w:tcW w:w="7740" w:type="dxa"/>
            <w:vAlign w:val="bottom"/>
            <w:tcBorders>
              <w:bottom w:val="single" w:sz="8" w:color="CFF0FC"/>
            </w:tcBorders>
            <w:shd w:val="clear" w:color="auto" w:fill="CFF0FC"/>
          </w:tcPr>
          <w:p>
            <w:pPr>
              <w:ind w:left="20"/>
              <w:spacing w:after="0" w:line="180" w:lineRule="exact"/>
              <w:rPr>
                <w:sz w:val="20"/>
                <w:szCs w:val="20"/>
                <w:color w:val="auto"/>
              </w:rPr>
            </w:pPr>
            <w:r>
              <w:rPr>
                <w:rFonts w:ascii="Arial" w:cs="Arial" w:eastAsia="Arial" w:hAnsi="Arial"/>
                <w:sz w:val="16"/>
                <w:szCs w:val="16"/>
                <w:color w:val="auto"/>
              </w:rPr>
              <w:t>Settlement of ESPP liability in common stock</w:t>
            </w:r>
          </w:p>
        </w:tc>
        <w:tc>
          <w:tcPr>
            <w:tcW w:w="360" w:type="dxa"/>
            <w:vAlign w:val="bottom"/>
            <w:tcBorders>
              <w:bottom w:val="single" w:sz="8" w:color="auto"/>
            </w:tcBorders>
            <w:shd w:val="clear" w:color="auto" w:fill="CFF0FC"/>
          </w:tcPr>
          <w:p>
            <w:pPr>
              <w:jc w:val="right"/>
              <w:ind w:right="179"/>
              <w:spacing w:after="0" w:line="180"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line="180" w:lineRule="exact"/>
              <w:rPr>
                <w:sz w:val="20"/>
                <w:szCs w:val="20"/>
                <w:color w:val="auto"/>
              </w:rPr>
            </w:pPr>
            <w:r>
              <w:rPr>
                <w:rFonts w:ascii="Arial" w:cs="Arial" w:eastAsia="Arial" w:hAnsi="Arial"/>
                <w:sz w:val="16"/>
                <w:szCs w:val="16"/>
                <w:color w:val="auto"/>
              </w:rPr>
              <w:t>909</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line="180" w:lineRule="exact"/>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39"/>
              <w:spacing w:after="0" w:line="180" w:lineRule="exact"/>
              <w:rPr>
                <w:sz w:val="20"/>
                <w:szCs w:val="20"/>
                <w:color w:val="auto"/>
              </w:rPr>
            </w:pPr>
            <w:r>
              <w:rPr>
                <w:rFonts w:ascii="Arial" w:cs="Arial" w:eastAsia="Arial" w:hAnsi="Arial"/>
                <w:sz w:val="16"/>
                <w:szCs w:val="16"/>
                <w:color w:val="auto"/>
              </w:rPr>
              <w:t>819</w:t>
            </w:r>
          </w:p>
        </w:tc>
      </w:tr>
      <w:tr>
        <w:trPr>
          <w:trHeight w:val="183"/>
        </w:trPr>
        <w:tc>
          <w:tcPr>
            <w:tcW w:w="7740" w:type="dxa"/>
            <w:vAlign w:val="bottom"/>
          </w:tcPr>
          <w:p>
            <w:pPr>
              <w:ind w:left="20"/>
              <w:spacing w:after="0"/>
              <w:rPr>
                <w:sz w:val="20"/>
                <w:szCs w:val="20"/>
                <w:color w:val="auto"/>
              </w:rPr>
            </w:pPr>
            <w:r>
              <w:rPr>
                <w:rFonts w:ascii="Arial" w:cs="Arial" w:eastAsia="Arial" w:hAnsi="Arial"/>
                <w:sz w:val="16"/>
                <w:szCs w:val="16"/>
                <w:color w:val="auto"/>
              </w:rPr>
              <w:t>Settlement of 401(k) liability in common stock</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1,116</w:t>
            </w:r>
          </w:p>
        </w:tc>
        <w:tc>
          <w:tcPr>
            <w:tcW w:w="52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903</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-3470910</wp:posOffset>
            </wp:positionV>
            <wp:extent cx="1028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-2939415</wp:posOffset>
            </wp:positionV>
            <wp:extent cx="1028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-1893570</wp:posOffset>
            </wp:positionV>
            <wp:extent cx="10287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-1628140</wp:posOffset>
            </wp:positionV>
            <wp:extent cx="10287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-1079500</wp:posOffset>
            </wp:positionV>
            <wp:extent cx="10287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-796290</wp:posOffset>
            </wp:positionV>
            <wp:extent cx="10287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-487680</wp:posOffset>
            </wp:positionV>
            <wp:extent cx="10287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-179070</wp:posOffset>
            </wp:positionV>
            <wp:extent cx="102870" cy="1797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020"/>
        <w:spacing w:after="0"/>
        <w:rPr>
          <w:sz w:val="20"/>
          <w:szCs w:val="20"/>
          <w:color w:val="auto"/>
        </w:rPr>
      </w:pPr>
      <w:r>
        <w:rPr>
          <w:rFonts w:ascii="Arial" w:cs="Arial" w:eastAsia="Arial" w:hAnsi="Arial"/>
          <w:sz w:val="18"/>
          <w:szCs w:val="18"/>
          <w:b w:val="1"/>
          <w:bCs w:val="1"/>
          <w:color w:val="auto"/>
        </w:rPr>
        <w:t>PHATHOM PHARMACEUTICALS, INC.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Notes to Unaudited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Basis of Presentation</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Phathom Pharmaceuticals, Inc., or the Company or Phathom, was incorporated in the state of Delaware in January 2018. The</w:t>
      </w:r>
    </w:p>
    <w:p>
      <w:pPr>
        <w:ind w:right="180"/>
        <w:spacing w:after="0" w:line="261" w:lineRule="auto"/>
        <w:rPr>
          <w:sz w:val="20"/>
          <w:szCs w:val="20"/>
          <w:color w:val="auto"/>
        </w:rPr>
      </w:pPr>
      <w:r>
        <w:rPr>
          <w:rFonts w:ascii="Arial" w:cs="Arial" w:eastAsia="Arial" w:hAnsi="Arial"/>
          <w:sz w:val="18"/>
          <w:szCs w:val="18"/>
          <w:color w:val="auto"/>
        </w:rPr>
        <w:t>Company is a biopharmaceutical company focused on developing and commercializing novel treatments for gastrointestinal diseases. The Company’s financial statements are prepared in accordance with U.S. generally accepted accounting principles, or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0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From inception to September 30, 2022, the Company has devoted substantially all of its efforts to organizing and staffing the Company, business planning, raising capital, in-licensing its initial product candidate, vonoprazan, meeting with regulatory authorities, managing the clinical trials of vonoprazan, preparing for commercialization of its initial products containing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additional net losses in the future as it continues to develop and prepares for commercialization of vonoprazan. From inception to September 30, 2022, the Company has funded its operations through the issuance of convertible promissory notes, commercial bank debt, revenue interest financing debt, the sale of 10,997,630 shares of common stock for net proceeds of approximately $191.5 million in its 2019 IPO, the sale of 2,250,000 shares of common stock for net proceeds of approximately $88.6 million in its December 2020 follow-on public offering, and the sale of 2,414,897 shares of common stock for net proceeds of approximately $24.6 million in its September 2022 issuance of common stock under the ATM Offering (see note 8).</w:t>
      </w:r>
    </w:p>
    <w:p>
      <w:pPr>
        <w:spacing w:after="0" w:line="18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in accordance with GAAP.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7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Management believes that it has sufficient working capital on hand to fund operations through at least the next twelve months from the date these financial statements were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preparation of the Company’s financial statements requires it to make estimates and assumptions that impact the reported</w:t>
      </w:r>
    </w:p>
    <w:p>
      <w:pPr>
        <w:spacing w:after="0" w:line="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various equity instruments. Although these estimates are based on the Company’s knowledge of current events and actions it may undertake in the future, actual results could differ materially from those estimates and assumptions.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8"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07"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w:t>
      </w:r>
    </w:p>
    <w:p>
      <w:pPr>
        <w:spacing w:after="0" w:line="176" w:lineRule="exact"/>
        <w:rPr>
          <w:sz w:val="20"/>
          <w:szCs w:val="20"/>
          <w:color w:val="auto"/>
        </w:rPr>
      </w:pPr>
    </w:p>
    <w:p>
      <w:pPr>
        <w:ind w:right="420" w:firstLine="509"/>
        <w:spacing w:after="0" w:line="274"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4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As of September 30, 2022, the estimated fair value of the Company’s long-term debt approximated the carrying amount given its floating interest rate basis. The fair value of the Company’s long-term debt was estimated for disclosure purposes only and was determined based on quoted market data for valuation, and thus categorized as Level 2 in the fair value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07" w:lineRule="exact"/>
        <w:rPr>
          <w:sz w:val="20"/>
          <w:szCs w:val="20"/>
          <w:color w:val="auto"/>
        </w:rPr>
      </w:pPr>
    </w:p>
    <w:p>
      <w:pPr>
        <w:ind w:right="560" w:firstLine="509"/>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9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07"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0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September 30, 2022.</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Leases</w:t>
      </w:r>
    </w:p>
    <w:p>
      <w:pPr>
        <w:spacing w:after="0" w:line="20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 In addition, the Company elected the short-term lease exception for leases with an initial term of one year or less. Consequently, such leases are not recorded on the Company's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Interest Financing Liability</w:t>
      </w:r>
    </w:p>
    <w:p>
      <w:pPr>
        <w:spacing w:after="0" w:line="19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entered into a revenue interest financing agreement, or the Revenue Interest Financing Agreement, with entities managed or advised by NovaQuest Capital Management, or NQ, Sagard Holdings Manager LP, or Sagard, and Hercules Capital, Inc., or Hercules, together with NQ and Sagard, the Initial Investors, in which the Company received funds in return for royalties on net sales of products containing vonoprazan. The net proceeds received under the transaction were recognized as short-term and long-term liabilities with interest expense based on an imputed effective rate derived from the expected future payments. The Company recalculates the effective interest rate each period based on the current carrying value and the revised estimated future payments. Changes in future payments from previous estimates are included in current and future financing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Accruals</w:t>
      </w:r>
    </w:p>
    <w:p>
      <w:pPr>
        <w:spacing w:after="0" w:line="20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6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07"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3"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7"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70"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The Company also maintains an employee stock purchase program, or ESPP, under which it may issue shares. The Company estimates the fair value of shares that will be issued under the ESPP, and of stock options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7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60"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59"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Beginning in 2022, the Tax Cuts and Jobs Act, or TCJA, eliminates the option to deduct research and development expenditures currently and requires taxpayers to amortize domestic and foreign research and development expenditures over 5 years and 15 years, respectively. The requirement did not impact cash from operations in the current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07"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07" w:lineRule="exact"/>
        <w:rPr>
          <w:sz w:val="20"/>
          <w:szCs w:val="20"/>
          <w:color w:val="auto"/>
        </w:rPr>
      </w:pPr>
    </w:p>
    <w:p>
      <w:pPr>
        <w:jc w:val="both"/>
        <w:ind w:right="160" w:firstLine="509"/>
        <w:spacing w:after="0"/>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0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 issued to Takeda Pharmaceutical Company Limited (“Takeda”) in connection with a May 2019 license agreement (see Note 4) in the calculation of basic weighted-average common shares outstanding from the time it became exercisable at the Company’s IPO until its exercise because the Takeda Warrant was exercisable for little consideration. As of September 30, 2022, all Takeda Warrants has been exercised and no Takeda Warrants remain exercisable. For the three and nine months ended September 30, 2022, the Company has excluded weighted-average unvested shares of 577,931 and 798,643, respectively, from the weighted-average number of common shares outstanding, compared to 1,666,535 and 2,173,246, respectively for the same periods in 2021.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and warrants. For the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recently adopted accounting standards which would have a material impact on the Company's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 assesses the adoption impacts of recently issued accounting standards by the Financial Accounting Standards Board or other standard setting bodies on the Company's financial statements as well as material updates to previous assessments, if any, from the Company’s Annual Report on Form 10-K for the year ended December 31, 2021. There were no new material accounting standards issued in the first three quarters of 2022 that impacted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net, consist of the following (in thousands):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53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640" w:type="dxa"/>
            <w:vAlign w:val="bottom"/>
          </w:tcPr>
          <w:p>
            <w:pPr>
              <w:spacing w:after="0"/>
              <w:rPr>
                <w:sz w:val="16"/>
                <w:szCs w:val="16"/>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2021</w:t>
            </w: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520" w:type="dxa"/>
            <w:vAlign w:val="bottom"/>
            <w:shd w:val="clear" w:color="auto" w:fill="CFF0FC"/>
          </w:tcPr>
          <w:p>
            <w:pPr>
              <w:jc w:val="right"/>
              <w:ind w:right="131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646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780</w:t>
            </w:r>
          </w:p>
        </w:tc>
      </w:tr>
      <w:tr>
        <w:trPr>
          <w:trHeight w:val="21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76</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property, plant and equipment, gross</w:t>
            </w:r>
          </w:p>
        </w:tc>
        <w:tc>
          <w:tcPr>
            <w:tcW w:w="1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1,502</w:t>
            </w:r>
          </w:p>
        </w:tc>
      </w:tr>
      <w:tr>
        <w:trPr>
          <w:trHeight w:val="21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(1,304 )</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(852 )</w:t>
            </w: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650</w:t>
            </w:r>
          </w:p>
        </w:tc>
      </w:tr>
      <w:tr>
        <w:trPr>
          <w:trHeight w:val="20"/>
        </w:trPr>
        <w:tc>
          <w:tcPr>
            <w:tcW w:w="46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-453390</wp:posOffset>
            </wp:positionV>
            <wp:extent cx="76835"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7683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71450"/>
                    </a:xfrm>
                    <a:prstGeom prst="rect">
                      <a:avLst/>
                    </a:prstGeom>
                    <a:noFill/>
                  </pic:spPr>
                </pic:pic>
              </a:graphicData>
            </a:graphic>
          </wp:anchor>
        </w:drawing>
      </w:r>
    </w:p>
    <w:p>
      <w:pPr>
        <w:spacing w:after="0" w:line="16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Depreciation expense for the three months ended September 30, 2022 and 2021 was approximately $175,000 and $130,000, respectively. Depreciation and amortization expense for the nine months ended September 30, 2022 and 2021, was approximately $452,000 and $386,000, respectively. No property, plant or equipment was disposed of during the nine months ended September 30, 2022 or the year ended December 31,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right"/>
              <w:ind w:right="51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51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2021</w:t>
            </w: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4,282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3,165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compensation expenses</w:t>
            </w:r>
          </w:p>
        </w:tc>
        <w:tc>
          <w:tcPr>
            <w:tcW w:w="320" w:type="dxa"/>
            <w:vAlign w:val="bottom"/>
          </w:tcPr>
          <w:p>
            <w:pPr>
              <w:spacing w:after="0"/>
              <w:rPr>
                <w:sz w:val="18"/>
                <w:szCs w:val="18"/>
                <w:color w:val="auto"/>
              </w:rPr>
            </w:pPr>
          </w:p>
        </w:tc>
        <w:tc>
          <w:tcPr>
            <w:tcW w:w="1780" w:type="dxa"/>
            <w:vAlign w:val="bottom"/>
          </w:tcPr>
          <w:p>
            <w:pPr>
              <w:jc w:val="right"/>
              <w:ind w:right="15"/>
              <w:spacing w:after="0"/>
              <w:rPr>
                <w:sz w:val="20"/>
                <w:szCs w:val="20"/>
                <w:color w:val="auto"/>
              </w:rPr>
            </w:pPr>
            <w:r>
              <w:rPr>
                <w:rFonts w:ascii="Arial" w:cs="Arial" w:eastAsia="Arial" w:hAnsi="Arial"/>
                <w:sz w:val="18"/>
                <w:szCs w:val="18"/>
                <w:color w:val="auto"/>
              </w:rPr>
              <w:t>5,655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15"/>
              <w:spacing w:after="0"/>
              <w:rPr>
                <w:sz w:val="20"/>
                <w:szCs w:val="20"/>
                <w:color w:val="auto"/>
              </w:rPr>
            </w:pPr>
            <w:r>
              <w:rPr>
                <w:rFonts w:ascii="Arial" w:cs="Arial" w:eastAsia="Arial" w:hAnsi="Arial"/>
                <w:sz w:val="18"/>
                <w:szCs w:val="18"/>
                <w:color w:val="auto"/>
              </w:rPr>
              <w:t>6,344</w:t>
            </w: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&amp; consulting expenses</w:t>
            </w: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3,321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1,855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w:t>
            </w:r>
          </w:p>
        </w:tc>
      </w:tr>
      <w:tr>
        <w:trPr>
          <w:trHeight w:val="25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13,289</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11,405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20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Frazier is a principal stockholder of the Company. Previously, the Company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September 30, 2022 and December 31, 2021 the Company had outstanding accounts payable and accrued expenses due to Frazier in the amount of $0, related to these shared operating expenses. For the three months ended September 30, 2022 and 2021, the Company incurred $0, respectively, of shared operating expenses. For the nine months ended September 30, 2022 and 2021, the Company incurred $0 and $16,000, respectively, of shared operating expenses.</w:t>
      </w:r>
    </w:p>
    <w:p>
      <w:pPr>
        <w:spacing w:after="0" w:line="16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Frazier is a principal stockholder in PCI Pharma Services (“PCI”). In the third quarter of 2019, the Company engaged PCI for clinical manufacturing services. As of September 30, 2022 and December 31, 2021, the Company had $1.1 million and $1.7 million, respectively, outstanding accounts payable and accrued expenses related to these manufacturing services. For the three months ended September 30, 2022 and 2021, the Company incurred $0.1 million and $0.6 million, respectively, of expenses related to services performed by PCI. For the nine months ended September 30, 2022 and 2021, the Company incurred $0.5 million and $2.2 million, respectively, of expenses related to services performed by PCI.</w:t>
      </w:r>
    </w:p>
    <w:p>
      <w:pPr>
        <w:spacing w:after="0" w:line="17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On May 5, 2020, the Company entered into a Commercial Supply Agreement, or the Commercial Supply Agreement, with Takeda, pursuant to which Takeda will supply commercial quantities of vonoprazan bulk drug product or drug substance. Pursuant to the Commercial Supply Agreement, Takeda has agreed to supply the Company with, and the 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In connection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September 30, 2022 and December 31, 2021, the Company had $1.4 million and $0.9 million, respectively, in outstanding accounts payable and accrued expenses related to these agreements. For the three months ended September 30, 2022 and 2021, the Company incurred $0 and $0.2 million, respectively, of expenses related to these agreements. For the nine months ended September 30, 2022 and 2021, the Company incurred $1.3 million and $0.4 million, respectively, of expenses related to these agreements. The Company has no remaining minimum purchase obligation related to these agreements.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93"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8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or,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Takeda Warrant had an exercise price of $0.00004613 per share was to expire on May 7, 2029 and became exercisable upon the consummation of the IPO. As of September 30, 2022, all Takeda Warrants have been exercised.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93"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product. The Company has not incurred any expenses under the agreement during the nine months ended September 30, 2022 and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07"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 Commitments</w:t>
      </w:r>
    </w:p>
    <w:p>
      <w:pPr>
        <w:spacing w:after="0" w:line="20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September 30, 2022, the Company had operating leases for office space in both Buffalo Grove, Illinois and Florham Park, New Jersey, with remaining lease terms of 2.6 years and 2.9 years, respectively. All operating leases contain an option to extend the term for one additional five year period, which was not considered in the determination of the right-of-use asset or lease liability as the Company did not consider it reasonably certain that it would exercise such options.</w:t>
      </w:r>
    </w:p>
    <w:p>
      <w:pPr>
        <w:spacing w:after="0" w:line="16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The total rent expense for the three months ended September 30, 2022 and 2021 was approximately $0.3 million and $0.2 million, respectively. The total rent expense for the nine months ended September 30, 2022 and 2021 was approximately $0.7 million and $0.6 million, respectively.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supplemental balance sheet information related to the operating leases (in thousands):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6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09"/>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2,482</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1,914</w:t>
            </w:r>
          </w:p>
        </w:tc>
      </w:tr>
      <w:tr>
        <w:trPr>
          <w:trHeight w:val="249"/>
        </w:trPr>
        <w:tc>
          <w:tcPr>
            <w:tcW w:w="6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right-of-use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2,482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1,914</w:t>
            </w:r>
          </w:p>
        </w:tc>
      </w:tr>
      <w:tr>
        <w:trPr>
          <w:trHeight w:val="197"/>
        </w:trPr>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8"/>
                <w:szCs w:val="18"/>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487</w:t>
            </w:r>
          </w:p>
        </w:tc>
      </w:tr>
      <w:tr>
        <w:trPr>
          <w:trHeight w:val="216"/>
        </w:trPr>
        <w:tc>
          <w:tcPr>
            <w:tcW w:w="6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1,247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1,183</w:t>
            </w:r>
          </w:p>
        </w:tc>
      </w:tr>
      <w:tr>
        <w:trPr>
          <w:trHeight w:val="210"/>
        </w:trPr>
        <w:tc>
          <w:tcPr>
            <w:tcW w:w="6040" w:type="dxa"/>
            <w:vAlign w:val="bottom"/>
          </w:tcPr>
          <w:p>
            <w:pPr>
              <w:ind w:left="180"/>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1,932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1,670</w:t>
            </w:r>
          </w:p>
        </w:tc>
      </w:tr>
      <w:tr>
        <w:trPr>
          <w:trHeight w:val="20"/>
        </w:trPr>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-744855</wp:posOffset>
            </wp:positionV>
            <wp:extent cx="8572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8572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2022, the future minimum annual lease payments under the operating leases were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7"/>
        </w:trPr>
        <w:tc>
          <w:tcPr>
            <w:tcW w:w="5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2022</w:t>
            </w:r>
          </w:p>
        </w:tc>
        <w:tc>
          <w:tcPr>
            <w:tcW w:w="1300" w:type="dxa"/>
            <w:vAlign w:val="bottom"/>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r>
      <w:tr>
        <w:trPr>
          <w:trHeight w:val="216"/>
        </w:trPr>
        <w:tc>
          <w:tcPr>
            <w:tcW w:w="5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2024</w:t>
            </w:r>
          </w:p>
        </w:tc>
        <w:tc>
          <w:tcPr>
            <w:tcW w:w="1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752</w:t>
            </w:r>
          </w:p>
        </w:tc>
        <w:tc>
          <w:tcPr>
            <w:tcW w:w="80" w:type="dxa"/>
            <w:vAlign w:val="bottom"/>
          </w:tcPr>
          <w:p>
            <w:pPr>
              <w:spacing w:after="0"/>
              <w:rPr>
                <w:sz w:val="18"/>
                <w:szCs w:val="18"/>
                <w:color w:val="auto"/>
              </w:rPr>
            </w:pPr>
          </w:p>
        </w:tc>
      </w:tr>
      <w:tr>
        <w:trPr>
          <w:trHeight w:val="216"/>
        </w:trPr>
        <w:tc>
          <w:tcPr>
            <w:tcW w:w="59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r>
      <w:tr>
        <w:trPr>
          <w:trHeight w:val="249"/>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30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21"/>
                <w:szCs w:val="21"/>
                <w:color w:val="auto"/>
              </w:rPr>
            </w:pPr>
          </w:p>
        </w:tc>
      </w:tr>
      <w:tr>
        <w:trPr>
          <w:trHeight w:val="197"/>
        </w:trPr>
        <w:tc>
          <w:tcPr>
            <w:tcW w:w="5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(229 )</w:t>
            </w:r>
          </w:p>
        </w:tc>
        <w:tc>
          <w:tcPr>
            <w:tcW w:w="80" w:type="dxa"/>
            <w:vAlign w:val="bottom"/>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Present value of operating lease liabilities</w:t>
            </w:r>
          </w:p>
        </w:tc>
        <w:tc>
          <w:tcPr>
            <w:tcW w:w="130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1,932</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Less: operating lease liabilities, current</w:t>
            </w:r>
          </w:p>
        </w:tc>
        <w:tc>
          <w:tcPr>
            <w:tcW w:w="1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(685 )</w:t>
            </w:r>
          </w:p>
        </w:tc>
        <w:tc>
          <w:tcPr>
            <w:tcW w:w="80" w:type="dxa"/>
            <w:vAlign w:val="bottom"/>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3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9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130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3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-136525</wp:posOffset>
            </wp:positionV>
            <wp:extent cx="570039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68" w:lineRule="exact"/>
        <w:rPr>
          <w:sz w:val="20"/>
          <w:szCs w:val="20"/>
          <w:color w:val="auto"/>
        </w:rPr>
      </w:pPr>
    </w:p>
    <w:p>
      <w:pPr>
        <w:ind w:right="600" w:firstLine="509"/>
        <w:spacing w:after="0" w:line="246" w:lineRule="auto"/>
        <w:rPr>
          <w:sz w:val="20"/>
          <w:szCs w:val="20"/>
          <w:color w:val="auto"/>
        </w:rPr>
      </w:pPr>
      <w:r>
        <w:rPr>
          <w:rFonts w:ascii="Arial" w:cs="Arial" w:eastAsia="Arial" w:hAnsi="Arial"/>
          <w:sz w:val="18"/>
          <w:szCs w:val="18"/>
          <w:color w:val="auto"/>
        </w:rPr>
        <w:t>Operating cash flows for the nine months ended September 30, 2022 and 2021 included cash payments for operating leases of approximately $1.0 million and $0.5 million, respectively.</w:t>
      </w:r>
    </w:p>
    <w:p>
      <w:pPr>
        <w:spacing w:after="0" w:line="17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February 8, 2022, the Company entered into an operating lease for 6,250 rentable square feet of additional office space in Florham Park, New Jersey. The lease liability and the corresponding right-of-use asset associated with this lease obligation was recorded upon the June 14, 2022 commencement date of the lease.</w:t>
      </w:r>
    </w:p>
    <w:p>
      <w:pPr>
        <w:spacing w:after="0" w:line="176"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The Company also entered into one year leases for passenger vehicles during 2022. The Company elected the short-term lease exception for these leases and did not recognize a right-of-use asset and operating lease liability related to these leases.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debt consists of the following (in thousands):</w:t>
      </w:r>
    </w:p>
    <w:p>
      <w:pPr>
        <w:spacing w:after="0" w:line="16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current portion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debt, non-current portion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103,585</w:t>
            </w:r>
          </w:p>
        </w:tc>
        <w:tc>
          <w:tcPr>
            <w:tcW w:w="2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Unamortized debt discount</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(9,707 )</w:t>
            </w:r>
          </w:p>
        </w:tc>
        <w:tc>
          <w:tcPr>
            <w:tcW w:w="20" w:type="dxa"/>
            <w:vAlign w:val="bottom"/>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Total debt, net of debt discount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93,878</w:t>
            </w:r>
          </w:p>
        </w:tc>
        <w:tc>
          <w:tcPr>
            <w:tcW w:w="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On September 17, 2021, or the Closing Date, the Company entered into a Loan and Security Agreement, or, the Loan Agreement, with Hercules Capital, Inc., in its capacity as administrative agent and collateral agent and as a lender, or, in such capacity, the Agent or Hercules, and the other financial institutions that from time to time become parties to the Loan Agreement as lenders, or, collectively, the Lenders.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5" w:name="page16"/>
    <w:bookmarkEnd w:id="15"/>
    <w:p>
      <w:pPr>
        <w:ind w:firstLine="509"/>
        <w:spacing w:after="0"/>
        <w:rPr>
          <w:sz w:val="20"/>
          <w:szCs w:val="20"/>
          <w:color w:val="auto"/>
        </w:rPr>
      </w:pPr>
      <w:r>
        <w:rPr>
          <w:rFonts w:ascii="Arial" w:cs="Arial" w:eastAsia="Arial" w:hAnsi="Arial"/>
          <w:sz w:val="18"/>
          <w:szCs w:val="18"/>
          <w:color w:val="auto"/>
        </w:rPr>
        <w:t xml:space="preserve">The Loan Agreement provides for term loans in an aggregate principal amount of up to $200.0 million, or the Term Loan, under multiple tranches. The tranches consist of (i) a first tranche consisting of term loans in an aggregate principal amount of $100.0 million, all of which was funded to the Company on the Closing Date, or First Advance, (ii) a second tranche consisting of up to an additional $50.0 million, which became available to the Company upon achievement of the protocol-specified primary efficacy endpoints in the Company’s Phase 3 trial studying vonoprazan for the healing and maintenance of healing of erosive esophagitis with acceptable safety data, such that the results support the submission of a New Drug Application, or NDA, or supplemental NDA without the need to conduct another Phase 3 study and will be available, if specified conditions are met, through December 15, 2022, see amendment to later date below, (iii) a third and fourth tranches consisting of an additional total $50.0 million, which became available to the Company in May 2022 upon the achievement of (a) Food and Drug Administration, or FDA, approval of the Company’s NDA for vonoprazan and amoxicillin, or its New Drug Application for vonoprazan, amoxicillin and clarithromycin, in each case for an indication relating to the treatment of </w:t>
      </w:r>
      <w:r>
        <w:rPr>
          <w:rFonts w:ascii="Arial" w:cs="Arial" w:eastAsia="Arial" w:hAnsi="Arial"/>
          <w:sz w:val="18"/>
          <w:szCs w:val="18"/>
          <w:i w:val="1"/>
          <w:iCs w:val="1"/>
          <w:color w:val="auto"/>
        </w:rPr>
        <w:t>Helicobacter pylori</w:t>
      </w:r>
      <w:r>
        <w:rPr>
          <w:rFonts w:ascii="Arial" w:cs="Arial" w:eastAsia="Arial" w:hAnsi="Arial"/>
          <w:sz w:val="18"/>
          <w:szCs w:val="18"/>
          <w:color w:val="auto"/>
        </w:rPr>
        <w:t xml:space="preserve">, 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with an approved indication on the claim that is generally consistent with that sought in the Company’s NDA submission; and (b) filing of the Company’s NDA or supplemental NDA for vonoprazan for indications relating to the healing and maintenance of healing of erosive esophagitis. The third and fourth tranches will remain available until September 30, 2023, and March 31, 2024, respectively.</w:t>
      </w:r>
    </w:p>
    <w:p>
      <w:pPr>
        <w:spacing w:after="0" w:line="171"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will remain available to the Company has been moved until either February 15, 2023 or, if the PDUFA target action date for the Company’s pending NDA is extended beyond the current PDUFA target action date, May 15, 2023, rather than December 15, 2022.</w:t>
      </w:r>
    </w:p>
    <w:p>
      <w:pPr>
        <w:spacing w:after="0" w:line="174" w:lineRule="exact"/>
        <w:rPr>
          <w:sz w:val="20"/>
          <w:szCs w:val="20"/>
          <w:color w:val="auto"/>
        </w:rPr>
      </w:pPr>
    </w:p>
    <w:p>
      <w:pPr>
        <w:jc w:val="both"/>
        <w:ind w:right="20" w:firstLine="509"/>
        <w:spacing w:after="0" w:line="246" w:lineRule="auto"/>
        <w:rPr>
          <w:sz w:val="20"/>
          <w:szCs w:val="20"/>
          <w:color w:val="auto"/>
        </w:rPr>
      </w:pPr>
      <w:r>
        <w:rPr>
          <w:rFonts w:ascii="Arial" w:cs="Arial" w:eastAsia="Arial" w:hAnsi="Arial"/>
          <w:sz w:val="18"/>
          <w:szCs w:val="18"/>
          <w:color w:val="auto"/>
        </w:rPr>
        <w:t>The Company paid a $1.25 million facility charge in connection with closing of the Loan Agreement and would need to pay 0.5% of any advances made under the third and fourth tranches.</w:t>
      </w:r>
    </w:p>
    <w:p>
      <w:pPr>
        <w:spacing w:after="0" w:line="17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prior to September 30, 2024 and met the condition that no default or event of default exists, and which is further extendable to October 1, 2026, subject to FDA approval of the Company’s NDA (or supplemental NDA) for vonoprazan for an indication relating to the healing and maintenance of healing of erosive esophagitis with an approved indication on the label that is generally consistent with that sought in the Company’s NDA submission (or supplemental NDA submission), or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63" w:lineRule="exact"/>
        <w:rPr>
          <w:sz w:val="20"/>
          <w:szCs w:val="20"/>
          <w:color w:val="auto"/>
        </w:rPr>
      </w:pPr>
    </w:p>
    <w:p>
      <w:pPr>
        <w:ind w:right="520" w:firstLine="509"/>
        <w:spacing w:after="0" w:line="248" w:lineRule="auto"/>
        <w:rPr>
          <w:sz w:val="20"/>
          <w:szCs w:val="20"/>
          <w:color w:val="auto"/>
        </w:rPr>
      </w:pPr>
      <w:r>
        <w:rPr>
          <w:rFonts w:ascii="Arial" w:cs="Arial" w:eastAsia="Arial" w:hAnsi="Arial"/>
          <w:sz w:val="18"/>
          <w:szCs w:val="18"/>
          <w:color w:val="auto"/>
        </w:rPr>
        <w:t>In addition, the Company is obligated to pay a final payment fee of 7.50% of the original principal amount of amounts actually advanced under the Term Loan, or, each a Term Loan Advance and together, the Term Loan Advances. As of September 30, 2022, the aggregate final payment fee for the first Term Loan Advance of $7.5 million has been recorded as an other long-term liability.</w:t>
      </w:r>
    </w:p>
    <w:p>
      <w:pPr>
        <w:spacing w:after="0" w:line="16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 may elect to prepay all or a portion of the Term Loan Advances prior to maturity, subject to a prepayment fee of up to 1.25% of the then outstanding principal balance of the Term Loan Advances being prepaid. After repayment, no Term Loan amounts may be borrowed again.</w:t>
      </w:r>
    </w:p>
    <w:p>
      <w:pPr>
        <w:spacing w:after="0" w:line="176"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As collateral for the obligations, the Company has granted to Hercules a senior security interest in all of Company’s right, title, and interest in, to and under substantially all of Company’s property, inclusive of intellectual property.</w:t>
      </w:r>
    </w:p>
    <w:p>
      <w:pPr>
        <w:spacing w:after="0" w:line="17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a financial covenant requiring Phathom to maintain certain levels of cash subject to a control agreement in favor of the Agent (minus accounts payable not paid within 120 days of invoice), or Qualified Cash, and commencing on May 15, 2023, trailing three-month net product revenue from the sale of vonoprazan and products containing vonoprazan. The revenue covenant will be waived at any time in which the Company maintains Qualified Cash equal to at least 60.0% (prior to the Third Performance Milestone), and 35% (following the Third Performance Milestone) of the total outstanding Term Loan principal amount, or the Company’s market capitalization is at least $900.0 million. Upon the occurrence of an event of default, subject to any specified cure periods, all amounts owed by the Company may be declared immediately due and payable by Hercules, as collateral agent. As of September 30, 2022, the Company was in compliance with all applicable covenants under the Loan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6" w:name="page17"/>
    <w:bookmarkEnd w:id="16"/>
    <w:p>
      <w:pPr>
        <w:ind w:right="320" w:firstLine="509"/>
        <w:spacing w:after="0" w:line="246" w:lineRule="auto"/>
        <w:rPr>
          <w:sz w:val="20"/>
          <w:szCs w:val="20"/>
          <w:color w:val="auto"/>
        </w:rPr>
      </w:pPr>
      <w:r>
        <w:rPr>
          <w:rFonts w:ascii="Arial" w:cs="Arial" w:eastAsia="Arial" w:hAnsi="Arial"/>
          <w:sz w:val="18"/>
          <w:szCs w:val="18"/>
          <w:color w:val="auto"/>
        </w:rPr>
        <w:t>Under the Second Loan Amendment, the commencement date for the covenant based on trailing three-month net product revenue from the sale of vonoprazan and products containing vonoprazan was moved from May 15, 2023, to November 15, 2023.</w:t>
      </w:r>
    </w:p>
    <w:p>
      <w:pPr>
        <w:spacing w:after="0" w:line="170" w:lineRule="exact"/>
        <w:rPr>
          <w:sz w:val="20"/>
          <w:szCs w:val="20"/>
          <w:color w:val="auto"/>
        </w:rPr>
      </w:pPr>
    </w:p>
    <w:p>
      <w:pPr>
        <w:ind w:firstLine="559"/>
        <w:spacing w:after="0"/>
        <w:rPr>
          <w:sz w:val="20"/>
          <w:szCs w:val="20"/>
          <w:color w:val="auto"/>
        </w:rPr>
      </w:pPr>
      <w:r>
        <w:rPr>
          <w:rFonts w:ascii="Arial" w:cs="Arial" w:eastAsia="Arial" w:hAnsi="Arial"/>
          <w:sz w:val="18"/>
          <w:szCs w:val="18"/>
          <w:color w:val="auto"/>
        </w:rPr>
        <w:t>In connection with the entry into the Loan Agreement, the Company issued to Hercules a warrant, or, the Warrant, to purchase a number of shares of the Company’s common stock equal to 2.5% of the aggregate amount of the Term Loan advances funded, and will issue to Hercules additional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time until September 17, 2028 and had an initial fair value of approximately $1.3 million.</w:t>
      </w:r>
    </w:p>
    <w:p>
      <w:pPr>
        <w:spacing w:after="0" w:line="17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initial $ 1.3 million fair value of the Warrant, the $7.5 million final interest payment fee and $3.1 million of debt issuance costs have been recorded as debt discount and are being amortized to interest expense using the effective interest method over the term of the Term Loan.</w:t>
      </w:r>
    </w:p>
    <w:p>
      <w:pPr>
        <w:spacing w:after="0" w:line="155"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Future minimum principal and interest payments under the Term Loan, including the final payment fee, as of September 30, 2022 are as follows (in thousands):</w:t>
      </w:r>
    </w:p>
    <w:p>
      <w:pPr>
        <w:spacing w:after="0" w:line="144" w:lineRule="exact"/>
        <w:rPr>
          <w:sz w:val="20"/>
          <w:szCs w:val="20"/>
          <w:color w:val="auto"/>
        </w:rPr>
      </w:pPr>
    </w:p>
    <w:tbl>
      <w:tblPr>
        <w:tblLayout w:type="fixed"/>
        <w:tblInd w:w="2260" w:type="dxa"/>
        <w:tblCellMar>
          <w:top w:w="0" w:type="dxa"/>
          <w:left w:w="0" w:type="dxa"/>
          <w:bottom w:w="0" w:type="dxa"/>
          <w:right w:w="0" w:type="dxa"/>
        </w:tblCellMar>
      </w:tblPr>
      <w:tr>
        <w:trPr>
          <w:trHeight w:val="217"/>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00" w:type="dxa"/>
            <w:vAlign w:val="bottom"/>
          </w:tcPr>
          <w:p>
            <w:pPr>
              <w:jc w:val="right"/>
              <w:ind w:right="4430"/>
              <w:spacing w:after="0"/>
              <w:rPr>
                <w:sz w:val="20"/>
                <w:szCs w:val="20"/>
                <w:color w:val="auto"/>
              </w:rPr>
            </w:pPr>
            <w:r>
              <w:rPr>
                <w:rFonts w:ascii="Arial" w:cs="Arial" w:eastAsia="Arial" w:hAnsi="Arial"/>
                <w:sz w:val="18"/>
                <w:szCs w:val="18"/>
                <w:color w:val="auto"/>
              </w:rPr>
              <w:t>2022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2,181</w:t>
            </w:r>
          </w:p>
        </w:tc>
        <w:tc>
          <w:tcPr>
            <w:tcW w:w="20" w:type="dxa"/>
            <w:vAlign w:val="bottom"/>
          </w:tcPr>
          <w:p>
            <w:pPr>
              <w:spacing w:after="0"/>
              <w:rPr>
                <w:sz w:val="18"/>
                <w:szCs w:val="18"/>
                <w:color w:val="auto"/>
              </w:rPr>
            </w:pPr>
          </w:p>
        </w:tc>
      </w:tr>
      <w:tr>
        <w:trPr>
          <w:trHeight w:val="216"/>
        </w:trPr>
        <w:tc>
          <w:tcPr>
            <w:tcW w:w="5100" w:type="dxa"/>
            <w:vAlign w:val="bottom"/>
            <w:shd w:val="clear" w:color="auto" w:fill="CFF0FC"/>
          </w:tcPr>
          <w:p>
            <w:pPr>
              <w:jc w:val="right"/>
              <w:ind w:right="443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8"/>
                <w:szCs w:val="18"/>
                <w:color w:val="auto"/>
              </w:rPr>
            </w:pPr>
          </w:p>
        </w:tc>
      </w:tr>
      <w:tr>
        <w:trPr>
          <w:trHeight w:val="216"/>
        </w:trPr>
        <w:tc>
          <w:tcPr>
            <w:tcW w:w="5100" w:type="dxa"/>
            <w:vAlign w:val="bottom"/>
          </w:tcPr>
          <w:p>
            <w:pPr>
              <w:jc w:val="right"/>
              <w:ind w:right="443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9,459</w:t>
            </w:r>
          </w:p>
        </w:tc>
        <w:tc>
          <w:tcPr>
            <w:tcW w:w="20" w:type="dxa"/>
            <w:vAlign w:val="bottom"/>
          </w:tcPr>
          <w:p>
            <w:pPr>
              <w:spacing w:after="0"/>
              <w:rPr>
                <w:sz w:val="18"/>
                <w:szCs w:val="18"/>
                <w:color w:val="auto"/>
              </w:rPr>
            </w:pPr>
          </w:p>
        </w:tc>
      </w:tr>
      <w:tr>
        <w:trPr>
          <w:trHeight w:val="216"/>
        </w:trPr>
        <w:tc>
          <w:tcPr>
            <w:tcW w:w="5100" w:type="dxa"/>
            <w:vAlign w:val="bottom"/>
            <w:shd w:val="clear" w:color="auto" w:fill="CFF0FC"/>
          </w:tcPr>
          <w:p>
            <w:pPr>
              <w:jc w:val="right"/>
              <w:ind w:right="443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31,833</w:t>
            </w:r>
          </w:p>
        </w:tc>
        <w:tc>
          <w:tcPr>
            <w:tcW w:w="20" w:type="dxa"/>
            <w:vAlign w:val="bottom"/>
          </w:tcPr>
          <w:p>
            <w:pPr>
              <w:spacing w:after="0"/>
              <w:rPr>
                <w:sz w:val="18"/>
                <w:szCs w:val="18"/>
                <w:color w:val="auto"/>
              </w:rPr>
            </w:pPr>
          </w:p>
        </w:tc>
      </w:tr>
      <w:tr>
        <w:trPr>
          <w:trHeight w:val="216"/>
        </w:trPr>
        <w:tc>
          <w:tcPr>
            <w:tcW w:w="5100" w:type="dxa"/>
            <w:vAlign w:val="bottom"/>
          </w:tcPr>
          <w:p>
            <w:pPr>
              <w:jc w:val="right"/>
              <w:ind w:right="443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106,530</w:t>
            </w:r>
          </w:p>
        </w:tc>
        <w:tc>
          <w:tcPr>
            <w:tcW w:w="20" w:type="dxa"/>
            <w:vAlign w:val="bottom"/>
          </w:tcPr>
          <w:p>
            <w:pPr>
              <w:spacing w:after="0"/>
              <w:rPr>
                <w:sz w:val="18"/>
                <w:szCs w:val="18"/>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and interest payments</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159,122</w:t>
            </w:r>
          </w:p>
        </w:tc>
        <w:tc>
          <w:tcPr>
            <w:tcW w:w="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 interest and final payment fee</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(59,122 )</w:t>
            </w:r>
          </w:p>
        </w:tc>
        <w:tc>
          <w:tcPr>
            <w:tcW w:w="20" w:type="dxa"/>
            <w:vAlign w:val="bottom"/>
          </w:tcPr>
          <w:p>
            <w:pPr>
              <w:spacing w:after="0"/>
              <w:rPr>
                <w:sz w:val="18"/>
                <w:szCs w:val="18"/>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term loan borrowings</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21"/>
                <w:szCs w:val="21"/>
                <w:color w:val="auto"/>
              </w:rPr>
            </w:pPr>
          </w:p>
        </w:tc>
      </w:tr>
    </w:tbl>
    <w:p>
      <w:pPr>
        <w:spacing w:after="0" w:line="18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Prior to the Loan Agreement with Hercules, the Company had a loan with Silicon Valley Bank, or SVB, and approximately $54.3 million of the proceeds from the First Advance was used to satisfy in full and retire the Company’s indebtedness under the SVB Term Loan with SVB, including accrued interest through the payoff date.</w:t>
      </w:r>
    </w:p>
    <w:p>
      <w:pPr>
        <w:spacing w:after="0" w:line="176"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three and nine months ended September 30, 2022, the Company recognized $3.4 million and $9.2 million, respectively, of interest expense, including amortization of the debt discount, in connection with the Hercules Loan Agreement compared to $1.5 million and $4.0 million, respectively, for the same periods in 2021 in connection with the Hercules Loan Agreement and SVB Term Loan. As of September 30, 2022, the Company had outstanding loan balance of $103.6 million and accrued interest of $0.7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Interest Financing Liability</w:t>
      </w:r>
    </w:p>
    <w:p>
      <w:pPr>
        <w:spacing w:after="0" w:line="19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On May 3, 2022, Phathom entered into a Revenue Interest Financing Agreement with Initial Investors NQ, Sagard, and Hercules pursuant to which the Company will receive up to $260 million in funding from the Initial Investors. Under the terms of the Revenue Interest Financing Agreement, the Company received $100 million at the initial closing and can receive an additional $160 million upon FDA approval of vonoprazan for treatment of erosive esophagitis on or before March 31, 2024. At any time prior to December 31, 2022, the Company also has the right to obtain a written commitment from a third party for up to $15 million of funding upon FDA approval of vonoprazan for erosive esophagitis. In addition, the Company has the right at any time prior to June 30, 2024, to obtain a written commitment from a third party for up to $25 million of funding upon achievement of a sales milestone. The Initial Investors have a right of first offer if the Company seeks to obtain such additional funding. The total amount funded by the Initial Investors and any subsequent investors is referred to herein as the Investment Amount.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7" w:name="page18"/>
    <w:bookmarkEnd w:id="17"/>
    <w:p>
      <w:pPr>
        <w:ind w:right="180" w:firstLine="509"/>
        <w:spacing w:after="0" w:line="241"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if the Company receives FDA approval for vonoprazan for an indication relating to the treatment of heartburn associated with symptomatic non-erosive gastroesophageal reflux disease, or NERD. The investors’ right to receive royalties on net sales will terminate when the investors have aggregate payments equal to 200% of the Investment Amount. In addition, at any time after the earlier of (i) April 30, 2024 and (ii) the date that the payment for erosive esophagitis regulatory approval is made, the Company has the right to make a cap payment equal to 200% of the Investment Amount less any royalties already paid, at which time the agreement will terminate.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the investors have not received aggregate payments of at least 100% of the Investment Amount by December 31, 2028, and at least</w:t>
      </w:r>
    </w:p>
    <w:p>
      <w:pPr>
        <w:spacing w:after="0" w:line="21"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200% of the Investment Amount by December 31, 2037, each a Minimum Amount, then the Company will be obligated to make a cash payment to the investors in an amount sufficient to gross the investors up to the applicable Minimum Amount.</w:t>
      </w:r>
    </w:p>
    <w:p>
      <w:pPr>
        <w:spacing w:after="0" w:line="170" w:lineRule="exact"/>
        <w:rPr>
          <w:sz w:val="20"/>
          <w:szCs w:val="20"/>
          <w:color w:val="auto"/>
        </w:rPr>
      </w:pPr>
    </w:p>
    <w:p>
      <w:pPr>
        <w:jc w:val="both"/>
        <w:ind w:right="60" w:firstLine="509"/>
        <w:spacing w:after="0"/>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after April 1, 2028, the Company is obligated to pay 1.30 times Investment Amount, 1.65 times Investment Amount, and 2.0 times investment amount, respectively, less any amounts the Company previously paid pursuant to the agreement.</w:t>
      </w:r>
    </w:p>
    <w:p>
      <w:pPr>
        <w:spacing w:after="0" w:line="176"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Upon the occurrence of a change in control event taking place prior to the earlier of April 1, 2024, or FDA approval of vonoprazan for erosive esophagitis, the Company is obligated to pay 200% of the Investment Amount plus either 15% of the Investment Amount if occurrence prior to May 3, 2023, or plus 30% of the Investment Amount if occurrence thereafter.</w:t>
      </w:r>
    </w:p>
    <w:p>
      <w:pPr>
        <w:spacing w:after="0" w:line="155"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During the nine months ended September 30, 2022, the Company received gross proceeds of $100.0 million before deducting transaction costs of $4.6 million, which resulted in net proceeds of $95.4 million.</w:t>
      </w:r>
    </w:p>
    <w:p>
      <w:pPr>
        <w:spacing w:after="0" w:line="14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transaction as a debt obligation with interest expense based on an imputed effective rate derived from the initial carrying value of the obligation and the expected future payments. The Company recalculates the effective interest rate each period based on the current carrying value and the revised estimated future payments. Changes in future payments from previous estimates are included in the current and future financing expense. The carrying value of the revenue interest financing liability was $103.8 million as of September 30, 2022.</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revenue interest financing liability consists of the following (in thousands):</w:t>
      </w:r>
    </w:p>
    <w:p>
      <w:pPr>
        <w:spacing w:after="0" w:line="16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0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Beginning liability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Proceeds from the Revenue Interest Financing Agreement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Less: transaction costs</w:t>
            </w:r>
          </w:p>
        </w:tc>
        <w:tc>
          <w:tcPr>
            <w:tcW w:w="16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(4,554 )</w:t>
            </w:r>
          </w:p>
        </w:tc>
        <w:tc>
          <w:tcPr>
            <w:tcW w:w="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Less: royalty payments and payables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Plus: interest expense</w:t>
            </w:r>
          </w:p>
        </w:tc>
        <w:tc>
          <w:tcPr>
            <w:tcW w:w="160" w:type="dxa"/>
            <w:vAlign w:val="bottom"/>
            <w:shd w:val="clear" w:color="auto" w:fill="CFF0FC"/>
          </w:tcPr>
          <w:p>
            <w:pPr>
              <w:spacing w:after="0"/>
              <w:rPr>
                <w:sz w:val="18"/>
                <w:szCs w:val="18"/>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8,349</w:t>
            </w:r>
          </w:p>
        </w:tc>
        <w:tc>
          <w:tcPr>
            <w:tcW w:w="20" w:type="dxa"/>
            <w:vAlign w:val="bottom"/>
          </w:tcPr>
          <w:p>
            <w:pPr>
              <w:spacing w:after="0"/>
              <w:rPr>
                <w:sz w:val="18"/>
                <w:szCs w:val="18"/>
                <w:color w:val="auto"/>
              </w:rPr>
            </w:pP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Ending liability balance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103,795</w:t>
            </w:r>
          </w:p>
        </w:tc>
        <w:tc>
          <w:tcPr>
            <w:tcW w:w="20" w:type="dxa"/>
            <w:vAlign w:val="bottom"/>
          </w:tcPr>
          <w:p>
            <w:pPr>
              <w:spacing w:after="0"/>
              <w:rPr>
                <w:sz w:val="18"/>
                <w:szCs w:val="18"/>
                <w:color w:val="auto"/>
              </w:rPr>
            </w:pPr>
          </w:p>
        </w:tc>
      </w:tr>
    </w:tbl>
    <w:p>
      <w:pPr>
        <w:spacing w:after="0" w:line="17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During the three and nine months ended September 30, 2022, the Company recognized $5.6 million and $8.3 million, respectively, of interest expense in connection with the revenue interest financing liability.</w:t>
      </w:r>
    </w:p>
    <w:p>
      <w:pPr>
        <w:spacing w:after="0" w:line="14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Company will record liabilities associated with additional funding upon FDA approval of vonoprazan for erosive esophagitis and achievement of the sales milestone when such contingent events occur. To determine the accretion of the liability related to the Revenue Interest Financing Agreement, the Company is required to estimate the total amount of future royalty payments and estimated timing of such payments based on the Company’s revenue projections. As royalty payments are made, the balance of the debt obligation will be effectively repaid. Based on the Company’s periodic review, the exact timing of repayment is likely to be different in each reporting period as compared to those estimated in the Company’s initial revenue projections. A significant increase or decrease in actual net sales of vonoprazan compared to the Company’s revenue projections could impact the interest expense associated with the revenue interest financing liability. Also, the Company’s total obligation can vary depending on change in control or default events and the achievement of FDA approval of vonoprazan for erosive esophagitis and achievement of the sales milestone.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March 2019, subsequent to the Merger, the Company sold 1,491,072 shares of the Company’s common stock to Frazier.</w:t>
      </w:r>
    </w:p>
    <w:p>
      <w:pPr>
        <w:spacing w:after="0" w:line="18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September 30, 2022, 158,127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2019, the Company issued Takeda 1,084,000 shares of common stock in connection with the Takeda License.</w:t>
      </w:r>
    </w:p>
    <w:p>
      <w:pPr>
        <w:spacing w:after="0" w:line="17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September 30, 2022, 318,902 shares remain available for repurchase by the Company and the associated repurchase liability was not significant.</w:t>
      </w:r>
    </w:p>
    <w:p>
      <w:pPr>
        <w:spacing w:after="0" w:line="17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5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November 2020, the Company entered into an Open Market Sale Agreement</w:t>
      </w:r>
      <w:r>
        <w:rPr>
          <w:rFonts w:ascii="Arial" w:cs="Arial" w:eastAsia="Arial" w:hAnsi="Arial"/>
          <w:sz w:val="20"/>
          <w:szCs w:val="20"/>
          <w:color w:val="auto"/>
          <w:vertAlign w:val="superscript"/>
        </w:rPr>
        <w:t>SM</w:t>
      </w:r>
      <w:r>
        <w:rPr>
          <w:rFonts w:ascii="Arial" w:cs="Arial" w:eastAsia="Arial" w:hAnsi="Arial"/>
          <w:sz w:val="18"/>
          <w:szCs w:val="18"/>
          <w:color w:val="auto"/>
        </w:rPr>
        <w:t>, or, the Sales Agreement, with Jefferies LLC, or, the Sales Agent, under which it may, from time to time, sell shares of its common stock having an aggregate offering price of up to $125.0 million through the Sales Agent, or, the ATM Offering. Pursuant to the Sales Agreement, the Company will pay the Sales Agent a commission for its services in acting as an agent in the sale of common stock in an amount equal to 3% of the gross sales price per share sold. In September 2022, the Company sold 2,414,897 shares for net proceeds of approximately $24.6 million under the ATM offering after deducting $0.8 million of issuance costs. As of September 30, 2022, the Company has utilized $25.4 million of the available $125.0 million under the ATM Offering.</w:t>
      </w:r>
    </w:p>
    <w:p>
      <w:pPr>
        <w:spacing w:after="0" w:line="18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$39.48 per share, which generated net proceeds of $88.8 million. The Company incurred an additional $0.2 million of offering expenses in connection with this public offering.</w:t>
      </w:r>
    </w:p>
    <w:p>
      <w:pPr>
        <w:spacing w:after="0" w:line="161"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7240" w:type="dxa"/>
            <w:vAlign w:val="bottom"/>
            <w:gridSpan w:val="2"/>
          </w:tcPr>
          <w:p>
            <w:pPr>
              <w:spacing w:after="0"/>
              <w:rPr>
                <w:sz w:val="20"/>
                <w:szCs w:val="20"/>
                <w:color w:val="auto"/>
              </w:rPr>
            </w:pPr>
            <w:r>
              <w:rPr>
                <w:rFonts w:ascii="Arial" w:cs="Arial" w:eastAsia="Arial" w:hAnsi="Arial"/>
                <w:sz w:val="18"/>
                <w:szCs w:val="18"/>
                <w:color w:val="auto"/>
              </w:rPr>
              <w:t>A summary of the Company’s unvested shares is as follows: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74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1740" w:type="dxa"/>
            <w:vAlign w:val="bottom"/>
          </w:tcPr>
          <w:p>
            <w:pPr>
              <w:spacing w:after="0"/>
              <w:rPr>
                <w:sz w:val="18"/>
                <w:szCs w:val="18"/>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Unvested shares at December 31, 2021</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1,144,809</w:t>
            </w:r>
          </w:p>
        </w:tc>
        <w:tc>
          <w:tcPr>
            <w:tcW w:w="2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5500" w:type="dxa"/>
            <w:vAlign w:val="bottom"/>
          </w:tcPr>
          <w:p>
            <w:pPr>
              <w:ind w:left="180"/>
              <w:spacing w:after="0"/>
              <w:rPr>
                <w:sz w:val="20"/>
                <w:szCs w:val="20"/>
                <w:color w:val="auto"/>
              </w:rPr>
            </w:pPr>
            <w:r>
              <w:rPr>
                <w:rFonts w:ascii="Arial" w:cs="Arial" w:eastAsia="Arial" w:hAnsi="Arial"/>
                <w:sz w:val="18"/>
                <w:szCs w:val="18"/>
                <w:color w:val="auto"/>
              </w:rPr>
              <w:t>Share vesting</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(667,780 )</w:t>
            </w:r>
          </w:p>
        </w:tc>
        <w:tc>
          <w:tcPr>
            <w:tcW w:w="20" w:type="dxa"/>
            <w:vAlign w:val="bottom"/>
          </w:tcPr>
          <w:p>
            <w:pPr>
              <w:spacing w:after="0"/>
              <w:rPr>
                <w:sz w:val="18"/>
                <w:szCs w:val="18"/>
                <w:color w:val="auto"/>
              </w:rPr>
            </w:pPr>
          </w:p>
        </w:tc>
      </w:tr>
      <w:tr>
        <w:trPr>
          <w:trHeight w:val="249"/>
        </w:trPr>
        <w:tc>
          <w:tcPr>
            <w:tcW w:w="1740" w:type="dxa"/>
            <w:vAlign w:val="bottom"/>
          </w:tcPr>
          <w:p>
            <w:pPr>
              <w:spacing w:after="0"/>
              <w:rPr>
                <w:sz w:val="21"/>
                <w:szCs w:val="21"/>
                <w:color w:val="auto"/>
              </w:rPr>
            </w:pPr>
          </w:p>
        </w:tc>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shares at September 30, 2022</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477,029</w:t>
            </w:r>
          </w:p>
        </w:tc>
        <w:tc>
          <w:tcPr>
            <w:tcW w:w="20" w:type="dxa"/>
            <w:vAlign w:val="bottom"/>
          </w:tcPr>
          <w:p>
            <w:pPr>
              <w:spacing w:after="0"/>
              <w:rPr>
                <w:sz w:val="21"/>
                <w:szCs w:val="2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accounting purposes, unvested shares of common stock are considered issued, but not outstanding until they vest.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Common stock reserved for future issuance consists of the following:</w:t>
      </w:r>
    </w:p>
    <w:p>
      <w:pPr>
        <w:spacing w:after="0" w:line="16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180" w:type="dxa"/>
            <w:vAlign w:val="bottom"/>
          </w:tcPr>
          <w:p>
            <w:pPr>
              <w:jc w:val="right"/>
              <w:ind w:right="55"/>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5560" w:type="dxa"/>
            <w:vAlign w:val="bottom"/>
          </w:tcPr>
          <w:p>
            <w:pPr>
              <w:spacing w:after="0"/>
              <w:rPr>
                <w:sz w:val="16"/>
                <w:szCs w:val="16"/>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0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91,228</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Stock options, PSUs and RSUs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6,880,160</w:t>
            </w:r>
          </w:p>
        </w:tc>
      </w:tr>
      <w:tr>
        <w:trPr>
          <w:trHeight w:val="216"/>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the 2019 Incentive Plan</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1,056,415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Shares available for issuance under the ESPP Plan</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752,938</w:t>
            </w:r>
          </w:p>
        </w:tc>
      </w:tr>
      <w:tr>
        <w:trPr>
          <w:trHeight w:val="250"/>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reserved for future issuance at September 30, 2022</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8,780,741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07" w:lineRule="exact"/>
        <w:rPr>
          <w:sz w:val="20"/>
          <w:szCs w:val="20"/>
          <w:color w:val="auto"/>
        </w:rPr>
      </w:pPr>
    </w:p>
    <w:p>
      <w:pPr>
        <w:ind w:right="340" w:firstLine="509"/>
        <w:spacing w:after="0" w:line="246" w:lineRule="auto"/>
        <w:rPr>
          <w:sz w:val="20"/>
          <w:szCs w:val="20"/>
          <w:color w:val="auto"/>
        </w:rPr>
      </w:pPr>
      <w:r>
        <w:rPr>
          <w:rFonts w:ascii="Arial" w:cs="Arial" w:eastAsia="Arial" w:hAnsi="Arial"/>
          <w:sz w:val="18"/>
          <w:szCs w:val="18"/>
          <w:color w:val="auto"/>
        </w:rPr>
        <w:t>The Company is authorized to issue up to 40 million shares of preferred stock. As of September 30, 2022 and December 31, 2021, there were no shares of preferred stock issued or outstanding.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As a result of the adoption of the 2019 Incentive Award Plan (the “2019 Plan”) in October 2019, no further shares are available for issuance under the Existing Incentive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0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As of September 30, 2022, 1,056,415 shares remain available for issuance, which reflects 2,584,868 of stock option, performance-based unit, or PSU, and restricted stock unit, or RSU, awards granted, and 285,737 of awards cancelled or forfeited, during the nine months ended September 30, 2022 as well as an annual increase of 1,582,802 shares authorized on January 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Units</w:t>
      </w:r>
    </w:p>
    <w:p>
      <w:pPr>
        <w:spacing w:after="0" w:line="189" w:lineRule="exact"/>
        <w:rPr>
          <w:sz w:val="20"/>
          <w:szCs w:val="20"/>
          <w:color w:val="auto"/>
        </w:rPr>
      </w:pPr>
    </w:p>
    <w:p>
      <w:pPr>
        <w:ind w:right="400" w:firstLine="509"/>
        <w:spacing w:after="0" w:line="250" w:lineRule="auto"/>
        <w:rPr>
          <w:sz w:val="20"/>
          <w:szCs w:val="20"/>
          <w:color w:val="auto"/>
        </w:rPr>
      </w:pPr>
      <w:r>
        <w:rPr>
          <w:rFonts w:ascii="Arial" w:cs="Arial" w:eastAsia="Arial" w:hAnsi="Arial"/>
          <w:sz w:val="18"/>
          <w:szCs w:val="18"/>
          <w:color w:val="auto"/>
        </w:rPr>
        <w:t xml:space="preserve">During 2020, the Company granted the initial PSUs whereby vesting depends upon the approval by the FDA of vonoprazan for </w:t>
      </w:r>
      <w:r>
        <w:rPr>
          <w:rFonts w:ascii="Arial" w:cs="Arial" w:eastAsia="Arial" w:hAnsi="Arial"/>
          <w:sz w:val="18"/>
          <w:szCs w:val="18"/>
          <w:i w:val="1"/>
          <w:iCs w:val="1"/>
          <w:color w:val="auto"/>
        </w:rPr>
        <w: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pylori </w:t>
      </w:r>
      <w:r>
        <w:rPr>
          <w:rFonts w:ascii="Arial" w:cs="Arial" w:eastAsia="Arial" w:hAnsi="Arial"/>
          <w:sz w:val="18"/>
          <w:szCs w:val="18"/>
          <w:color w:val="auto"/>
        </w:rPr>
        <w:t>and then, or concurrent with, erosive esophagitis. In 2022, the Company granted an additional 37,500 PSUs to employees.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the PSU milestones had not been achieved and no related compensation cost had been recognized. The following table summarizes PSU activity under the 2019 Incentive Award Plan during the nine months ended September 30,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Weighted-</w:t>
            </w:r>
          </w:p>
        </w:tc>
        <w:tc>
          <w:tcPr>
            <w:tcW w:w="1680" w:type="dxa"/>
            <w:vAlign w:val="bottom"/>
          </w:tcPr>
          <w:p>
            <w:pPr>
              <w:spacing w:after="0"/>
              <w:rPr>
                <w:sz w:val="14"/>
                <w:szCs w:val="14"/>
                <w:color w:val="auto"/>
              </w:rPr>
            </w:pPr>
          </w:p>
        </w:tc>
      </w:tr>
      <w:tr>
        <w:trPr>
          <w:trHeight w:val="148"/>
        </w:trPr>
        <w:tc>
          <w:tcPr>
            <w:tcW w:w="17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rPr>
              <w:t>Average Grant</w:t>
            </w:r>
          </w:p>
        </w:tc>
        <w:tc>
          <w:tcPr>
            <w:tcW w:w="1680" w:type="dxa"/>
            <w:vAlign w:val="bottom"/>
          </w:tcPr>
          <w:p>
            <w:pPr>
              <w:spacing w:after="0"/>
              <w:rPr>
                <w:sz w:val="12"/>
                <w:szCs w:val="12"/>
                <w:color w:val="auto"/>
              </w:rPr>
            </w:pPr>
          </w:p>
        </w:tc>
      </w:tr>
      <w:tr>
        <w:trPr>
          <w:trHeight w:val="162"/>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299"/>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Date Fair Value</w:t>
            </w:r>
          </w:p>
        </w:tc>
        <w:tc>
          <w:tcPr>
            <w:tcW w:w="1680" w:type="dxa"/>
            <w:vAlign w:val="bottom"/>
          </w:tcPr>
          <w:p>
            <w:pPr>
              <w:spacing w:after="0"/>
              <w:rPr>
                <w:sz w:val="14"/>
                <w:szCs w:val="14"/>
                <w:color w:val="auto"/>
              </w:rPr>
            </w:pPr>
          </w:p>
        </w:tc>
      </w:tr>
      <w:tr>
        <w:trPr>
          <w:trHeight w:val="189"/>
        </w:trPr>
        <w:tc>
          <w:tcPr>
            <w:tcW w:w="1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Per Share</w:t>
            </w:r>
          </w:p>
        </w:tc>
        <w:tc>
          <w:tcPr>
            <w:tcW w:w="1680" w:type="dxa"/>
            <w:vAlign w:val="bottom"/>
          </w:tcPr>
          <w:p>
            <w:pPr>
              <w:spacing w:after="0"/>
              <w:rPr>
                <w:sz w:val="16"/>
                <w:szCs w:val="16"/>
                <w:color w:val="auto"/>
              </w:rPr>
            </w:pPr>
          </w:p>
        </w:tc>
      </w:tr>
      <w:tr>
        <w:trPr>
          <w:trHeight w:val="210"/>
        </w:trPr>
        <w:tc>
          <w:tcPr>
            <w:tcW w:w="17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December 31, 2021</w:t>
            </w:r>
          </w:p>
        </w:tc>
        <w:tc>
          <w:tcPr>
            <w:tcW w:w="13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394,300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Granted</w:t>
            </w:r>
          </w:p>
        </w:tc>
        <w:tc>
          <w:tcPr>
            <w:tcW w:w="2780" w:type="dxa"/>
            <w:vAlign w:val="bottom"/>
            <w:gridSpan w:val="2"/>
          </w:tcPr>
          <w:p>
            <w:pPr>
              <w:jc w:val="right"/>
              <w:ind w:right="19"/>
              <w:spacing w:after="0"/>
              <w:rPr>
                <w:sz w:val="20"/>
                <w:szCs w:val="20"/>
                <w:color w:val="auto"/>
              </w:rPr>
            </w:pPr>
            <w:r>
              <w:rPr>
                <w:rFonts w:ascii="Arial" w:cs="Arial" w:eastAsia="Arial" w:hAnsi="Arial"/>
                <w:sz w:val="18"/>
                <w:szCs w:val="18"/>
                <w:color w:val="auto"/>
              </w:rPr>
              <w:t>37,500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278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(12,750 )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36.01</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September 30, 2022</w:t>
            </w:r>
          </w:p>
        </w:tc>
        <w:tc>
          <w:tcPr>
            <w:tcW w:w="13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419,050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680" w:type="dxa"/>
            <w:vAlign w:val="bottom"/>
          </w:tcPr>
          <w:p>
            <w:pPr>
              <w:spacing w:after="0"/>
              <w:rPr>
                <w:sz w:val="18"/>
                <w:szCs w:val="18"/>
                <w:color w:val="auto"/>
              </w:rPr>
            </w:pPr>
          </w:p>
        </w:tc>
      </w:tr>
      <w:tr>
        <w:trPr>
          <w:trHeight w:val="628"/>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780" w:type="dxa"/>
            <w:vAlign w:val="bottom"/>
            <w:gridSpan w:val="2"/>
          </w:tcPr>
          <w:p>
            <w:pPr>
              <w:jc w:val="right"/>
              <w:ind w:right="2139"/>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5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-487680</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0" w:name="page21"/>
    <w:bookmarkEnd w:id="20"/>
    <w:p>
      <w:pPr>
        <w:ind w:firstLine="509"/>
        <w:spacing w:after="0" w:line="246" w:lineRule="auto"/>
        <w:rPr>
          <w:sz w:val="20"/>
          <w:szCs w:val="20"/>
          <w:color w:val="auto"/>
        </w:rPr>
      </w:pPr>
      <w:r>
        <w:rPr>
          <w:rFonts w:ascii="Arial" w:cs="Arial" w:eastAsia="Arial" w:hAnsi="Arial"/>
          <w:sz w:val="18"/>
          <w:szCs w:val="18"/>
          <w:color w:val="auto"/>
        </w:rPr>
        <w:t>As of September 30, 2022, there was approximately $13.0 million of related unrecognized compensation cost, which will be recognized upon vesting.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0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During 2022, the Company granted 855,437 RSUs with vesting over time. The following table summarizes RSU activity under the 2019 Incentive Award Plan during the nine months ended September 30, 2022.</w:t>
      </w:r>
    </w:p>
    <w:p>
      <w:pPr>
        <w:spacing w:after="0" w:line="1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4"/>
                <w:szCs w:val="14"/>
                <w:color w:val="auto"/>
              </w:rPr>
            </w:pPr>
          </w:p>
        </w:tc>
      </w:tr>
      <w:tr>
        <w:trPr>
          <w:trHeight w:val="148"/>
        </w:trPr>
        <w:tc>
          <w:tcPr>
            <w:tcW w:w="4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Average Grant</w:t>
            </w:r>
          </w:p>
        </w:tc>
        <w:tc>
          <w:tcPr>
            <w:tcW w:w="80" w:type="dxa"/>
            <w:vAlign w:val="bottom"/>
          </w:tcPr>
          <w:p>
            <w:pPr>
              <w:spacing w:after="0"/>
              <w:rPr>
                <w:sz w:val="12"/>
                <w:szCs w:val="12"/>
                <w:color w:val="auto"/>
              </w:rPr>
            </w:pPr>
          </w:p>
        </w:tc>
      </w:tr>
      <w:tr>
        <w:trPr>
          <w:trHeight w:val="162"/>
        </w:trPr>
        <w:tc>
          <w:tcPr>
            <w:tcW w:w="492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Date Fair Value</w:t>
            </w:r>
          </w:p>
        </w:tc>
        <w:tc>
          <w:tcPr>
            <w:tcW w:w="80" w:type="dxa"/>
            <w:vAlign w:val="bottom"/>
          </w:tcPr>
          <w:p>
            <w:pPr>
              <w:spacing w:after="0"/>
              <w:rPr>
                <w:sz w:val="14"/>
                <w:szCs w:val="14"/>
                <w:color w:val="auto"/>
              </w:rPr>
            </w:pPr>
          </w:p>
        </w:tc>
      </w:tr>
      <w:tr>
        <w:trPr>
          <w:trHeight w:val="189"/>
        </w:trPr>
        <w:tc>
          <w:tcPr>
            <w:tcW w:w="4920" w:type="dxa"/>
            <w:vAlign w:val="bottom"/>
          </w:tcPr>
          <w:p>
            <w:pPr>
              <w:spacing w:after="0"/>
              <w:rPr>
                <w:sz w:val="16"/>
                <w:szCs w:val="16"/>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 Units</w:t>
            </w:r>
          </w:p>
        </w:tc>
        <w:tc>
          <w:tcPr>
            <w:tcW w:w="140" w:type="dxa"/>
            <w:vAlign w:val="bottom"/>
          </w:tcPr>
          <w:p>
            <w:pPr>
              <w:spacing w:after="0"/>
              <w:rPr>
                <w:sz w:val="16"/>
                <w:szCs w:val="16"/>
                <w:color w:val="auto"/>
              </w:rPr>
            </w:pPr>
          </w:p>
        </w:tc>
        <w:tc>
          <w:tcPr>
            <w:tcW w:w="1220" w:type="dxa"/>
            <w:vAlign w:val="bottom"/>
          </w:tcPr>
          <w:p>
            <w:pPr>
              <w:jc w:val="center"/>
              <w:ind w:right="58"/>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6"/>
                <w:szCs w:val="16"/>
                <w:color w:val="auto"/>
              </w:rPr>
            </w:pPr>
          </w:p>
        </w:tc>
      </w:tr>
      <w:tr>
        <w:trPr>
          <w:trHeight w:val="209"/>
        </w:trPr>
        <w:tc>
          <w:tcPr>
            <w:tcW w:w="4920" w:type="dxa"/>
            <w:vAlign w:val="bottom"/>
          </w:tcPr>
          <w:p>
            <w:pPr>
              <w:spacing w:after="0"/>
              <w:rPr>
                <w:sz w:val="20"/>
                <w:szCs w:val="20"/>
                <w:color w:val="auto"/>
              </w:rPr>
            </w:pPr>
            <w:r>
              <w:rPr>
                <w:rFonts w:ascii="Arial" w:cs="Arial" w:eastAsia="Arial" w:hAnsi="Arial"/>
                <w:sz w:val="18"/>
                <w:szCs w:val="18"/>
                <w:color w:val="auto"/>
              </w:rPr>
              <w:t>Unvested balance at December 31, 2021</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855,437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80" w:type="dxa"/>
            <w:vAlign w:val="bottom"/>
            <w:shd w:val="clear" w:color="auto" w:fill="CFF0FC"/>
          </w:tcPr>
          <w:p>
            <w:pPr>
              <w:spacing w:after="0"/>
              <w:rPr>
                <w:sz w:val="18"/>
                <w:szCs w:val="18"/>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4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(15,800 )</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FF0FC"/>
          </w:tcPr>
          <w:p>
            <w:pPr>
              <w:spacing w:after="0"/>
              <w:rPr>
                <w:sz w:val="18"/>
                <w:szCs w:val="18"/>
                <w:color w:val="auto"/>
              </w:rPr>
            </w:pPr>
          </w:p>
        </w:tc>
      </w:tr>
      <w:tr>
        <w:trPr>
          <w:trHeight w:val="209"/>
        </w:trPr>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Unvested balance at September 30,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839,637</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-153670</wp:posOffset>
            </wp:positionV>
            <wp:extent cx="5143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4318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154305"/>
                    </a:xfrm>
                    <a:prstGeom prst="rect">
                      <a:avLst/>
                    </a:prstGeom>
                    <a:noFill/>
                  </pic:spPr>
                </pic:pic>
              </a:graphicData>
            </a:graphic>
          </wp:anchor>
        </w:drawing>
      </w:r>
    </w:p>
    <w:p>
      <w:pPr>
        <w:spacing w:after="0" w:line="155"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As of September 30, 2022, the Company had $7.3 million of unrecognized stock-based compensation expense, which is expected to be recognized over a weighted-average period of 1.6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October 2019, the board of directors adopted, and the Company’s stockholders approved, the Employee Stock Purchase Plan, or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September 30, 2022, 752,938 shares of common stock remain available for issuance, which includes the 89,098 shares sold to employees during the nine months ended September 30, 2022.</w:t>
      </w:r>
    </w:p>
    <w:p>
      <w:pPr>
        <w:spacing w:after="0" w:line="17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ESPP is considered a compensatory plan, and for the three and nine months ended September 30, 2022, the Company recorded related stock-based compensation of $0.0 and $0.3 million, respectively, compared to $0.1 million and $0.3 million, respectively, for the same periods in 2021. The weighted-average assumptions used to estimate the fair value of ESPP awards using the Black-Scholes option valuation model were as follows: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360" w:type="dxa"/>
            <w:vAlign w:val="bottom"/>
          </w:tcPr>
          <w:p>
            <w:pPr>
              <w:spacing w:after="0"/>
              <w:rPr>
                <w:sz w:val="15"/>
                <w:szCs w:val="15"/>
                <w:color w:val="auto"/>
              </w:rPr>
            </w:pPr>
          </w:p>
        </w:tc>
        <w:tc>
          <w:tcPr>
            <w:tcW w:w="26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36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60" w:type="dxa"/>
            <w:vAlign w:val="bottom"/>
          </w:tcPr>
          <w:p>
            <w:pPr>
              <w:ind w:left="180"/>
              <w:spacing w:after="0"/>
              <w:rPr>
                <w:sz w:val="20"/>
                <w:szCs w:val="20"/>
                <w:color w:val="auto"/>
              </w:rPr>
            </w:pPr>
            <w:r>
              <w:rPr>
                <w:rFonts w:ascii="Arial" w:cs="Arial" w:eastAsia="Arial" w:hAnsi="Arial"/>
                <w:sz w:val="18"/>
                <w:szCs w:val="18"/>
                <w:color w:val="auto"/>
              </w:rPr>
              <w:t>Expected term (in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68.59 %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76.25 %</w:t>
            </w: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Risk free interest rate</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2.04 %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0.09 %</w:t>
            </w:r>
          </w:p>
        </w:tc>
      </w:tr>
      <w:tr>
        <w:trPr>
          <w:trHeight w:val="216"/>
        </w:trPr>
        <w:tc>
          <w:tcPr>
            <w:tcW w:w="53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-410845</wp:posOffset>
            </wp:positionV>
            <wp:extent cx="498919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spacing w:after="0" w:line="16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estimated weighted-average fair value of ESPP awards for the nine months ended September 30, 2022 and 2021, were $3.98 and $14.66, respectively. As of September 30, 2022, the total unrecognized compensation expense related to the ESPP was $236,000, which is expected to be recognized over a weighted-average period of approximately 3.5 months.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0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 established a 401(k) savings plan during the year ended December 31, 2020. The Company’s contributions to the plan are discretionary. During the three and nine months ended September 30, 2022, the Company incurred $0.2 million and $1.1 million, respectively, of expense related to estimated employer contribution liabilities, which was based on a 75% match of employees’ contributions during the periods, compared to $0.1 million and $0.7 million, respectively, for the same periods in 2021. In August 2021, the Board of Directors approved a semi-annual discretionary match for 2021, which was settled by contributing 18,394 shares. In January 2022, the Board of Directors approved a second semi-annual discretionary match for 2021, which was settled by contributing 16,756 shares. In July 2022, the Board of Directors approved a semi-annual match for 2022, which was settled by contribution 84,784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 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1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60" w:type="dxa"/>
            <w:vAlign w:val="bottom"/>
          </w:tcPr>
          <w:p>
            <w:pPr>
              <w:spacing w:after="0"/>
              <w:rPr>
                <w:sz w:val="14"/>
                <w:szCs w:val="14"/>
                <w:color w:val="auto"/>
              </w:rPr>
            </w:pPr>
          </w:p>
        </w:tc>
        <w:tc>
          <w:tcPr>
            <w:tcW w:w="12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97"/>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2"/>
                <w:szCs w:val="12"/>
                <w:color w:val="auto"/>
              </w:rPr>
            </w:pPr>
          </w:p>
        </w:tc>
        <w:tc>
          <w:tcPr>
            <w:tcW w:w="130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Value (in</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2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4,186,729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23"/>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13,973</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1,691,931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14.75</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Options exercised and shares vested</w:t>
            </w:r>
          </w:p>
        </w:tc>
        <w:tc>
          <w:tcPr>
            <w:tcW w:w="12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Options forfeited, expired or cancelled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(257,187 )</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2022</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5,621,473</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0"/>
        </w:trPr>
        <w:tc>
          <w:tcPr>
            <w:tcW w:w="4560" w:type="dxa"/>
            <w:vAlign w:val="bottom"/>
          </w:tcPr>
          <w:p>
            <w:pPr>
              <w:ind w:left="180"/>
              <w:spacing w:after="0"/>
              <w:rPr>
                <w:sz w:val="20"/>
                <w:szCs w:val="20"/>
                <w:color w:val="auto"/>
              </w:rPr>
            </w:pPr>
            <w:r>
              <w:rPr>
                <w:rFonts w:ascii="Arial" w:cs="Arial" w:eastAsia="Arial" w:hAnsi="Arial"/>
                <w:sz w:val="18"/>
                <w:szCs w:val="18"/>
                <w:color w:val="auto"/>
              </w:rPr>
              <w:t>Options exercisable as of September 30, 2022</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2,262,491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24.69</w:t>
            </w:r>
          </w:p>
        </w:tc>
        <w:tc>
          <w:tcPr>
            <w:tcW w:w="1420" w:type="dxa"/>
            <w:vAlign w:val="bottom"/>
            <w:gridSpan w:val="2"/>
          </w:tcPr>
          <w:p>
            <w:pPr>
              <w:jc w:val="right"/>
              <w:ind w:right="23"/>
              <w:spacing w:after="0"/>
              <w:rPr>
                <w:sz w:val="20"/>
                <w:szCs w:val="20"/>
                <w:color w:val="auto"/>
              </w:rPr>
            </w:pPr>
            <w:r>
              <w:rPr>
                <w:rFonts w:ascii="Arial" w:cs="Arial" w:eastAsia="Arial" w:hAnsi="Arial"/>
                <w:sz w:val="18"/>
                <w:szCs w:val="18"/>
                <w:color w:val="auto"/>
              </w:rPr>
              <w:t>7.31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-145415</wp:posOffset>
            </wp:positionV>
            <wp:extent cx="8572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-145415</wp:posOffset>
            </wp:positionV>
            <wp:extent cx="7747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-145415</wp:posOffset>
            </wp:positionV>
            <wp:extent cx="7747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46050"/>
                    </a:xfrm>
                    <a:prstGeom prst="rect">
                      <a:avLst/>
                    </a:prstGeom>
                    <a:noFill/>
                  </pic:spPr>
                </pic:pic>
              </a:graphicData>
            </a:graphic>
          </wp:anchor>
        </w:drawing>
      </w:r>
    </w:p>
    <w:p>
      <w:pPr>
        <w:spacing w:after="0" w:line="167" w:lineRule="exact"/>
        <w:rPr>
          <w:sz w:val="20"/>
          <w:szCs w:val="20"/>
          <w:color w:val="auto"/>
        </w:rPr>
      </w:pPr>
    </w:p>
    <w:p>
      <w:pPr>
        <w:jc w:val="both"/>
        <w:ind w:right="200" w:firstLine="509"/>
        <w:spacing w:after="0"/>
        <w:rPr>
          <w:sz w:val="20"/>
          <w:szCs w:val="20"/>
          <w:color w:val="auto"/>
        </w:rPr>
      </w:pPr>
      <w:r>
        <w:rPr>
          <w:rFonts w:ascii="Arial" w:cs="Arial" w:eastAsia="Arial" w:hAnsi="Arial"/>
          <w:sz w:val="18"/>
          <w:szCs w:val="18"/>
          <w:color w:val="auto"/>
        </w:rPr>
        <w:t>The estimated weighted-average fair value of employee and nonemployee director stock options granted during 2022 was $8.46 per option. As of September 30, 2022, the Company had $42.4 million of unrecognized stock-based compensation expense, which is expected to be recognized over a weighted-average period of 2.0 years.</w:t>
      </w:r>
    </w:p>
    <w:p>
      <w:pPr>
        <w:spacing w:after="0" w:line="176" w:lineRule="exact"/>
        <w:rPr>
          <w:sz w:val="20"/>
          <w:szCs w:val="20"/>
          <w:color w:val="auto"/>
        </w:rPr>
      </w:pPr>
    </w:p>
    <w:p>
      <w:pPr>
        <w:ind w:right="300" w:firstLine="509"/>
        <w:spacing w:after="0" w:line="246" w:lineRule="auto"/>
        <w:rPr>
          <w:sz w:val="20"/>
          <w:szCs w:val="20"/>
          <w:color w:val="auto"/>
        </w:rPr>
      </w:pPr>
      <w:r>
        <w:rPr>
          <w:rFonts w:ascii="Arial" w:cs="Arial" w:eastAsia="Arial" w:hAnsi="Arial"/>
          <w:sz w:val="18"/>
          <w:szCs w:val="18"/>
          <w:color w:val="auto"/>
        </w:rPr>
        <w:t>The weighted-average assumptions used to estimate the fair value of stock options using the Black-Scholes option valuation model were as follows:</w:t>
      </w:r>
    </w:p>
    <w:p>
      <w:pPr>
        <w:spacing w:after="0" w:line="157"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Nine Months Ended</w:t>
      </w:r>
    </w:p>
    <w:p>
      <w:pPr>
        <w:spacing w:after="0" w:line="6"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20" w:type="dxa"/>
            <w:vAlign w:val="bottom"/>
            <w:tcBorders>
              <w:top w:val="single" w:sz="8" w:color="auto"/>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2021</w:t>
            </w:r>
          </w:p>
        </w:tc>
        <w:tc>
          <w:tcPr>
            <w:tcW w:w="1680" w:type="dxa"/>
            <w:vAlign w:val="bottom"/>
          </w:tcPr>
          <w:p>
            <w:pPr>
              <w:spacing w:after="0"/>
              <w:rPr>
                <w:sz w:val="14"/>
                <w:szCs w:val="14"/>
                <w:color w:val="auto"/>
              </w:rPr>
            </w:pPr>
          </w:p>
        </w:tc>
      </w:tr>
      <w:tr>
        <w:trPr>
          <w:trHeight w:val="210"/>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Assumptions:</w:t>
            </w:r>
          </w:p>
        </w:tc>
        <w:tc>
          <w:tcPr>
            <w:tcW w:w="1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Expected term (in years)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6.00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66.01 %</w:t>
            </w:r>
          </w:p>
        </w:tc>
        <w:tc>
          <w:tcPr>
            <w:tcW w:w="3900" w:type="dxa"/>
            <w:vAlign w:val="bottom"/>
            <w:gridSpan w:val="2"/>
          </w:tcPr>
          <w:p>
            <w:pPr>
              <w:jc w:val="right"/>
              <w:ind w:right="1580"/>
              <w:spacing w:after="0"/>
              <w:rPr>
                <w:sz w:val="20"/>
                <w:szCs w:val="20"/>
                <w:color w:val="auto"/>
              </w:rPr>
            </w:pPr>
            <w:r>
              <w:rPr>
                <w:rFonts w:ascii="Arial" w:cs="Arial" w:eastAsia="Arial" w:hAnsi="Arial"/>
                <w:sz w:val="18"/>
                <w:szCs w:val="18"/>
                <w:color w:val="auto"/>
              </w:rPr>
              <w:t>67.37 %</w:t>
            </w:r>
          </w:p>
        </w:tc>
      </w:tr>
      <w:tr>
        <w:trPr>
          <w:trHeight w:val="217"/>
        </w:trPr>
        <w:tc>
          <w:tcPr>
            <w:tcW w:w="170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Risk free interest rate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3900" w:type="dxa"/>
            <w:vAlign w:val="bottom"/>
            <w:gridSpan w:val="2"/>
          </w:tcPr>
          <w:p>
            <w:pPr>
              <w:jc w:val="right"/>
              <w:ind w:right="1580"/>
              <w:spacing w:after="0"/>
              <w:rPr>
                <w:sz w:val="20"/>
                <w:szCs w:val="20"/>
                <w:color w:val="auto"/>
              </w:rPr>
            </w:pPr>
            <w:r>
              <w:rPr>
                <w:rFonts w:ascii="Arial" w:cs="Arial" w:eastAsia="Arial" w:hAnsi="Arial"/>
                <w:sz w:val="18"/>
                <w:szCs w:val="18"/>
                <w:color w:val="auto"/>
              </w:rPr>
              <w:t>0.65 %</w:t>
            </w:r>
          </w:p>
        </w:tc>
      </w:tr>
      <w:tr>
        <w:trPr>
          <w:trHeight w:val="216"/>
        </w:trPr>
        <w:tc>
          <w:tcPr>
            <w:tcW w:w="1700" w:type="dxa"/>
            <w:vAlign w:val="bottom"/>
          </w:tcPr>
          <w:p>
            <w:pPr>
              <w:spacing w:after="0"/>
              <w:rPr>
                <w:sz w:val="18"/>
                <w:szCs w:val="18"/>
                <w:color w:val="auto"/>
              </w:rPr>
            </w:pPr>
          </w:p>
        </w:tc>
        <w:tc>
          <w:tcPr>
            <w:tcW w:w="4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Dividend yield</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r>
      <w:tr>
        <w:trPr>
          <w:trHeight w:val="63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599"/>
              <w:spacing w:after="0"/>
              <w:rPr>
                <w:sz w:val="20"/>
                <w:szCs w:val="20"/>
                <w:color w:val="auto"/>
              </w:rPr>
            </w:pPr>
            <w:r>
              <w:rPr>
                <w:rFonts w:ascii="Arial" w:cs="Arial" w:eastAsia="Arial" w:hAnsi="Arial"/>
                <w:sz w:val="18"/>
                <w:szCs w:val="18"/>
                <w:color w:val="auto"/>
              </w:rPr>
              <w:t>F-20</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170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-890905</wp:posOffset>
            </wp:positionV>
            <wp:extent cx="49891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07"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Stock-based compensation expense recognized for all equity awards, including founder stock, has been reported in the statements of operations and comprehensive loss as follows (in thousands):</w:t>
      </w:r>
    </w:p>
    <w:p>
      <w:pPr>
        <w:spacing w:after="0" w:line="1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2"/>
        </w:trPr>
        <w:tc>
          <w:tcPr>
            <w:tcW w:w="29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1,418</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3,876</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188"/>
        </w:trPr>
        <w:tc>
          <w:tcPr>
            <w:tcW w:w="2980" w:type="dxa"/>
            <w:vAlign w:val="bottom"/>
          </w:tcPr>
          <w:p>
            <w:pPr>
              <w:spacing w:after="0" w:line="189" w:lineRule="exact"/>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6"/>
                <w:szCs w:val="16"/>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8"/>
                <w:szCs w:val="18"/>
                <w:color w:val="auto"/>
              </w:rPr>
              <w:t>4,398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3,395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8"/>
                <w:szCs w:val="18"/>
                <w:color w:val="auto"/>
              </w:rPr>
              <w:t>13,600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03"/>
        </w:trPr>
        <w:tc>
          <w:tcPr>
            <w:tcW w:w="2980" w:type="dxa"/>
            <w:vAlign w:val="bottom"/>
          </w:tcPr>
          <w:p>
            <w:pPr>
              <w:spacing w:after="0" w:line="203" w:lineRule="exact"/>
              <w:rPr>
                <w:sz w:val="20"/>
                <w:szCs w:val="20"/>
                <w:color w:val="auto"/>
              </w:rPr>
            </w:pPr>
            <w:r>
              <w:rPr>
                <w:rFonts w:ascii="Arial" w:cs="Arial" w:eastAsia="Arial" w:hAnsi="Arial"/>
                <w:sz w:val="18"/>
                <w:szCs w:val="18"/>
                <w:color w:val="auto"/>
              </w:rPr>
              <w:t>expense</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5,816</w:t>
            </w:r>
          </w:p>
        </w:tc>
        <w:tc>
          <w:tcPr>
            <w:tcW w:w="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17,476</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w:t>
      </w:r>
    </w:p>
    <w:p>
      <w:pPr>
        <w:spacing w:after="0" w:line="20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November 1, 2022, the Company announced the placement of the remaining $40 million in non-dilutive capital under its up to $300 million Revenue Interest Financing Agreement. This commitment provides an additional $15 million upon FDA approval of vonoprazan for treatment of EE and $25 million for achievement of a sales milestone.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509"/>
        <w:spacing w:after="0" w:line="25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unaudited interim financial statements and notes thereto included in this Quarterly Report on Form 10-Q and with our audited financial statements and notes thereto for the year ended December 31, 2021 and the related Management’s Discussion and Analysis of Financial Condition and Results of Operations, both of which are contained in our Annual Report on Form 10-K for the year ended December 31, 2021 (“2021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research and development plans and costs, the impact of COVID-19,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short-term and long-term business operations and objectives. These forward-looking statements speak only as of the date of this quarterly report and are subject to a number of risks, uncertainties and assumptions, including those described in the Part II, Item 1A under the heading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 xml:space="preserve">We are a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infection. Takeda Pharmaceutical Company Limited, or Takeda, developed vonoprazan and has received marketing approval in numerous countries in Asia and Latin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4" w:name="page25"/>
    <w:bookmarkEnd w:id="24"/>
    <w:p>
      <w:pPr>
        <w:ind w:right="20" w:firstLine="509"/>
        <w:spacing w:after="0" w:line="241" w:lineRule="auto"/>
        <w:rPr>
          <w:sz w:val="20"/>
          <w:szCs w:val="20"/>
          <w:color w:val="auto"/>
        </w:rPr>
      </w:pPr>
      <w:r>
        <w:rPr>
          <w:rFonts w:ascii="Arial" w:cs="Arial" w:eastAsia="Arial" w:hAnsi="Arial"/>
          <w:sz w:val="18"/>
          <w:szCs w:val="18"/>
          <w:color w:val="auto"/>
        </w:rPr>
        <w:t xml:space="preserve">In 2021 we reported topline data from two pivotal Phase 3 clinical trials for vonoprazan: one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(PHALCON-HP), and a second for the treatment of erosive GERD (PHALCON-EE), also known as erosive esophagitis, or EE. In April 2021, we reported positive topline data from PHALCON-HP, and in October 2021, we reported positive topline data from PHALCON-EE. In September 2021, we submitted new drug applications (NDAs) for two treatment regimens containing vonoprazan for the treatment of </w:t>
      </w:r>
      <w:r>
        <w:rPr>
          <w:rFonts w:ascii="Arial" w:cs="Arial" w:eastAsia="Arial" w:hAnsi="Arial"/>
          <w:sz w:val="18"/>
          <w:szCs w:val="18"/>
          <w:i w:val="1"/>
          <w:iCs w:val="1"/>
          <w:color w:val="auto"/>
        </w:rPr>
        <w:t>H.</w:t>
      </w:r>
      <w:r>
        <w:rPr>
          <w:rFonts w:ascii="Arial" w:cs="Arial" w:eastAsia="Arial" w:hAnsi="Arial"/>
          <w:sz w:val="18"/>
          <w:szCs w:val="18"/>
          <w:color w:val="auto"/>
        </w:rPr>
        <w:t xml:space="preserve"> pylori infection, vonoprazan triple therapy (vonoprazan, amoxicillin, clarithromycin) and vonoprazan dual therapy (vonoprazan, amoxicillin), and in November 2021, the U.S. Food and Drug Administration, or FDA, accepted both NDAs for filing, granted each of them Priority Review, and assigned us a Prescription Drug User Fee Act (PDUFA) action date in May 2022. In addition, both of our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NDAs received qualified infectious disease product (QIDP) designations which provides a potential extension of any regulatory exclusivity awarded following approval. On May 3, 2022, we received FDA approval for vonoprazan triple therapy, under the brand name VOQUEZNA™ TRIPLE PAK™ and vonoprazan dual therapy, under the brand name VOQUEZNA™ DUAL PAK™, in each case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Further, in March 2022, we submitted an NDA for the use of vonoprazan as a treatment for adults for the healing of all grades of EE and relief of heartburn, and maintenance of healing of all grades of EE and relief of heartburn, which was accepted for filing by the FDA in May 2022, with a PDUFA action date of January 11, 2023. In August 2022, we announced that, consistent with current FDA recommendations for all chemically synthesized drug compounds such as vonoprazan, we had previously initiated post-approval testing to determine whether nitrosamine impurities were present in vonoprazan drug product. These tests showed trace levels of a nitrosamine impurity that is not described within the FDA guidance document entitled “Control of Nitrosamine Impurities in Human Drugs – Guidance for Industry.” We are continuing to work with the FDA to obtain approval of, and are prepared to implement an additional test method, specification, including proposed acceptable intake limit, and additional controls to address this impurity prior to releasing our first vonoprazan-based products to the market. These additional activities resulted in a delay of the planned VOQUEZNA™ TRIPLE PAK™ and VOQUEZNA™ DUAL PAK™ commercial launches. We currently expect commercial launch of these products, as well as, if approved, VOQUEZNA™ tablets for EE, in the first quarter of 2023.</w:t>
      </w:r>
    </w:p>
    <w:p>
      <w:pPr>
        <w:spacing w:after="0" w:line="17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also progressed our clinical development program in NERD. In February 2022, we reported positive topline data from a Phase 2 trial studying vonoprazan for on-demand treatment of NERD, and based on the positive results from this study are in discussions with FDA regarding a Phase 3 trial design for this novel dosing regimen. Also in February 2022, we commenced, and in October 2022, we completed, enrollment of patients in a Phase 3 trial studying vonoprazan, dosed on a once-daily basis, for the treatment of NERD with topline data for the primary endpoint expected in the first quarter of 2023 and topline results for the full trial expected later in 2023. Additionally, we plan to discuss with the FDA our proposed development plan to study vonoprazan as a treatment for eosinophilic esophagitis, or EoE.</w:t>
      </w:r>
    </w:p>
    <w:p>
      <w:pPr>
        <w:spacing w:after="0" w:line="17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plan to independently commercialize vonoprazan in the United States. We also plan to seek commercial partnerships for vonoprazan in Europe and Canada, expand development of vonoprazan into other indications, dosing regimens and alternative formulations and packaging, and in-license or acquire additional clinical or commercial stage product candidates for the treatment of GI diseases in a capital efficient manner.</w:t>
      </w:r>
    </w:p>
    <w:p>
      <w:pPr>
        <w:spacing w:after="0" w:line="16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conducting our clinical trials of vonoprazan, preparing applications for regulatory approval for vonoprazan and preparing for commercial launch. Our operations to date have been funded primarily through the issuance of convertible promissory notes, commercial bank debt, the proceeds from our initial public offering and our follow-on public offering. From our inception through September 30, 2022, we have raised aggregate gross proceeds of $90.3 million from the issuance of convertible promissory notes, $100.0 million of debt, $100.0 million of revenue interest financing liability,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net proceeds of $88.6 million from the sale of 2,250,000 shares of common stock at a public offering price of $39.48 per share after deducting underwriting discounts and commissions, and an additional $0.2 million in offering costs, and the sale of 2,414,897 shares of common stock for net proceeds of approximately $24.6 million in its September 2022 issuance of common stock under the ATM Offering.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5" w:name="page26"/>
    <w:bookmarkEnd w:id="25"/>
    <w:p>
      <w:pPr>
        <w:ind w:right="20" w:firstLine="509"/>
        <w:spacing w:after="0"/>
        <w:rPr>
          <w:sz w:val="20"/>
          <w:szCs w:val="20"/>
          <w:color w:val="auto"/>
        </w:rPr>
      </w:pPr>
      <w:r>
        <w:rPr>
          <w:rFonts w:ascii="Arial" w:cs="Arial" w:eastAsia="Arial" w:hAnsi="Arial"/>
          <w:sz w:val="18"/>
          <w:szCs w:val="18"/>
          <w:color w:val="auto"/>
        </w:rPr>
        <w:t>We have incurred net losses since our inception. Our net losses for the nine-month periods ended September 30, 2022 and 2021 were $142.7 million and $108.1 million, respectively. As of September 30, 2022, we had an accumulated deficit of $672.0 million. Our net losses may fluctuate significantly from quarter-to-quarter and year-to-year, depending on the timing of our clinical development activities, other research and development activities, and pre-commercialization activities. We expect our expenses and operating losses will increase substantially as we advance vonoprazan through additional clinical trials, seek further regulatory approval for vonoprazan, expand our clinical, regulatory, quality, manufacturing and commercialization capabilities, incur significant commercialization expenses for marketing, sales, manufacturing and distribution, protect our intellectual property, expand our general and administrative support functions, including hiring additional personnel, and incur additional costs associated with operating as a public company.</w:t>
      </w:r>
    </w:p>
    <w:p>
      <w:pPr>
        <w:spacing w:after="0" w:line="16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have never generated any revenue and do not expect to generate any revenues from product sales unless and until we commence commercialization of our initial approved products. Accordingly, until such time as we can generate significant revenue from sales of vonoprazan, if ever, we expect to finance our cash needs through equity offerings, our existing loan and security agreement, or the Loan Agreement, debt financings, Revenue Interest Financing Agreement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Takeda</w:t>
      </w:r>
    </w:p>
    <w:p>
      <w:pPr>
        <w:spacing w:after="0" w:line="193"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On May 7, 2019, we and Takeda entered into an exclusive license, or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6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6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paid Takeda upfront consideration consisting of a cash fee of $25.0 million, 1,084,000 shares of our common stock, a warrant to purchase 7,588,000 shares of our common stock at an exercise price of $0.00004613 per share, or the Takeda Warrant,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7"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auto"/>
        </w:rPr>
        <w:t>Research and development expenses include:</w:t>
      </w:r>
    </w:p>
    <w:p>
      <w:pPr>
        <w:spacing w:after="0" w:line="171" w:lineRule="exact"/>
        <w:rPr>
          <w:sz w:val="20"/>
          <w:szCs w:val="20"/>
          <w:color w:val="auto"/>
        </w:rPr>
      </w:pPr>
    </w:p>
    <w:p>
      <w:pPr>
        <w:ind w:left="900" w:right="1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charges for those individuals involved in research and development efforts;</w:t>
      </w:r>
    </w:p>
    <w:p>
      <w:pPr>
        <w:spacing w:after="0" w:line="143" w:lineRule="exact"/>
        <w:rPr>
          <w:rFonts w:ascii="Arial" w:cs="Arial" w:eastAsia="Arial" w:hAnsi="Arial"/>
          <w:sz w:val="18"/>
          <w:szCs w:val="18"/>
          <w:color w:val="auto"/>
        </w:rPr>
      </w:pPr>
    </w:p>
    <w:p>
      <w:pPr>
        <w:ind w:left="900" w:right="3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and consultants to conduct and support our ongoing clinical trials of vonoprazan; and</w:t>
      </w:r>
    </w:p>
    <w:p>
      <w:pPr>
        <w:spacing w:after="0" w:line="143" w:lineRule="exact"/>
        <w:rPr>
          <w:rFonts w:ascii="Arial" w:cs="Arial" w:eastAsia="Arial" w:hAnsi="Arial"/>
          <w:sz w:val="18"/>
          <w:szCs w:val="18"/>
          <w:color w:val="auto"/>
        </w:rPr>
      </w:pPr>
    </w:p>
    <w:p>
      <w:pPr>
        <w:ind w:left="900" w:right="18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related to the manufacturing of vonoprazan for our clinical trials as well as for qualification of future third party commercial manufacturing.</w:t>
      </w:r>
    </w:p>
    <w:p>
      <w:pPr>
        <w:spacing w:after="0" w:line="14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plan to continue to invest in research and development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85" w:lineRule="exact"/>
        <w:rPr>
          <w:sz w:val="20"/>
          <w:szCs w:val="20"/>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doses evaluated in the trials;</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71"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and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significantly increase in the future to support our continued research and development activities, pre-commercial preparation activities in light of the recent approvals of VOQUEZNA™ TRIPLE PAK™ and VOQUEZNA™ DUAL PAK™ to treat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and, if any future product candidate receives marketing approval, commercialization activities. We also anticipate increased expenses related to audit, legal, regulatory, and tax-related services associated with maintaining compliance with exchange listing and Securities and Exchange Commission, or SEC, requirements, director and officer insurance premiums, and investor relations costs associated with operating as a public company.</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on our money market fund.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07"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Beginning on May 3, 2022, interest expense includes interest on the Revenue Interest Financing Agreement, which is based on the imputed effective rate derived from expected future payments and the carrying value of the obligation. The Company recalculates the effective interest rate each period based on the current carrying value and the revised estimated future payments. Changes in future payments from previous estimates are included in current and future financing expense.</w:t>
      </w:r>
    </w:p>
    <w:p>
      <w:pPr>
        <w:spacing w:after="0" w:line="16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Beginning on September 17, 2021, interest expense includes interest on the Hercules Loan Agreement, which consists of (i) cash interest at a variable annual rate equal to the greater of (a) 5.50% and (b) the Prime Rate (as reported in the Wall Street Journal) plus 2.25% (the “Interest Rate”), (ii) payment-in-kind interest at a per annum rate of interest equal to 3.35%, and (iii) amortization of the Hercules Loan Agreement debt discount recorded in connection with the fair value of warrants issued to the lenders, the debt issuance costs incurred, and the obligation to make a final payment.</w:t>
      </w:r>
    </w:p>
    <w:p>
      <w:pPr>
        <w:spacing w:after="0" w:line="176"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Prior to September 17, 2021, interest expense consisted of interest on our outstanding commercial bank debt with SVB at a variable annual rate equal to the greater of (a) 7.25% and (b) Prime Rate (as reported by the Wall Street Journal) plus 1.75% and amortization of the SVB Term Loan debt discount recorded in connection with the fair value of warrants issued to the lenders, the debt issuance costs incurred, and the obligation to make a final payment.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2022 and 2021 (in thousands):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Nine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69"/>
        </w:trPr>
        <w:tc>
          <w:tcPr>
            <w:tcW w:w="5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55,495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58,786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(3,291 )</w:t>
            </w:r>
          </w:p>
        </w:tc>
      </w:tr>
      <w:tr>
        <w:trPr>
          <w:trHeight w:val="216"/>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70,303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43,254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27,049</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125,798</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102,040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23,758</w:t>
            </w:r>
          </w:p>
        </w:tc>
      </w:tr>
      <w:tr>
        <w:trPr>
          <w:trHeight w:val="209"/>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(125,798 )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(102,040 )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(23,758 )</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810</w:t>
            </w: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(4,013 )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(13,690 )</w:t>
            </w:r>
          </w:p>
        </w:tc>
      </w:tr>
      <w:tr>
        <w:trPr>
          <w:trHeight w:val="216"/>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(2,039 )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2,019</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(10,861 )</w:t>
            </w:r>
          </w:p>
        </w:tc>
      </w:tr>
      <w:tr>
        <w:trPr>
          <w:trHeight w:val="250"/>
        </w:trPr>
        <w:tc>
          <w:tcPr>
            <w:tcW w:w="5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(142,676 )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(108,057 )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-1165225</wp:posOffset>
            </wp:positionV>
            <wp:extent cx="7747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-1165225</wp:posOffset>
            </wp:positionV>
            <wp:extent cx="6858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-873760</wp:posOffset>
            </wp:positionV>
            <wp:extent cx="7747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-873760</wp:posOffset>
            </wp:positionV>
            <wp:extent cx="6858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-316865</wp:posOffset>
            </wp:positionV>
            <wp:extent cx="7747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-316865</wp:posOffset>
            </wp:positionV>
            <wp:extent cx="6858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were $55.5 million and $58.8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2022 and 2021, respectively. The decrease of $3.3 million consisted of a reduction of $4.0 million of expenses related to regulatory requirements and $3.0 million of clinical trial costs in 2022, partially offset by increase of $1.9 million of chemistry manufacturing and controls, or CMC, costs related to vonoprazan, and $1.8 million of personnel-related, consulting and other research expenses.</w:t>
      </w:r>
    </w:p>
    <w:p>
      <w:pPr>
        <w:spacing w:after="0" w:line="119" w:lineRule="exact"/>
        <w:rPr>
          <w:sz w:val="20"/>
          <w:szCs w:val="20"/>
          <w:color w:val="auto"/>
        </w:rPr>
      </w:pPr>
    </w:p>
    <w:p>
      <w:pPr>
        <w:ind w:right="40" w:firstLine="509"/>
        <w:spacing w:after="0" w:line="250"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$ 70.3 million and $43.3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and 2021, respectively. The increase of $27.0 million was due to increases of $14.5 million in professional services expenses for commercial, medical affairs and other services, $11.7 million in personnel-related expenses, $2.5 million in legal and other expenses in 2022, partially offset by a $1.7 million reduction in consulting fees. Due to the planned continued buildout of administrative and commercial functions we expect general and administrative expenses to increase in future periods.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28" w:name="page29"/>
    <w:bookmarkEnd w:id="28"/>
    <w:p>
      <w:pPr>
        <w:ind w:firstLine="509"/>
        <w:spacing w:after="0" w:line="250"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$16.9 million for the nine months ended September 30, 2022 consisted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Hercules Loan and Revenue Interest Financing Agreements, partially offset by interest income on deposits. Other expense of $6.0 million for the nine months ended September 30, 2021 consisted of $4.0 million of interest expense on outstanding commercial bank debt and $2.0 million of charges related to early extinguishment of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2022 and 2021 (in thousands):</w:t>
      </w:r>
    </w:p>
    <w:p>
      <w:pPr>
        <w:spacing w:after="0" w:line="13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19,020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16,608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23,509</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16,529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42,529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9,392</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(33,137 )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(9,392 )</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(7,792 )</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(expense)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Total other (expense)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(8,562 )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(5,037 )</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(51,091 )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(36,662 )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-1156335</wp:posOffset>
            </wp:positionV>
            <wp:extent cx="7683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-1156335</wp:posOffset>
            </wp:positionV>
            <wp:extent cx="6858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-316230</wp:posOffset>
            </wp:positionV>
            <wp:extent cx="7683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-316230</wp:posOffset>
            </wp:positionV>
            <wp:extent cx="6858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20" w:firstLine="509"/>
        <w:spacing w:after="0" w:line="250"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$19.0 million and $16.6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and 2021, respectively. The increase of $2.4 million consisted of increases of $6.0 million of clinical trial cost, $0.6 million of chemistry manufacturing and controls, or CMC, costs related to vonoprazan, and $0.3 million of personnel-related costs and other research expenses, partially offset by a decrease of $4.5 million in expenses related to regulatory requirements.</w:t>
      </w:r>
    </w:p>
    <w:p>
      <w:pPr>
        <w:spacing w:after="0" w:line="15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$23.5 million and $16.5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and 2021, respectively. The increase of $7.0 million was due to increases of $3.5 million in personnel-related costs, $3.0 million in professional services expenses for commercial, medical affairs and other services, and $0.5 million of legal, consulting and other expenses. Due to the planned continued buildout of administrative and commercial functions we expect general and administrative expenses to increase in future periods.</w:t>
      </w:r>
    </w:p>
    <w:p>
      <w:pPr>
        <w:spacing w:after="0" w:line="154" w:lineRule="exact"/>
        <w:rPr>
          <w:sz w:val="20"/>
          <w:szCs w:val="20"/>
          <w:color w:val="auto"/>
        </w:rPr>
      </w:pPr>
    </w:p>
    <w:p>
      <w:pPr>
        <w:jc w:val="both"/>
        <w:ind w:right="40" w:firstLine="509"/>
        <w:spacing w:after="0" w:line="250"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expense of $8.6 million for the three months ended September 30, 2022 consisted of interest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Hercules Loan and Revenue Interest Financing Agreements, partially offset by interest income on deposits. Other expense of $3.5 million for the three months ended September 30, 2021 consisted of $2.0 million of charges related to early extinguishment of debt and $1.5 million interest expense on outstanding commercial bank debt.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We have incurred net losses and negative cash flows from operations since our inception and anticipate we will continue to incur net losses for the foreseeable future. As of September 30, 2022, we had cash and cash equivalents of $196.8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Agreement with Hercules</w:t>
      </w:r>
    </w:p>
    <w:p>
      <w:pPr>
        <w:spacing w:after="0" w:line="207"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On September 17, 2021, (the “Closing Date”), we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sectPr>
      </w:pPr>
    </w:p>
    <w:bookmarkStart w:id="29" w:name="page30"/>
    <w:bookmarkEnd w:id="29"/>
    <w:p>
      <w:pPr>
        <w:ind w:firstLine="509"/>
        <w:spacing w:after="0" w:line="255" w:lineRule="auto"/>
        <w:rPr>
          <w:sz w:val="20"/>
          <w:szCs w:val="20"/>
          <w:color w:val="auto"/>
        </w:rPr>
      </w:pPr>
      <w:r>
        <w:rPr>
          <w:rFonts w:ascii="Arial" w:cs="Arial" w:eastAsia="Arial" w:hAnsi="Arial"/>
          <w:sz w:val="17"/>
          <w:szCs w:val="17"/>
          <w:color w:val="auto"/>
        </w:rPr>
        <w:t>The Loan Agreement provides for term loans in an aggregate principal amount of up to $200.0 million (the “Term Loan”) under multiple tranches. The tranches consist of (i) a first tranche consisting of term loans in an aggregate principal amount of $100.0 million, all of which was funded on the Closing Date (the “First Advance”), (ii) a second tranche consisting of up to an additional $50.0 million, which became available to us upon achievement of the protocol-specified primary efficacy endpoints in our Phase 3 trial studying vonoprazan for the healing and maintenance of healing of erosive esophagitis with acceptable safety data, such that the results support the submission of a New Drug Application (“NDA”) or supplemental NDA without the need to conduct another Phase 3 study and will be available, if specified conditions are met, through December 15, 2022, see amendment to later date below, (iii) a third and fourth tranches consisting of an additional total $50.0 million, which became available to us in May 2022 upon the achievement of (a) FDA approval of our NDA for vonoprazan and amoxicillin, or its NDA for vonoprazan, amoxicillin and clarithromycin, in each case for an indication relating to the treatment of H. pylori with an approved indication on the claim that is generally consistent with that sought in our NDA submission; and (b) filing of an NDA or supplemental NDA for vonoprazan for indications relating to the healing and maintenance of healing of erosive esophagitis. The third and fourth tranches will remain available until September 30, 2023, and March 31, 2024, respectively. We intend to use the proceeds of the Term Loan advances for working capital and general corporate purposes. In addition, approximately $54 million of the proceeds from the First Advance was used to satisfy in full and retire our indebtedness under its previously outstanding credit facility with Silicon Valley Bank (the “SVB Term Loan”).</w:t>
      </w:r>
    </w:p>
    <w:p>
      <w:pPr>
        <w:spacing w:after="0" w:line="15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September 27, 2022, the Company entered into an amendment to the Loan Agreement, or the Second Loan Amendment, pursuant to which the date the second tranche of funding of $50 million will remain available to the Company has been moved until either February 15, 2023 or, if the PDUFA target action date for the Company’s pending NDA is extended beyond the current PDUFA target action date, May 15, 2023, rather than December 15, 2022.</w:t>
      </w:r>
    </w:p>
    <w:p>
      <w:pPr>
        <w:spacing w:after="0" w:line="1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was extended to October 1, 2025, upon the achievement of the Second Performance Milestone in May 2022 prior to September 30, 2024 and the condition that no default or event of default exists, and which is further extendable to October 1, 2026, subject to FDA approval of our NDA (or supplemental NDA) for vonoprazan for an indication relating to the healing and maintenance of healing of erosive esophagitis with an approved indication on the label that is generally consistent with that sought in our NDA submission (or supplemental NDA submission) (the “Third Performance Milestone”) on or prior to September 30, 2025 and no default or event of default exists (the “interest only period”). After the interest-only period, the principal balance and related interest will be required to be repaid in equal monthly installments and continuing until the Maturity Date.</w:t>
      </w:r>
    </w:p>
    <w:p>
      <w:pPr>
        <w:spacing w:after="0" w:line="163" w:lineRule="exact"/>
        <w:rPr>
          <w:sz w:val="20"/>
          <w:szCs w:val="20"/>
          <w:color w:val="auto"/>
        </w:rPr>
      </w:pPr>
    </w:p>
    <w:p>
      <w:pPr>
        <w:ind w:right="340" w:firstLine="509"/>
        <w:spacing w:after="0" w:line="241" w:lineRule="auto"/>
        <w:rPr>
          <w:sz w:val="20"/>
          <w:szCs w:val="20"/>
          <w:color w:val="auto"/>
        </w:rPr>
      </w:pPr>
      <w:r>
        <w:rPr>
          <w:rFonts w:ascii="Arial" w:cs="Arial" w:eastAsia="Arial" w:hAnsi="Arial"/>
          <w:sz w:val="18"/>
          <w:szCs w:val="18"/>
          <w:color w:val="auto"/>
        </w:rPr>
        <w:t>The Loan Agreement contains customary closing fees, prepayment fees and provisions, events of default, and representations, warranties and covenants, including a financial covenant requiring us to maintain certain levels of cash subject to a control agreement in favor of the Agent (minus accounts payable not paid within 120 days of invoice) (“Qualified Cash”), and commencing on May 15, 2023, trailing three-month net product revenue from the sale of vonoprazan and products containing vonoprazan. The revenue covenant will be waived at any time in which we maintain Qualified Cash equal to at least 60.0% (prior to the Third Performance Milestone), and 35% (following the Third Performance Milestone) of the total outstanding Term Loan principal amount, or our market capitalization is at least $900.0 million.</w:t>
      </w:r>
    </w:p>
    <w:p>
      <w:pPr>
        <w:spacing w:after="0" w:line="179"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Under the Second Loan Amendment, the commencement date for the covenant based on trailing three-month net product revenue from the sale of vonoprazan and products containing vonoprazan was moved from May 15, 2023, to November 15, 2023.</w:t>
      </w:r>
    </w:p>
    <w:p>
      <w:pPr>
        <w:spacing w:after="0" w:line="170"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As collateral for the obligations, we granted to Hercules a senior security interest in all of our right, title, and interest in, to and under substantially all of our property, inclusive of intellectual property.</w:t>
      </w:r>
    </w:p>
    <w:p>
      <w:pPr>
        <w:spacing w:after="0" w:line="170"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connection with the entry into the Loan Agreement, we issued to Hercules a warrant (the “Warrant”) to purchase a number of shares of our common stock equal to 2.5% of the aggregate amount of the Term Loan advances funded, and will issue to Hercules additional warrants when future Term Loan advances are funded. On the Closing Date, we issued a Warrant for 74,782 shares of common stock. The Warrant will be exercisable for a period of seven years from the date of issuance at a per-share exercise price equal to $33.43, which was the closing price of our common stock on September 16, 2021.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Revenue Interest Financing Agreement</w:t>
      </w:r>
    </w:p>
    <w:p>
      <w:pPr>
        <w:spacing w:after="0" w:line="19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May 3, 2022, we entered into a Revenue Interest Financing Agreement with Initial Investors NQ, Sagard, and Hercules pursuant to which we will receive up to $260 million in funding from the Initial Investors. Under the terms of the Revenue Interest Financing Agreement, we received $100 million at the initial closing and can receive an additional $160 million upon FDA approval of vonoprazan for treatment of erosive esophagitis on or before March 31, 2024. We also have the right to obtain written commitments from third parties at any time prior to December 31, 2022, for up to $15 million of funding upon FDA approval of vonoprazan for erosive esophagitis and, at any time prior to June 30, 2024, for up to $25 million upon achievement of a sales milestone. The Initial Investors have a right of first offer if the Company seeks to obtain such additional funding.</w:t>
      </w:r>
    </w:p>
    <w:p>
      <w:pPr>
        <w:spacing w:after="0" w:line="179"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Under the Revenue Interest Financing Agreement, the investors are entitled to receive a 10% royalty on net sales of products containing vonoprazan. The royalty rate is subject to a step-down on net sales exceeding certain annual thresholds and if the Company receives FDA approval for vonoprazan for an indication relating to the treatment of heartburn associated with symptomatic non-erosive gastroesophageal reflux disease, or NERD. The investors’ right to receive royalties on net sales will terminate when the investors have aggregate payments equal to 200% of the Investment Amount. In addition, at any time after the earlier of (i) April 30, 2024 and (ii) the date that the payment for erosive esophagitis regulatory approval is made, we have the right to make a cap payment equal to 200% of the Investment Amount less any royalties already paid, at which time the agreement will terminate.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the investors have not received aggregate payments of at least 100% of the Investment Amount by December 31, 2028, and at least</w:t>
      </w:r>
    </w:p>
    <w:p>
      <w:pPr>
        <w:spacing w:after="0" w:line="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200% of the Investment Amount by December 31, 2037, each a Minimum Amount, then we will be obligated to make a cash payment to the investors in an amount sufficient to gross the investors up to the applicable Minimum Amount.</w:t>
      </w:r>
    </w:p>
    <w:p>
      <w:pPr>
        <w:spacing w:after="0" w:line="17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Upon the occurrence of an event of default taking place prior to April 1, 2025, between April 1, 2025, and April 1, 2028, and after April 1, 2028, we are obligated to pay 1.30 times Investment Amount, 1.65 times Investment Amount, and 2.0 times investment amount, respectively, less any amounts previously paid pursuant to the agreement.</w:t>
      </w:r>
    </w:p>
    <w:p>
      <w:pPr>
        <w:spacing w:after="0" w:line="17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Upon the occurrence of a change in control event taking place prior to the earlier of April 1, 2024, or FDA approval of vonoprazan for erosive esophagitis, we are obligated to pay 200% of the Investment Amount plus either 15% of the Investment Amount if occurrence prior to May 3, 2023, or plus 30% of the Investment Amount if occurrence thereafter.</w:t>
      </w:r>
    </w:p>
    <w:p>
      <w:pPr>
        <w:spacing w:after="0" w:line="176"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We intend to use the proceeds received under the Revenue Interest Financing Agreement for working capital and general corporate purposes.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At-the-Market-Offering</w:t>
      </w:r>
    </w:p>
    <w:p>
      <w:pPr>
        <w:spacing w:after="0" w:line="20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On November 10, 2020, we entered into an Open Market Sale Agreement</w:t>
      </w:r>
      <w:r>
        <w:rPr>
          <w:rFonts w:ascii="Arial" w:cs="Arial" w:eastAsia="Arial" w:hAnsi="Arial"/>
          <w:sz w:val="20"/>
          <w:szCs w:val="20"/>
          <w:color w:val="auto"/>
          <w:vertAlign w:val="superscript"/>
        </w:rPr>
        <w:t>SM</w:t>
      </w:r>
      <w:r>
        <w:rPr>
          <w:rFonts w:ascii="Arial" w:cs="Arial" w:eastAsia="Arial" w:hAnsi="Arial"/>
          <w:sz w:val="18"/>
          <w:szCs w:val="18"/>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In September 2022, the Company sold 2,414,897 shares for net proceeds of approximately $24.6 million under the ATM offering after deducting $0.8 million of issuance costs. As of September 30, 2022, the Company has utilized $25.4 million of the available $125.0 million under the ATM Offering.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9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On December 16, 2020, the Company completed an underwritten public offering, in which it sold 2,250,000 shares of its common stock at a price of $42.00 per share for total gross proceeds of $94.5 million. The net purchase price after deducting underwriting discounts and commissions was $ 39.48 per share, which generated net proceeds of $88.8 million. We incurred an additional $0.2 million of offering expenses in connection with the public offering.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 xml:space="preserve">Based on our current operating plan, we believe that our existing cash and cash equivalents together with the drawdown of the remaining $100 million under our Loan Agreement with Hercules, receipt of amounts potentially available under the revenue interest financing agreement and anticipated future sales of products containing vonoprazan will be sufficient to fund our operations through 2024. We expect such amounts will allow us to complete our ongoing Phase 3 clinical trial studying vonoprazan for NERD (daily dosing), and launch vonoprazan for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and, if approved, erosive esophagitis.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900" w:right="200" w:hanging="383"/>
        <w:spacing w:after="0" w:line="24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54" w:lineRule="exact"/>
        <w:rPr>
          <w:rFonts w:ascii="Arial" w:cs="Arial" w:eastAsia="Arial" w:hAnsi="Arial"/>
          <w:sz w:val="18"/>
          <w:szCs w:val="18"/>
          <w:color w:val="auto"/>
        </w:rPr>
      </w:pPr>
    </w:p>
    <w:p>
      <w:pPr>
        <w:ind w:left="900" w:right="30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cost increases as a result of global supply chain disruptions, including, without limitation, as a result of the ongoing conflict in the Ukraine;</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and cost increases as a result of COVID-19;</w:t>
      </w:r>
    </w:p>
    <w:p>
      <w:pPr>
        <w:spacing w:after="0" w:line="184"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manufacturing for vonoprazan or any future product candidates, including commercial scale manufacturing if any product candidate is approved;</w:t>
      </w:r>
    </w:p>
    <w:p>
      <w:pPr>
        <w:spacing w:after="0" w:line="169"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vonoprazan or any future product candidates;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patents and other intellectual property rights;</w:t>
      </w:r>
    </w:p>
    <w:p>
      <w:pPr>
        <w:spacing w:after="0" w:line="171" w:lineRule="exact"/>
        <w:rPr>
          <w:rFonts w:ascii="Arial" w:cs="Arial" w:eastAsia="Arial" w:hAnsi="Arial"/>
          <w:sz w:val="18"/>
          <w:szCs w:val="18"/>
          <w:color w:val="auto"/>
        </w:rPr>
      </w:pPr>
    </w:p>
    <w:p>
      <w:pPr>
        <w:ind w:left="900" w:right="80" w:hanging="383"/>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169" w:lineRule="exact"/>
        <w:rPr>
          <w:rFonts w:ascii="Arial" w:cs="Arial" w:eastAsia="Arial" w:hAnsi="Arial"/>
          <w:sz w:val="18"/>
          <w:szCs w:val="18"/>
          <w:color w:val="auto"/>
        </w:rPr>
      </w:pPr>
    </w:p>
    <w:p>
      <w:pPr>
        <w:ind w:left="900" w:right="560" w:hanging="383"/>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business grows, including additional executive officers and clinical development personnel;</w:t>
      </w:r>
    </w:p>
    <w:p>
      <w:pPr>
        <w:spacing w:after="0" w:line="169"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Takeda and any future licensors;</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for vonoprazan or any future product candidate;</w:t>
      </w:r>
    </w:p>
    <w:p>
      <w:pPr>
        <w:spacing w:after="0" w:line="171" w:lineRule="exact"/>
        <w:rPr>
          <w:rFonts w:ascii="Arial" w:cs="Arial" w:eastAsia="Arial" w:hAnsi="Arial"/>
          <w:sz w:val="18"/>
          <w:szCs w:val="18"/>
          <w:color w:val="auto"/>
        </w:rPr>
      </w:pPr>
    </w:p>
    <w:p>
      <w:pPr>
        <w:ind w:left="900" w:right="8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143"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willingness to pay out-of-pocket for any approved products in the absence of coverage and/or adequate reimbursement from third-party payors;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and</w:t>
      </w:r>
    </w:p>
    <w:p>
      <w:pPr>
        <w:spacing w:after="0" w:line="184" w:lineRule="exact"/>
        <w:rPr>
          <w:rFonts w:ascii="Arial" w:cs="Arial" w:eastAsia="Arial" w:hAnsi="Arial"/>
          <w:sz w:val="18"/>
          <w:szCs w:val="18"/>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associated with any products or technologies that we may in-license or acquire.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8" w:right="379" w:bottom="1440" w:gutter="0" w:footer="0" w:header="0"/>
        </w:sectPr>
      </w:pPr>
    </w:p>
    <w:bookmarkStart w:id="32" w:name="page33"/>
    <w:bookmarkEnd w:id="32"/>
    <w:p>
      <w:pPr>
        <w:ind w:right="20" w:firstLine="509"/>
        <w:spacing w:after="0"/>
        <w:rPr>
          <w:sz w:val="20"/>
          <w:szCs w:val="20"/>
          <w:color w:val="auto"/>
        </w:rPr>
      </w:pPr>
      <w:r>
        <w:rPr>
          <w:rFonts w:ascii="Arial" w:cs="Arial" w:eastAsia="Arial" w:hAnsi="Arial"/>
          <w:sz w:val="18"/>
          <w:szCs w:val="18"/>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67"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Including our existing cash and cash equivalents, together with the proceeds that are currently available to us under the Hercules Loan,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(105,834 )</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(107,195 )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120,042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44,545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75,497</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13,579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(62,878 )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76,457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Net cash used in operating activities was approximately $105.8 million and $107.2 million for the nine months ended September 30, 2022 and 2021, respectively. The net cash used in operating activities for the nine months ended September 30, 2022 was due to approximately $111.0 million spent on ongoing research and development and general and administrative activities, partially offset by a $5.2 million net change in operating assets and liabilities. The net change in operating assets and liabilities primarily related to a $3.4 million increase in accounts payable and accrued expenses (including clinical trial expenses), a $ 2.3 million decrease in prepaid assets and other current assets, partially offset by a $0.5 million increase in other long-term assets. The net cash used in operating activities for the nine months ended September 30, 2021 was due to approximately $91.3 million spent on ongoing research and development and general and administrative activities and a $15.9 million net change in operating assets and liabilities. The net change in operating assets and liabilities primarily related to a $19.1 million decrease in accounts payable and accrued expenses (including clinical trial expenses), partially offset by a $3.2 million decrease in prepaid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07"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Net cash used in investing activities for the nine months ended September 30, 2022 and 2021, was primarily due to the cash we paid for acquiring property, plant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260" w:firstLine="569"/>
        <w:spacing w:after="0" w:line="243" w:lineRule="auto"/>
        <w:rPr>
          <w:sz w:val="20"/>
          <w:szCs w:val="20"/>
          <w:color w:val="auto"/>
        </w:rPr>
      </w:pPr>
      <w:r>
        <w:rPr>
          <w:rFonts w:ascii="Arial" w:cs="Arial" w:eastAsia="Arial" w:hAnsi="Arial"/>
          <w:sz w:val="18"/>
          <w:szCs w:val="18"/>
          <w:color w:val="auto"/>
        </w:rPr>
        <w:t>Net cash provided by financing activities for the nine months ended September 30, 2022 was due to the net proceeds from the revenue interest financing liability and issuance of common stock under the ATM Offering. Net cash provided by financing activities for the nine months ended September 30, 2021 was due to net proceeds from the loan agreement with Hercules and issuance of common stock from exercise of stock options partially offset by the repayment of the SVB Term Loan.</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9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Other than disclosed below, there were no material changes outside the ordinary course of our business during the nine months ended September 30, 2022 to the information regarding our contractual obligations that was disclosed in Management’s Discussion and Analysis of Financial Condition and Results of Operations contained in our 2021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9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380" w:firstLine="509"/>
        <w:spacing w:after="0" w:line="243"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Judgments and Estimates” contained in our 2021 Form 10-K. There have not been any material changes to the critical accounting policies discussed therein during the nine months ended September 30,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Company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0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7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information required by this item is included in Note 1, Organization, Basis of Presentation and Summary of Significant Accounting Policies included in Part 1, Item 1 of this quarterly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7"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As of September 30, 2022, there have been no material changes surrounding our market risk, including interest rate risk, foreign currency exchange risk, and inflation risk, from the discussion provided in “Management’s Discussion and Analysis of Financial Condition and Results of Operations – Quantitative and Qualitative Disclosures About Market Risk” of our 2021 Form 10-K.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0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Based on such evaluation, our principal executive officer and principal financial officer have concluded that as of such date, our disclosure controls and procedures were effective at the reasonable assurance level.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nine months ended September 30, 2022 that have materially affected, or are reasonably likely to materially affect, our internal control over financial reporting.</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8"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2021 Form 10-K, other than as set forth below.</w:t>
      </w:r>
    </w:p>
    <w:p>
      <w:pPr>
        <w:spacing w:after="0" w:line="148" w:lineRule="exact"/>
        <w:rPr>
          <w:sz w:val="20"/>
          <w:szCs w:val="20"/>
          <w:color w:val="auto"/>
        </w:rPr>
      </w:pPr>
    </w:p>
    <w:p>
      <w:pPr>
        <w:ind w:right="40" w:firstLine="509"/>
        <w:spacing w:after="0" w:line="252" w:lineRule="auto"/>
        <w:rPr>
          <w:sz w:val="20"/>
          <w:szCs w:val="20"/>
          <w:color w:val="auto"/>
        </w:rPr>
      </w:pPr>
      <w:r>
        <w:rPr>
          <w:rFonts w:ascii="Arial" w:cs="Arial" w:eastAsia="Arial" w:hAnsi="Arial"/>
          <w:sz w:val="18"/>
          <w:szCs w:val="18"/>
          <w:b w:val="1"/>
          <w:bCs w:val="1"/>
          <w:i w:val="1"/>
          <w:iCs w:val="1"/>
          <w:color w:val="auto"/>
        </w:rPr>
        <w:t>We currently depend entirely on the success of vonoprazan, which is contained in our only approved products and product candidate. If we are unable to successfully launch and commercialize vonoprazan, obtain additional, required regulatory approvals and advance the clinical development of vonoprazan in additional indications, or experience significant delays in doing so, our business will be materially harmed.</w:t>
      </w:r>
    </w:p>
    <w:p>
      <w:pPr>
        <w:spacing w:after="0" w:line="15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 xml:space="preserve">We currently have two approved products and one product candidate, all of which contain vonoprazan, which we in-licensed from Takeda. Our current business depends entirely on our ability to successfully develop, obtain regulatory approval for, and commercialize products containing vonoprazan in a timely manner. This may make an investment in our company riskier than similar companies that have multiple approved products or product candidates in active development that may be able to better sustain failure of a single product. In May 2022, we received FDA approval for vonoprazan triple therapy, under the brand name VOQUEZNA™ TRIPLE PAK™ and vonoprazan dual therapy, under the brand name VOQUEZNA™ DUAL PAK™, in each case for the treatment of </w:t>
      </w:r>
      <w:r>
        <w:rPr>
          <w:rFonts w:ascii="Arial" w:cs="Arial" w:eastAsia="Arial" w:hAnsi="Arial"/>
          <w:sz w:val="18"/>
          <w:szCs w:val="18"/>
          <w:i w:val="1"/>
          <w:iCs w:val="1"/>
          <w:color w:val="auto"/>
        </w:rPr>
        <w:t>H. pylori</w:t>
      </w:r>
      <w:r>
        <w:rPr>
          <w:rFonts w:ascii="Arial" w:cs="Arial" w:eastAsia="Arial" w:hAnsi="Arial"/>
          <w:sz w:val="18"/>
          <w:szCs w:val="18"/>
          <w:color w:val="auto"/>
        </w:rPr>
        <w:t xml:space="preserve"> infection in adults. Further, in March 2022, we submitted an NDA for the use of vonoprazan as a treatment for adults for the healing of all grades of EE and relief of heartburn, and maintenance of healing of all grades of EE and relief of heartburn, which was accepted for filing by the FDA in May 2022, with a PDUFA action date of January 11, 2023. In February 2022, we initiated a Phase 3 trial for vonoprazan using a daily dosing regimen for the treatment of NERD, with topline data for the primary endpoint expected in the first quarter of 2023 and topline results for the full trial expected in 2023. Our assumptions about vonoprazan’s commercial potential are based in large part on the commercial experience of vonoprazan in Japan. However, our assumptions may prove to be wrong, and we may encounter a materially and adversely different development and commercial experience. The success of vonoprazan will depend on several factors, including the following:</w:t>
      </w:r>
    </w:p>
    <w:p>
      <w:pPr>
        <w:spacing w:after="0" w:line="185" w:lineRule="exact"/>
        <w:rPr>
          <w:sz w:val="20"/>
          <w:szCs w:val="20"/>
          <w:color w:val="auto"/>
        </w:rPr>
      </w:pPr>
    </w:p>
    <w:p>
      <w:pPr>
        <w:ind w:left="500" w:hanging="11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acceptance by the FDA or by comparable foreign regulatory authorities of our proposed design of our clinical trials;</w:t>
      </w:r>
    </w:p>
    <w:p>
      <w:pPr>
        <w:spacing w:after="0" w:line="171" w:lineRule="exact"/>
        <w:rPr>
          <w:rFonts w:ascii="Arial" w:cs="Arial" w:eastAsia="Arial" w:hAnsi="Arial"/>
          <w:sz w:val="18"/>
          <w:szCs w:val="18"/>
          <w:color w:val="auto"/>
        </w:rPr>
      </w:pPr>
    </w:p>
    <w:p>
      <w:pPr>
        <w:ind w:left="500" w:hanging="11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clinical trials with favorable results;</w:t>
      </w:r>
    </w:p>
    <w:p>
      <w:pPr>
        <w:spacing w:after="0" w:line="184" w:lineRule="exact"/>
        <w:rPr>
          <w:rFonts w:ascii="Arial" w:cs="Arial" w:eastAsia="Arial" w:hAnsi="Arial"/>
          <w:sz w:val="18"/>
          <w:szCs w:val="18"/>
          <w:color w:val="auto"/>
        </w:rPr>
      </w:pPr>
    </w:p>
    <w:p>
      <w:pPr>
        <w:ind w:left="380" w:firstLine="2"/>
        <w:spacing w:after="0" w:line="248" w:lineRule="auto"/>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willingness of the FDA, the European Medicines Agency, or EMA, and other comparable foreign regulatory authorities to accept the data from the clinical trials and preclinical studies and clinical trials conducted outside of our licensed territories by Takeda and independent investigators as part of the basis for review and approval of vonoprazan;</w:t>
      </w:r>
    </w:p>
    <w:p>
      <w:pPr>
        <w:spacing w:after="0" w:line="154" w:lineRule="exact"/>
        <w:rPr>
          <w:rFonts w:ascii="Arial" w:cs="Arial" w:eastAsia="Arial" w:hAnsi="Arial"/>
          <w:sz w:val="18"/>
          <w:szCs w:val="18"/>
          <w:color w:val="auto"/>
        </w:rPr>
      </w:pPr>
    </w:p>
    <w:p>
      <w:pPr>
        <w:ind w:left="500" w:hanging="11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184" w:lineRule="exact"/>
        <w:rPr>
          <w:rFonts w:ascii="Arial" w:cs="Arial" w:eastAsia="Arial" w:hAnsi="Arial"/>
          <w:sz w:val="18"/>
          <w:szCs w:val="18"/>
          <w:color w:val="auto"/>
        </w:rPr>
      </w:pPr>
    </w:p>
    <w:p>
      <w:pPr>
        <w:ind w:left="380" w:right="740" w:firstLine="2"/>
        <w:spacing w:after="0" w:line="246" w:lineRule="auto"/>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comparable foreign regulatory authorities;</w:t>
      </w:r>
    </w:p>
    <w:p>
      <w:pPr>
        <w:spacing w:after="0" w:line="169" w:lineRule="exact"/>
        <w:rPr>
          <w:rFonts w:ascii="Arial" w:cs="Arial" w:eastAsia="Arial" w:hAnsi="Arial"/>
          <w:sz w:val="18"/>
          <w:szCs w:val="18"/>
          <w:color w:val="auto"/>
        </w:rPr>
      </w:pPr>
    </w:p>
    <w:p>
      <w:pPr>
        <w:ind w:left="380" w:right="100" w:firstLine="2"/>
        <w:spacing w:after="0" w:line="246" w:lineRule="auto"/>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one or more NDAs from the FDA and maintaining such approvals;</w:t>
      </w:r>
    </w:p>
    <w:p>
      <w:pPr>
        <w:spacing w:after="0" w:line="169" w:lineRule="exact"/>
        <w:rPr>
          <w:rFonts w:ascii="Arial" w:cs="Arial" w:eastAsia="Arial" w:hAnsi="Arial"/>
          <w:sz w:val="18"/>
          <w:szCs w:val="18"/>
          <w:color w:val="auto"/>
        </w:rPr>
      </w:pPr>
    </w:p>
    <w:p>
      <w:pPr>
        <w:ind w:left="380" w:right="40" w:firstLine="2"/>
        <w:spacing w:after="0"/>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and/or maintaining arrangements with Takeda, Catalent, Sandoz, Evonik or any future third-party manufacturers for, or establishing, commercial manufacturing capabilities and receiving/importing commercial supplies approved by FDA and other regulators from Takeda, Catalent, Sandoz, Evonik or any future third-party manufacturer;</w:t>
      </w:r>
    </w:p>
    <w:p>
      <w:pPr>
        <w:spacing w:after="0" w:line="175" w:lineRule="exact"/>
        <w:rPr>
          <w:rFonts w:ascii="Arial" w:cs="Arial" w:eastAsia="Arial" w:hAnsi="Arial"/>
          <w:sz w:val="18"/>
          <w:szCs w:val="18"/>
          <w:color w:val="auto"/>
        </w:rPr>
      </w:pPr>
    </w:p>
    <w:p>
      <w:pPr>
        <w:ind w:left="380" w:right="900" w:firstLine="2"/>
        <w:spacing w:after="0" w:line="246" w:lineRule="auto"/>
        <w:tabs>
          <w:tab w:leader="none" w:pos="493"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commercializing vonoprazan, if approved, whether alone or in collaboration with others;</w:t>
      </w:r>
    </w:p>
    <w:p>
      <w:pPr>
        <w:spacing w:after="0" w:line="169" w:lineRule="exact"/>
        <w:rPr>
          <w:rFonts w:ascii="Arial" w:cs="Arial" w:eastAsia="Arial" w:hAnsi="Arial"/>
          <w:sz w:val="18"/>
          <w:szCs w:val="18"/>
          <w:color w:val="auto"/>
        </w:rPr>
      </w:pPr>
    </w:p>
    <w:p>
      <w:pPr>
        <w:ind w:left="500" w:hanging="11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vonoprazan;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6" w:name="page37"/>
    <w:bookmarkEnd w:id="36"/>
    <w:p>
      <w:pPr>
        <w:ind w:left="500" w:hanging="11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 acceptable safety profile of vonoprazan following approval; and</w:t>
      </w:r>
    </w:p>
    <w:p>
      <w:pPr>
        <w:spacing w:after="0" w:line="171" w:lineRule="exact"/>
        <w:rPr>
          <w:rFonts w:ascii="Arial" w:cs="Arial" w:eastAsia="Arial" w:hAnsi="Arial"/>
          <w:sz w:val="18"/>
          <w:szCs w:val="18"/>
          <w:color w:val="auto"/>
        </w:rPr>
      </w:pPr>
    </w:p>
    <w:p>
      <w:pPr>
        <w:ind w:left="380" w:right="160" w:firstLine="2"/>
        <w:spacing w:after="0" w:line="261" w:lineRule="auto"/>
        <w:tabs>
          <w:tab w:leader="none" w:pos="493"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and, if approved, commercialize, market, and sell vonoprazan to physicians, patients, healthcare payors, and others in the medical community.</w:t>
      </w:r>
    </w:p>
    <w:p>
      <w:pPr>
        <w:spacing w:after="0" w:line="14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 August 2022, we announced that, consistent with current FDA recommendations for all chemically synthesized drug compounds such as vonoprazan, we previously initiated post-approval testing to determine whether nitrosamine impurities were present in vonoprazan drug product. These tests showed trace levels of a nitrosamine impurity that is not described within the FDA guidance document entitled “Control of Nitrosamine Impurities in Human Drugs – Guidance for Industry.” We are continuing to work with the FDA to obtain approval of, and are prepared to implement an additional test method, specification, including proposed acceptable intake limit, and additional controls to address this impurity prior to releasing our first vonoprazan-based products to the market. These additional activities resulted in a delay of the planned VOQUEZNA™ TRIPLE PAK™ and VOQUEZNA™ DUAL PAK™ commercial launches. We currently expect commercial launch of these products, as well as, if approved, VOQUEZNA™ tablets for EE, in the first quarter of 2023. If we are unable to obtain FDA approval for, or are unable to obtain approval for and implement, a test method, a specification and controls to maintain nitrosamine levels in vonoprazan drug product at or below the applicable acceptable intake limit, these product launches may be further delayed, and approval of our EE NDA may also be delayed, which could substantially increase our costs and delay or put at risk our ability to generate revenue and adversely affect our commercial prospects.</w:t>
      </w:r>
    </w:p>
    <w:p>
      <w:pPr>
        <w:spacing w:after="0" w:line="16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The success of our business, including our ability to finance our company and generate any revenue in the future, will primarily depend on the successful completion of clinical development, regulatory approval and commercialization of vonoprazan, including successfully addressing, to the FDA’s and the medical community’s satisfaction, the formation of nitrosamine impurities in commercial batches of vonoprazan drug product, which may be significantly delayed beyond our current expectations and may never occur. Although we have obtained marketing approval of two vonoprazan-based treatment regimens for one indication, we have not yet succeeded in launching and successfully commercializing vonoprazan. Any inability to obtain required, additional regulatory approvals for, or, if approved, successfully commercialize vonoprazan, would materially and adversely affect our business, financial condition, prospects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Incorporated by Reference</w:t>
            </w: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960" w:type="dxa"/>
            <w:vAlign w:val="bottom"/>
            <w:gridSpan w:val="27"/>
            <w:vMerge w:val="restart"/>
          </w:tcPr>
          <w:p>
            <w:pPr>
              <w:ind w:left="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58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27"/>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6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rFonts w:ascii="Arial" w:cs="Arial" w:eastAsia="Arial" w:hAnsi="Arial"/>
                <w:sz w:val="18"/>
                <w:szCs w:val="18"/>
                <w:color w:val="0000FF"/>
              </w:rPr>
            </w:pPr>
            <w:hyperlink r:id="rId159">
              <w:r>
                <w:rPr>
                  <w:rFonts w:ascii="Arial" w:cs="Arial" w:eastAsia="Arial" w:hAnsi="Arial"/>
                  <w:sz w:val="18"/>
                  <w:szCs w:val="18"/>
                  <w:color w:val="0000FF"/>
                </w:rPr>
                <w:t>Amended and Restated Certificate of Incorporation</w:t>
              </w:r>
            </w:hyperlink>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9"/>
              </w:rPr>
              <w:t>10/29/19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top w:val="single" w:sz="8" w:color="0000FF"/>
            </w:tcBorders>
            <w:gridSpan w:val="16"/>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Amended and Restated Bylaws</w:t>
              </w:r>
            </w:hyperlink>
          </w:p>
        </w:tc>
        <w:tc>
          <w:tcPr>
            <w:tcW w:w="1860" w:type="dxa"/>
            <w:vAlign w:val="bottom"/>
            <w:gridSpan w:val="17"/>
          </w:tcPr>
          <w:p>
            <w:pPr>
              <w:spacing w:after="0"/>
              <w:rPr>
                <w:sz w:val="24"/>
                <w:szCs w:val="24"/>
                <w:color w:val="auto"/>
              </w:rPr>
            </w:pPr>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99"/>
              </w:rPr>
              <w:t>8-K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9"/>
              </w:rPr>
              <w:t>09/25/2020</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FF"/>
            </w:tcBorders>
            <w:gridSpan w:val="9"/>
          </w:tcPr>
          <w:p>
            <w:pPr>
              <w:spacing w:after="0"/>
              <w:rPr>
                <w:rFonts w:ascii="Arial" w:cs="Arial" w:eastAsia="Arial" w:hAnsi="Arial"/>
                <w:sz w:val="18"/>
                <w:szCs w:val="18"/>
                <w:color w:val="0000FF"/>
                <w:w w:val="99"/>
              </w:rPr>
            </w:pPr>
            <w:hyperlink r:id="rId161">
              <w:r>
                <w:rPr>
                  <w:rFonts w:ascii="Arial" w:cs="Arial" w:eastAsia="Arial" w:hAnsi="Arial"/>
                  <w:sz w:val="18"/>
                  <w:szCs w:val="18"/>
                  <w:color w:val="0000FF"/>
                  <w:w w:val="99"/>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3120" w:type="dxa"/>
            <w:vAlign w:val="bottom"/>
            <w:gridSpan w:val="23"/>
          </w:tcPr>
          <w:p>
            <w:pPr>
              <w:spacing w:after="0"/>
              <w:rPr>
                <w:sz w:val="24"/>
                <w:szCs w:val="24"/>
                <w:color w:val="auto"/>
              </w:rPr>
            </w:pPr>
          </w:p>
        </w:tc>
        <w:tc>
          <w:tcPr>
            <w:tcW w:w="580" w:type="dxa"/>
            <w:vAlign w:val="bottom"/>
          </w:tcPr>
          <w:p>
            <w:pPr>
              <w:jc w:val="center"/>
              <w:ind w:left="32"/>
              <w:spacing w:after="0"/>
              <w:rPr>
                <w:sz w:val="20"/>
                <w:szCs w:val="20"/>
                <w:color w:val="auto"/>
              </w:rPr>
            </w:pPr>
            <w:r>
              <w:rPr>
                <w:rFonts w:ascii="Arial" w:cs="Arial" w:eastAsia="Arial" w:hAnsi="Arial"/>
                <w:sz w:val="18"/>
                <w:szCs w:val="18"/>
                <w:color w:val="auto"/>
              </w:rPr>
              <w:t>S-1/A</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9"/>
              </w:rPr>
              <w:t>10/15/19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rFonts w:ascii="Arial" w:cs="Arial" w:eastAsia="Arial" w:hAnsi="Arial"/>
                <w:sz w:val="18"/>
                <w:szCs w:val="18"/>
                <w:color w:val="0000FF"/>
              </w:rPr>
            </w:pPr>
            <w:hyperlink r:id="rId162">
              <w:r>
                <w:rPr>
                  <w:rFonts w:ascii="Arial" w:cs="Arial" w:eastAsia="Arial" w:hAnsi="Arial"/>
                  <w:sz w:val="18"/>
                  <w:szCs w:val="18"/>
                  <w:color w:val="0000FF"/>
                </w:rPr>
                <w:t>Warrant to purchase shares of common stock issued to Takeda</w:t>
              </w:r>
            </w:hyperlink>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99"/>
              </w:rPr>
              <w:t>S-1</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9"/>
              </w:rPr>
              <w:t>9/30/19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62">
              <w:r>
                <w:rPr>
                  <w:rFonts w:ascii="Arial" w:cs="Arial" w:eastAsia="Arial" w:hAnsi="Arial"/>
                  <w:sz w:val="18"/>
                  <w:szCs w:val="18"/>
                  <w:color w:val="0000FF"/>
                </w:rPr>
                <w:t>Company Limited, dated May 7, 2019</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rFonts w:ascii="Arial" w:cs="Arial" w:eastAsia="Arial" w:hAnsi="Arial"/>
                <w:sz w:val="18"/>
                <w:szCs w:val="18"/>
                <w:color w:val="0000FF"/>
              </w:rPr>
            </w:pPr>
            <w:hyperlink r:id="rId163">
              <w:r>
                <w:rPr>
                  <w:rFonts w:ascii="Arial" w:cs="Arial" w:eastAsia="Arial" w:hAnsi="Arial"/>
                  <w:sz w:val="18"/>
                  <w:szCs w:val="18"/>
                  <w:color w:val="0000FF"/>
                </w:rPr>
                <w:t>Warrant to purchase stock issued to Silicon Valley Bank, dated May 14,</w:t>
              </w:r>
            </w:hyperlink>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99"/>
              </w:rPr>
              <w:t>S-1</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9"/>
              </w:rPr>
              <w:t>9/30/19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4"/>
              </w:rPr>
            </w:pPr>
            <w:hyperlink r:id="rId163">
              <w:r>
                <w:rPr>
                  <w:rFonts w:ascii="Arial" w:cs="Arial" w:eastAsia="Arial" w:hAnsi="Arial"/>
                  <w:sz w:val="18"/>
                  <w:szCs w:val="18"/>
                  <w:color w:val="0000FF"/>
                  <w:w w:val="94"/>
                </w:rPr>
                <w:t>2019</w:t>
              </w:r>
            </w:hyperlink>
          </w:p>
        </w:tc>
        <w:tc>
          <w:tcPr>
            <w:tcW w:w="20" w:type="dxa"/>
            <w:vAlign w:val="bottom"/>
            <w:tcBorders>
              <w:top w:val="single" w:sz="8" w:color="0000FF"/>
              <w:bottom w:val="single" w:sz="8" w:color="0000EE"/>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rFonts w:ascii="Arial" w:cs="Arial" w:eastAsia="Arial" w:hAnsi="Arial"/>
                <w:sz w:val="18"/>
                <w:szCs w:val="18"/>
                <w:color w:val="0000FF"/>
              </w:rPr>
            </w:pPr>
            <w:hyperlink r:id="rId164">
              <w:r>
                <w:rPr>
                  <w:rFonts w:ascii="Arial" w:cs="Arial" w:eastAsia="Arial" w:hAnsi="Arial"/>
                  <w:sz w:val="18"/>
                  <w:szCs w:val="18"/>
                  <w:color w:val="0000FF"/>
                </w:rPr>
                <w:t>Warrant to purchase stock issued to WestRiver Innovation Lending</w:t>
              </w:r>
            </w:hyperlink>
          </w:p>
        </w:tc>
        <w:tc>
          <w:tcPr>
            <w:tcW w:w="580" w:type="dxa"/>
            <w:vAlign w:val="bottom"/>
          </w:tcPr>
          <w:p>
            <w:pPr>
              <w:jc w:val="center"/>
              <w:ind w:left="12"/>
              <w:spacing w:after="0"/>
              <w:rPr>
                <w:sz w:val="20"/>
                <w:szCs w:val="20"/>
                <w:color w:val="auto"/>
              </w:rPr>
            </w:pPr>
            <w:r>
              <w:rPr>
                <w:rFonts w:ascii="Arial" w:cs="Arial" w:eastAsia="Arial" w:hAnsi="Arial"/>
                <w:sz w:val="18"/>
                <w:szCs w:val="18"/>
                <w:color w:val="auto"/>
                <w:w w:val="99"/>
              </w:rPr>
              <w:t>S-1</w:t>
            </w:r>
          </w:p>
        </w:tc>
        <w:tc>
          <w:tcPr>
            <w:tcW w:w="1260" w:type="dxa"/>
            <w:vAlign w:val="bottom"/>
            <w:gridSpan w:val="3"/>
          </w:tcPr>
          <w:p>
            <w:pPr>
              <w:jc w:val="center"/>
              <w:ind w:left="132"/>
              <w:spacing w:after="0"/>
              <w:rPr>
                <w:sz w:val="20"/>
                <w:szCs w:val="20"/>
                <w:color w:val="auto"/>
              </w:rPr>
            </w:pPr>
            <w:r>
              <w:rPr>
                <w:rFonts w:ascii="Arial" w:cs="Arial" w:eastAsia="Arial" w:hAnsi="Arial"/>
                <w:sz w:val="18"/>
                <w:szCs w:val="18"/>
                <w:color w:val="auto"/>
                <w:w w:val="99"/>
              </w:rPr>
              <w:t>9/30/19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8"/>
              </w:rPr>
            </w:pPr>
            <w:hyperlink r:id="rId164">
              <w:r>
                <w:rPr>
                  <w:rFonts w:ascii="Arial" w:cs="Arial" w:eastAsia="Arial" w:hAnsi="Arial"/>
                  <w:sz w:val="18"/>
                  <w:szCs w:val="18"/>
                  <w:color w:val="0000FF"/>
                  <w:w w:val="98"/>
                </w:rPr>
                <w:t>Fund VIII, L.P., dated May 14, 2019</w:t>
              </w:r>
            </w:hyperlink>
          </w:p>
        </w:tc>
        <w:tc>
          <w:tcPr>
            <w:tcW w:w="2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1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Note Purchase Agreement, dated May 7, 2019, by and among the</w:t>
              </w:r>
            </w:hyperlink>
          </w:p>
        </w:tc>
        <w:tc>
          <w:tcPr>
            <w:tcW w:w="580" w:type="dxa"/>
            <w:vAlign w:val="bottom"/>
          </w:tcPr>
          <w:p>
            <w:pPr>
              <w:jc w:val="center"/>
              <w:ind w:left="32"/>
              <w:spacing w:after="0"/>
              <w:rPr>
                <w:sz w:val="20"/>
                <w:szCs w:val="20"/>
                <w:color w:val="auto"/>
              </w:rPr>
            </w:pPr>
            <w:r>
              <w:rPr>
                <w:rFonts w:ascii="Arial" w:cs="Arial" w:eastAsia="Arial" w:hAnsi="Arial"/>
                <w:sz w:val="18"/>
                <w:szCs w:val="18"/>
                <w:color w:val="auto"/>
              </w:rPr>
              <w:t>S-1/A</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9"/>
              </w:rPr>
              <w:t>10/15/19</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r:id="rId165">
              <w:r>
                <w:rPr>
                  <w:rFonts w:ascii="Arial" w:cs="Arial" w:eastAsia="Arial" w:hAnsi="Arial"/>
                  <w:sz w:val="18"/>
                  <w:szCs w:val="18"/>
                  <w:color w:val="0000FF"/>
                </w:rPr>
                <w:t>Registrant and the other parties party thereto, as amended</w:t>
              </w:r>
            </w:hyperlink>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9"/>
              </w:rPr>
            </w:pPr>
            <w:hyperlink r:id="rId166">
              <w:r>
                <w:rPr>
                  <w:rFonts w:ascii="Arial" w:cs="Arial" w:eastAsia="Arial" w:hAnsi="Arial"/>
                  <w:sz w:val="18"/>
                  <w:szCs w:val="18"/>
                  <w:color w:val="0000FF"/>
                  <w:w w:val="99"/>
                </w:rPr>
                <w:t>Description of Registered Securities</w:t>
              </w:r>
            </w:hyperlink>
          </w:p>
        </w:tc>
        <w:tc>
          <w:tcPr>
            <w:tcW w:w="1800" w:type="dxa"/>
            <w:vAlign w:val="bottom"/>
            <w:tcBorders>
              <w:top w:val="single" w:sz="8" w:color="0000FF"/>
            </w:tcBorders>
            <w:gridSpan w:val="4"/>
          </w:tcPr>
          <w:p>
            <w:pPr>
              <w:spacing w:after="0"/>
              <w:rPr>
                <w:sz w:val="24"/>
                <w:szCs w:val="24"/>
                <w:color w:val="auto"/>
              </w:rPr>
            </w:pPr>
          </w:p>
        </w:tc>
        <w:tc>
          <w:tcPr>
            <w:tcW w:w="1240" w:type="dxa"/>
            <w:vAlign w:val="bottom"/>
            <w:gridSpan w:val="16"/>
          </w:tcPr>
          <w:p>
            <w:pPr>
              <w:spacing w:after="0"/>
              <w:rPr>
                <w:sz w:val="24"/>
                <w:szCs w:val="24"/>
                <w:color w:val="auto"/>
              </w:rPr>
            </w:pPr>
          </w:p>
        </w:tc>
        <w:tc>
          <w:tcPr>
            <w:tcW w:w="580" w:type="dxa"/>
            <w:vAlign w:val="bottom"/>
          </w:tcPr>
          <w:p>
            <w:pPr>
              <w:jc w:val="center"/>
              <w:ind w:left="32"/>
              <w:spacing w:after="0"/>
              <w:rPr>
                <w:sz w:val="20"/>
                <w:szCs w:val="20"/>
                <w:color w:val="auto"/>
              </w:rPr>
            </w:pPr>
            <w:r>
              <w:rPr>
                <w:rFonts w:ascii="Arial" w:cs="Arial" w:eastAsia="Arial" w:hAnsi="Arial"/>
                <w:sz w:val="18"/>
                <w:szCs w:val="18"/>
                <w:color w:val="auto"/>
                <w:w w:val="99"/>
              </w:rPr>
              <w:t>10-K</w:t>
            </w:r>
          </w:p>
        </w:tc>
        <w:tc>
          <w:tcPr>
            <w:tcW w:w="1260" w:type="dxa"/>
            <w:vAlign w:val="bottom"/>
            <w:gridSpan w:val="3"/>
          </w:tcPr>
          <w:p>
            <w:pPr>
              <w:jc w:val="center"/>
              <w:ind w:left="152"/>
              <w:spacing w:after="0"/>
              <w:rPr>
                <w:sz w:val="20"/>
                <w:szCs w:val="20"/>
                <w:color w:val="auto"/>
              </w:rPr>
            </w:pPr>
            <w:r>
              <w:rPr>
                <w:rFonts w:ascii="Arial" w:cs="Arial" w:eastAsia="Arial" w:hAnsi="Arial"/>
                <w:sz w:val="18"/>
                <w:szCs w:val="18"/>
                <w:color w:val="auto"/>
                <w:w w:val="99"/>
              </w:rPr>
              <w:t>12/31/21</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Commercial Supply Agreement with Evonik Operations GmbH entered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8"/>
              </w:rPr>
              <w:t>into on August 1, 2022</w:t>
            </w:r>
          </w:p>
        </w:tc>
        <w:tc>
          <w:tcPr>
            <w:tcW w:w="20" w:type="dxa"/>
            <w:vAlign w:val="bottom"/>
            <w:tcBorders>
              <w:top w:val="single" w:sz="8" w:color="0000FF"/>
              <w:bottom w:val="single" w:sz="8" w:color="0000EE"/>
            </w:tcBorders>
          </w:tcPr>
          <w:p>
            <w:pPr>
              <w:spacing w:after="0"/>
              <w:rPr>
                <w:sz w:val="14"/>
                <w:szCs w:val="14"/>
                <w:color w:val="auto"/>
              </w:rPr>
            </w:pPr>
          </w:p>
        </w:tc>
        <w:tc>
          <w:tcPr>
            <w:tcW w:w="3840" w:type="dxa"/>
            <w:vAlign w:val="bottom"/>
            <w:tcBorders>
              <w:top w:val="single" w:sz="8" w:color="0000FF"/>
            </w:tcBorders>
            <w:gridSpan w:val="24"/>
          </w:tcPr>
          <w:p>
            <w:pPr>
              <w:spacing w:after="0"/>
              <w:rPr>
                <w:sz w:val="14"/>
                <w:szCs w:val="14"/>
                <w:color w:val="auto"/>
              </w:rPr>
            </w:pPr>
          </w:p>
        </w:tc>
        <w:tc>
          <w:tcPr>
            <w:tcW w:w="10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Second Amendment to the Loan and Security Agreement, dated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rPr>
              <w:t>September 17, 2021, by and among Hercules Capital and the</w:t>
            </w:r>
          </w:p>
        </w:tc>
        <w:tc>
          <w:tcPr>
            <w:tcW w:w="1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8"/>
                <w:szCs w:val="18"/>
                <w:color w:val="0000FF"/>
              </w:rPr>
              <w:t>Registrant.</w:t>
            </w:r>
          </w:p>
        </w:tc>
        <w:tc>
          <w:tcPr>
            <w:tcW w:w="340" w:type="dxa"/>
            <w:vAlign w:val="bottom"/>
            <w:gridSpan w:val="3"/>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Certification of Chief Executive Officer of Phathom Pharmaceuticals,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8"/>
                <w:szCs w:val="18"/>
                <w:color w:val="0000FF"/>
              </w:rPr>
              <w:t>Inc., as required by Rule 13a-14(a) or Rule 15d-14(a), as adopted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pursuant to Section 302 of the Sarbanes-Oxley Act of 2002.</w:t>
            </w:r>
          </w:p>
        </w:tc>
        <w:tc>
          <w:tcPr>
            <w:tcW w:w="18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gridSpan w:val="8"/>
            <w:shd w:val="clear" w:color="auto" w:fill="0000FF"/>
          </w:tcPr>
          <w:p>
            <w:pPr>
              <w:spacing w:after="0" w:line="20" w:lineRule="exact"/>
              <w:rPr>
                <w:sz w:val="1"/>
                <w:szCs w:val="1"/>
                <w:color w:val="auto"/>
              </w:rPr>
            </w:pPr>
          </w:p>
        </w:tc>
        <w:tc>
          <w:tcPr>
            <w:tcW w:w="760" w:type="dxa"/>
            <w:vAlign w:val="bottom"/>
            <w:tcBorders>
              <w:right w:val="single" w:sz="8" w:color="0000EE"/>
            </w:tcBorders>
            <w:gridSpan w:val="3"/>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Certification of Chief Financial Officer of Phathom Pharmaceuticals, Inc.,</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8"/>
                <w:szCs w:val="18"/>
                <w:color w:val="0000FF"/>
              </w:rPr>
              <w:t>as required by Rule 13a-14(a) or Rule 15d-14(a), as adopted pursuant</w:t>
            </w:r>
          </w:p>
        </w:tc>
        <w:tc>
          <w:tcPr>
            <w:tcW w:w="14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99"/>
              </w:rPr>
              <w:t>to Section 302 of the Sarbanes-Oxley Act of 2002.</w:t>
            </w:r>
          </w:p>
        </w:tc>
        <w:tc>
          <w:tcPr>
            <w:tcW w:w="1640" w:type="dxa"/>
            <w:vAlign w:val="bottom"/>
            <w:tcBorders>
              <w:top w:val="single" w:sz="8" w:color="0000FF"/>
            </w:tcBorders>
            <w:gridSpan w:val="13"/>
          </w:tcPr>
          <w:p>
            <w:pPr>
              <w:spacing w:after="0"/>
              <w:rPr>
                <w:sz w:val="14"/>
                <w:szCs w:val="14"/>
                <w:color w:val="auto"/>
              </w:rPr>
            </w:pPr>
          </w:p>
        </w:tc>
        <w:tc>
          <w:tcPr>
            <w:tcW w:w="260" w:type="dxa"/>
            <w:vAlign w:val="bottom"/>
            <w:gridSpan w:val="5"/>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Certification of Chief Executive Officer pursuant to Section 906 of the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200" w:type="dxa"/>
            <w:vAlign w:val="bottom"/>
            <w:tcBorders>
              <w:top w:val="single" w:sz="8" w:color="0000FF"/>
            </w:tcBorders>
            <w:gridSpan w:val="20"/>
          </w:tcPr>
          <w:p>
            <w:pPr>
              <w:spacing w:after="0"/>
              <w:rPr>
                <w:sz w:val="14"/>
                <w:szCs w:val="14"/>
                <w:color w:val="auto"/>
              </w:rPr>
            </w:pPr>
          </w:p>
        </w:tc>
        <w:tc>
          <w:tcPr>
            <w:tcW w:w="380" w:type="dxa"/>
            <w:vAlign w:val="bottom"/>
            <w:gridSpan w:val="6"/>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0000FF"/>
              </w:rPr>
              <w:t>Certification of Chief Financial Officer pursuant to Section 906 of the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140" w:type="dxa"/>
            <w:vAlign w:val="bottom"/>
            <w:tcBorders>
              <w:top w:val="single" w:sz="8" w:color="0000FF"/>
            </w:tcBorders>
            <w:gridSpan w:val="18"/>
          </w:tcPr>
          <w:p>
            <w:pPr>
              <w:spacing w:after="0"/>
              <w:rPr>
                <w:sz w:val="14"/>
                <w:szCs w:val="14"/>
                <w:color w:val="auto"/>
              </w:rPr>
            </w:pPr>
          </w:p>
        </w:tc>
        <w:tc>
          <w:tcPr>
            <w:tcW w:w="440" w:type="dxa"/>
            <w:vAlign w:val="bottom"/>
            <w:gridSpan w:val="8"/>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6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900" w:type="dxa"/>
            <w:vAlign w:val="bottom"/>
            <w:gridSpan w:val="33"/>
          </w:tcPr>
          <w:p>
            <w:pPr>
              <w:spacing w:after="0" w:line="189" w:lineRule="exact"/>
              <w:rPr>
                <w:sz w:val="20"/>
                <w:szCs w:val="20"/>
                <w:color w:val="auto"/>
              </w:rPr>
            </w:pPr>
            <w:r>
              <w:rPr>
                <w:rFonts w:ascii="Arial" w:cs="Arial" w:eastAsia="Arial" w:hAnsi="Arial"/>
                <w:sz w:val="18"/>
                <w:szCs w:val="18"/>
                <w:color w:val="auto"/>
              </w:rPr>
              <w:t>appear in the Interactive Data File because XBRL tags are embedded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within the Inline XBRL document</w:t>
            </w: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Taxonomy Calculation Linkbase Document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Taxonomy Label Linkbase Document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Presentation Linkbase Document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6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3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0" w:right="4680" w:hanging="801"/>
        <w:spacing w:after="0" w:line="235" w:lineRule="auto"/>
        <w:tabs>
          <w:tab w:leader="none" w:pos="1200" w:val="left"/>
        </w:tabs>
        <w:numPr>
          <w:ilvl w:val="1"/>
          <w:numId w:val="8"/>
        </w:numPr>
        <w:rPr>
          <w:rFonts w:ascii="Arial" w:cs="Arial" w:eastAsia="Arial" w:hAnsi="Arial"/>
          <w:sz w:val="16"/>
          <w:szCs w:val="16"/>
          <w:color w:val="auto"/>
        </w:rPr>
      </w:pPr>
      <w:r>
        <w:rPr>
          <w:rFonts w:ascii="Arial" w:cs="Arial" w:eastAsia="Arial" w:hAnsi="Arial"/>
          <w:sz w:val="18"/>
          <w:szCs w:val="18"/>
          <w:color w:val="auto"/>
        </w:rPr>
        <w:t>Cover Page Interactive Data File (embedded within the Inline XBRL document)</w:t>
      </w:r>
    </w:p>
    <w:p>
      <w:pPr>
        <w:spacing w:after="0" w:line="5" w:lineRule="exact"/>
        <w:rPr>
          <w:rFonts w:ascii="Arial" w:cs="Arial" w:eastAsia="Arial" w:hAnsi="Arial"/>
          <w:sz w:val="16"/>
          <w:szCs w:val="16"/>
          <w:color w:val="auto"/>
        </w:rPr>
      </w:pPr>
    </w:p>
    <w:p>
      <w:pPr>
        <w:ind w:left="120" w:hanging="112"/>
        <w:spacing w:after="0"/>
        <w:tabs>
          <w:tab w:leader="none" w:pos="1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Portions of this exhibit have been omitted for confidentiality purposes.</w:t>
      </w:r>
    </w:p>
    <w:p>
      <w:pPr>
        <w:spacing w:after="0" w:line="1" w:lineRule="exact"/>
        <w:rPr>
          <w:sz w:val="20"/>
          <w:szCs w:val="20"/>
          <w:color w:val="auto"/>
        </w:rPr>
      </w:pPr>
    </w:p>
    <w:p>
      <w:pPr>
        <w:ind w:right="240" w:firstLine="8"/>
        <w:spacing w:after="0" w:line="258" w:lineRule="auto"/>
        <w:tabs>
          <w:tab w:leader="none" w:pos="9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PHATHOM PHARMACEUTICALS, INC.</w:t>
      </w:r>
    </w:p>
    <w:p>
      <w:pPr>
        <w:spacing w:after="0" w:line="225" w:lineRule="exact"/>
        <w:rPr>
          <w:sz w:val="20"/>
          <w:szCs w:val="20"/>
          <w:color w:val="auto"/>
        </w:rPr>
      </w:pPr>
    </w:p>
    <w:p>
      <w:pPr>
        <w:ind w:left="20"/>
        <w:spacing w:after="0"/>
        <w:tabs>
          <w:tab w:leader="none" w:pos="660" w:val="left"/>
          <w:tab w:leader="none" w:pos="5960" w:val="left"/>
          <w:tab w:leader="none" w:pos="6500" w:val="left"/>
        </w:tabs>
        <w:rPr>
          <w:sz w:val="20"/>
          <w:szCs w:val="20"/>
          <w:color w:val="auto"/>
        </w:rPr>
      </w:pPr>
      <w:r>
        <w:rPr>
          <w:rFonts w:ascii="Arial" w:cs="Arial" w:eastAsia="Arial" w:hAnsi="Arial"/>
          <w:sz w:val="18"/>
          <w:szCs w:val="18"/>
          <w:color w:val="auto"/>
        </w:rPr>
        <w:t>Date:</w:t>
        <w:tab/>
        <w:t>November 08,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6350</wp:posOffset>
            </wp:positionV>
            <wp:extent cx="300037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Terrie Curran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left="20"/>
        <w:spacing w:after="0"/>
        <w:tabs>
          <w:tab w:leader="none" w:pos="660" w:val="left"/>
          <w:tab w:leader="none" w:pos="5960" w:val="left"/>
          <w:tab w:leader="none" w:pos="6500" w:val="left"/>
        </w:tabs>
        <w:rPr>
          <w:sz w:val="20"/>
          <w:szCs w:val="20"/>
          <w:color w:val="auto"/>
        </w:rPr>
      </w:pPr>
      <w:r>
        <w:rPr>
          <w:rFonts w:ascii="Arial" w:cs="Arial" w:eastAsia="Arial" w:hAnsi="Arial"/>
          <w:sz w:val="18"/>
          <w:szCs w:val="18"/>
          <w:color w:val="auto"/>
        </w:rPr>
        <w:t>Date:</w:t>
        <w:tab/>
        <w:t>November 08, 2022</w:t>
      </w:r>
      <w:r>
        <w:rPr>
          <w:sz w:val="20"/>
          <w:szCs w:val="20"/>
          <w:color w:val="auto"/>
        </w:rPr>
        <w:tab/>
      </w:r>
      <w:r>
        <w:rPr>
          <w:rFonts w:ascii="Arial" w:cs="Arial" w:eastAsia="Arial" w:hAnsi="Arial"/>
          <w:sz w:val="18"/>
          <w:szCs w:val="18"/>
          <w:color w:val="auto"/>
        </w:rPr>
        <w:t>By:</w:t>
        <w:tab/>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6350</wp:posOffset>
            </wp:positionV>
            <wp:extent cx="30003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Molly Henderson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Financial and Business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19" w:right="6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VONOPRAZAN COMMERCIAL SUPPLY AGREEMENT</w:t>
      </w:r>
    </w:p>
    <w:p>
      <w:pPr>
        <w:spacing w:after="0" w:line="18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V</w:t>
      </w:r>
      <w:r>
        <w:rPr>
          <w:rFonts w:ascii="Arial" w:cs="Arial" w:eastAsia="Arial" w:hAnsi="Arial"/>
          <w:sz w:val="13"/>
          <w:szCs w:val="13"/>
          <w:b w:val="1"/>
          <w:bCs w:val="1"/>
          <w:color w:val="auto"/>
        </w:rPr>
        <w:t>onoprazan</w:t>
      </w:r>
      <w:r>
        <w:rPr>
          <w:rFonts w:ascii="Arial" w:cs="Arial" w:eastAsia="Arial" w:hAnsi="Arial"/>
          <w:sz w:val="20"/>
          <w:szCs w:val="20"/>
          <w:color w:val="auto"/>
        </w:rPr>
        <w:t xml:space="preserve"> </w:t>
      </w:r>
      <w:r>
        <w:rPr>
          <w:rFonts w:ascii="Arial" w:cs="Arial" w:eastAsia="Arial" w:hAnsi="Arial"/>
          <w:sz w:val="20"/>
          <w:szCs w:val="20"/>
          <w:b w:val="1"/>
          <w:bCs w:val="1"/>
          <w:color w:val="auto"/>
        </w:rPr>
        <w:t>C</w:t>
      </w:r>
      <w:r>
        <w:rPr>
          <w:rFonts w:ascii="Arial" w:cs="Arial" w:eastAsia="Arial" w:hAnsi="Arial"/>
          <w:sz w:val="13"/>
          <w:szCs w:val="13"/>
          <w:b w:val="1"/>
          <w:bCs w:val="1"/>
          <w:color w:val="auto"/>
        </w:rPr>
        <w:t>ommercial</w:t>
      </w:r>
      <w:r>
        <w:rPr>
          <w:rFonts w:ascii="Arial" w:cs="Arial" w:eastAsia="Arial" w:hAnsi="Arial"/>
          <w:sz w:val="20"/>
          <w:szCs w:val="20"/>
          <w:color w:val="auto"/>
        </w:rPr>
        <w:t xml:space="preserve"> </w:t>
      </w:r>
      <w:r>
        <w:rPr>
          <w:rFonts w:ascii="Arial" w:cs="Arial" w:eastAsia="Arial" w:hAnsi="Arial"/>
          <w:sz w:val="20"/>
          <w:szCs w:val="20"/>
          <w:b w:val="1"/>
          <w:bCs w:val="1"/>
          <w:color w:val="auto"/>
        </w:rPr>
        <w:t>S</w:t>
      </w:r>
      <w:r>
        <w:rPr>
          <w:rFonts w:ascii="Arial" w:cs="Arial" w:eastAsia="Arial" w:hAnsi="Arial"/>
          <w:sz w:val="13"/>
          <w:szCs w:val="13"/>
          <w:b w:val="1"/>
          <w:bCs w:val="1"/>
          <w:color w:val="auto"/>
        </w:rPr>
        <w:t>upply</w:t>
      </w:r>
      <w:r>
        <w:rPr>
          <w:rFonts w:ascii="Arial" w:cs="Arial" w:eastAsia="Arial" w:hAnsi="Arial"/>
          <w:sz w:val="20"/>
          <w:szCs w:val="20"/>
          <w:color w:val="auto"/>
        </w:rPr>
        <w:t xml:space="preserve"> </w:t>
      </w:r>
      <w:r>
        <w:rPr>
          <w:rFonts w:ascii="Arial" w:cs="Arial" w:eastAsia="Arial" w:hAnsi="Arial"/>
          <w:sz w:val="20"/>
          <w:szCs w:val="20"/>
          <w:b w:val="1"/>
          <w:bCs w:val="1"/>
          <w:color w:val="auto"/>
        </w:rPr>
        <w:t>A</w:t>
      </w:r>
      <w:r>
        <w:rPr>
          <w:rFonts w:ascii="Arial" w:cs="Arial" w:eastAsia="Arial" w:hAnsi="Arial"/>
          <w:sz w:val="13"/>
          <w:szCs w:val="13"/>
          <w:b w:val="1"/>
          <w:bCs w:val="1"/>
          <w:color w:val="auto"/>
        </w:rPr>
        <w:t>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effective as of August 1, 2022 (“</w:t>
      </w:r>
      <w:r>
        <w:rPr>
          <w:rFonts w:ascii="Arial" w:cs="Arial" w:eastAsia="Arial" w:hAnsi="Arial"/>
          <w:sz w:val="20"/>
          <w:szCs w:val="20"/>
          <w:b w:val="1"/>
          <w:bCs w:val="1"/>
          <w:color w:val="auto"/>
        </w:rPr>
        <w:t>Effective Date</w:t>
      </w:r>
      <w:r>
        <w:rPr>
          <w:rFonts w:ascii="Arial" w:cs="Arial" w:eastAsia="Arial" w:hAnsi="Arial"/>
          <w:sz w:val="20"/>
          <w:szCs w:val="20"/>
          <w:color w:val="auto"/>
        </w:rPr>
        <w:t>”) between Phathom Pharmaceuticals, Inc, located at 100 Campus Drive, Suite 102, Florham Park, NJ 07932, USA (“</w:t>
      </w:r>
      <w:r>
        <w:rPr>
          <w:rFonts w:ascii="Arial" w:cs="Arial" w:eastAsia="Arial" w:hAnsi="Arial"/>
          <w:sz w:val="20"/>
          <w:szCs w:val="20"/>
          <w:b w:val="1"/>
          <w:bCs w:val="1"/>
          <w:color w:val="auto"/>
        </w:rPr>
        <w:t>Purchaser</w:t>
      </w:r>
      <w:r>
        <w:rPr>
          <w:rFonts w:ascii="Arial" w:cs="Arial" w:eastAsia="Arial" w:hAnsi="Arial"/>
          <w:sz w:val="20"/>
          <w:szCs w:val="20"/>
          <w:color w:val="auto"/>
        </w:rPr>
        <w:t>”), and Evonik Operations GmbH, a limited liability company located at Rodenbacher Chaussee 4, 63457 Hanau (Wolfgang), Germany (“</w:t>
      </w:r>
      <w:r>
        <w:rPr>
          <w:rFonts w:ascii="Arial" w:cs="Arial" w:eastAsia="Arial" w:hAnsi="Arial"/>
          <w:sz w:val="20"/>
          <w:szCs w:val="20"/>
          <w:b w:val="1"/>
          <w:bCs w:val="1"/>
          <w:color w:val="auto"/>
        </w:rPr>
        <w:t>Supplier</w:t>
      </w:r>
      <w:r>
        <w:rPr>
          <w:rFonts w:ascii="Arial" w:cs="Arial" w:eastAsia="Arial" w:hAnsi="Arial"/>
          <w:sz w:val="20"/>
          <w:szCs w:val="20"/>
          <w:color w:val="auto"/>
        </w:rPr>
        <w:t>”). Purchaser and Supplier are each sometimes referred to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together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2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WHEREAS, Supplier has the expertise, resources, facilities and personnel for the manufacture and supply of Vonoprazan Fumarate (“</w:t>
      </w:r>
      <w:r>
        <w:rPr>
          <w:rFonts w:ascii="Arial" w:cs="Arial" w:eastAsia="Arial" w:hAnsi="Arial"/>
          <w:sz w:val="20"/>
          <w:szCs w:val="20"/>
          <w:b w:val="1"/>
          <w:bCs w:val="1"/>
          <w:color w:val="auto"/>
        </w:rPr>
        <w:t>Product</w:t>
      </w:r>
      <w:r>
        <w:rPr>
          <w:rFonts w:ascii="Arial" w:cs="Arial" w:eastAsia="Arial" w:hAnsi="Arial"/>
          <w:sz w:val="20"/>
          <w:szCs w:val="20"/>
          <w:color w:val="auto"/>
        </w:rPr>
        <w:t>”) which is also known as TAK-438, and Supplier desires to be engaged to manufacture and supply Product for Purchaser pursuant to the terms and conditions below; and</w:t>
      </w:r>
    </w:p>
    <w:p>
      <w:pPr>
        <w:spacing w:after="0" w:line="18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Purchaser provided to Supplier the Purchaser Technology Data Package (as defined herein) containing such information, data, documents and records as reasonably necessary for Supplier to manufacture the Product,;</w:t>
      </w:r>
    </w:p>
    <w:p>
      <w:pPr>
        <w:spacing w:after="0" w:line="19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WHEREAS, Purchaser desires to engage Supplier to manufacture and supply Product as ordered by Purchaser, as a raw material in Purchaser’s subsequent manufacture of finished pharmaceutical products containing Product as active pharmaceutical ingredient for human use (“</w:t>
      </w:r>
      <w:r>
        <w:rPr>
          <w:rFonts w:ascii="Arial" w:cs="Arial" w:eastAsia="Arial" w:hAnsi="Arial"/>
          <w:sz w:val="20"/>
          <w:szCs w:val="20"/>
          <w:b w:val="1"/>
          <w:bCs w:val="1"/>
          <w:color w:val="auto"/>
        </w:rPr>
        <w:t>Final Product</w:t>
      </w:r>
      <w:r>
        <w:rPr>
          <w:rFonts w:ascii="Arial" w:cs="Arial" w:eastAsia="Arial" w:hAnsi="Arial"/>
          <w:sz w:val="20"/>
          <w:szCs w:val="20"/>
          <w:color w:val="auto"/>
        </w:rPr>
        <w:t>”),</w:t>
      </w:r>
    </w:p>
    <w:p>
      <w:pPr>
        <w:spacing w:after="0" w:line="18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WHEREAS, the Agreement will cover a 4 phased approach, with phase 1 being the first commercial campaign (starting after successful completion of the validation campaign, which validation campaign is not subject to this Agreement), and ending with the successful completion of the first commercial campaign (“</w:t>
      </w:r>
      <w:r>
        <w:rPr>
          <w:rFonts w:ascii="Arial" w:cs="Arial" w:eastAsia="Arial" w:hAnsi="Arial"/>
          <w:sz w:val="18"/>
          <w:szCs w:val="18"/>
          <w:b w:val="1"/>
          <w:bCs w:val="1"/>
          <w:color w:val="auto"/>
        </w:rPr>
        <w:t>Phase 1</w:t>
      </w:r>
      <w:r>
        <w:rPr>
          <w:rFonts w:ascii="Arial" w:cs="Arial" w:eastAsia="Arial" w:hAnsi="Arial"/>
          <w:sz w:val="18"/>
          <w:szCs w:val="18"/>
          <w:color w:val="auto"/>
        </w:rPr>
        <w:t>”), phase 2 being regular commercial supply from the Supplier Facility in</w:t>
      </w:r>
    </w:p>
    <w:p>
      <w:pPr>
        <w:jc w:val="both"/>
        <w:ind w:firstLine="8"/>
        <w:spacing w:after="0" w:line="241" w:lineRule="auto"/>
        <w:tabs>
          <w:tab w:leader="none" w:pos="488" w:val="left"/>
        </w:tabs>
        <w:numPr>
          <w:ilvl w:val="0"/>
          <w:numId w:val="10"/>
        </w:numPr>
        <w:rPr>
          <w:rFonts w:ascii="Arial" w:cs="Arial" w:eastAsia="Arial" w:hAnsi="Arial"/>
          <w:sz w:val="20"/>
          <w:szCs w:val="20"/>
          <w:color w:val="auto"/>
        </w:rPr>
      </w:pPr>
      <w:r>
        <w:rPr>
          <w:rFonts w:ascii="Arial" w:cs="Arial" w:eastAsia="Arial" w:hAnsi="Arial"/>
          <w:sz w:val="20"/>
          <w:szCs w:val="20"/>
          <w:color w:val="auto"/>
        </w:rPr>
        <w:t>starting after completion of Phase 1 (“</w:t>
      </w:r>
      <w:r>
        <w:rPr>
          <w:rFonts w:ascii="Arial" w:cs="Arial" w:eastAsia="Arial" w:hAnsi="Arial"/>
          <w:sz w:val="20"/>
          <w:szCs w:val="20"/>
          <w:b w:val="1"/>
          <w:bCs w:val="1"/>
          <w:color w:val="auto"/>
        </w:rPr>
        <w:t>Phase 2</w:t>
      </w:r>
      <w:r>
        <w:rPr>
          <w:rFonts w:ascii="Arial" w:cs="Arial" w:eastAsia="Arial" w:hAnsi="Arial"/>
          <w:sz w:val="20"/>
          <w:szCs w:val="20"/>
          <w:color w:val="auto"/>
        </w:rPr>
        <w:t>”), phase 3 consisting of validation of the process at the Supplier Facility of [***], and ending with the successful completion of such validation (“</w:t>
      </w:r>
      <w:r>
        <w:rPr>
          <w:rFonts w:ascii="Arial" w:cs="Arial" w:eastAsia="Arial" w:hAnsi="Arial"/>
          <w:sz w:val="20"/>
          <w:szCs w:val="20"/>
          <w:b w:val="1"/>
          <w:bCs w:val="1"/>
          <w:color w:val="auto"/>
        </w:rPr>
        <w:t>Phase 3</w:t>
      </w:r>
      <w:r>
        <w:rPr>
          <w:rFonts w:ascii="Arial" w:cs="Arial" w:eastAsia="Arial" w:hAnsi="Arial"/>
          <w:sz w:val="20"/>
          <w:szCs w:val="20"/>
          <w:color w:val="auto"/>
        </w:rPr>
        <w:t>”) and phase 4 being commercial supply from [***] after the successful validation in [***] (“</w:t>
      </w:r>
      <w:r>
        <w:rPr>
          <w:rFonts w:ascii="Arial" w:cs="Arial" w:eastAsia="Arial" w:hAnsi="Arial"/>
          <w:sz w:val="20"/>
          <w:szCs w:val="20"/>
          <w:b w:val="1"/>
          <w:bCs w:val="1"/>
          <w:color w:val="auto"/>
        </w:rPr>
        <w:t>Phase 4</w:t>
      </w:r>
      <w:r>
        <w:rPr>
          <w:rFonts w:ascii="Arial" w:cs="Arial" w:eastAsia="Arial" w:hAnsi="Arial"/>
          <w:sz w:val="20"/>
          <w:szCs w:val="20"/>
          <w:color w:val="auto"/>
        </w:rPr>
        <w:t>”).</w:t>
      </w:r>
    </w:p>
    <w:p>
      <w:pPr>
        <w:spacing w:after="0" w:line="19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WHEREAS, in order to be able to validate the process at the Supplier’s Affiliate [***], certain equipment modifications are necessary. Supplier’s Affiliate [***] and Purchaser will enter into a separate agreement covering such equipment modification and the funding thereof.</w:t>
      </w:r>
    </w:p>
    <w:p>
      <w:pPr>
        <w:spacing w:after="0" w:line="17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NOW, THEREFORE, in consideration of the foregoing and the promises contained in this Agreement, Purchaser and Supplier, intending to be legally bound, hereby agree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w:t>
      </w: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41" w:lineRule="auto"/>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20"/>
          <w:szCs w:val="20"/>
          <w:u w:val="single" w:color="auto"/>
          <w:color w:val="auto"/>
        </w:rPr>
        <w:t>Definitions and Exhibits</w:t>
      </w:r>
      <w:r>
        <w:rPr>
          <w:rFonts w:ascii="Arial" w:cs="Arial" w:eastAsia="Arial" w:hAnsi="Arial"/>
          <w:sz w:val="20"/>
          <w:szCs w:val="20"/>
          <w:color w:val="auto"/>
        </w:rPr>
        <w:t>. Unless otherwise defined, initially capitalized terms used in this Agreement, including the recitals,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Appendices, Schedules, and Exhibits hereto, shall have the meanings ascribed to them in </w:t>
      </w:r>
      <w:r>
        <w:rPr>
          <w:rFonts w:ascii="Arial" w:cs="Arial" w:eastAsia="Arial" w:hAnsi="Arial"/>
          <w:sz w:val="20"/>
          <w:szCs w:val="20"/>
          <w:b w:val="1"/>
          <w:bCs w:val="1"/>
          <w:color w:val="auto"/>
        </w:rPr>
        <w:t>Exhibit A</w:t>
      </w:r>
      <w:r>
        <w:rPr>
          <w:rFonts w:ascii="Arial" w:cs="Arial" w:eastAsia="Arial" w:hAnsi="Arial"/>
          <w:sz w:val="20"/>
          <w:szCs w:val="20"/>
          <w:color w:val="auto"/>
        </w:rPr>
        <w:t>. The Parties hereto agree that the provisions set forth in any appendix, schedule, or exhibit attached hereto are hereby incorporated by reference in this Agreement as if fully set forth herein. In the event there is a conflict or inconsistency between any appendix, schedule, or exhibit and this Agreement, the provisions of this Agreement shall control.</w:t>
      </w:r>
    </w:p>
    <w:p>
      <w:pPr>
        <w:spacing w:after="0" w:line="195" w:lineRule="exact"/>
        <w:rPr>
          <w:sz w:val="20"/>
          <w:szCs w:val="20"/>
          <w:color w:val="auto"/>
        </w:rPr>
      </w:pPr>
    </w:p>
    <w:p>
      <w:pPr>
        <w:jc w:val="both"/>
        <w:ind w:left="740" w:hanging="732"/>
        <w:spacing w:after="0" w:line="250" w:lineRule="auto"/>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20"/>
          <w:szCs w:val="20"/>
          <w:u w:val="single" w:color="auto"/>
          <w:color w:val="auto"/>
        </w:rPr>
        <w:t>Interpretation</w:t>
      </w:r>
      <w:r>
        <w:rPr>
          <w:rFonts w:ascii="Arial" w:cs="Arial" w:eastAsia="Arial" w:hAnsi="Arial"/>
          <w:sz w:val="20"/>
          <w:szCs w:val="20"/>
          <w:color w:val="auto"/>
        </w:rPr>
        <w:t>. Each reference herein to a particular Person shall include a reference to such Person’s successors and permitted</w:t>
      </w:r>
      <w:r>
        <w:rPr>
          <w:rFonts w:ascii="Arial" w:cs="Arial" w:eastAsia="Arial" w:hAnsi="Arial"/>
          <w:sz w:val="20"/>
          <w:szCs w:val="20"/>
          <w:u w:val="single" w:color="auto"/>
          <w:color w:val="auto"/>
        </w:rPr>
        <w:t xml:space="preserve"> </w:t>
      </w:r>
      <w:r>
        <w:rPr>
          <w:rFonts w:ascii="Arial" w:cs="Arial" w:eastAsia="Arial" w:hAnsi="Arial"/>
          <w:sz w:val="20"/>
          <w:szCs w:val="20"/>
          <w:color w:val="auto"/>
        </w:rPr>
        <w:t>assigns. A reference to any document or agreement shall include such document or agreement as amended, modified or supplemented from time to time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both"/>
        <w:ind w:left="740"/>
        <w:spacing w:after="0" w:line="243" w:lineRule="auto"/>
        <w:rPr>
          <w:sz w:val="20"/>
          <w:szCs w:val="20"/>
          <w:color w:val="auto"/>
        </w:rPr>
      </w:pPr>
      <w:r>
        <w:rPr>
          <w:rFonts w:ascii="Arial" w:cs="Arial" w:eastAsia="Arial" w:hAnsi="Arial"/>
          <w:sz w:val="20"/>
          <w:szCs w:val="20"/>
          <w:color w:val="auto"/>
        </w:rPr>
        <w:t>accordance with its terms. A reference to any law, rule, regulation or statute includes any amendment or modification thereto. The words “herein,” “hereof,” “hereunder,” “hereto,” and words of like import shall refer to this Agreement as a whole and not any particular article, section or subdivision of this Agreement. A reference to an article, section, appendix, schedule, or exhibit is a reference to the article, section, appendix, schedule, or exhibit of this Agreement unless otherwise indicated. In this Agreement, the singular includes the plural and the plural includes the singular, and the words “including,” “include” and “includes” shall be deemed to be followed by the words “without limitation.”</w:t>
      </w:r>
    </w:p>
    <w:p>
      <w:pPr>
        <w:spacing w:after="0" w:line="18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Order of Interpretation</w:t>
      </w:r>
      <w:r>
        <w:rPr>
          <w:rFonts w:ascii="Arial" w:cs="Arial" w:eastAsia="Arial" w:hAnsi="Arial"/>
          <w:sz w:val="18"/>
          <w:szCs w:val="18"/>
          <w:color w:val="auto"/>
        </w:rPr>
        <w:t>.</w:t>
      </w:r>
    </w:p>
    <w:p>
      <w:pPr>
        <w:spacing w:after="0" w:line="216" w:lineRule="exact"/>
        <w:rPr>
          <w:sz w:val="20"/>
          <w:szCs w:val="20"/>
          <w:color w:val="auto"/>
        </w:rPr>
      </w:pPr>
    </w:p>
    <w:p>
      <w:pPr>
        <w:jc w:val="both"/>
        <w:ind w:left="1500" w:hanging="748"/>
        <w:spacing w:after="0" w:line="246" w:lineRule="auto"/>
        <w:tabs>
          <w:tab w:leader="none" w:pos="148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u w:val="single" w:color="auto"/>
          <w:color w:val="auto"/>
        </w:rPr>
        <w:t>Conflict with Quality Agreement</w:t>
      </w:r>
      <w:r>
        <w:rPr>
          <w:rFonts w:ascii="Arial" w:cs="Arial" w:eastAsia="Arial" w:hAnsi="Arial"/>
          <w:sz w:val="20"/>
          <w:szCs w:val="20"/>
          <w:color w:val="auto"/>
        </w:rPr>
        <w:t>. To the extent there are any inconsistencies or conflicts between this Agreement and the</w:t>
      </w:r>
      <w:r>
        <w:rPr>
          <w:rFonts w:ascii="Arial" w:cs="Arial" w:eastAsia="Arial" w:hAnsi="Arial"/>
          <w:sz w:val="20"/>
          <w:szCs w:val="20"/>
          <w:u w:val="single" w:color="auto"/>
          <w:color w:val="auto"/>
        </w:rPr>
        <w:t xml:space="preserve"> </w:t>
      </w:r>
      <w:r>
        <w:rPr>
          <w:rFonts w:ascii="Arial" w:cs="Arial" w:eastAsia="Arial" w:hAnsi="Arial"/>
          <w:sz w:val="20"/>
          <w:szCs w:val="20"/>
          <w:color w:val="auto"/>
        </w:rPr>
        <w:t>Quality Agreement, the terms and conditions of this Agreement shall control for matters unrelated to Product quality, unless otherwise agreed to in writing by the Parties. For matters related to Product quality, the Quality Agreement shall control, unless otherwise agreed to in writing by the Parties.</w:t>
      </w:r>
    </w:p>
    <w:p>
      <w:pPr>
        <w:spacing w:after="0" w:line="191" w:lineRule="exact"/>
        <w:rPr>
          <w:sz w:val="20"/>
          <w:szCs w:val="20"/>
          <w:color w:val="auto"/>
        </w:rPr>
      </w:pPr>
    </w:p>
    <w:p>
      <w:pPr>
        <w:jc w:val="both"/>
        <w:ind w:left="1500" w:right="20" w:hanging="748"/>
        <w:spacing w:after="0" w:line="272" w:lineRule="auto"/>
        <w:tabs>
          <w:tab w:leader="none" w:pos="148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u w:val="single" w:color="auto"/>
          <w:color w:val="auto"/>
        </w:rPr>
        <w:t>Pre-Printed Terms and Conditions</w:t>
      </w:r>
      <w:r>
        <w:rPr>
          <w:rFonts w:ascii="Arial" w:cs="Arial" w:eastAsia="Arial" w:hAnsi="Arial"/>
          <w:sz w:val="19"/>
          <w:szCs w:val="19"/>
          <w:color w:val="auto"/>
        </w:rPr>
        <w:t>. Any and all pre-printed terms and conditions on Purchaser’s purchase order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Supplier’s order confirmation shall have no binding effect as it relates to this Agreement or the subject thereof.</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w:t>
      </w:r>
      <w:r>
        <w:rPr>
          <w:rFonts w:ascii="Arial" w:cs="Arial" w:eastAsia="Arial" w:hAnsi="Arial"/>
          <w:sz w:val="20"/>
          <w:szCs w:val="20"/>
          <w:b w:val="1"/>
          <w:bCs w:val="1"/>
          <w:u w:val="single" w:color="auto"/>
          <w:color w:val="auto"/>
        </w:rPr>
        <w:t>TERM AND RENEWAL</w:t>
      </w:r>
      <w:r>
        <w:rPr>
          <w:rFonts w:ascii="Arial" w:cs="Arial" w:eastAsia="Arial" w:hAnsi="Arial"/>
          <w:sz w:val="20"/>
          <w:szCs w:val="20"/>
          <w:color w:val="auto"/>
        </w:rPr>
        <w:t>.</w:t>
      </w:r>
    </w:p>
    <w:p>
      <w:pPr>
        <w:spacing w:after="0" w:line="222" w:lineRule="exact"/>
        <w:rPr>
          <w:sz w:val="20"/>
          <w:szCs w:val="20"/>
          <w:color w:val="auto"/>
        </w:rPr>
      </w:pPr>
    </w:p>
    <w:p>
      <w:pPr>
        <w:jc w:val="both"/>
        <w:ind w:left="740" w:right="20" w:hanging="732"/>
        <w:spacing w:after="0" w:line="291" w:lineRule="auto"/>
        <w:tabs>
          <w:tab w:leader="none" w:pos="7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Initial Term</w:t>
      </w:r>
      <w:r>
        <w:rPr>
          <w:rFonts w:ascii="Arial" w:cs="Arial" w:eastAsia="Arial" w:hAnsi="Arial"/>
          <w:sz w:val="18"/>
          <w:szCs w:val="18"/>
          <w:color w:val="auto"/>
        </w:rPr>
        <w:t>. Subject to earlier termination in accordance with this Agreement, the term of this Agreement shall be effective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commencing on the Effective Date and shall continue in effect for an initial term of five (5) years (the “</w:t>
      </w:r>
      <w:r>
        <w:rPr>
          <w:rFonts w:ascii="Arial" w:cs="Arial" w:eastAsia="Arial" w:hAnsi="Arial"/>
          <w:sz w:val="18"/>
          <w:szCs w:val="18"/>
          <w:b w:val="1"/>
          <w:bCs w:val="1"/>
          <w:color w:val="auto"/>
        </w:rPr>
        <w:t>Initial Term</w:t>
      </w:r>
      <w:r>
        <w:rPr>
          <w:rFonts w:ascii="Arial" w:cs="Arial" w:eastAsia="Arial" w:hAnsi="Arial"/>
          <w:sz w:val="18"/>
          <w:szCs w:val="18"/>
          <w:color w:val="auto"/>
        </w:rPr>
        <w:t>”). Upon successful completion of Phase 3 on or prior to December 31, 2024, the Initial Term will be extended by additional two (2) years.</w:t>
      </w:r>
    </w:p>
    <w:p>
      <w:pPr>
        <w:spacing w:after="0" w:line="152" w:lineRule="exact"/>
        <w:rPr>
          <w:sz w:val="20"/>
          <w:szCs w:val="20"/>
          <w:color w:val="auto"/>
        </w:rPr>
      </w:pPr>
    </w:p>
    <w:p>
      <w:pPr>
        <w:jc w:val="both"/>
        <w:ind w:left="740" w:hanging="732"/>
        <w:spacing w:after="0" w:line="258" w:lineRule="auto"/>
        <w:tabs>
          <w:tab w:leader="none" w:pos="7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9"/>
          <w:szCs w:val="19"/>
          <w:u w:val="single" w:color="auto"/>
          <w:color w:val="auto"/>
        </w:rPr>
        <w:t>Term; Renewal Term; Notice of Nonrenewal</w:t>
      </w:r>
      <w:r>
        <w:rPr>
          <w:rFonts w:ascii="Arial" w:cs="Arial" w:eastAsia="Arial" w:hAnsi="Arial"/>
          <w:sz w:val="19"/>
          <w:szCs w:val="19"/>
          <w:color w:val="auto"/>
        </w:rPr>
        <w:t>. This Agreement shall automatically renew for subsequent periods of two (2) years</w:t>
      </w:r>
      <w:r>
        <w:rPr>
          <w:rFonts w:ascii="Arial" w:cs="Arial" w:eastAsia="Arial" w:hAnsi="Arial"/>
          <w:sz w:val="19"/>
          <w:szCs w:val="19"/>
          <w:u w:val="single" w:color="auto"/>
          <w:color w:val="auto"/>
        </w:rPr>
        <w:t xml:space="preserve"> </w:t>
      </w:r>
      <w:r>
        <w:rPr>
          <w:rFonts w:ascii="Arial" w:cs="Arial" w:eastAsia="Arial" w:hAnsi="Arial"/>
          <w:sz w:val="19"/>
          <w:szCs w:val="19"/>
          <w:color w:val="auto"/>
        </w:rPr>
        <w:t>(each a “</w:t>
      </w:r>
      <w:r>
        <w:rPr>
          <w:rFonts w:ascii="Arial" w:cs="Arial" w:eastAsia="Arial" w:hAnsi="Arial"/>
          <w:sz w:val="19"/>
          <w:szCs w:val="19"/>
          <w:b w:val="1"/>
          <w:bCs w:val="1"/>
          <w:color w:val="auto"/>
        </w:rPr>
        <w:t>Renewal Term</w:t>
      </w:r>
      <w:r>
        <w:rPr>
          <w:rFonts w:ascii="Arial" w:cs="Arial" w:eastAsia="Arial" w:hAnsi="Arial"/>
          <w:sz w:val="19"/>
          <w:szCs w:val="19"/>
          <w:color w:val="auto"/>
        </w:rPr>
        <w:t>”), unless terminated by either Party upon no less than either (a) twenty-four (24) months’ prior written notice during the Initial Term or (b) eighteen (18) months’ prior written notice during any subsequent Renewal Term, to the end of the relevant Term. The Initial Term and Renewal Term, if any, shall be referred to collectively as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3</w:t>
      </w:r>
      <w:r>
        <w:rPr>
          <w:rFonts w:ascii="Arial" w:cs="Arial" w:eastAsia="Arial" w:hAnsi="Arial"/>
          <w:sz w:val="20"/>
          <w:szCs w:val="20"/>
          <w:b w:val="1"/>
          <w:bCs w:val="1"/>
          <w:u w:val="single" w:color="auto"/>
          <w:color w:val="auto"/>
        </w:rPr>
        <w:t>SUPPLY OF PRODUCT</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60" w:lineRule="auto"/>
        <w:tabs>
          <w:tab w:leader="none" w:pos="7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u w:val="single" w:color="auto"/>
          <w:color w:val="auto"/>
        </w:rPr>
        <w:t>Product Specification</w:t>
      </w:r>
      <w:r>
        <w:rPr>
          <w:rFonts w:ascii="Arial" w:cs="Arial" w:eastAsia="Arial" w:hAnsi="Arial"/>
          <w:sz w:val="20"/>
          <w:szCs w:val="20"/>
          <w:color w:val="auto"/>
        </w:rPr>
        <w:t>. Supplier shall manufacture and sell, and Purchaser shall purchase, Product in conformance with the product</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specification appended hereto at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w:t>
      </w:r>
      <w:r>
        <w:rPr>
          <w:rFonts w:ascii="Arial" w:cs="Arial" w:eastAsia="Arial" w:hAnsi="Arial"/>
          <w:sz w:val="20"/>
          <w:szCs w:val="20"/>
          <w:b w:val="1"/>
          <w:bCs w:val="1"/>
          <w:color w:val="auto"/>
        </w:rPr>
        <w:t>Specification</w:t>
      </w:r>
      <w:r>
        <w:rPr>
          <w:rFonts w:ascii="Arial" w:cs="Arial" w:eastAsia="Arial" w:hAnsi="Arial"/>
          <w:sz w:val="20"/>
          <w:szCs w:val="20"/>
          <w:color w:val="auto"/>
        </w:rPr>
        <w:t>”).</w:t>
      </w:r>
    </w:p>
    <w:p>
      <w:pPr>
        <w:spacing w:after="0" w:line="177" w:lineRule="exact"/>
        <w:rPr>
          <w:sz w:val="20"/>
          <w:szCs w:val="20"/>
          <w:color w:val="auto"/>
        </w:rPr>
      </w:pPr>
    </w:p>
    <w:p>
      <w:pPr>
        <w:jc w:val="both"/>
        <w:ind w:left="740" w:right="20" w:hanging="732"/>
        <w:spacing w:after="0" w:line="246" w:lineRule="auto"/>
        <w:tabs>
          <w:tab w:leader="none" w:pos="7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u w:val="single" w:color="auto"/>
          <w:color w:val="auto"/>
        </w:rPr>
        <w:t>Performance</w:t>
      </w:r>
      <w:r>
        <w:rPr>
          <w:rFonts w:ascii="Arial" w:cs="Arial" w:eastAsia="Arial" w:hAnsi="Arial"/>
          <w:sz w:val="20"/>
          <w:szCs w:val="20"/>
          <w:color w:val="auto"/>
        </w:rPr>
        <w:t>. Supplier shall either on its own or through an Affiliate supply the Product in accordance with the terms and conditions</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this Agreement.</w:t>
      </w:r>
    </w:p>
    <w:p>
      <w:pPr>
        <w:spacing w:after="0" w:line="19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u w:val="single" w:color="auto"/>
          <w:color w:val="auto"/>
        </w:rPr>
        <w:t>Supplier Facility</w:t>
      </w:r>
      <w:r>
        <w:rPr>
          <w:rFonts w:ascii="Arial" w:cs="Arial" w:eastAsia="Arial" w:hAnsi="Arial"/>
          <w:sz w:val="18"/>
          <w:szCs w:val="18"/>
          <w:color w:val="auto"/>
        </w:rPr>
        <w:t>. The Product shall be manufactured at the Supplier Facility. [***].</w:t>
      </w:r>
    </w:p>
    <w:p>
      <w:pPr>
        <w:spacing w:after="0" w:line="216" w:lineRule="exact"/>
        <w:rPr>
          <w:sz w:val="20"/>
          <w:szCs w:val="20"/>
          <w:color w:val="auto"/>
        </w:rPr>
      </w:pPr>
    </w:p>
    <w:p>
      <w:pPr>
        <w:jc w:val="both"/>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20"/>
          <w:szCs w:val="20"/>
          <w:u w:val="single" w:color="auto"/>
          <w:color w:val="auto"/>
        </w:rPr>
        <w:t>Compliance</w:t>
      </w:r>
      <w:r>
        <w:rPr>
          <w:rFonts w:ascii="Arial" w:cs="Arial" w:eastAsia="Arial" w:hAnsi="Arial"/>
          <w:sz w:val="20"/>
          <w:szCs w:val="20"/>
          <w:color w:val="auto"/>
        </w:rPr>
        <w:t>. Supplier shall perform its obligations hereunder in compliance with all Applicable Laws, and in a</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professional, workmanlike, diligent and timely manner.</w:t>
      </w:r>
    </w:p>
    <w:p>
      <w:pPr>
        <w:spacing w:after="0" w:line="177" w:lineRule="exact"/>
        <w:rPr>
          <w:sz w:val="20"/>
          <w:szCs w:val="20"/>
          <w:color w:val="auto"/>
        </w:rPr>
      </w:pPr>
    </w:p>
    <w:p>
      <w:pPr>
        <w:jc w:val="both"/>
        <w:ind w:left="1500" w:hanging="748"/>
        <w:spacing w:after="0" w:line="243" w:lineRule="auto"/>
        <w:tabs>
          <w:tab w:leader="none" w:pos="148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20"/>
          <w:szCs w:val="20"/>
          <w:u w:val="single" w:color="auto"/>
          <w:color w:val="auto"/>
        </w:rPr>
        <w:t>Subcontracting</w:t>
      </w:r>
      <w:r>
        <w:rPr>
          <w:rFonts w:ascii="Arial" w:cs="Arial" w:eastAsia="Arial" w:hAnsi="Arial"/>
          <w:sz w:val="20"/>
          <w:szCs w:val="20"/>
          <w:color w:val="auto"/>
        </w:rPr>
        <w:t>. Other than an Affiliate, which Supplier is expressly permitted to engage, Supplier will neither employ nor</w:t>
      </w:r>
      <w:r>
        <w:rPr>
          <w:rFonts w:ascii="Arial" w:cs="Arial" w:eastAsia="Arial" w:hAnsi="Arial"/>
          <w:sz w:val="20"/>
          <w:szCs w:val="20"/>
          <w:u w:val="single" w:color="auto"/>
          <w:color w:val="auto"/>
        </w:rPr>
        <w:t xml:space="preserve"> </w:t>
      </w:r>
      <w:r>
        <w:rPr>
          <w:rFonts w:ascii="Arial" w:cs="Arial" w:eastAsia="Arial" w:hAnsi="Arial"/>
          <w:sz w:val="20"/>
          <w:szCs w:val="20"/>
          <w:color w:val="auto"/>
        </w:rPr>
        <w:t>engage any contractor or subcontractor to perform any of Supplier's material obligations under this Agreement without Purchaser's prior written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1" w:name="page42"/>
    <w:bookmarkEnd w:id="41"/>
    <w:p>
      <w:pPr>
        <w:jc w:val="both"/>
        <w:ind w:left="1500"/>
        <w:spacing w:after="0" w:line="246" w:lineRule="auto"/>
        <w:rPr>
          <w:sz w:val="20"/>
          <w:szCs w:val="20"/>
          <w:color w:val="auto"/>
        </w:rPr>
      </w:pPr>
      <w:r>
        <w:rPr>
          <w:rFonts w:ascii="Arial" w:cs="Arial" w:eastAsia="Arial" w:hAnsi="Arial"/>
          <w:sz w:val="20"/>
          <w:szCs w:val="20"/>
          <w:color w:val="auto"/>
        </w:rPr>
        <w:t>consent, such consent not to be unreasonably withheld or delayed. For purposes of clarification, Supplier shall not be required to obtain Purchaser's prior written consent to the extent Supplier retains the services of a Third Party to perform Supplier Facility maintenance services, equipment repair and calibration, or other ancillary services in support of its contractual obligations hereunder.</w:t>
      </w:r>
    </w:p>
    <w:p>
      <w:pPr>
        <w:spacing w:after="0" w:line="191"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9"/>
          <w:szCs w:val="19"/>
          <w:u w:val="single" w:color="auto"/>
          <w:color w:val="auto"/>
        </w:rPr>
        <w:t>Annual Campaigns</w:t>
      </w:r>
      <w:r>
        <w:rPr>
          <w:rFonts w:ascii="Arial" w:cs="Arial" w:eastAsia="Arial" w:hAnsi="Arial"/>
          <w:sz w:val="19"/>
          <w:szCs w:val="19"/>
          <w:color w:val="auto"/>
        </w:rPr>
        <w:t>. [***].</w:t>
      </w:r>
    </w:p>
    <w:p>
      <w:pPr>
        <w:spacing w:after="0" w:line="216" w:lineRule="exact"/>
        <w:rPr>
          <w:sz w:val="20"/>
          <w:szCs w:val="20"/>
          <w:color w:val="auto"/>
        </w:rPr>
      </w:pPr>
    </w:p>
    <w:p>
      <w:pPr>
        <w:jc w:val="both"/>
        <w:ind w:left="1500" w:hanging="748"/>
        <w:spacing w:after="0" w:line="243" w:lineRule="auto"/>
        <w:tabs>
          <w:tab w:leader="none" w:pos="1480" w:val="left"/>
        </w:tabs>
        <w:rPr>
          <w:sz w:val="20"/>
          <w:szCs w:val="20"/>
          <w:color w:val="auto"/>
        </w:rPr>
      </w:pPr>
      <w:r>
        <w:rPr>
          <w:rFonts w:ascii="Arial" w:cs="Arial" w:eastAsia="Arial" w:hAnsi="Arial"/>
          <w:sz w:val="20"/>
          <w:szCs w:val="20"/>
          <w:color w:val="auto"/>
        </w:rPr>
        <w:t>3.2.5</w:t>
      </w:r>
      <w:r>
        <w:rPr>
          <w:sz w:val="20"/>
          <w:szCs w:val="20"/>
          <w:color w:val="auto"/>
        </w:rPr>
        <w:tab/>
      </w:r>
      <w:r>
        <w:rPr>
          <w:rFonts w:ascii="Arial" w:cs="Arial" w:eastAsia="Arial" w:hAnsi="Arial"/>
          <w:sz w:val="20"/>
          <w:szCs w:val="20"/>
          <w:u w:val="single" w:color="auto"/>
          <w:color w:val="auto"/>
        </w:rPr>
        <w:t>Maximum Supply Obligation</w:t>
      </w:r>
      <w:r>
        <w:rPr>
          <w:rFonts w:ascii="Arial" w:cs="Arial" w:eastAsia="Arial" w:hAnsi="Arial"/>
          <w:sz w:val="20"/>
          <w:szCs w:val="20"/>
          <w:color w:val="auto"/>
        </w:rPr>
        <w:t>. During each calendar year of the Term, Supplier agrees to manufacture and supply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Purchaser Product up to Supplier’s maximum supply obligation volume as set forth in </w:t>
      </w:r>
      <w:r>
        <w:rPr>
          <w:rFonts w:ascii="Arial" w:cs="Arial" w:eastAsia="Arial" w:hAnsi="Arial"/>
          <w:sz w:val="20"/>
          <w:szCs w:val="20"/>
          <w:b w:val="1"/>
          <w:bCs w:val="1"/>
          <w:color w:val="auto"/>
        </w:rPr>
        <w:t>Exhibit F</w:t>
      </w:r>
      <w:r>
        <w:rPr>
          <w:rFonts w:ascii="Arial" w:cs="Arial" w:eastAsia="Arial" w:hAnsi="Arial"/>
          <w:sz w:val="20"/>
          <w:szCs w:val="20"/>
          <w:color w:val="auto"/>
        </w:rPr>
        <w:t xml:space="preserve"> (“</w:t>
      </w:r>
      <w:r>
        <w:rPr>
          <w:rFonts w:ascii="Arial" w:cs="Arial" w:eastAsia="Arial" w:hAnsi="Arial"/>
          <w:sz w:val="20"/>
          <w:szCs w:val="20"/>
          <w:b w:val="1"/>
          <w:bCs w:val="1"/>
          <w:color w:val="auto"/>
        </w:rPr>
        <w:t>Maximum Supply</w:t>
      </w:r>
      <w:r>
        <w:rPr>
          <w:rFonts w:ascii="Arial" w:cs="Arial" w:eastAsia="Arial" w:hAnsi="Arial"/>
          <w:sz w:val="20"/>
          <w:szCs w:val="20"/>
          <w:color w:val="auto"/>
        </w:rPr>
        <w:t xml:space="preserve"> </w:t>
      </w:r>
      <w:r>
        <w:rPr>
          <w:rFonts w:ascii="Arial" w:cs="Arial" w:eastAsia="Arial" w:hAnsi="Arial"/>
          <w:sz w:val="20"/>
          <w:szCs w:val="20"/>
          <w:b w:val="1"/>
          <w:bCs w:val="1"/>
          <w:color w:val="auto"/>
        </w:rPr>
        <w:t>Obligation</w:t>
      </w:r>
      <w:r>
        <w:rPr>
          <w:rFonts w:ascii="Arial" w:cs="Arial" w:eastAsia="Arial" w:hAnsi="Arial"/>
          <w:sz w:val="20"/>
          <w:szCs w:val="20"/>
          <w:color w:val="auto"/>
        </w:rPr>
        <w:t>”).</w:t>
      </w:r>
    </w:p>
    <w:p>
      <w:pPr>
        <w:spacing w:after="0" w:line="192" w:lineRule="exact"/>
        <w:rPr>
          <w:sz w:val="20"/>
          <w:szCs w:val="20"/>
          <w:color w:val="auto"/>
        </w:rPr>
      </w:pPr>
    </w:p>
    <w:p>
      <w:pPr>
        <w:jc w:val="both"/>
        <w:ind w:left="740" w:hanging="732"/>
        <w:spacing w:after="0" w:line="241" w:lineRule="auto"/>
        <w:tabs>
          <w:tab w:leader="none" w:pos="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u w:val="single" w:color="auto"/>
          <w:color w:val="auto"/>
        </w:rPr>
        <w:t>Project Managers</w:t>
      </w:r>
      <w:r>
        <w:rPr>
          <w:rFonts w:ascii="Arial" w:cs="Arial" w:eastAsia="Arial" w:hAnsi="Arial"/>
          <w:sz w:val="20"/>
          <w:szCs w:val="20"/>
          <w:color w:val="auto"/>
        </w:rPr>
        <w:t>. Within thirty (30) days following the Effective Date, each Party will appoint (and notify the other Party in writing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the identity of) a representative to act as its project manager for their collaboration under this Agreement (“</w:t>
      </w:r>
      <w:r>
        <w:rPr>
          <w:rFonts w:ascii="Arial" w:cs="Arial" w:eastAsia="Arial" w:hAnsi="Arial"/>
          <w:sz w:val="20"/>
          <w:szCs w:val="20"/>
          <w:b w:val="1"/>
          <w:bCs w:val="1"/>
          <w:color w:val="auto"/>
        </w:rPr>
        <w:t>Project Manager</w:t>
      </w:r>
      <w:r>
        <w:rPr>
          <w:rFonts w:ascii="Arial" w:cs="Arial" w:eastAsia="Arial" w:hAnsi="Arial"/>
          <w:sz w:val="20"/>
          <w:szCs w:val="20"/>
          <w:color w:val="auto"/>
        </w:rPr>
        <w:t>”). The Project Managers will serve as the primary contact points between the Parties and will be primarily responsible for facilitating the flow of information, interaction and collaboration between the Parties under this Agreement. Each Party may replace its Project Manager on written notice to the other Party.</w:t>
      </w:r>
    </w:p>
    <w:p>
      <w:pPr>
        <w:spacing w:after="0" w:line="195" w:lineRule="exact"/>
        <w:rPr>
          <w:sz w:val="20"/>
          <w:szCs w:val="20"/>
          <w:color w:val="auto"/>
        </w:rPr>
      </w:pPr>
    </w:p>
    <w:p>
      <w:pPr>
        <w:jc w:val="both"/>
        <w:ind w:left="740" w:hanging="732"/>
        <w:spacing w:after="0" w:line="250" w:lineRule="auto"/>
        <w:tabs>
          <w:tab w:leader="none" w:pos="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u w:val="single" w:color="auto"/>
          <w:color w:val="auto"/>
        </w:rPr>
        <w:t>Quality Agreement</w:t>
      </w:r>
      <w:r>
        <w:rPr>
          <w:rFonts w:ascii="Arial" w:cs="Arial" w:eastAsia="Arial" w:hAnsi="Arial"/>
          <w:sz w:val="20"/>
          <w:szCs w:val="20"/>
          <w:color w:val="auto"/>
        </w:rPr>
        <w:t>. The Parties will enter into a Quality Agreement. However, this Agreement will expressly and exclusively</w:t>
      </w:r>
      <w:r>
        <w:rPr>
          <w:rFonts w:ascii="Arial" w:cs="Arial" w:eastAsia="Arial" w:hAnsi="Arial"/>
          <w:sz w:val="20"/>
          <w:szCs w:val="20"/>
          <w:u w:val="single" w:color="auto"/>
          <w:color w:val="auto"/>
        </w:rPr>
        <w:t xml:space="preserve"> </w:t>
      </w:r>
      <w:r>
        <w:rPr>
          <w:rFonts w:ascii="Arial" w:cs="Arial" w:eastAsia="Arial" w:hAnsi="Arial"/>
          <w:sz w:val="20"/>
          <w:szCs w:val="20"/>
          <w:color w:val="auto"/>
        </w:rPr>
        <w:t>govern all provisions regarding the purchase and sale of all Product between the Parties and all terms, obligations, responsibility, and liability regarding same.</w:t>
      </w:r>
    </w:p>
    <w:p>
      <w:pPr>
        <w:spacing w:after="0" w:line="186" w:lineRule="exact"/>
        <w:rPr>
          <w:sz w:val="20"/>
          <w:szCs w:val="20"/>
          <w:color w:val="auto"/>
        </w:rPr>
      </w:pPr>
    </w:p>
    <w:p>
      <w:pPr>
        <w:jc w:val="both"/>
        <w:ind w:left="740" w:right="20" w:hanging="732"/>
        <w:spacing w:after="0" w:line="260" w:lineRule="auto"/>
        <w:tabs>
          <w:tab w:leader="none" w:pos="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u w:val="single" w:color="auto"/>
          <w:color w:val="auto"/>
        </w:rPr>
        <w:t>Batch Records</w:t>
      </w:r>
      <w:r>
        <w:rPr>
          <w:rFonts w:ascii="Arial" w:cs="Arial" w:eastAsia="Arial" w:hAnsi="Arial"/>
          <w:sz w:val="20"/>
          <w:szCs w:val="20"/>
          <w:color w:val="auto"/>
        </w:rPr>
        <w:t>. In the course of manufacturing the Product, Supplier will generate Batch Records. The Quality Agreement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describe whether and how Supplier will make available copies of Batch Records to Purchaser.</w:t>
      </w:r>
    </w:p>
    <w:p>
      <w:pPr>
        <w:spacing w:after="0" w:line="177" w:lineRule="exact"/>
        <w:rPr>
          <w:sz w:val="20"/>
          <w:szCs w:val="20"/>
          <w:color w:val="auto"/>
        </w:rPr>
      </w:pPr>
    </w:p>
    <w:p>
      <w:pPr>
        <w:jc w:val="both"/>
        <w:ind w:left="740" w:hanging="732"/>
        <w:spacing w:after="0" w:line="243" w:lineRule="auto"/>
        <w:tabs>
          <w:tab w:leader="none" w:pos="7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u w:val="single" w:color="auto"/>
          <w:color w:val="auto"/>
        </w:rPr>
        <w:t>Exclusivity</w:t>
      </w:r>
      <w:r>
        <w:rPr>
          <w:rFonts w:ascii="Arial" w:cs="Arial" w:eastAsia="Arial" w:hAnsi="Arial"/>
          <w:sz w:val="20"/>
          <w:szCs w:val="20"/>
          <w:color w:val="auto"/>
        </w:rPr>
        <w:t>. Supplier shall manufacture and supply Product in accordance with the Specifications, Applicable Laws and the terms</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and conditions of this Agreement. Subject to </w:t>
      </w:r>
      <w:r>
        <w:rPr>
          <w:rFonts w:ascii="Arial" w:cs="Arial" w:eastAsia="Arial" w:hAnsi="Arial"/>
          <w:sz w:val="20"/>
          <w:szCs w:val="20"/>
          <w:u w:val="single" w:color="auto"/>
          <w:color w:val="auto"/>
        </w:rPr>
        <w:t>Article 3.10</w:t>
      </w:r>
      <w:r>
        <w:rPr>
          <w:rFonts w:ascii="Arial" w:cs="Arial" w:eastAsia="Arial" w:hAnsi="Arial"/>
          <w:sz w:val="20"/>
          <w:szCs w:val="20"/>
          <w:color w:val="auto"/>
        </w:rPr>
        <w:t xml:space="preserve">, Purchaser shall purchase from Supplier the quantities as set forth in </w:t>
      </w:r>
      <w:r>
        <w:rPr>
          <w:rFonts w:ascii="Arial" w:cs="Arial" w:eastAsia="Arial" w:hAnsi="Arial"/>
          <w:sz w:val="20"/>
          <w:szCs w:val="20"/>
          <w:b w:val="1"/>
          <w:bCs w:val="1"/>
          <w:color w:val="auto"/>
        </w:rPr>
        <w:t>Exhibit F</w:t>
      </w:r>
      <w:r>
        <w:rPr>
          <w:rFonts w:ascii="Arial" w:cs="Arial" w:eastAsia="Arial" w:hAnsi="Arial"/>
          <w:sz w:val="20"/>
          <w:szCs w:val="20"/>
          <w:color w:val="auto"/>
        </w:rPr>
        <w:t>.</w:t>
      </w:r>
    </w:p>
    <w:p>
      <w:pPr>
        <w:spacing w:after="0" w:line="19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u w:val="single" w:color="auto"/>
          <w:color w:val="auto"/>
        </w:rPr>
        <w:t>Audit.</w:t>
      </w:r>
    </w:p>
    <w:p>
      <w:pPr>
        <w:spacing w:after="0" w:line="202" w:lineRule="exact"/>
        <w:rPr>
          <w:sz w:val="20"/>
          <w:szCs w:val="20"/>
          <w:color w:val="auto"/>
        </w:rPr>
      </w:pPr>
    </w:p>
    <w:p>
      <w:pPr>
        <w:jc w:val="both"/>
        <w:ind w:left="1500" w:hanging="748"/>
        <w:spacing w:after="0"/>
        <w:tabs>
          <w:tab w:leader="none" w:pos="1480" w:val="left"/>
        </w:tabs>
        <w:rPr>
          <w:sz w:val="20"/>
          <w:szCs w:val="20"/>
          <w:color w:val="auto"/>
        </w:rPr>
      </w:pPr>
      <w:r>
        <w:rPr>
          <w:rFonts w:ascii="Arial" w:cs="Arial" w:eastAsia="Arial" w:hAnsi="Arial"/>
          <w:sz w:val="20"/>
          <w:szCs w:val="20"/>
          <w:color w:val="auto"/>
        </w:rPr>
        <w:t>3.7.1</w:t>
      </w:r>
      <w:r>
        <w:rPr>
          <w:sz w:val="20"/>
          <w:szCs w:val="20"/>
          <w:color w:val="auto"/>
        </w:rPr>
        <w:tab/>
      </w:r>
      <w:r>
        <w:rPr>
          <w:rFonts w:ascii="Arial" w:cs="Arial" w:eastAsia="Arial" w:hAnsi="Arial"/>
          <w:sz w:val="20"/>
          <w:szCs w:val="20"/>
          <w:color w:val="auto"/>
        </w:rPr>
        <w:t xml:space="preserve">Scope of Audit. Once during each calendar year of the Term of and once for a period of [***] following expiration or termination of the Agreement, upon reasonable notice and during normal working hours, Supplier may retain an independent, third-party auditor mutually agreed upon by the Parties. Upon execution of a reasonable confidentiality agreement, such auditor shall have access to the accounting records and other documents maintained by Purchaser that directly relate to this Agreement for the sole purpose of verifying Purchaser’s compliance with its minimum contractual purchase obligations as set forth in </w:t>
      </w:r>
      <w:r>
        <w:rPr>
          <w:rFonts w:ascii="Arial" w:cs="Arial" w:eastAsia="Arial" w:hAnsi="Arial"/>
          <w:sz w:val="20"/>
          <w:szCs w:val="20"/>
          <w:u w:val="single" w:color="auto"/>
          <w:color w:val="auto"/>
        </w:rPr>
        <w:t>Article 3.6</w:t>
      </w:r>
      <w:r>
        <w:rPr>
          <w:rFonts w:ascii="Arial" w:cs="Arial" w:eastAsia="Arial" w:hAnsi="Arial"/>
          <w:sz w:val="20"/>
          <w:szCs w:val="20"/>
          <w:color w:val="auto"/>
        </w:rPr>
        <w:t xml:space="preserve">. The auditor shall solely disclose to the Supplier whether Purchaser complied with its obligation from </w:t>
      </w:r>
      <w:r>
        <w:rPr>
          <w:rFonts w:ascii="Arial" w:cs="Arial" w:eastAsia="Arial" w:hAnsi="Arial"/>
          <w:sz w:val="20"/>
          <w:szCs w:val="20"/>
          <w:u w:val="single" w:color="auto"/>
          <w:color w:val="auto"/>
        </w:rPr>
        <w:t>Article 3.6</w:t>
      </w:r>
      <w:r>
        <w:rPr>
          <w:rFonts w:ascii="Arial" w:cs="Arial" w:eastAsia="Arial" w:hAnsi="Arial"/>
          <w:sz w:val="20"/>
          <w:szCs w:val="20"/>
          <w:color w:val="auto"/>
        </w:rPr>
        <w:t xml:space="preserve"> or not and the shortfall volume, if any. No further information shall be requested by and given to the Supplier.</w:t>
      </w:r>
    </w:p>
    <w:p>
      <w:pPr>
        <w:spacing w:after="0" w:line="185" w:lineRule="exact"/>
        <w:rPr>
          <w:sz w:val="20"/>
          <w:szCs w:val="20"/>
          <w:color w:val="auto"/>
        </w:rPr>
      </w:pPr>
    </w:p>
    <w:p>
      <w:pPr>
        <w:jc w:val="both"/>
        <w:ind w:left="1500" w:right="20" w:hanging="748"/>
        <w:spacing w:after="0" w:line="287" w:lineRule="auto"/>
        <w:tabs>
          <w:tab w:leader="none" w:pos="1480"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19"/>
          <w:szCs w:val="19"/>
          <w:color w:val="auto"/>
        </w:rPr>
        <w:t>Audit Expenses. All audit expenses are at the sole cost and expense of Supplier, unless such audit results in an adjustment in favor of Supplier, in which case the reasonable costs of such auditor shall be borne by Purchaser.</w:t>
      </w:r>
    </w:p>
    <w:p>
      <w:pPr>
        <w:spacing w:after="0" w:line="139" w:lineRule="exact"/>
        <w:rPr>
          <w:sz w:val="20"/>
          <w:szCs w:val="20"/>
          <w:color w:val="auto"/>
        </w:rPr>
      </w:pPr>
    </w:p>
    <w:p>
      <w:pPr>
        <w:jc w:val="both"/>
        <w:ind w:left="740" w:hanging="732"/>
        <w:spacing w:after="0" w:line="250" w:lineRule="auto"/>
        <w:tabs>
          <w:tab w:leader="none" w:pos="7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u w:val="single" w:color="auto"/>
          <w:color w:val="auto"/>
        </w:rPr>
        <w:t xml:space="preserve">Shortfall Payments. </w:t>
      </w:r>
      <w:r>
        <w:rPr>
          <w:rFonts w:ascii="Arial" w:cs="Arial" w:eastAsia="Arial" w:hAnsi="Arial"/>
          <w:sz w:val="20"/>
          <w:szCs w:val="20"/>
          <w:color w:val="auto"/>
        </w:rPr>
        <w:t>If Purchaser fails to satisfy its obligations pursuant to</w:t>
      </w:r>
      <w:r>
        <w:rPr>
          <w:rFonts w:ascii="Arial" w:cs="Arial" w:eastAsia="Arial" w:hAnsi="Arial"/>
          <w:sz w:val="20"/>
          <w:szCs w:val="20"/>
          <w:u w:val="single" w:color="auto"/>
          <w:color w:val="auto"/>
        </w:rPr>
        <w:t xml:space="preserve"> Article 3.6</w:t>
      </w:r>
      <w:r>
        <w:rPr>
          <w:rFonts w:ascii="Arial" w:cs="Arial" w:eastAsia="Arial" w:hAnsi="Arial"/>
          <w:sz w:val="20"/>
          <w:szCs w:val="20"/>
          <w:color w:val="auto"/>
        </w:rPr>
        <w:t>, which determination shall be made at the first</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Planning Meeting (as defined in </w:t>
      </w:r>
      <w:r>
        <w:rPr>
          <w:rFonts w:ascii="Arial" w:cs="Arial" w:eastAsia="Arial" w:hAnsi="Arial"/>
          <w:sz w:val="20"/>
          <w:szCs w:val="20"/>
          <w:u w:val="single" w:color="auto"/>
          <w:color w:val="auto"/>
        </w:rPr>
        <w:t>Article 3.17</w:t>
      </w:r>
      <w:r>
        <w:rPr>
          <w:rFonts w:ascii="Arial" w:cs="Arial" w:eastAsia="Arial" w:hAnsi="Arial"/>
          <w:sz w:val="20"/>
          <w:szCs w:val="20"/>
          <w:color w:val="auto"/>
        </w:rPr>
        <w:t>) following the end of the applicable calendar year, [***]. Notwithstanding the foregoing, Purchaser shall not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2" w:name="page43"/>
    <w:bookmarkEnd w:id="42"/>
    <w:p>
      <w:pPr>
        <w:jc w:val="both"/>
        <w:ind w:left="740"/>
        <w:spacing w:after="0" w:line="250" w:lineRule="auto"/>
        <w:rPr>
          <w:sz w:val="20"/>
          <w:szCs w:val="20"/>
          <w:color w:val="auto"/>
        </w:rPr>
      </w:pPr>
      <w:r>
        <w:rPr>
          <w:rFonts w:ascii="Arial" w:cs="Arial" w:eastAsia="Arial" w:hAnsi="Arial"/>
          <w:sz w:val="20"/>
          <w:szCs w:val="20"/>
          <w:color w:val="auto"/>
        </w:rPr>
        <w:t xml:space="preserve">obligated to make any Shortfall Payment to the extent that any failure by Purchaser to meet its obligations under </w:t>
      </w:r>
      <w:r>
        <w:rPr>
          <w:rFonts w:ascii="Arial" w:cs="Arial" w:eastAsia="Arial" w:hAnsi="Arial"/>
          <w:sz w:val="20"/>
          <w:szCs w:val="20"/>
          <w:u w:val="single" w:color="auto"/>
          <w:color w:val="auto"/>
        </w:rPr>
        <w:t>Article 3.6</w:t>
      </w:r>
      <w:r>
        <w:rPr>
          <w:rFonts w:ascii="Arial" w:cs="Arial" w:eastAsia="Arial" w:hAnsi="Arial"/>
          <w:sz w:val="20"/>
          <w:szCs w:val="20"/>
          <w:color w:val="auto"/>
        </w:rPr>
        <w:t xml:space="preserve"> in respect of any calendar year is attributable to actions or inactions of Supplier, including the unavailability or delay of shipments of Product, or delivery of defective Product to Purchaser.</w:t>
      </w:r>
    </w:p>
    <w:p>
      <w:pPr>
        <w:spacing w:after="0" w:line="388" w:lineRule="exact"/>
        <w:rPr>
          <w:sz w:val="20"/>
          <w:szCs w:val="20"/>
          <w:color w:val="auto"/>
        </w:rPr>
      </w:pPr>
    </w:p>
    <w:p>
      <w:pPr>
        <w:jc w:val="both"/>
        <w:ind w:left="740" w:hanging="732"/>
        <w:spacing w:after="0" w:line="291" w:lineRule="auto"/>
        <w:tabs>
          <w:tab w:leader="none" w:pos="720" w:val="left"/>
        </w:tabs>
        <w:rPr>
          <w:sz w:val="20"/>
          <w:szCs w:val="20"/>
          <w:color w:val="auto"/>
        </w:rPr>
      </w:pPr>
      <w:r>
        <w:rPr>
          <w:rFonts w:ascii="Arial" w:cs="Arial" w:eastAsia="Arial" w:hAnsi="Arial"/>
          <w:sz w:val="20"/>
          <w:szCs w:val="20"/>
          <w:color w:val="auto"/>
        </w:rPr>
        <w:t>3.9</w:t>
      </w:r>
      <w:r>
        <w:rPr>
          <w:sz w:val="20"/>
          <w:szCs w:val="20"/>
          <w:color w:val="auto"/>
        </w:rPr>
        <w:tab/>
      </w:r>
      <w:r>
        <w:rPr>
          <w:rFonts w:ascii="Arial" w:cs="Arial" w:eastAsia="Arial" w:hAnsi="Arial"/>
          <w:sz w:val="18"/>
          <w:szCs w:val="18"/>
          <w:u w:val="single" w:color="auto"/>
          <w:color w:val="auto"/>
        </w:rPr>
        <w:t xml:space="preserve">Alternate Supplier. </w:t>
      </w:r>
      <w:r>
        <w:rPr>
          <w:rFonts w:ascii="Arial" w:cs="Arial" w:eastAsia="Arial" w:hAnsi="Arial"/>
          <w:sz w:val="18"/>
          <w:szCs w:val="18"/>
          <w:color w:val="auto"/>
        </w:rPr>
        <w:t>At any time during the Term, in the event of a Supply Failure, Purchaser shall be entitled to provide written</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notice to Supplier indicating that Purchaser intends to select an alternate supplier of Product, in which case Supplier shall provide written notice to Purchaser, within [***] of such notice from Purchaser indicating how it will resolve such Supply Failure.</w:t>
      </w:r>
    </w:p>
    <w:p>
      <w:pPr>
        <w:spacing w:after="0" w:line="354" w:lineRule="exact"/>
        <w:rPr>
          <w:sz w:val="20"/>
          <w:szCs w:val="20"/>
          <w:color w:val="auto"/>
        </w:rPr>
      </w:pPr>
    </w:p>
    <w:p>
      <w:pPr>
        <w:jc w:val="both"/>
        <w:ind w:left="1500" w:hanging="748"/>
        <w:spacing w:after="0" w:line="287" w:lineRule="auto"/>
        <w:tabs>
          <w:tab w:leader="none" w:pos="1480" w:val="left"/>
        </w:tabs>
        <w:rPr>
          <w:sz w:val="20"/>
          <w:szCs w:val="20"/>
          <w:color w:val="auto"/>
        </w:rPr>
      </w:pPr>
      <w:r>
        <w:rPr>
          <w:rFonts w:ascii="Arial" w:cs="Arial" w:eastAsia="Arial" w:hAnsi="Arial"/>
          <w:sz w:val="20"/>
          <w:szCs w:val="20"/>
          <w:color w:val="auto"/>
        </w:rPr>
        <w:t>3.9.1</w:t>
      </w:r>
      <w:r>
        <w:rPr>
          <w:sz w:val="20"/>
          <w:szCs w:val="20"/>
          <w:color w:val="auto"/>
        </w:rPr>
        <w:tab/>
      </w:r>
      <w:r>
        <w:rPr>
          <w:rFonts w:ascii="Arial" w:cs="Arial" w:eastAsia="Arial" w:hAnsi="Arial"/>
          <w:sz w:val="19"/>
          <w:szCs w:val="19"/>
          <w:u w:val="single" w:color="auto"/>
          <w:color w:val="auto"/>
        </w:rPr>
        <w:t xml:space="preserve">Supplier Assistance. </w:t>
      </w:r>
      <w:r>
        <w:rPr>
          <w:rFonts w:ascii="Arial" w:cs="Arial" w:eastAsia="Arial" w:hAnsi="Arial"/>
          <w:sz w:val="19"/>
          <w:szCs w:val="19"/>
          <w:color w:val="auto"/>
        </w:rPr>
        <w:t>In the event of a Supply Failure Purchaser shall be entitled to select, at its sole discretion, an</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Alternate Supplier, and Supplier shall provide assistance and cooperation in accordance with </w:t>
      </w:r>
      <w:r>
        <w:rPr>
          <w:rFonts w:ascii="Arial" w:cs="Arial" w:eastAsia="Arial" w:hAnsi="Arial"/>
          <w:sz w:val="19"/>
          <w:szCs w:val="19"/>
          <w:u w:val="single" w:color="auto"/>
          <w:color w:val="auto"/>
        </w:rPr>
        <w:t>Article 3.9.2</w:t>
      </w:r>
      <w:r>
        <w:rPr>
          <w:rFonts w:ascii="Arial" w:cs="Arial" w:eastAsia="Arial" w:hAnsi="Arial"/>
          <w:sz w:val="19"/>
          <w:szCs w:val="19"/>
          <w:color w:val="auto"/>
        </w:rPr>
        <w:t>.</w:t>
      </w:r>
    </w:p>
    <w:p>
      <w:pPr>
        <w:spacing w:after="0" w:line="152" w:lineRule="exact"/>
        <w:rPr>
          <w:sz w:val="20"/>
          <w:szCs w:val="20"/>
          <w:color w:val="auto"/>
        </w:rPr>
      </w:pPr>
    </w:p>
    <w:p>
      <w:pPr>
        <w:jc w:val="both"/>
        <w:ind w:left="1500" w:hanging="748"/>
        <w:spacing w:after="0"/>
        <w:tabs>
          <w:tab w:leader="none" w:pos="1480" w:val="left"/>
        </w:tabs>
        <w:rPr>
          <w:sz w:val="20"/>
          <w:szCs w:val="20"/>
          <w:color w:val="auto"/>
        </w:rPr>
      </w:pPr>
      <w:r>
        <w:rPr>
          <w:rFonts w:ascii="Arial" w:cs="Arial" w:eastAsia="Arial" w:hAnsi="Arial"/>
          <w:sz w:val="20"/>
          <w:szCs w:val="20"/>
          <w:color w:val="auto"/>
        </w:rPr>
        <w:t>3.9.2</w:t>
      </w:r>
      <w:r>
        <w:rPr>
          <w:sz w:val="20"/>
          <w:szCs w:val="20"/>
          <w:color w:val="auto"/>
        </w:rPr>
        <w:tab/>
      </w:r>
      <w:r>
        <w:rPr>
          <w:rFonts w:ascii="Arial" w:cs="Arial" w:eastAsia="Arial" w:hAnsi="Arial"/>
          <w:sz w:val="20"/>
          <w:szCs w:val="20"/>
          <w:u w:val="single" w:color="auto"/>
          <w:color w:val="auto"/>
        </w:rPr>
        <w:t xml:space="preserve">Third Party Alternate Supplier. </w:t>
      </w:r>
      <w:r>
        <w:rPr>
          <w:rFonts w:ascii="Arial" w:cs="Arial" w:eastAsia="Arial" w:hAnsi="Arial"/>
          <w:sz w:val="20"/>
          <w:szCs w:val="20"/>
          <w:color w:val="auto"/>
        </w:rPr>
        <w:t>In the event that Supplier fails or is unable to provide a timely and mutually agreed upon</w:t>
      </w:r>
      <w:r>
        <w:rPr>
          <w:rFonts w:ascii="Arial" w:cs="Arial" w:eastAsia="Arial" w:hAnsi="Arial"/>
          <w:sz w:val="20"/>
          <w:szCs w:val="20"/>
          <w:u w:val="single" w:color="auto"/>
          <w:color w:val="auto"/>
        </w:rPr>
        <w:t xml:space="preserve"> </w:t>
      </w:r>
      <w:r>
        <w:rPr>
          <w:rFonts w:ascii="Arial" w:cs="Arial" w:eastAsia="Arial" w:hAnsi="Arial"/>
          <w:sz w:val="20"/>
          <w:szCs w:val="20"/>
          <w:color w:val="auto"/>
        </w:rPr>
        <w:t>remedy for a Supply Failure, then Purchaser shall be entitled to select, in its sole discretion, an alternate supplier (an “</w:t>
      </w:r>
      <w:r>
        <w:rPr>
          <w:rFonts w:ascii="Arial" w:cs="Arial" w:eastAsia="Arial" w:hAnsi="Arial"/>
          <w:sz w:val="20"/>
          <w:szCs w:val="20"/>
          <w:b w:val="1"/>
          <w:bCs w:val="1"/>
          <w:color w:val="auto"/>
        </w:rPr>
        <w:t>Alternate Supplier</w:t>
      </w:r>
      <w:r>
        <w:rPr>
          <w:rFonts w:ascii="Arial" w:cs="Arial" w:eastAsia="Arial" w:hAnsi="Arial"/>
          <w:sz w:val="20"/>
          <w:szCs w:val="20"/>
          <w:color w:val="auto"/>
        </w:rPr>
        <w:t>”). In such event Supplier shall assist and cooperate with Purchaser, for a period of up to [***] to qualify such Alternate Supplier, including, as applicable, executing such documents, providing materials, methods and information reasonably necessary for qualifying such Alternate Supplier, provided that Supplier will not provide any of its Confidential Information or its Background IP or Supplier Foreground IP, unless the Parties mutually agree on terms for the provision of such.</w:t>
      </w:r>
    </w:p>
    <w:p>
      <w:pPr>
        <w:spacing w:after="0" w:line="199" w:lineRule="exact"/>
        <w:rPr>
          <w:sz w:val="20"/>
          <w:szCs w:val="20"/>
          <w:color w:val="auto"/>
        </w:rPr>
      </w:pPr>
    </w:p>
    <w:p>
      <w:pPr>
        <w:jc w:val="both"/>
        <w:ind w:left="1500" w:hanging="748"/>
        <w:spacing w:after="0" w:line="243" w:lineRule="auto"/>
        <w:tabs>
          <w:tab w:leader="none" w:pos="1480" w:val="left"/>
        </w:tabs>
        <w:rPr>
          <w:sz w:val="20"/>
          <w:szCs w:val="20"/>
          <w:color w:val="auto"/>
        </w:rPr>
      </w:pPr>
      <w:r>
        <w:rPr>
          <w:rFonts w:ascii="Arial" w:cs="Arial" w:eastAsia="Arial" w:hAnsi="Arial"/>
          <w:sz w:val="20"/>
          <w:szCs w:val="20"/>
          <w:color w:val="auto"/>
        </w:rPr>
        <w:t>3.9.3</w:t>
      </w:r>
      <w:r>
        <w:rPr>
          <w:sz w:val="20"/>
          <w:szCs w:val="20"/>
          <w:color w:val="auto"/>
        </w:rPr>
        <w:tab/>
      </w:r>
      <w:r>
        <w:rPr>
          <w:rFonts w:ascii="Arial" w:cs="Arial" w:eastAsia="Arial" w:hAnsi="Arial"/>
          <w:sz w:val="20"/>
          <w:szCs w:val="20"/>
          <w:color w:val="auto"/>
        </w:rPr>
        <w:t xml:space="preserve">Without limiting the foregoing, Purchaser may, at any time during the Term, qualify an Alternate Supplier, provided, however, that in the absence of a Supply Failure, Supplier shall not be obligated to provide the assistance and cooperation set forth in </w:t>
      </w:r>
      <w:r>
        <w:rPr>
          <w:rFonts w:ascii="Arial" w:cs="Arial" w:eastAsia="Arial" w:hAnsi="Arial"/>
          <w:sz w:val="20"/>
          <w:szCs w:val="20"/>
          <w:u w:val="single" w:color="auto"/>
          <w:color w:val="auto"/>
        </w:rPr>
        <w:t>Article 3.9.1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3.9.2</w:t>
      </w:r>
      <w:r>
        <w:rPr>
          <w:rFonts w:ascii="Arial" w:cs="Arial" w:eastAsia="Arial" w:hAnsi="Arial"/>
          <w:sz w:val="20"/>
          <w:szCs w:val="20"/>
          <w:color w:val="auto"/>
        </w:rPr>
        <w:t xml:space="preserve"> above.</w:t>
      </w:r>
    </w:p>
    <w:p>
      <w:pPr>
        <w:spacing w:after="0" w:line="395" w:lineRule="exact"/>
        <w:rPr>
          <w:sz w:val="20"/>
          <w:szCs w:val="20"/>
          <w:color w:val="auto"/>
        </w:rPr>
      </w:pPr>
    </w:p>
    <w:p>
      <w:pPr>
        <w:jc w:val="both"/>
        <w:ind w:left="740" w:hanging="732"/>
        <w:spacing w:after="0" w:line="254" w:lineRule="auto"/>
        <w:tabs>
          <w:tab w:leader="none" w:pos="720" w:val="left"/>
        </w:tabs>
        <w:rPr>
          <w:sz w:val="20"/>
          <w:szCs w:val="20"/>
          <w:color w:val="auto"/>
        </w:rPr>
      </w:pPr>
      <w:r>
        <w:rPr>
          <w:rFonts w:ascii="Arial" w:cs="Arial" w:eastAsia="Arial" w:hAnsi="Arial"/>
          <w:sz w:val="20"/>
          <w:szCs w:val="20"/>
          <w:color w:val="auto"/>
        </w:rPr>
        <w:t>3.10</w:t>
      </w:r>
      <w:r>
        <w:rPr>
          <w:sz w:val="20"/>
          <w:szCs w:val="20"/>
          <w:color w:val="auto"/>
        </w:rPr>
        <w:tab/>
      </w:r>
      <w:r>
        <w:rPr>
          <w:rFonts w:ascii="Arial" w:cs="Arial" w:eastAsia="Arial" w:hAnsi="Arial"/>
          <w:sz w:val="19"/>
          <w:szCs w:val="19"/>
          <w:u w:val="single" w:color="auto"/>
          <w:color w:val="auto"/>
        </w:rPr>
        <w:t xml:space="preserve">Suspension of Requirements Obligation. </w:t>
      </w:r>
      <w:r>
        <w:rPr>
          <w:rFonts w:ascii="Arial" w:cs="Arial" w:eastAsia="Arial" w:hAnsi="Arial"/>
          <w:sz w:val="19"/>
          <w:szCs w:val="19"/>
          <w:color w:val="auto"/>
        </w:rPr>
        <w:t>Purchaser’s requirement obligations under</w:t>
      </w:r>
      <w:r>
        <w:rPr>
          <w:rFonts w:ascii="Arial" w:cs="Arial" w:eastAsia="Arial" w:hAnsi="Arial"/>
          <w:sz w:val="19"/>
          <w:szCs w:val="19"/>
          <w:u w:val="single" w:color="auto"/>
          <w:color w:val="auto"/>
        </w:rPr>
        <w:t xml:space="preserve"> Article 3.6 </w:t>
      </w:r>
      <w:r>
        <w:rPr>
          <w:rFonts w:ascii="Arial" w:cs="Arial" w:eastAsia="Arial" w:hAnsi="Arial"/>
          <w:sz w:val="19"/>
          <w:szCs w:val="19"/>
          <w:color w:val="auto"/>
        </w:rPr>
        <w:t>shall cease to apply commencing on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first date of any Supply Failure, and will be reinstated after the Parties mutually agree in writing that Supplier is able to supply Product again, or at the latest if Supplier proved its ability to supply by delivering the volumes ordered in the following purchase order. Once the Supply Failure has ended, Purchaser’s requirement to purchase Product shall be fully reinstated, within a commercially reasonable period of time and in no event later than [***] following the Parties’ agreement that Supplier is able to resume supply, subject to Purchaser’s contractual obligations with such Alternate Supplier. For the avoidance of doubt, any following purchase orders submitted by Purchaser and accepted by Supplier prior to the first date of any Supply Failure (and hence, not the purchase order in connection with which the Supply Failure occurred) shall remain binding on Purchaser, provided, however, that Purchaser may reasonably postpone any delivery dates under such purchase order(s) if Supplier is not able to supply under such purchase orders in time.</w:t>
      </w:r>
    </w:p>
    <w:p>
      <w:pPr>
        <w:spacing w:after="0" w:line="38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16"/>
          <w:szCs w:val="16"/>
          <w:u w:val="single" w:color="auto"/>
          <w:color w:val="auto"/>
        </w:rPr>
        <w:t>Forecasts and Purchase Orders.</w:t>
      </w:r>
    </w:p>
    <w:p>
      <w:pPr>
        <w:spacing w:after="0" w:line="216" w:lineRule="exact"/>
        <w:rPr>
          <w:sz w:val="20"/>
          <w:szCs w:val="20"/>
          <w:color w:val="auto"/>
        </w:rPr>
      </w:pPr>
    </w:p>
    <w:p>
      <w:pPr>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3.11.1</w:t>
      </w:r>
      <w:r>
        <w:rPr>
          <w:sz w:val="20"/>
          <w:szCs w:val="20"/>
          <w:color w:val="auto"/>
        </w:rPr>
        <w:tab/>
      </w:r>
      <w:r>
        <w:rPr>
          <w:rFonts w:ascii="Arial" w:cs="Arial" w:eastAsia="Arial" w:hAnsi="Arial"/>
          <w:sz w:val="20"/>
          <w:szCs w:val="20"/>
          <w:u w:val="single" w:color="auto"/>
          <w:color w:val="auto"/>
        </w:rPr>
        <w:t>Binding Forecast Volumes</w:t>
      </w:r>
      <w:r>
        <w:rPr>
          <w:rFonts w:ascii="Arial" w:cs="Arial" w:eastAsia="Arial" w:hAnsi="Arial"/>
          <w:sz w:val="20"/>
          <w:szCs w:val="20"/>
          <w:color w:val="auto"/>
        </w:rPr>
        <w:t>. Commencing with Phase 2 , and on the 1st business day of each calendar quarter thereafter</w:t>
      </w:r>
      <w:r>
        <w:rPr>
          <w:rFonts w:ascii="Arial" w:cs="Arial" w:eastAsia="Arial" w:hAnsi="Arial"/>
          <w:sz w:val="20"/>
          <w:szCs w:val="20"/>
          <w:u w:val="single" w:color="auto"/>
          <w:color w:val="auto"/>
        </w:rPr>
        <w:t xml:space="preserve"> </w:t>
      </w:r>
      <w:r>
        <w:rPr>
          <w:rFonts w:ascii="Arial" w:cs="Arial" w:eastAsia="Arial" w:hAnsi="Arial"/>
          <w:sz w:val="20"/>
          <w:szCs w:val="20"/>
          <w:color w:val="auto"/>
        </w:rPr>
        <w:t>throughout the Term, Purchaser shall provide to Supplier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3" w:name="page44"/>
    <w:bookmarkEnd w:id="43"/>
    <w:p>
      <w:pPr>
        <w:jc w:val="both"/>
        <w:ind w:left="380" w:firstLine="6"/>
        <w:spacing w:after="0" w:line="259" w:lineRule="auto"/>
        <w:tabs>
          <w:tab w:leader="none" w:pos="875" w:val="left"/>
        </w:tabs>
        <w:numPr>
          <w:ilvl w:val="0"/>
          <w:numId w:val="11"/>
        </w:numPr>
        <w:rPr>
          <w:rFonts w:ascii="Arial" w:cs="Arial" w:eastAsia="Arial" w:hAnsi="Arial"/>
          <w:sz w:val="19"/>
          <w:szCs w:val="19"/>
          <w:color w:val="auto"/>
        </w:rPr>
      </w:pPr>
      <w:r>
        <w:rPr>
          <w:rFonts w:ascii="Arial" w:cs="Arial" w:eastAsia="Arial" w:hAnsi="Arial"/>
          <w:sz w:val="19"/>
          <w:szCs w:val="19"/>
          <w:color w:val="auto"/>
        </w:rPr>
        <w:t>forecast of the campaigns to be manufactured and the Product volumes to be ordered, with the requested delivery date for such campaign per calendar year. The forecast shall be a binding purchase obligation of Purchaser (the “</w:t>
      </w:r>
      <w:r>
        <w:rPr>
          <w:rFonts w:ascii="Arial" w:cs="Arial" w:eastAsia="Arial" w:hAnsi="Arial"/>
          <w:sz w:val="19"/>
          <w:szCs w:val="19"/>
          <w:b w:val="1"/>
          <w:bCs w:val="1"/>
          <w:color w:val="auto"/>
        </w:rPr>
        <w:t>Firm</w:t>
      </w:r>
      <w:r>
        <w:rPr>
          <w:rFonts w:ascii="Arial" w:cs="Arial" w:eastAsia="Arial" w:hAnsi="Arial"/>
          <w:sz w:val="19"/>
          <w:szCs w:val="19"/>
          <w:color w:val="auto"/>
        </w:rPr>
        <w:t xml:space="preserve"> </w:t>
      </w:r>
      <w:r>
        <w:rPr>
          <w:rFonts w:ascii="Arial" w:cs="Arial" w:eastAsia="Arial" w:hAnsi="Arial"/>
          <w:sz w:val="19"/>
          <w:szCs w:val="19"/>
          <w:b w:val="1"/>
          <w:bCs w:val="1"/>
          <w:color w:val="auto"/>
        </w:rPr>
        <w:t>Commitment</w:t>
      </w:r>
      <w:r>
        <w:rPr>
          <w:rFonts w:ascii="Arial" w:cs="Arial" w:eastAsia="Arial" w:hAnsi="Arial"/>
          <w:sz w:val="19"/>
          <w:szCs w:val="19"/>
          <w:color w:val="auto"/>
        </w:rPr>
        <w:t>”) for the periods defined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3.11.1.1</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3.11.1.2</w:t>
      </w:r>
      <w:r>
        <w:rPr>
          <w:rFonts w:ascii="Arial" w:cs="Arial" w:eastAsia="Arial" w:hAnsi="Arial"/>
          <w:sz w:val="19"/>
          <w:szCs w:val="19"/>
          <w:color w:val="auto"/>
        </w:rPr>
        <w:t>, and a binding supply obligation of Supplier if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forecasted volumes do not exceed the Maximum Supply Obligation. Attached as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is Purchaser’s current forecast of its Product delivery requirements for calendar years 2022 through 2025. This forecast is non-binding in its entirety and is provided solely as a courtesy to Supplier.</w:t>
      </w:r>
    </w:p>
    <w:p>
      <w:pPr>
        <w:spacing w:after="0" w:line="165" w:lineRule="exact"/>
        <w:rPr>
          <w:sz w:val="20"/>
          <w:szCs w:val="20"/>
          <w:color w:val="auto"/>
        </w:rPr>
      </w:pPr>
    </w:p>
    <w:p>
      <w:pPr>
        <w:ind w:left="360"/>
        <w:spacing w:after="0" w:line="260" w:lineRule="auto"/>
        <w:rPr>
          <w:sz w:val="20"/>
          <w:szCs w:val="20"/>
          <w:color w:val="auto"/>
        </w:rPr>
      </w:pPr>
      <w:r>
        <w:rPr>
          <w:rFonts w:ascii="Arial" w:cs="Arial" w:eastAsia="Arial" w:hAnsi="Arial"/>
          <w:sz w:val="20"/>
          <w:szCs w:val="20"/>
          <w:color w:val="auto"/>
        </w:rPr>
        <w:t>Supplier will use commercially reasonable efforts to supply Product earlier as stated in the Firm Commitment if desired by Purchaser.</w:t>
      </w:r>
    </w:p>
    <w:p>
      <w:pPr>
        <w:spacing w:after="0" w:line="163" w:lineRule="exact"/>
        <w:rPr>
          <w:sz w:val="20"/>
          <w:szCs w:val="20"/>
          <w:color w:val="auto"/>
        </w:rPr>
      </w:pPr>
    </w:p>
    <w:tbl>
      <w:tblPr>
        <w:tblLayout w:type="fixed"/>
        <w:tblInd w:w="380" w:type="dxa"/>
        <w:tblCellMar>
          <w:top w:w="0" w:type="dxa"/>
          <w:left w:w="0" w:type="dxa"/>
          <w:bottom w:w="0" w:type="dxa"/>
          <w:right w:w="0" w:type="dxa"/>
        </w:tblCellMar>
      </w:tblPr>
      <w:tr>
        <w:trPr>
          <w:trHeight w:val="250"/>
        </w:trPr>
        <w:tc>
          <w:tcPr>
            <w:tcW w:w="820" w:type="dxa"/>
            <w:vAlign w:val="bottom"/>
          </w:tcPr>
          <w:p>
            <w:pPr>
              <w:jc w:val="right"/>
              <w:ind w:right="81"/>
              <w:spacing w:after="0"/>
              <w:rPr>
                <w:sz w:val="20"/>
                <w:szCs w:val="20"/>
                <w:color w:val="auto"/>
              </w:rPr>
            </w:pPr>
            <w:r>
              <w:rPr>
                <w:rFonts w:ascii="Arial" w:cs="Arial" w:eastAsia="Arial" w:hAnsi="Arial"/>
                <w:sz w:val="20"/>
                <w:szCs w:val="20"/>
                <w:color w:val="auto"/>
                <w:w w:val="85"/>
              </w:rPr>
              <w:t>3.11.1.1</w:t>
            </w:r>
          </w:p>
        </w:tc>
        <w:tc>
          <w:tcPr>
            <w:tcW w:w="4120" w:type="dxa"/>
            <w:vAlign w:val="bottom"/>
          </w:tcPr>
          <w:p>
            <w:pPr>
              <w:ind w:left="300"/>
              <w:spacing w:after="0"/>
              <w:rPr>
                <w:sz w:val="20"/>
                <w:szCs w:val="20"/>
                <w:color w:val="auto"/>
              </w:rPr>
            </w:pPr>
            <w:r>
              <w:rPr>
                <w:rFonts w:ascii="Arial" w:cs="Arial" w:eastAsia="Arial" w:hAnsi="Arial"/>
                <w:sz w:val="20"/>
                <w:szCs w:val="20"/>
                <w:color w:val="auto"/>
              </w:rPr>
              <w:t>Phase 2:</w:t>
            </w:r>
          </w:p>
        </w:tc>
        <w:tc>
          <w:tcPr>
            <w:tcW w:w="4040" w:type="dxa"/>
            <w:vAlign w:val="bottom"/>
          </w:tcPr>
          <w:p>
            <w:pPr>
              <w:spacing w:after="0"/>
              <w:rPr>
                <w:sz w:val="21"/>
                <w:szCs w:val="21"/>
                <w:color w:val="auto"/>
              </w:rPr>
            </w:pPr>
          </w:p>
        </w:tc>
      </w:tr>
      <w:tr>
        <w:trPr>
          <w:trHeight w:val="249"/>
        </w:trPr>
        <w:tc>
          <w:tcPr>
            <w:tcW w:w="820" w:type="dxa"/>
            <w:vAlign w:val="bottom"/>
          </w:tcPr>
          <w:p>
            <w:pPr>
              <w:spacing w:after="0"/>
              <w:rPr>
                <w:sz w:val="21"/>
                <w:szCs w:val="21"/>
                <w:color w:val="auto"/>
              </w:rPr>
            </w:pPr>
          </w:p>
        </w:tc>
        <w:tc>
          <w:tcPr>
            <w:tcW w:w="412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tcPr>
          <w:p>
            <w:pPr>
              <w:spacing w:after="0"/>
              <w:rPr>
                <w:sz w:val="21"/>
                <w:szCs w:val="21"/>
                <w:color w:val="auto"/>
              </w:rPr>
            </w:pPr>
          </w:p>
        </w:tc>
      </w:tr>
      <w:tr>
        <w:trPr>
          <w:trHeight w:val="210"/>
        </w:trPr>
        <w:tc>
          <w:tcPr>
            <w:tcW w:w="82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0"/>
                <w:szCs w:val="20"/>
                <w:color w:val="auto"/>
              </w:rPr>
              <w:t>Annual Campaign Size</w:t>
            </w:r>
          </w:p>
        </w:tc>
        <w:tc>
          <w:tcPr>
            <w:tcW w:w="404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0"/>
                <w:szCs w:val="20"/>
                <w:color w:val="auto"/>
              </w:rPr>
              <w:t>Binding period before supply</w:t>
            </w:r>
          </w:p>
        </w:tc>
      </w:tr>
      <w:tr>
        <w:trPr>
          <w:trHeight w:val="229"/>
        </w:trPr>
        <w:tc>
          <w:tcPr>
            <w:tcW w:w="82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4040" w:type="dxa"/>
            <w:vAlign w:val="bottom"/>
            <w:tcBorders>
              <w:bottom w:val="single" w:sz="8" w:color="auto"/>
              <w:right w:val="single" w:sz="8" w:color="auto"/>
            </w:tcBorders>
          </w:tcPr>
          <w:p>
            <w:pPr>
              <w:spacing w:after="0"/>
              <w:rPr>
                <w:sz w:val="19"/>
                <w:szCs w:val="19"/>
                <w:color w:val="auto"/>
              </w:rPr>
            </w:pPr>
          </w:p>
        </w:tc>
      </w:tr>
      <w:tr>
        <w:trPr>
          <w:trHeight w:val="210"/>
        </w:trPr>
        <w:tc>
          <w:tcPr>
            <w:tcW w:w="82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0"/>
                <w:szCs w:val="20"/>
                <w:color w:val="auto"/>
              </w:rPr>
              <w:t>[***]</w:t>
            </w:r>
          </w:p>
        </w:tc>
        <w:tc>
          <w:tcPr>
            <w:tcW w:w="404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0"/>
                <w:szCs w:val="20"/>
                <w:color w:val="auto"/>
              </w:rPr>
              <w:t>[***]</w:t>
            </w:r>
          </w:p>
        </w:tc>
      </w:tr>
      <w:tr>
        <w:trPr>
          <w:trHeight w:val="192"/>
        </w:trPr>
        <w:tc>
          <w:tcPr>
            <w:tcW w:w="820" w:type="dxa"/>
            <w:vAlign w:val="bottom"/>
            <w:tcBorders>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r>
      <w:tr>
        <w:trPr>
          <w:trHeight w:val="659"/>
        </w:trPr>
        <w:tc>
          <w:tcPr>
            <w:tcW w:w="820" w:type="dxa"/>
            <w:vAlign w:val="bottom"/>
          </w:tcPr>
          <w:p>
            <w:pPr>
              <w:jc w:val="right"/>
              <w:ind w:right="81"/>
              <w:spacing w:after="0"/>
              <w:rPr>
                <w:sz w:val="20"/>
                <w:szCs w:val="20"/>
                <w:color w:val="auto"/>
              </w:rPr>
            </w:pPr>
            <w:r>
              <w:rPr>
                <w:rFonts w:ascii="Arial" w:cs="Arial" w:eastAsia="Arial" w:hAnsi="Arial"/>
                <w:sz w:val="20"/>
                <w:szCs w:val="20"/>
                <w:color w:val="auto"/>
                <w:w w:val="85"/>
              </w:rPr>
              <w:t>3.11.1.2</w:t>
            </w:r>
          </w:p>
        </w:tc>
        <w:tc>
          <w:tcPr>
            <w:tcW w:w="4120" w:type="dxa"/>
            <w:vAlign w:val="bottom"/>
          </w:tcPr>
          <w:p>
            <w:pPr>
              <w:ind w:left="300"/>
              <w:spacing w:after="0"/>
              <w:rPr>
                <w:sz w:val="20"/>
                <w:szCs w:val="20"/>
                <w:color w:val="auto"/>
              </w:rPr>
            </w:pPr>
            <w:r>
              <w:rPr>
                <w:rFonts w:ascii="Arial" w:cs="Arial" w:eastAsia="Arial" w:hAnsi="Arial"/>
                <w:sz w:val="20"/>
                <w:szCs w:val="20"/>
                <w:color w:val="auto"/>
              </w:rPr>
              <w:t>Phase 4:</w:t>
            </w:r>
          </w:p>
        </w:tc>
        <w:tc>
          <w:tcPr>
            <w:tcW w:w="4040" w:type="dxa"/>
            <w:vAlign w:val="bottom"/>
          </w:tcPr>
          <w:p>
            <w:pPr>
              <w:spacing w:after="0"/>
              <w:rPr>
                <w:sz w:val="24"/>
                <w:szCs w:val="24"/>
                <w:color w:val="auto"/>
              </w:rPr>
            </w:pPr>
          </w:p>
        </w:tc>
      </w:tr>
      <w:tr>
        <w:trPr>
          <w:trHeight w:val="235"/>
        </w:trPr>
        <w:tc>
          <w:tcPr>
            <w:tcW w:w="820" w:type="dxa"/>
            <w:vAlign w:val="bottom"/>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spacing w:after="0"/>
              <w:rPr>
                <w:sz w:val="20"/>
                <w:szCs w:val="20"/>
                <w:color w:val="auto"/>
              </w:rPr>
            </w:pPr>
          </w:p>
        </w:tc>
      </w:tr>
      <w:tr>
        <w:trPr>
          <w:trHeight w:val="210"/>
        </w:trPr>
        <w:tc>
          <w:tcPr>
            <w:tcW w:w="82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0"/>
                <w:szCs w:val="20"/>
                <w:color w:val="auto"/>
              </w:rPr>
              <w:t>Annual Campaign Size</w:t>
            </w:r>
          </w:p>
        </w:tc>
        <w:tc>
          <w:tcPr>
            <w:tcW w:w="404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0"/>
                <w:szCs w:val="20"/>
                <w:color w:val="auto"/>
              </w:rPr>
              <w:t>Binding period before supply</w:t>
            </w:r>
          </w:p>
        </w:tc>
      </w:tr>
      <w:tr>
        <w:trPr>
          <w:trHeight w:val="229"/>
        </w:trPr>
        <w:tc>
          <w:tcPr>
            <w:tcW w:w="82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4040" w:type="dxa"/>
            <w:vAlign w:val="bottom"/>
            <w:tcBorders>
              <w:bottom w:val="single" w:sz="8" w:color="auto"/>
              <w:right w:val="single" w:sz="8" w:color="auto"/>
            </w:tcBorders>
          </w:tcPr>
          <w:p>
            <w:pPr>
              <w:spacing w:after="0"/>
              <w:rPr>
                <w:sz w:val="19"/>
                <w:szCs w:val="19"/>
                <w:color w:val="auto"/>
              </w:rPr>
            </w:pPr>
          </w:p>
        </w:tc>
      </w:tr>
      <w:tr>
        <w:trPr>
          <w:trHeight w:val="210"/>
        </w:trPr>
        <w:tc>
          <w:tcPr>
            <w:tcW w:w="820" w:type="dxa"/>
            <w:vAlign w:val="bottom"/>
            <w:tcBorders>
              <w:right w:val="single" w:sz="8" w:color="auto"/>
            </w:tcBorders>
          </w:tcPr>
          <w:p>
            <w:pPr>
              <w:spacing w:after="0"/>
              <w:rPr>
                <w:sz w:val="18"/>
                <w:szCs w:val="18"/>
                <w:color w:val="auto"/>
              </w:rPr>
            </w:pPr>
          </w:p>
        </w:tc>
        <w:tc>
          <w:tcPr>
            <w:tcW w:w="41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20"/>
                <w:szCs w:val="20"/>
                <w:color w:val="auto"/>
              </w:rPr>
              <w:t>[***]</w:t>
            </w:r>
          </w:p>
        </w:tc>
        <w:tc>
          <w:tcPr>
            <w:tcW w:w="4040" w:type="dxa"/>
            <w:vAlign w:val="bottom"/>
            <w:tcBorders>
              <w:right w:val="single" w:sz="8" w:color="auto"/>
            </w:tcBorders>
          </w:tcPr>
          <w:p>
            <w:pPr>
              <w:ind w:left="80"/>
              <w:spacing w:after="0" w:line="210" w:lineRule="exact"/>
              <w:rPr>
                <w:sz w:val="20"/>
                <w:szCs w:val="20"/>
                <w:color w:val="auto"/>
              </w:rPr>
            </w:pPr>
            <w:r>
              <w:rPr>
                <w:rFonts w:ascii="Arial" w:cs="Arial" w:eastAsia="Arial" w:hAnsi="Arial"/>
                <w:sz w:val="20"/>
                <w:szCs w:val="20"/>
                <w:color w:val="auto"/>
              </w:rPr>
              <w:t>[***]</w:t>
            </w:r>
          </w:p>
        </w:tc>
      </w:tr>
      <w:tr>
        <w:trPr>
          <w:trHeight w:val="192"/>
        </w:trPr>
        <w:tc>
          <w:tcPr>
            <w:tcW w:w="820" w:type="dxa"/>
            <w:vAlign w:val="bottom"/>
            <w:tcBorders>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r>
      <w:tr>
        <w:trPr>
          <w:trHeight w:val="244"/>
        </w:trPr>
        <w:tc>
          <w:tcPr>
            <w:tcW w:w="820" w:type="dxa"/>
            <w:vAlign w:val="bottom"/>
            <w:tcBorders>
              <w:right w:val="single" w:sz="8" w:color="auto"/>
            </w:tcBorders>
          </w:tcPr>
          <w:p>
            <w:pPr>
              <w:spacing w:after="0"/>
              <w:rPr>
                <w:sz w:val="21"/>
                <w:szCs w:val="21"/>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820" w:type="dxa"/>
            <w:vAlign w:val="bottom"/>
            <w:tcBorders>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r>
      <w:tr>
        <w:trPr>
          <w:trHeight w:val="244"/>
        </w:trPr>
        <w:tc>
          <w:tcPr>
            <w:tcW w:w="820" w:type="dxa"/>
            <w:vAlign w:val="bottom"/>
            <w:tcBorders>
              <w:right w:val="single" w:sz="8" w:color="auto"/>
            </w:tcBorders>
          </w:tcPr>
          <w:p>
            <w:pPr>
              <w:spacing w:after="0"/>
              <w:rPr>
                <w:sz w:val="21"/>
                <w:szCs w:val="21"/>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820" w:type="dxa"/>
            <w:vAlign w:val="bottom"/>
            <w:tcBorders>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r>
      <w:tr>
        <w:trPr>
          <w:trHeight w:val="244"/>
        </w:trPr>
        <w:tc>
          <w:tcPr>
            <w:tcW w:w="820" w:type="dxa"/>
            <w:vAlign w:val="bottom"/>
            <w:tcBorders>
              <w:right w:val="single" w:sz="8" w:color="auto"/>
            </w:tcBorders>
          </w:tcPr>
          <w:p>
            <w:pPr>
              <w:spacing w:after="0"/>
              <w:rPr>
                <w:sz w:val="21"/>
                <w:szCs w:val="21"/>
                <w:color w:val="auto"/>
              </w:rPr>
            </w:pPr>
          </w:p>
        </w:tc>
        <w:tc>
          <w:tcPr>
            <w:tcW w:w="41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w:t>
            </w:r>
          </w:p>
        </w:tc>
        <w:tc>
          <w:tcPr>
            <w:tcW w:w="40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w:t>
            </w:r>
          </w:p>
        </w:tc>
      </w:tr>
      <w:tr>
        <w:trPr>
          <w:trHeight w:val="195"/>
        </w:trPr>
        <w:tc>
          <w:tcPr>
            <w:tcW w:w="820" w:type="dxa"/>
            <w:vAlign w:val="bottom"/>
            <w:tcBorders>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380" w:hanging="748"/>
        <w:spacing w:after="0" w:line="258" w:lineRule="auto"/>
        <w:tabs>
          <w:tab w:leader="none" w:pos="360" w:val="left"/>
        </w:tabs>
        <w:rPr>
          <w:sz w:val="20"/>
          <w:szCs w:val="20"/>
          <w:color w:val="auto"/>
        </w:rPr>
      </w:pPr>
      <w:r>
        <w:rPr>
          <w:rFonts w:ascii="Arial" w:cs="Arial" w:eastAsia="Arial" w:hAnsi="Arial"/>
          <w:sz w:val="20"/>
          <w:szCs w:val="20"/>
          <w:color w:val="auto"/>
        </w:rPr>
        <w:t>3.11.2</w:t>
      </w:r>
      <w:r>
        <w:rPr>
          <w:sz w:val="20"/>
          <w:szCs w:val="20"/>
          <w:color w:val="auto"/>
        </w:rPr>
        <w:tab/>
      </w:r>
      <w:r>
        <w:rPr>
          <w:rFonts w:ascii="Arial" w:cs="Arial" w:eastAsia="Arial" w:hAnsi="Arial"/>
          <w:sz w:val="19"/>
          <w:szCs w:val="19"/>
          <w:u w:val="single" w:color="auto"/>
          <w:color w:val="auto"/>
        </w:rPr>
        <w:t>Binding Forecast Critical Raw Materials</w:t>
      </w:r>
      <w:r>
        <w:rPr>
          <w:rFonts w:ascii="Arial" w:cs="Arial" w:eastAsia="Arial" w:hAnsi="Arial"/>
          <w:sz w:val="19"/>
          <w:szCs w:val="19"/>
          <w:color w:val="auto"/>
        </w:rPr>
        <w:t>. Commencing with Phase 2, Supplier is entitled to purchase [***] required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produce the forecasted volumes [***] before the delivery date of annual campaigns forecasted under </w:t>
      </w:r>
      <w:r>
        <w:rPr>
          <w:rFonts w:ascii="Arial" w:cs="Arial" w:eastAsia="Arial" w:hAnsi="Arial"/>
          <w:sz w:val="19"/>
          <w:szCs w:val="19"/>
          <w:u w:val="single" w:color="auto"/>
          <w:color w:val="auto"/>
        </w:rPr>
        <w:t>Article 3.11.1</w:t>
      </w:r>
      <w:r>
        <w:rPr>
          <w:rFonts w:ascii="Arial" w:cs="Arial" w:eastAsia="Arial" w:hAnsi="Arial"/>
          <w:sz w:val="19"/>
          <w:szCs w:val="19"/>
          <w:color w:val="auto"/>
        </w:rPr>
        <w:t>, irrespective whether the forecasted volumes of such campaign constitute a Firm Commitment or not. Supplier is entitled to charge Purchaser, at the point in time Supplier has to pay its suppliers for such [***], [***].</w:t>
      </w:r>
    </w:p>
    <w:p>
      <w:pPr>
        <w:spacing w:after="0" w:line="181" w:lineRule="exact"/>
        <w:rPr>
          <w:sz w:val="20"/>
          <w:szCs w:val="20"/>
          <w:color w:val="auto"/>
        </w:rPr>
      </w:pPr>
    </w:p>
    <w:p>
      <w:pPr>
        <w:jc w:val="both"/>
        <w:ind w:left="380" w:hanging="748"/>
        <w:spacing w:after="0" w:line="250" w:lineRule="auto"/>
        <w:tabs>
          <w:tab w:leader="none" w:pos="360" w:val="left"/>
        </w:tabs>
        <w:rPr>
          <w:sz w:val="20"/>
          <w:szCs w:val="20"/>
          <w:color w:val="auto"/>
        </w:rPr>
      </w:pPr>
      <w:r>
        <w:rPr>
          <w:rFonts w:ascii="Arial" w:cs="Arial" w:eastAsia="Arial" w:hAnsi="Arial"/>
          <w:sz w:val="20"/>
          <w:szCs w:val="20"/>
          <w:color w:val="auto"/>
        </w:rPr>
        <w:t>3.11.3</w:t>
      </w:r>
      <w:r>
        <w:rPr>
          <w:sz w:val="20"/>
          <w:szCs w:val="20"/>
          <w:color w:val="auto"/>
        </w:rPr>
        <w:tab/>
      </w:r>
      <w:r>
        <w:rPr>
          <w:rFonts w:ascii="Arial" w:cs="Arial" w:eastAsia="Arial" w:hAnsi="Arial"/>
          <w:sz w:val="20"/>
          <w:szCs w:val="20"/>
          <w:u w:val="single" w:color="auto"/>
          <w:color w:val="auto"/>
        </w:rPr>
        <w:t xml:space="preserve">Forecasts Review. </w:t>
      </w:r>
      <w:r>
        <w:rPr>
          <w:rFonts w:ascii="Arial" w:cs="Arial" w:eastAsia="Arial" w:hAnsi="Arial"/>
          <w:sz w:val="20"/>
          <w:szCs w:val="20"/>
          <w:color w:val="auto"/>
        </w:rPr>
        <w:t>From time-to-time during the Term the Parties will meet to review Purchaser’s latest forecast against</w:t>
      </w:r>
      <w:r>
        <w:rPr>
          <w:rFonts w:ascii="Arial" w:cs="Arial" w:eastAsia="Arial" w:hAnsi="Arial"/>
          <w:sz w:val="20"/>
          <w:szCs w:val="20"/>
          <w:u w:val="single" w:color="auto"/>
          <w:color w:val="auto"/>
        </w:rPr>
        <w:t xml:space="preserve"> </w:t>
      </w:r>
      <w:r>
        <w:rPr>
          <w:rFonts w:ascii="Arial" w:cs="Arial" w:eastAsia="Arial" w:hAnsi="Arial"/>
          <w:sz w:val="20"/>
          <w:szCs w:val="20"/>
          <w:color w:val="auto"/>
        </w:rPr>
        <w:t>Supplier’s then-current manufacturing capacity for Product with the goal of ensuring that Supplier has the capacity to meet Purchaser’s anticipated orders for Product.</w:t>
      </w:r>
    </w:p>
    <w:p>
      <w:pPr>
        <w:spacing w:after="0" w:line="186" w:lineRule="exact"/>
        <w:rPr>
          <w:sz w:val="20"/>
          <w:szCs w:val="20"/>
          <w:color w:val="auto"/>
        </w:rPr>
      </w:pPr>
    </w:p>
    <w:p>
      <w:pPr>
        <w:jc w:val="both"/>
        <w:ind w:left="380" w:hanging="748"/>
        <w:spacing w:after="0" w:line="258" w:lineRule="auto"/>
        <w:tabs>
          <w:tab w:leader="none" w:pos="360" w:val="left"/>
        </w:tabs>
        <w:rPr>
          <w:sz w:val="20"/>
          <w:szCs w:val="20"/>
          <w:color w:val="auto"/>
        </w:rPr>
      </w:pPr>
      <w:r>
        <w:rPr>
          <w:rFonts w:ascii="Arial" w:cs="Arial" w:eastAsia="Arial" w:hAnsi="Arial"/>
          <w:sz w:val="20"/>
          <w:szCs w:val="20"/>
          <w:color w:val="auto"/>
        </w:rPr>
        <w:t>3.11.4</w:t>
      </w:r>
      <w:r>
        <w:rPr>
          <w:sz w:val="20"/>
          <w:szCs w:val="20"/>
          <w:color w:val="auto"/>
        </w:rPr>
        <w:tab/>
      </w:r>
      <w:r>
        <w:rPr>
          <w:rFonts w:ascii="Arial" w:cs="Arial" w:eastAsia="Arial" w:hAnsi="Arial"/>
          <w:sz w:val="19"/>
          <w:szCs w:val="19"/>
          <w:u w:val="single" w:color="auto"/>
          <w:color w:val="auto"/>
        </w:rPr>
        <w:t xml:space="preserve">Purchase Orders. </w:t>
      </w:r>
      <w:r>
        <w:rPr>
          <w:rFonts w:ascii="Arial" w:cs="Arial" w:eastAsia="Arial" w:hAnsi="Arial"/>
          <w:sz w:val="19"/>
          <w:szCs w:val="19"/>
          <w:color w:val="auto"/>
        </w:rPr>
        <w:t>In connection with each forecast submitted by Purchaser pursuant to</w:t>
      </w:r>
      <w:r>
        <w:rPr>
          <w:rFonts w:ascii="Arial" w:cs="Arial" w:eastAsia="Arial" w:hAnsi="Arial"/>
          <w:sz w:val="19"/>
          <w:szCs w:val="19"/>
          <w:u w:val="single" w:color="auto"/>
          <w:color w:val="auto"/>
        </w:rPr>
        <w:t xml:space="preserve"> Article 3.11.1</w:t>
      </w:r>
      <w:r>
        <w:rPr>
          <w:rFonts w:ascii="Arial" w:cs="Arial" w:eastAsia="Arial" w:hAnsi="Arial"/>
          <w:sz w:val="19"/>
          <w:szCs w:val="19"/>
          <w:color w:val="auto"/>
        </w:rPr>
        <w:t>, the Parties will</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 on a delivery schedule for Product covering the portion of such forecast constituting a Firm Commitment. Purchaser shall include the applicable agreed upon delivery date in each of its purchase orders submitted hereunder. Purchaser shall issue purchase orders for Product with such delivery dates with a lead time of at least</w:t>
      </w:r>
    </w:p>
    <w:p>
      <w:pPr>
        <w:spacing w:after="0" w:line="181"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5" w:right="33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20"/>
          <w:szCs w:val="20"/>
          <w:color w:val="auto"/>
        </w:rPr>
        <w:t>[***] prior to such delivery dates. Purchase orders become binding upon Acknowledgement of Supplier.</w:t>
      </w:r>
    </w:p>
    <w:p>
      <w:pPr>
        <w:spacing w:after="0" w:line="216" w:lineRule="exact"/>
        <w:rPr>
          <w:sz w:val="20"/>
          <w:szCs w:val="20"/>
          <w:color w:val="auto"/>
        </w:rPr>
      </w:pPr>
    </w:p>
    <w:p>
      <w:pPr>
        <w:jc w:val="both"/>
        <w:ind w:left="1500" w:hanging="748"/>
        <w:spacing w:after="0" w:line="271" w:lineRule="auto"/>
        <w:tabs>
          <w:tab w:leader="none" w:pos="1480" w:val="left"/>
        </w:tabs>
        <w:rPr>
          <w:sz w:val="20"/>
          <w:szCs w:val="20"/>
          <w:color w:val="auto"/>
        </w:rPr>
      </w:pPr>
      <w:r>
        <w:rPr>
          <w:rFonts w:ascii="Arial" w:cs="Arial" w:eastAsia="Arial" w:hAnsi="Arial"/>
          <w:sz w:val="20"/>
          <w:szCs w:val="20"/>
          <w:color w:val="auto"/>
        </w:rPr>
        <w:t>3.11.5</w:t>
      </w:r>
      <w:r>
        <w:rPr>
          <w:sz w:val="20"/>
          <w:szCs w:val="20"/>
          <w:color w:val="auto"/>
        </w:rPr>
        <w:tab/>
      </w:r>
      <w:r>
        <w:rPr>
          <w:rFonts w:ascii="Arial" w:cs="Arial" w:eastAsia="Arial" w:hAnsi="Arial"/>
          <w:sz w:val="18"/>
          <w:szCs w:val="18"/>
          <w:u w:val="single" w:color="auto"/>
          <w:color w:val="auto"/>
        </w:rPr>
        <w:t xml:space="preserve">Acknowledgement/Rejection of Purchase Orders. </w:t>
      </w:r>
      <w:r>
        <w:rPr>
          <w:rFonts w:ascii="Arial" w:cs="Arial" w:eastAsia="Arial" w:hAnsi="Arial"/>
          <w:sz w:val="18"/>
          <w:szCs w:val="18"/>
          <w:color w:val="auto"/>
        </w:rPr>
        <w:t>Promptly (but not later than [***]) following receipt of a purchase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order that complies with the forecasting provisions of this </w:t>
      </w:r>
      <w:r>
        <w:rPr>
          <w:rFonts w:ascii="Arial" w:cs="Arial" w:eastAsia="Arial" w:hAnsi="Arial"/>
          <w:sz w:val="18"/>
          <w:szCs w:val="18"/>
          <w:u w:val="single" w:color="auto"/>
          <w:color w:val="auto"/>
        </w:rPr>
        <w:t>Article 3.11</w:t>
      </w:r>
      <w:r>
        <w:rPr>
          <w:rFonts w:ascii="Arial" w:cs="Arial" w:eastAsia="Arial" w:hAnsi="Arial"/>
          <w:sz w:val="18"/>
          <w:szCs w:val="18"/>
          <w:color w:val="auto"/>
        </w:rPr>
        <w:t>, Supplier shall issue a written acknowledgement (“</w:t>
      </w:r>
      <w:r>
        <w:rPr>
          <w:rFonts w:ascii="Arial" w:cs="Arial" w:eastAsia="Arial" w:hAnsi="Arial"/>
          <w:sz w:val="18"/>
          <w:szCs w:val="18"/>
          <w:b w:val="1"/>
          <w:bCs w:val="1"/>
          <w:color w:val="auto"/>
        </w:rPr>
        <w:t>Acknowledgement</w:t>
      </w:r>
      <w:r>
        <w:rPr>
          <w:rFonts w:ascii="Arial" w:cs="Arial" w:eastAsia="Arial" w:hAnsi="Arial"/>
          <w:sz w:val="18"/>
          <w:szCs w:val="18"/>
          <w:color w:val="auto"/>
        </w:rPr>
        <w:t xml:space="preserve">”) that it accepts such purchase order. Each acceptance Acknowledgement shall confirm the delivery date set forth in the purchase order or set forth a reasonable alternative delivery date (such date not to be later than [***] days after [***]). Supplier may reject any purchase order in excess of its supply obligation per the relevant Firm Commitment as set forth in </w:t>
      </w:r>
      <w:r>
        <w:rPr>
          <w:rFonts w:ascii="Arial" w:cs="Arial" w:eastAsia="Arial" w:hAnsi="Arial"/>
          <w:sz w:val="18"/>
          <w:szCs w:val="18"/>
          <w:u w:val="single" w:color="auto"/>
          <w:color w:val="auto"/>
        </w:rPr>
        <w:t>Article 3.11.1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3.13</w:t>
      </w:r>
      <w:r>
        <w:rPr>
          <w:rFonts w:ascii="Arial" w:cs="Arial" w:eastAsia="Arial" w:hAnsi="Arial"/>
          <w:sz w:val="18"/>
          <w:szCs w:val="18"/>
          <w:color w:val="auto"/>
        </w:rPr>
        <w:t>, or otherwise not given in accordance with this Agreement. Supplier must accept any purchase orders that are consistent with the Firm Commitment.</w:t>
      </w:r>
    </w:p>
    <w:p>
      <w:pPr>
        <w:spacing w:after="0" w:line="173" w:lineRule="exact"/>
        <w:rPr>
          <w:sz w:val="20"/>
          <w:szCs w:val="20"/>
          <w:color w:val="auto"/>
        </w:rPr>
      </w:pPr>
    </w:p>
    <w:p>
      <w:pPr>
        <w:jc w:val="both"/>
        <w:ind w:left="740" w:hanging="732"/>
        <w:spacing w:after="0" w:line="241" w:lineRule="auto"/>
        <w:tabs>
          <w:tab w:leader="none" w:pos="72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u w:val="single" w:color="auto"/>
          <w:color w:val="auto"/>
        </w:rPr>
        <w:t>Shortage of Supply</w:t>
      </w:r>
      <w:r>
        <w:rPr>
          <w:rFonts w:ascii="Arial" w:cs="Arial" w:eastAsia="Arial" w:hAnsi="Arial"/>
          <w:sz w:val="20"/>
          <w:szCs w:val="20"/>
          <w:color w:val="auto"/>
        </w:rPr>
        <w:t>. If Supplier is unable, or anticipates that it will not be able, to supply Product as confirmed by Supplier in</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accordance with </w:t>
      </w:r>
      <w:r>
        <w:rPr>
          <w:rFonts w:ascii="Arial" w:cs="Arial" w:eastAsia="Arial" w:hAnsi="Arial"/>
          <w:sz w:val="20"/>
          <w:szCs w:val="20"/>
          <w:u w:val="single" w:color="auto"/>
          <w:color w:val="auto"/>
        </w:rPr>
        <w:t>Article 3.11</w:t>
      </w:r>
      <w:r>
        <w:rPr>
          <w:rFonts w:ascii="Arial" w:cs="Arial" w:eastAsia="Arial" w:hAnsi="Arial"/>
          <w:sz w:val="20"/>
          <w:szCs w:val="20"/>
          <w:color w:val="auto"/>
        </w:rPr>
        <w:t xml:space="preserve"> (a “</w:t>
      </w:r>
      <w:r>
        <w:rPr>
          <w:rFonts w:ascii="Arial" w:cs="Arial" w:eastAsia="Arial" w:hAnsi="Arial"/>
          <w:sz w:val="20"/>
          <w:szCs w:val="20"/>
          <w:b w:val="1"/>
          <w:bCs w:val="1"/>
          <w:color w:val="auto"/>
        </w:rPr>
        <w:t>Shortage of Supply</w:t>
      </w:r>
      <w:r>
        <w:rPr>
          <w:rFonts w:ascii="Arial" w:cs="Arial" w:eastAsia="Arial" w:hAnsi="Arial"/>
          <w:sz w:val="20"/>
          <w:szCs w:val="20"/>
          <w:color w:val="auto"/>
        </w:rPr>
        <w:t>”), Supplier shall promptly notify Purchaser in writing of the nature of the shortage and provide its best estimate of the duration of the delay. Supplier shall, at its own cost, use commercially reasonable efforts to remedy any Shortage of Supply as soon as reasonably practicable and resume timely supplying Purchaser with ordered Product in accordance with the requirements to this Agreement.</w:t>
      </w:r>
    </w:p>
    <w:p>
      <w:pPr>
        <w:spacing w:after="0" w:line="189" w:lineRule="exact"/>
        <w:rPr>
          <w:sz w:val="20"/>
          <w:szCs w:val="20"/>
          <w:color w:val="auto"/>
        </w:rPr>
      </w:pPr>
    </w:p>
    <w:p>
      <w:pPr>
        <w:jc w:val="both"/>
        <w:ind w:left="740" w:hanging="732"/>
        <w:spacing w:after="0" w:line="256" w:lineRule="auto"/>
        <w:tabs>
          <w:tab w:leader="none" w:pos="72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9"/>
          <w:szCs w:val="19"/>
          <w:u w:val="single" w:color="auto"/>
          <w:color w:val="auto"/>
        </w:rPr>
        <w:t>Volumes Exceeding the Firm Commitment</w:t>
      </w:r>
      <w:r>
        <w:rPr>
          <w:rFonts w:ascii="Arial" w:cs="Arial" w:eastAsia="Arial" w:hAnsi="Arial"/>
          <w:sz w:val="19"/>
          <w:szCs w:val="19"/>
          <w:color w:val="auto"/>
        </w:rPr>
        <w:t>. If Purchaser desires volumes in excess of the Firm Commitment (“</w:t>
      </w:r>
      <w:r>
        <w:rPr>
          <w:rFonts w:ascii="Arial" w:cs="Arial" w:eastAsia="Arial" w:hAnsi="Arial"/>
          <w:sz w:val="19"/>
          <w:szCs w:val="19"/>
          <w:b w:val="1"/>
          <w:bCs w:val="1"/>
          <w:color w:val="auto"/>
        </w:rPr>
        <w:t>Excess Volume</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the Parties shall negotiate in good faith for such Excess Volume supply obligation and, if such supply of Excess Volume is agreed, Supplier shall be obligated to supply such Excess Volume upon the same terms and conditions as set forth in this Agreement; provided that Supplier in all events shall use commercially reasonable efforts to supply any Excess Volumes. Without limiting the foregoing, if following good faith negotiations Supplier does not agree to supply such Excess Volume upon the same terms and conditions as set forth in this Agreement, Purchaser may obtain such Excess Volume from a Third Party supplier and such Excess Volume will not be counted as requirement of Purchaser under </w:t>
      </w:r>
      <w:r>
        <w:rPr>
          <w:rFonts w:ascii="Arial" w:cs="Arial" w:eastAsia="Arial" w:hAnsi="Arial"/>
          <w:sz w:val="19"/>
          <w:szCs w:val="19"/>
          <w:u w:val="single" w:color="auto"/>
          <w:color w:val="auto"/>
        </w:rPr>
        <w:t>Article 3.6</w:t>
      </w:r>
      <w:r>
        <w:rPr>
          <w:rFonts w:ascii="Arial" w:cs="Arial" w:eastAsia="Arial" w:hAnsi="Arial"/>
          <w:sz w:val="19"/>
          <w:szCs w:val="19"/>
          <w:color w:val="auto"/>
        </w:rPr>
        <w:t>.</w:t>
      </w:r>
    </w:p>
    <w:p>
      <w:pPr>
        <w:spacing w:after="0" w:line="184" w:lineRule="exact"/>
        <w:rPr>
          <w:sz w:val="20"/>
          <w:szCs w:val="20"/>
          <w:color w:val="auto"/>
        </w:rPr>
      </w:pPr>
    </w:p>
    <w:p>
      <w:pPr>
        <w:ind w:left="740"/>
        <w:spacing w:after="0" w:line="260" w:lineRule="auto"/>
        <w:rPr>
          <w:sz w:val="20"/>
          <w:szCs w:val="20"/>
          <w:color w:val="auto"/>
        </w:rPr>
      </w:pPr>
      <w:r>
        <w:rPr>
          <w:rFonts w:ascii="Arial" w:cs="Arial" w:eastAsia="Arial" w:hAnsi="Arial"/>
          <w:sz w:val="20"/>
          <w:szCs w:val="20"/>
          <w:color w:val="auto"/>
        </w:rPr>
        <w:t>If Supplier produces more Product in a campaign than as agreed in the Firm Commitment, then Purchaser shall be obliged to take up to an additional [***] of the Firm Commitment at the prices set forth in the Agreement.</w:t>
      </w:r>
    </w:p>
    <w:p>
      <w:pPr>
        <w:spacing w:after="0" w:line="177" w:lineRule="exact"/>
        <w:rPr>
          <w:sz w:val="20"/>
          <w:szCs w:val="20"/>
          <w:color w:val="auto"/>
        </w:rPr>
      </w:pPr>
    </w:p>
    <w:p>
      <w:pPr>
        <w:jc w:val="both"/>
        <w:ind w:left="740" w:right="20" w:hanging="732"/>
        <w:spacing w:after="0" w:line="250" w:lineRule="auto"/>
        <w:tabs>
          <w:tab w:leader="none" w:pos="720" w:val="left"/>
        </w:tabs>
        <w:rPr>
          <w:sz w:val="20"/>
          <w:szCs w:val="20"/>
          <w:color w:val="auto"/>
        </w:rPr>
      </w:pPr>
      <w:r>
        <w:rPr>
          <w:rFonts w:ascii="Arial" w:cs="Arial" w:eastAsia="Arial" w:hAnsi="Arial"/>
          <w:sz w:val="20"/>
          <w:szCs w:val="20"/>
          <w:color w:val="auto"/>
        </w:rPr>
        <w:t>3.14</w:t>
      </w:r>
      <w:r>
        <w:rPr>
          <w:sz w:val="20"/>
          <w:szCs w:val="20"/>
          <w:color w:val="auto"/>
        </w:rPr>
        <w:tab/>
      </w:r>
      <w:r>
        <w:rPr>
          <w:rFonts w:ascii="Arial" w:cs="Arial" w:eastAsia="Arial" w:hAnsi="Arial"/>
          <w:sz w:val="20"/>
          <w:szCs w:val="20"/>
          <w:u w:val="single" w:color="auto"/>
          <w:color w:val="auto"/>
        </w:rPr>
        <w:t>Delivery Terms</w:t>
      </w:r>
      <w:r>
        <w:rPr>
          <w:rFonts w:ascii="Arial" w:cs="Arial" w:eastAsia="Arial" w:hAnsi="Arial"/>
          <w:sz w:val="20"/>
          <w:szCs w:val="20"/>
          <w:color w:val="auto"/>
        </w:rPr>
        <w:t>. The delivery terms for all Product shall be FCA Supplier Facility of the final production step Incoterms® 2020.</w:t>
      </w:r>
      <w:r>
        <w:rPr>
          <w:rFonts w:ascii="Arial" w:cs="Arial" w:eastAsia="Arial" w:hAnsi="Arial"/>
          <w:sz w:val="20"/>
          <w:szCs w:val="20"/>
          <w:u w:val="single" w:color="auto"/>
          <w:color w:val="auto"/>
        </w:rPr>
        <w:t xml:space="preserve"> </w:t>
      </w:r>
      <w:r>
        <w:rPr>
          <w:rFonts w:ascii="Arial" w:cs="Arial" w:eastAsia="Arial" w:hAnsi="Arial"/>
          <w:sz w:val="20"/>
          <w:szCs w:val="20"/>
          <w:color w:val="auto"/>
        </w:rPr>
        <w:t>Title and risk of loss shall pass to Purchaser upon delivery. Purchaser shall be obliged to take deliveries [***]. The Parties agree that Supplier may [***].</w:t>
      </w:r>
    </w:p>
    <w:p>
      <w:pPr>
        <w:spacing w:after="0" w:line="17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3.15</w:t>
      </w:r>
      <w:r>
        <w:rPr>
          <w:sz w:val="20"/>
          <w:szCs w:val="20"/>
          <w:color w:val="auto"/>
        </w:rPr>
        <w:tab/>
      </w:r>
      <w:r>
        <w:rPr>
          <w:rFonts w:ascii="Arial" w:cs="Arial" w:eastAsia="Arial" w:hAnsi="Arial"/>
          <w:sz w:val="18"/>
          <w:szCs w:val="18"/>
          <w:u w:val="single" w:color="auto"/>
          <w:color w:val="auto"/>
        </w:rPr>
        <w:t>Acceptance or Rejection of Product</w:t>
      </w:r>
      <w:r>
        <w:rPr>
          <w:rFonts w:ascii="Arial" w:cs="Arial" w:eastAsia="Arial" w:hAnsi="Arial"/>
          <w:sz w:val="18"/>
          <w:szCs w:val="18"/>
          <w:color w:val="auto"/>
        </w:rPr>
        <w:t>.</w:t>
      </w:r>
    </w:p>
    <w:p>
      <w:pPr>
        <w:spacing w:after="0" w:line="216" w:lineRule="exact"/>
        <w:rPr>
          <w:sz w:val="20"/>
          <w:szCs w:val="20"/>
          <w:color w:val="auto"/>
        </w:rPr>
      </w:pPr>
    </w:p>
    <w:p>
      <w:pPr>
        <w:jc w:val="both"/>
        <w:ind w:left="1500" w:hanging="748"/>
        <w:spacing w:after="0" w:line="254" w:lineRule="auto"/>
        <w:tabs>
          <w:tab w:leader="none" w:pos="1480" w:val="left"/>
        </w:tabs>
        <w:rPr>
          <w:sz w:val="20"/>
          <w:szCs w:val="20"/>
          <w:color w:val="auto"/>
        </w:rPr>
      </w:pPr>
      <w:r>
        <w:rPr>
          <w:rFonts w:ascii="Arial" w:cs="Arial" w:eastAsia="Arial" w:hAnsi="Arial"/>
          <w:sz w:val="20"/>
          <w:szCs w:val="20"/>
          <w:color w:val="auto"/>
        </w:rPr>
        <w:t>3.15.1</w:t>
      </w:r>
      <w:r>
        <w:rPr>
          <w:sz w:val="20"/>
          <w:szCs w:val="20"/>
          <w:color w:val="auto"/>
        </w:rPr>
        <w:tab/>
      </w:r>
      <w:r>
        <w:rPr>
          <w:rFonts w:ascii="Arial" w:cs="Arial" w:eastAsia="Arial" w:hAnsi="Arial"/>
          <w:sz w:val="19"/>
          <w:szCs w:val="19"/>
          <w:u w:val="single" w:color="auto"/>
          <w:color w:val="auto"/>
        </w:rPr>
        <w:t>Inspection Period; Acceptance</w:t>
      </w:r>
      <w:r>
        <w:rPr>
          <w:rFonts w:ascii="Arial" w:cs="Arial" w:eastAsia="Arial" w:hAnsi="Arial"/>
          <w:sz w:val="19"/>
          <w:szCs w:val="19"/>
          <w:color w:val="auto"/>
        </w:rPr>
        <w:t>. Purchaser shall have [***] after receipt of the Product and the CoC and/or CoA (an</w:t>
      </w:r>
      <w:r>
        <w:rPr>
          <w:rFonts w:ascii="Arial" w:cs="Arial" w:eastAsia="Arial" w:hAnsi="Arial"/>
          <w:sz w:val="19"/>
          <w:szCs w:val="19"/>
          <w:u w:val="single" w:color="auto"/>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Inspection Period</w:t>
      </w:r>
      <w:r>
        <w:rPr>
          <w:rFonts w:ascii="Arial" w:cs="Arial" w:eastAsia="Arial" w:hAnsi="Arial"/>
          <w:sz w:val="19"/>
          <w:szCs w:val="19"/>
          <w:color w:val="auto"/>
        </w:rPr>
        <w:t>”) to inspect the Product to determine conformity with Specification, cGMP and the requirements of this Agreement. Purchaser shall provide Supplier with notice of acceptance or rejection within such period, and failure to notify Supplier of rejection during such period shall be deemed acceptance of such Product by Purchaser and all Purchaser’s claims relating to any defect or non-conformity of the Product, other than latent defects, shall be waived. If Purchaser detects later on any latent defect (a defect which could not reasonably have been detected, even by conducting a thorough incoming inspection), Purchaser shall inform Supplier thereof within [***] (also an “</w:t>
      </w:r>
      <w:r>
        <w:rPr>
          <w:rFonts w:ascii="Arial" w:cs="Arial" w:eastAsia="Arial" w:hAnsi="Arial"/>
          <w:sz w:val="19"/>
          <w:szCs w:val="19"/>
          <w:b w:val="1"/>
          <w:bCs w:val="1"/>
          <w:color w:val="auto"/>
        </w:rPr>
        <w:t>Inspection Period</w:t>
      </w:r>
      <w:r>
        <w:rPr>
          <w:rFonts w:ascii="Arial" w:cs="Arial" w:eastAsia="Arial" w:hAnsi="Arial"/>
          <w:sz w:val="19"/>
          <w:szCs w:val="19"/>
          <w:color w:val="auto"/>
        </w:rPr>
        <w:t>”). If Purchaser fails to give a notice of non-conformance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5" w:name="page46"/>
    <w:bookmarkEnd w:id="45"/>
    <w:p>
      <w:pPr>
        <w:ind w:left="1500"/>
        <w:spacing w:after="0" w:line="260" w:lineRule="auto"/>
        <w:rPr>
          <w:sz w:val="20"/>
          <w:szCs w:val="20"/>
          <w:color w:val="auto"/>
        </w:rPr>
      </w:pPr>
      <w:r>
        <w:rPr>
          <w:rFonts w:ascii="Arial" w:cs="Arial" w:eastAsia="Arial" w:hAnsi="Arial"/>
          <w:sz w:val="20"/>
          <w:szCs w:val="20"/>
          <w:color w:val="auto"/>
        </w:rPr>
        <w:t>within such Inspection Period, all Purchaser’s claims relating to such latent defect or non-conformity of the Product shall be waived.</w:t>
      </w:r>
    </w:p>
    <w:p>
      <w:pPr>
        <w:spacing w:after="0" w:line="177" w:lineRule="exact"/>
        <w:rPr>
          <w:sz w:val="20"/>
          <w:szCs w:val="20"/>
          <w:color w:val="auto"/>
        </w:rPr>
      </w:pPr>
    </w:p>
    <w:p>
      <w:pPr>
        <w:jc w:val="both"/>
        <w:ind w:left="1500" w:hanging="748"/>
        <w:spacing w:after="0" w:line="257" w:lineRule="auto"/>
        <w:tabs>
          <w:tab w:leader="none" w:pos="1480" w:val="left"/>
        </w:tabs>
        <w:rPr>
          <w:sz w:val="20"/>
          <w:szCs w:val="20"/>
          <w:color w:val="auto"/>
        </w:rPr>
      </w:pPr>
      <w:r>
        <w:rPr>
          <w:rFonts w:ascii="Arial" w:cs="Arial" w:eastAsia="Arial" w:hAnsi="Arial"/>
          <w:sz w:val="20"/>
          <w:szCs w:val="20"/>
          <w:color w:val="auto"/>
        </w:rPr>
        <w:t>3.15.2</w:t>
      </w:r>
      <w:r>
        <w:rPr>
          <w:sz w:val="20"/>
          <w:szCs w:val="20"/>
          <w:color w:val="auto"/>
        </w:rPr>
        <w:tab/>
      </w:r>
      <w:r>
        <w:rPr>
          <w:rFonts w:ascii="Arial" w:cs="Arial" w:eastAsia="Arial" w:hAnsi="Arial"/>
          <w:sz w:val="19"/>
          <w:szCs w:val="19"/>
          <w:u w:val="single" w:color="auto"/>
          <w:color w:val="auto"/>
        </w:rPr>
        <w:t>Rejection by Purchaser</w:t>
      </w:r>
      <w:r>
        <w:rPr>
          <w:rFonts w:ascii="Arial" w:cs="Arial" w:eastAsia="Arial" w:hAnsi="Arial"/>
          <w:sz w:val="19"/>
          <w:szCs w:val="19"/>
          <w:color w:val="auto"/>
        </w:rPr>
        <w:t>. If Purchaser rejects Product during the applicable Inspection Period, the Parties will engage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good faith efforts to review and resolve Purchaser's rejection. Purchaser shall only be entitled to reject Product for the following reasons: (i) Product failed to meet Specification, (ii) Supplier failed to adhere to cGMP, or (iii) Product was damaged upon delivery. Supplier will notify Purchaser within [***] of receipt of Purchaser's rejection notice whether Supplier agrees with or disputes the basis of Purchaser's rejection of Product.</w:t>
      </w:r>
    </w:p>
    <w:p>
      <w:pPr>
        <w:spacing w:after="0" w:line="180" w:lineRule="exact"/>
        <w:rPr>
          <w:sz w:val="20"/>
          <w:szCs w:val="20"/>
          <w:color w:val="auto"/>
        </w:rPr>
      </w:pPr>
    </w:p>
    <w:p>
      <w:pPr>
        <w:jc w:val="both"/>
        <w:ind w:left="1500" w:hanging="748"/>
        <w:spacing w:after="0" w:line="255" w:lineRule="auto"/>
        <w:tabs>
          <w:tab w:leader="none" w:pos="1480" w:val="left"/>
        </w:tabs>
        <w:rPr>
          <w:sz w:val="20"/>
          <w:szCs w:val="20"/>
          <w:color w:val="auto"/>
        </w:rPr>
      </w:pPr>
      <w:r>
        <w:rPr>
          <w:rFonts w:ascii="Arial" w:cs="Arial" w:eastAsia="Arial" w:hAnsi="Arial"/>
          <w:sz w:val="20"/>
          <w:szCs w:val="20"/>
          <w:color w:val="auto"/>
        </w:rPr>
        <w:t>3.15.3</w:t>
      </w:r>
      <w:r>
        <w:rPr>
          <w:sz w:val="20"/>
          <w:szCs w:val="20"/>
          <w:color w:val="auto"/>
        </w:rPr>
        <w:tab/>
      </w:r>
      <w:r>
        <w:rPr>
          <w:rFonts w:ascii="Arial" w:cs="Arial" w:eastAsia="Arial" w:hAnsi="Arial"/>
          <w:sz w:val="19"/>
          <w:szCs w:val="19"/>
          <w:u w:val="single" w:color="auto"/>
          <w:color w:val="auto"/>
        </w:rPr>
        <w:t>Remedy for Purchaser's Rejection</w:t>
      </w:r>
      <w:r>
        <w:rPr>
          <w:rFonts w:ascii="Arial" w:cs="Arial" w:eastAsia="Arial" w:hAnsi="Arial"/>
          <w:sz w:val="19"/>
          <w:szCs w:val="19"/>
          <w:color w:val="auto"/>
        </w:rPr>
        <w:t>. If Supplier accepts Purchaser's basis for rejection of Product in accordance with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terms of this Agreement, Supplier shall, at Supplier’s sole expense and Supplier’s sole discretion, either (i) remanufacture, rework or reprocess (if possible under cGMP conditions and only if the resulting Product is immediately useable by Purchaser under the then-current regulatory approval for the Product) such rejected Product, (ii) supply replacement batches or (iii) credit the Product Price for such rejected Product plus reasonable shipping and other reasonable charges, as soon as reasonably possible and in no event later than [***] after Supplier’s notice of acceptance of Purchaser rejections pursuant to </w:t>
      </w:r>
      <w:r>
        <w:rPr>
          <w:rFonts w:ascii="Arial" w:cs="Arial" w:eastAsia="Arial" w:hAnsi="Arial"/>
          <w:sz w:val="19"/>
          <w:szCs w:val="19"/>
          <w:u w:val="single" w:color="auto"/>
          <w:color w:val="auto"/>
        </w:rPr>
        <w:t>Article 3.15.2</w:t>
      </w:r>
      <w:r>
        <w:rPr>
          <w:rFonts w:ascii="Arial" w:cs="Arial" w:eastAsia="Arial" w:hAnsi="Arial"/>
          <w:sz w:val="19"/>
          <w:szCs w:val="19"/>
          <w:color w:val="auto"/>
        </w:rPr>
        <w:t>.</w:t>
      </w:r>
    </w:p>
    <w:p>
      <w:pPr>
        <w:spacing w:after="0" w:line="184" w:lineRule="exact"/>
        <w:rPr>
          <w:sz w:val="20"/>
          <w:szCs w:val="20"/>
          <w:color w:val="auto"/>
        </w:rPr>
      </w:pPr>
    </w:p>
    <w:p>
      <w:pPr>
        <w:jc w:val="both"/>
        <w:ind w:left="740" w:hanging="732"/>
        <w:spacing w:after="0" w:line="256" w:lineRule="auto"/>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Independent Testing</w:t>
      </w:r>
      <w:r>
        <w:rPr>
          <w:rFonts w:ascii="Arial" w:cs="Arial" w:eastAsia="Arial" w:hAnsi="Arial"/>
          <w:sz w:val="19"/>
          <w:szCs w:val="19"/>
          <w:color w:val="auto"/>
        </w:rPr>
        <w:t>. If the Parties disagree whether the Product batch conforms with the Specification, Supplier will submit a</w:t>
      </w:r>
      <w:r>
        <w:rPr>
          <w:rFonts w:ascii="Arial" w:cs="Arial" w:eastAsia="Arial" w:hAnsi="Arial"/>
          <w:sz w:val="19"/>
          <w:szCs w:val="19"/>
          <w:u w:val="single" w:color="auto"/>
          <w:color w:val="auto"/>
        </w:rPr>
        <w:t xml:space="preserve"> </w:t>
      </w:r>
      <w:r>
        <w:rPr>
          <w:rFonts w:ascii="Arial" w:cs="Arial" w:eastAsia="Arial" w:hAnsi="Arial"/>
          <w:sz w:val="19"/>
          <w:szCs w:val="19"/>
          <w:color w:val="auto"/>
        </w:rPr>
        <w:t>sample of such Product batch and applicable documentation to an independent, Third Party laboratory mutually agreed upon by the Parties (where such consent shall not be unreasonably withheld or delayed) in the European Union or United States. Such Third Party laboratory will determine whether such Product batch conforms to the Specification, and such determination shall be final, binding and determinative as to whether rejection of such Product batch was justified. The costs of such testing shall be borne by the Party against whom the discrepancy is resolved.</w:t>
      </w:r>
    </w:p>
    <w:p>
      <w:pPr>
        <w:spacing w:after="0" w:line="181" w:lineRule="exact"/>
        <w:rPr>
          <w:sz w:val="20"/>
          <w:szCs w:val="20"/>
          <w:color w:val="auto"/>
        </w:rPr>
      </w:pPr>
    </w:p>
    <w:p>
      <w:pPr>
        <w:jc w:val="both"/>
        <w:ind w:left="740" w:hanging="732"/>
        <w:spacing w:after="0" w:line="270" w:lineRule="auto"/>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Planning Meetings</w:t>
      </w:r>
      <w:r>
        <w:rPr>
          <w:rFonts w:ascii="Arial" w:cs="Arial" w:eastAsia="Arial" w:hAnsi="Arial"/>
          <w:sz w:val="18"/>
          <w:szCs w:val="18"/>
          <w:color w:val="auto"/>
        </w:rPr>
        <w:t>. After the Effective Date, the respective Project Managers of Supplier and Purchaser, plus such 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representative(s) as may be selected by each Party, shall meet in person or via telephone/video at least two (2) times each calendar year or as otherwise scheduled (each such meeting, a “</w:t>
      </w:r>
      <w:r>
        <w:rPr>
          <w:rFonts w:ascii="Arial" w:cs="Arial" w:eastAsia="Arial" w:hAnsi="Arial"/>
          <w:sz w:val="18"/>
          <w:szCs w:val="18"/>
          <w:b w:val="1"/>
          <w:bCs w:val="1"/>
          <w:color w:val="auto"/>
        </w:rPr>
        <w:t>Planning Meeting</w:t>
      </w:r>
      <w:r>
        <w:rPr>
          <w:rFonts w:ascii="Arial" w:cs="Arial" w:eastAsia="Arial" w:hAnsi="Arial"/>
          <w:sz w:val="18"/>
          <w:szCs w:val="18"/>
          <w:color w:val="auto"/>
        </w:rPr>
        <w:t>”). The first Planning Meeting in any given year shall be held in Q1 of such year. At each Planning Meeting the attendees shall review the ongoing relationship of the Parties, Purchaser’s forecasts, potential Shortfall Payments, purchase orders, and Product demand in the Territory, any actual or anticipated Product shortages, consider and attempt to achieve resolution of any disputes or other matters, and addressing such other topics as the Parties may mutually agree. In the event of any actual or anticipated Product shortages, including any resulting from a Supply Failure, Purchaser may request that Supplier purchase and hold, pursuant to mutually-agreed upon terms, raw materials sufficient to produce one or more additional campaigns of Product at Purchaser’s expense.</w:t>
      </w:r>
    </w:p>
    <w:p>
      <w:pPr>
        <w:spacing w:after="0" w:line="375" w:lineRule="exact"/>
        <w:rPr>
          <w:sz w:val="20"/>
          <w:szCs w:val="20"/>
          <w:color w:val="auto"/>
        </w:rPr>
      </w:pPr>
    </w:p>
    <w:p>
      <w:pPr>
        <w:jc w:val="both"/>
        <w:ind w:left="740" w:hanging="732"/>
        <w:spacing w:after="0" w:line="260" w:lineRule="auto"/>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u w:val="single" w:color="auto"/>
          <w:color w:val="auto"/>
        </w:rPr>
        <w:t>Product Packaging</w:t>
      </w:r>
      <w:r>
        <w:rPr>
          <w:rFonts w:ascii="Arial" w:cs="Arial" w:eastAsia="Arial" w:hAnsi="Arial"/>
          <w:sz w:val="20"/>
          <w:szCs w:val="20"/>
          <w:color w:val="auto"/>
        </w:rPr>
        <w:t>. Supplier shall be responsible for packaging the Product in accordance with the requirements as agreed upon</w:t>
      </w:r>
      <w:r>
        <w:rPr>
          <w:rFonts w:ascii="Arial" w:cs="Arial" w:eastAsia="Arial" w:hAnsi="Arial"/>
          <w:sz w:val="20"/>
          <w:szCs w:val="20"/>
          <w:u w:val="single" w:color="auto"/>
          <w:color w:val="auto"/>
        </w:rPr>
        <w:t xml:space="preserve"> </w:t>
      </w:r>
      <w:r>
        <w:rPr>
          <w:rFonts w:ascii="Arial" w:cs="Arial" w:eastAsia="Arial" w:hAnsi="Arial"/>
          <w:sz w:val="20"/>
          <w:szCs w:val="20"/>
          <w:color w:val="auto"/>
        </w:rPr>
        <w:t>between the Parties within mutually agreed upon product packaging specifications.</w:t>
      </w:r>
    </w:p>
    <w:p>
      <w:pPr>
        <w:spacing w:after="0" w:line="177" w:lineRule="exact"/>
        <w:rPr>
          <w:sz w:val="20"/>
          <w:szCs w:val="20"/>
          <w:color w:val="auto"/>
        </w:rPr>
      </w:pPr>
    </w:p>
    <w:p>
      <w:pPr>
        <w:jc w:val="both"/>
        <w:ind w:left="740" w:hanging="732"/>
        <w:spacing w:after="0" w:line="243" w:lineRule="auto"/>
        <w:tabs>
          <w:tab w:leader="none" w:pos="7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u w:val="single" w:color="auto"/>
          <w:color w:val="auto"/>
        </w:rPr>
        <w:t>Raw Materials and Equipment</w:t>
      </w:r>
      <w:r>
        <w:rPr>
          <w:rFonts w:ascii="Arial" w:cs="Arial" w:eastAsia="Arial" w:hAnsi="Arial"/>
          <w:sz w:val="20"/>
          <w:szCs w:val="20"/>
          <w:color w:val="auto"/>
        </w:rPr>
        <w:t>. Supplier shall be responsible for procuring at its cost all Raw Materials, equipment, and resources</w:t>
      </w:r>
      <w:r>
        <w:rPr>
          <w:rFonts w:ascii="Arial" w:cs="Arial" w:eastAsia="Arial" w:hAnsi="Arial"/>
          <w:sz w:val="20"/>
          <w:szCs w:val="20"/>
          <w:u w:val="single" w:color="auto"/>
          <w:color w:val="auto"/>
        </w:rPr>
        <w:t xml:space="preserve"> </w:t>
      </w:r>
      <w:r>
        <w:rPr>
          <w:rFonts w:ascii="Arial" w:cs="Arial" w:eastAsia="Arial" w:hAnsi="Arial"/>
          <w:sz w:val="20"/>
          <w:szCs w:val="20"/>
          <w:color w:val="auto"/>
        </w:rPr>
        <w:t>needed for manufacturing the Product volumes requested in Purchaser’s purchase order and thereafter accepted pursuant to Supplier’s order confirmation.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ARTICLE 4</w:t>
      </w:r>
      <w:r>
        <w:rPr>
          <w:rFonts w:ascii="Arial" w:cs="Arial" w:eastAsia="Arial" w:hAnsi="Arial"/>
          <w:sz w:val="20"/>
          <w:szCs w:val="20"/>
          <w:b w:val="1"/>
          <w:bCs w:val="1"/>
          <w:u w:val="single" w:color="auto"/>
          <w:color w:val="auto"/>
        </w:rPr>
        <w:t>PRODUCT PRICE</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u w:val="single" w:color="auto"/>
          <w:color w:val="auto"/>
        </w:rPr>
        <w:t>Product Price</w:t>
      </w:r>
      <w:r>
        <w:rPr>
          <w:rFonts w:ascii="Arial" w:cs="Arial" w:eastAsia="Arial" w:hAnsi="Arial"/>
          <w:sz w:val="18"/>
          <w:szCs w:val="18"/>
          <w:color w:val="auto"/>
        </w:rPr>
        <w:t>. The price of Product shall be as specified in</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Exhibit D</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Product Price</w:t>
      </w:r>
      <w:r>
        <w:rPr>
          <w:rFonts w:ascii="Arial" w:cs="Arial" w:eastAsia="Arial" w:hAnsi="Arial"/>
          <w:sz w:val="18"/>
          <w:szCs w:val="18"/>
          <w:color w:val="auto"/>
        </w:rPr>
        <w:t>”).</w:t>
      </w:r>
    </w:p>
    <w:p>
      <w:pPr>
        <w:spacing w:after="0" w:line="21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Product Price Adjustment</w:t>
      </w:r>
      <w:r>
        <w:rPr>
          <w:rFonts w:ascii="Arial" w:cs="Arial" w:eastAsia="Arial" w:hAnsi="Arial"/>
          <w:sz w:val="18"/>
          <w:szCs w:val="18"/>
          <w:color w:val="auto"/>
        </w:rPr>
        <w:t>. Product Price adjustments are also set forth in</w:t>
      </w:r>
      <w:r>
        <w:rPr>
          <w:rFonts w:ascii="Arial" w:cs="Arial" w:eastAsia="Arial" w:hAnsi="Arial"/>
          <w:sz w:val="18"/>
          <w:szCs w:val="18"/>
          <w:u w:val="single" w:color="auto"/>
          <w:color w:val="auto"/>
        </w:rPr>
        <w:t xml:space="preserve"> </w:t>
      </w:r>
      <w:r>
        <w:rPr>
          <w:rFonts w:ascii="Arial" w:cs="Arial" w:eastAsia="Arial" w:hAnsi="Arial"/>
          <w:sz w:val="18"/>
          <w:szCs w:val="18"/>
          <w:b w:val="1"/>
          <w:bCs w:val="1"/>
          <w:color w:val="auto"/>
        </w:rPr>
        <w:t>Exhibit D</w:t>
      </w:r>
      <w:r>
        <w:rPr>
          <w:rFonts w:ascii="Arial" w:cs="Arial" w:eastAsia="Arial" w:hAnsi="Arial"/>
          <w:sz w:val="18"/>
          <w:szCs w:val="18"/>
          <w:color w:val="auto"/>
        </w:rPr>
        <w: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Invoicing and Payment</w:t>
      </w:r>
      <w:r>
        <w:rPr>
          <w:rFonts w:ascii="Arial" w:cs="Arial" w:eastAsia="Arial" w:hAnsi="Arial"/>
          <w:sz w:val="18"/>
          <w:szCs w:val="18"/>
          <w:color w:val="auto"/>
        </w:rPr>
        <w:t>.</w:t>
      </w:r>
    </w:p>
    <w:p>
      <w:pPr>
        <w:spacing w:after="0" w:line="216" w:lineRule="exact"/>
        <w:rPr>
          <w:sz w:val="20"/>
          <w:szCs w:val="20"/>
          <w:color w:val="auto"/>
        </w:rPr>
      </w:pPr>
    </w:p>
    <w:p>
      <w:pPr>
        <w:jc w:val="both"/>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4.3.1</w:t>
      </w:r>
      <w:r>
        <w:rPr>
          <w:sz w:val="20"/>
          <w:szCs w:val="20"/>
          <w:color w:val="auto"/>
        </w:rPr>
        <w:tab/>
      </w:r>
      <w:r>
        <w:rPr>
          <w:rFonts w:ascii="Arial" w:cs="Arial" w:eastAsia="Arial" w:hAnsi="Arial"/>
          <w:sz w:val="20"/>
          <w:szCs w:val="20"/>
          <w:u w:val="single" w:color="auto"/>
          <w:color w:val="auto"/>
        </w:rPr>
        <w:t>Invoicing Event</w:t>
      </w:r>
      <w:r>
        <w:rPr>
          <w:rFonts w:ascii="Arial" w:cs="Arial" w:eastAsia="Arial" w:hAnsi="Arial"/>
          <w:sz w:val="20"/>
          <w:szCs w:val="20"/>
          <w:color w:val="auto"/>
        </w:rPr>
        <w:t>. Supplier shall submit an invoice to Purchaser after Product delivery at the address and to the attention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person identified by Purchaser on the firm purchase order for all Product hereunder.</w:t>
      </w:r>
    </w:p>
    <w:p>
      <w:pPr>
        <w:spacing w:after="0" w:line="163" w:lineRule="exact"/>
        <w:rPr>
          <w:sz w:val="20"/>
          <w:szCs w:val="20"/>
          <w:color w:val="auto"/>
        </w:rPr>
      </w:pPr>
    </w:p>
    <w:p>
      <w:pPr>
        <w:jc w:val="both"/>
        <w:ind w:left="1500" w:hanging="748"/>
        <w:spacing w:after="0" w:line="244" w:lineRule="auto"/>
        <w:tabs>
          <w:tab w:leader="none" w:pos="1480" w:val="left"/>
        </w:tabs>
        <w:rPr>
          <w:sz w:val="20"/>
          <w:szCs w:val="20"/>
          <w:color w:val="auto"/>
        </w:rPr>
      </w:pPr>
      <w:r>
        <w:rPr>
          <w:rFonts w:ascii="Arial" w:cs="Arial" w:eastAsia="Arial" w:hAnsi="Arial"/>
          <w:sz w:val="20"/>
          <w:szCs w:val="20"/>
          <w:color w:val="auto"/>
        </w:rPr>
        <w:t>4.3.2</w:t>
      </w:r>
      <w:r>
        <w:rPr>
          <w:sz w:val="20"/>
          <w:szCs w:val="20"/>
          <w:color w:val="auto"/>
        </w:rPr>
        <w:tab/>
      </w:r>
      <w:r>
        <w:rPr>
          <w:rFonts w:ascii="Arial" w:cs="Arial" w:eastAsia="Arial" w:hAnsi="Arial"/>
          <w:sz w:val="20"/>
          <w:szCs w:val="20"/>
          <w:u w:val="single" w:color="auto"/>
          <w:color w:val="auto"/>
        </w:rPr>
        <w:t>Payment Terms</w:t>
      </w:r>
      <w:r>
        <w:rPr>
          <w:rFonts w:ascii="Arial" w:cs="Arial" w:eastAsia="Arial" w:hAnsi="Arial"/>
          <w:sz w:val="20"/>
          <w:szCs w:val="20"/>
          <w:color w:val="auto"/>
        </w:rPr>
        <w:t>. Payment of undisputed amounts is due from Purchaser in full within [***] following the date of invoice.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In addition, for any invoices submitted by Supplier to Purchaser on or before [***], Purchaser will use commercially reasonable efforts to remit payment to Supplier on or before [***]; provided, however, that in no event shall Purchaser’s failure to remit a payment in fewer than thirty (30) days following the invoice date constitute a breach of its obligations under this </w:t>
      </w:r>
      <w:r>
        <w:rPr>
          <w:rFonts w:ascii="Arial" w:cs="Arial" w:eastAsia="Arial" w:hAnsi="Arial"/>
          <w:sz w:val="20"/>
          <w:szCs w:val="20"/>
          <w:u w:val="single" w:color="auto"/>
          <w:color w:val="auto"/>
        </w:rPr>
        <w:t>Article 4.3.2</w:t>
      </w:r>
      <w:r>
        <w:rPr>
          <w:rFonts w:ascii="Arial" w:cs="Arial" w:eastAsia="Arial" w:hAnsi="Arial"/>
          <w:sz w:val="20"/>
          <w:szCs w:val="20"/>
          <w:color w:val="auto"/>
        </w:rPr>
        <w:t>.</w:t>
      </w:r>
    </w:p>
    <w:p>
      <w:pPr>
        <w:spacing w:after="0" w:line="194" w:lineRule="exact"/>
        <w:rPr>
          <w:sz w:val="20"/>
          <w:szCs w:val="20"/>
          <w:color w:val="auto"/>
        </w:rPr>
      </w:pPr>
    </w:p>
    <w:p>
      <w:pPr>
        <w:jc w:val="both"/>
        <w:ind w:left="1500" w:hanging="748"/>
        <w:spacing w:after="0" w:line="246" w:lineRule="auto"/>
        <w:tabs>
          <w:tab w:leader="none" w:pos="1480" w:val="left"/>
        </w:tabs>
        <w:rPr>
          <w:sz w:val="20"/>
          <w:szCs w:val="20"/>
          <w:color w:val="auto"/>
        </w:rPr>
      </w:pPr>
      <w:r>
        <w:rPr>
          <w:rFonts w:ascii="Arial" w:cs="Arial" w:eastAsia="Arial" w:hAnsi="Arial"/>
          <w:sz w:val="20"/>
          <w:szCs w:val="20"/>
          <w:color w:val="auto"/>
        </w:rPr>
        <w:t>4.3.3</w:t>
      </w:r>
      <w:r>
        <w:rPr>
          <w:sz w:val="20"/>
          <w:szCs w:val="20"/>
          <w:color w:val="auto"/>
        </w:rPr>
        <w:tab/>
      </w:r>
      <w:r>
        <w:rPr>
          <w:rFonts w:ascii="Arial" w:cs="Arial" w:eastAsia="Arial" w:hAnsi="Arial"/>
          <w:sz w:val="20"/>
          <w:szCs w:val="20"/>
          <w:u w:val="single" w:color="auto"/>
          <w:color w:val="auto"/>
        </w:rPr>
        <w:t xml:space="preserve">Prepayment. </w:t>
      </w:r>
      <w:r>
        <w:rPr>
          <w:rFonts w:ascii="Arial" w:cs="Arial" w:eastAsia="Arial" w:hAnsi="Arial"/>
          <w:sz w:val="20"/>
          <w:szCs w:val="20"/>
          <w:color w:val="auto"/>
        </w:rPr>
        <w:t>No earlier than [***] prior to the delivery date for a particular purchase order, Supplier is entitled to invoice</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 of the purchase order value. Such invoices shall be payable as set forth in </w:t>
      </w:r>
      <w:r>
        <w:rPr>
          <w:rFonts w:ascii="Arial" w:cs="Arial" w:eastAsia="Arial" w:hAnsi="Arial"/>
          <w:sz w:val="20"/>
          <w:szCs w:val="20"/>
          <w:u w:val="single" w:color="auto"/>
          <w:color w:val="auto"/>
        </w:rPr>
        <w:t>Article 4.3.2</w:t>
      </w:r>
      <w:r>
        <w:rPr>
          <w:rFonts w:ascii="Arial" w:cs="Arial" w:eastAsia="Arial" w:hAnsi="Arial"/>
          <w:sz w:val="20"/>
          <w:szCs w:val="20"/>
          <w:color w:val="auto"/>
        </w:rPr>
        <w:t xml:space="preserve"> above.</w:t>
      </w:r>
    </w:p>
    <w:p>
      <w:pPr>
        <w:spacing w:after="0" w:line="190" w:lineRule="exact"/>
        <w:rPr>
          <w:sz w:val="20"/>
          <w:szCs w:val="20"/>
          <w:color w:val="auto"/>
        </w:rPr>
      </w:pPr>
    </w:p>
    <w:p>
      <w:pPr>
        <w:jc w:val="both"/>
        <w:ind w:left="1500" w:hanging="748"/>
        <w:spacing w:after="0" w:line="269" w:lineRule="auto"/>
        <w:tabs>
          <w:tab w:leader="none" w:pos="1480" w:val="left"/>
        </w:tabs>
        <w:rPr>
          <w:sz w:val="20"/>
          <w:szCs w:val="20"/>
          <w:color w:val="auto"/>
        </w:rPr>
      </w:pPr>
      <w:r>
        <w:rPr>
          <w:rFonts w:ascii="Arial" w:cs="Arial" w:eastAsia="Arial" w:hAnsi="Arial"/>
          <w:sz w:val="20"/>
          <w:szCs w:val="20"/>
          <w:color w:val="auto"/>
        </w:rPr>
        <w:t>4.3.4</w:t>
      </w:r>
      <w:r>
        <w:rPr>
          <w:sz w:val="20"/>
          <w:szCs w:val="20"/>
          <w:color w:val="auto"/>
        </w:rPr>
        <w:tab/>
      </w:r>
      <w:r>
        <w:rPr>
          <w:rFonts w:ascii="Arial" w:cs="Arial" w:eastAsia="Arial" w:hAnsi="Arial"/>
          <w:sz w:val="19"/>
          <w:szCs w:val="19"/>
          <w:u w:val="single" w:color="auto"/>
          <w:color w:val="auto"/>
        </w:rPr>
        <w:t>Late Interest</w:t>
      </w:r>
      <w:r>
        <w:rPr>
          <w:rFonts w:ascii="Arial" w:cs="Arial" w:eastAsia="Arial" w:hAnsi="Arial"/>
          <w:sz w:val="19"/>
          <w:szCs w:val="19"/>
          <w:color w:val="auto"/>
        </w:rPr>
        <w:t>. If Purchaser is [***] late in payment, a [***] charge may be enforced and the appropriate invoice will be</w:t>
      </w:r>
      <w:r>
        <w:rPr>
          <w:rFonts w:ascii="Arial" w:cs="Arial" w:eastAsia="Arial" w:hAnsi="Arial"/>
          <w:sz w:val="19"/>
          <w:szCs w:val="19"/>
          <w:u w:val="single" w:color="auto"/>
          <w:color w:val="auto"/>
        </w:rPr>
        <w:t xml:space="preserve"> </w:t>
      </w:r>
      <w:r>
        <w:rPr>
          <w:rFonts w:ascii="Arial" w:cs="Arial" w:eastAsia="Arial" w:hAnsi="Arial"/>
          <w:sz w:val="19"/>
          <w:szCs w:val="19"/>
          <w:color w:val="auto"/>
        </w:rPr>
        <w:t>issued and become due. If Purchaser is more than [***] late in payment, a [***] charge or the highest interest rate allowable under law may be enforced monthly and the appropriate invoice will be issued and become due.</w:t>
      </w:r>
    </w:p>
    <w:p>
      <w:pPr>
        <w:spacing w:after="0" w:line="170" w:lineRule="exact"/>
        <w:rPr>
          <w:sz w:val="20"/>
          <w:szCs w:val="20"/>
          <w:color w:val="auto"/>
        </w:rPr>
      </w:pPr>
    </w:p>
    <w:p>
      <w:pPr>
        <w:jc w:val="both"/>
        <w:ind w:left="1500" w:hanging="748"/>
        <w:spacing w:after="0" w:line="250" w:lineRule="auto"/>
        <w:tabs>
          <w:tab w:leader="none" w:pos="1480" w:val="left"/>
        </w:tabs>
        <w:rPr>
          <w:sz w:val="20"/>
          <w:szCs w:val="20"/>
          <w:color w:val="auto"/>
        </w:rPr>
      </w:pPr>
      <w:r>
        <w:rPr>
          <w:rFonts w:ascii="Arial" w:cs="Arial" w:eastAsia="Arial" w:hAnsi="Arial"/>
          <w:sz w:val="20"/>
          <w:szCs w:val="20"/>
          <w:color w:val="auto"/>
        </w:rPr>
        <w:t>4.3.5</w:t>
      </w:r>
      <w:r>
        <w:rPr>
          <w:sz w:val="20"/>
          <w:szCs w:val="20"/>
          <w:color w:val="auto"/>
        </w:rPr>
        <w:tab/>
      </w:r>
      <w:r>
        <w:rPr>
          <w:rFonts w:ascii="Arial" w:cs="Arial" w:eastAsia="Arial" w:hAnsi="Arial"/>
          <w:sz w:val="20"/>
          <w:szCs w:val="20"/>
          <w:u w:val="single" w:color="auto"/>
          <w:color w:val="auto"/>
        </w:rPr>
        <w:t>Remedies for Nonpayment</w:t>
      </w:r>
      <w:r>
        <w:rPr>
          <w:rFonts w:ascii="Arial" w:cs="Arial" w:eastAsia="Arial" w:hAnsi="Arial"/>
          <w:sz w:val="20"/>
          <w:szCs w:val="20"/>
          <w:color w:val="auto"/>
        </w:rPr>
        <w:t>. If at any time, Purchaser fails to pay an undisputed invoice when due or if Purchaser exceeds</w:t>
      </w:r>
      <w:r>
        <w:rPr>
          <w:rFonts w:ascii="Arial" w:cs="Arial" w:eastAsia="Arial" w:hAnsi="Arial"/>
          <w:sz w:val="20"/>
          <w:szCs w:val="20"/>
          <w:u w:val="single" w:color="auto"/>
          <w:color w:val="auto"/>
        </w:rPr>
        <w:t xml:space="preserve"> </w:t>
      </w:r>
      <w:r>
        <w:rPr>
          <w:rFonts w:ascii="Arial" w:cs="Arial" w:eastAsia="Arial" w:hAnsi="Arial"/>
          <w:sz w:val="20"/>
          <w:szCs w:val="20"/>
          <w:color w:val="auto"/>
        </w:rPr>
        <w:t>its then existing credit limit as decided by Supplier (or if Purchaser consents to such change), Supplier may, in its own discretion, [***].</w:t>
      </w:r>
    </w:p>
    <w:p>
      <w:pPr>
        <w:spacing w:after="0" w:line="17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4.3.6</w:t>
      </w:r>
      <w:r>
        <w:rPr>
          <w:sz w:val="20"/>
          <w:szCs w:val="20"/>
          <w:color w:val="auto"/>
        </w:rPr>
        <w:tab/>
      </w:r>
      <w:r>
        <w:rPr>
          <w:rFonts w:ascii="Arial" w:cs="Arial" w:eastAsia="Arial" w:hAnsi="Arial"/>
          <w:sz w:val="16"/>
          <w:szCs w:val="16"/>
          <w:u w:val="single" w:color="auto"/>
          <w:color w:val="auto"/>
        </w:rPr>
        <w:t>Currency</w:t>
      </w:r>
      <w:r>
        <w:rPr>
          <w:rFonts w:ascii="Arial" w:cs="Arial" w:eastAsia="Arial" w:hAnsi="Arial"/>
          <w:sz w:val="16"/>
          <w:szCs w:val="16"/>
          <w:color w:val="auto"/>
        </w:rPr>
        <w:t>. Payment shall be made in Euros.</w:t>
      </w:r>
    </w:p>
    <w:p>
      <w:pPr>
        <w:spacing w:after="0" w:line="216" w:lineRule="exact"/>
        <w:rPr>
          <w:sz w:val="20"/>
          <w:szCs w:val="20"/>
          <w:color w:val="auto"/>
        </w:rPr>
      </w:pPr>
    </w:p>
    <w:p>
      <w:pPr>
        <w:jc w:val="both"/>
        <w:ind w:left="740" w:hanging="732"/>
        <w:spacing w:after="0" w:line="270" w:lineRule="auto"/>
        <w:tabs>
          <w:tab w:leader="none" w:pos="7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Tax</w:t>
      </w:r>
      <w:r>
        <w:rPr>
          <w:rFonts w:ascii="Arial" w:cs="Arial" w:eastAsia="Arial" w:hAnsi="Arial"/>
          <w:sz w:val="18"/>
          <w:szCs w:val="18"/>
          <w:color w:val="auto"/>
        </w:rPr>
        <w:t>. The Product Price specified in this Agreement excludes any sales, use, excise, or similar taxes, and of any export and import</w:t>
      </w:r>
      <w:r>
        <w:rPr>
          <w:rFonts w:ascii="Arial" w:cs="Arial" w:eastAsia="Arial" w:hAnsi="Arial"/>
          <w:sz w:val="18"/>
          <w:szCs w:val="18"/>
          <w:u w:val="single" w:color="auto"/>
          <w:color w:val="auto"/>
        </w:rPr>
        <w:t xml:space="preserve"> </w:t>
      </w:r>
      <w:r>
        <w:rPr>
          <w:rFonts w:ascii="Arial" w:cs="Arial" w:eastAsia="Arial" w:hAnsi="Arial"/>
          <w:sz w:val="18"/>
          <w:szCs w:val="18"/>
          <w:color w:val="auto"/>
        </w:rPr>
        <w:t>duties, which may be levied as a result of the manufacture and shipment of the Product. Purchaser shall reimburse Supplier or Supplier's Affiliate for all applicable taxes, customs, duties, levies, tariffs or similar charges of any kind (including withholding or value added taxes) imposed by any federal, state, provincial, local, or other governmental entity for Product provided under this Agreement within [***] of receipt of Supplier's invoice for such amounts, excluding taxes based upon Supplier's income. Supplier shall reasonably cooperate with Purchaser to minimize any VAT, import or export duties or other taxes that would be imposed for Product provided hereunder. Each Party shall cooperate with the other Party, and provide assistance to an extent reasonably practicable and available documentation to secure a lower rate of withholding tax under any applicable tax treaties, to claim a refund and/or credit for any such withholding tax, or if otherwise required in response to any tax audit by regulatory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w:t>
      </w:r>
      <w:r>
        <w:rPr>
          <w:rFonts w:ascii="Arial" w:cs="Arial" w:eastAsia="Arial" w:hAnsi="Arial"/>
          <w:sz w:val="20"/>
          <w:szCs w:val="20"/>
          <w:b w:val="1"/>
          <w:bCs w:val="1"/>
          <w:u w:val="single" w:color="auto"/>
          <w:color w:val="auto"/>
        </w:rPr>
        <w:t>QUALITY &amp; REGULATORY OBLIGATIONS</w:t>
      </w:r>
      <w:r>
        <w:rPr>
          <w:rFonts w:ascii="Arial" w:cs="Arial" w:eastAsia="Arial" w:hAnsi="Arial"/>
          <w:sz w:val="20"/>
          <w:szCs w:val="20"/>
          <w:color w:val="auto"/>
        </w:rPr>
        <w:t>.</w:t>
      </w:r>
    </w:p>
    <w:p>
      <w:pPr>
        <w:spacing w:after="0" w:line="222" w:lineRule="exact"/>
        <w:rPr>
          <w:sz w:val="20"/>
          <w:szCs w:val="20"/>
          <w:color w:val="auto"/>
        </w:rPr>
      </w:pPr>
    </w:p>
    <w:p>
      <w:pPr>
        <w:jc w:val="both"/>
        <w:ind w:left="740" w:right="20" w:hanging="732"/>
        <w:spacing w:after="0" w:line="246" w:lineRule="auto"/>
        <w:tabs>
          <w:tab w:leader="none" w:pos="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Quality Control</w:t>
      </w:r>
      <w:r>
        <w:rPr>
          <w:rFonts w:ascii="Arial" w:cs="Arial" w:eastAsia="Arial" w:hAnsi="Arial"/>
          <w:sz w:val="20"/>
          <w:szCs w:val="20"/>
          <w:color w:val="auto"/>
        </w:rPr>
        <w:t>. The Quality Agreement shall stipulate the quality control and testing program Supplier has to maintain and follow</w:t>
      </w:r>
      <w:r>
        <w:rPr>
          <w:rFonts w:ascii="Arial" w:cs="Arial" w:eastAsia="Arial" w:hAnsi="Arial"/>
          <w:sz w:val="20"/>
          <w:szCs w:val="20"/>
          <w:u w:val="single" w:color="auto"/>
          <w:color w:val="auto"/>
        </w:rPr>
        <w:t xml:space="preserve"> </w:t>
      </w:r>
      <w:r>
        <w:rPr>
          <w:rFonts w:ascii="Arial" w:cs="Arial" w:eastAsia="Arial" w:hAnsi="Arial"/>
          <w:sz w:val="20"/>
          <w:szCs w:val="20"/>
          <w:color w:val="auto"/>
        </w:rPr>
        <w:t>for the manufacture of Product. As set forth in the Quality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jc w:val="both"/>
        <w:ind w:left="740"/>
        <w:spacing w:after="0" w:line="244" w:lineRule="auto"/>
        <w:rPr>
          <w:sz w:val="20"/>
          <w:szCs w:val="20"/>
          <w:color w:val="auto"/>
        </w:rPr>
      </w:pPr>
      <w:r>
        <w:rPr>
          <w:rFonts w:ascii="Arial" w:cs="Arial" w:eastAsia="Arial" w:hAnsi="Arial"/>
          <w:sz w:val="20"/>
          <w:szCs w:val="20"/>
          <w:color w:val="auto"/>
        </w:rPr>
        <w:t>Agreement, each delivery of Product to Purchaser hereunder shall be accompanied by (i) a written Certificate of Analysis (as defined in the Quality Agreement), (ii) a written Certificate of Compliance (as defined in the Quality Agreement), and (iii) for the validation campaigns only, any other documentation, including Batch Records, required with each delivery of Product by the Quality Agreement. For campaigns subsequent to the validation campaigns, Batch Records will be made available to Purchaser through electronic means via remote access.</w:t>
      </w:r>
    </w:p>
    <w:p>
      <w:pPr>
        <w:spacing w:after="0" w:line="194" w:lineRule="exact"/>
        <w:rPr>
          <w:sz w:val="20"/>
          <w:szCs w:val="20"/>
          <w:color w:val="auto"/>
        </w:rPr>
      </w:pPr>
    </w:p>
    <w:p>
      <w:pPr>
        <w:jc w:val="both"/>
        <w:ind w:left="740" w:hanging="732"/>
        <w:spacing w:after="0" w:line="252" w:lineRule="auto"/>
        <w:tabs>
          <w:tab w:leader="none" w:pos="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Regulatory Applications for Final Product</w:t>
      </w:r>
      <w:r>
        <w:rPr>
          <w:rFonts w:ascii="Arial" w:cs="Arial" w:eastAsia="Arial" w:hAnsi="Arial"/>
          <w:sz w:val="19"/>
          <w:szCs w:val="19"/>
          <w:color w:val="auto"/>
        </w:rPr>
        <w:t>. As between the Parties, Purchaser (or its Affiliate or licensee) shall have the exclusive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right to prepare and submit any and all regulatory applications and registrations regarding any Final Product. Any and all such regulatory applications and registrations regarding such Final Products will be owned solely by and held in the name of Purchaser (or its Affiliate or licensee, as applicable). Purchaser shall have the right to list Supplier as a manufacturer of the applicable Product on any regulatory applications or registrations regarding the Final Products to the extent required or appropriate under Applicable Law. Supplier shall have no rights in or to any such regulatory application or registration, or any approvals obtained thereon. Supplier hereby grants Purchaser the right of reference (and the right to have referenced by Purchaser’s designee) the drug master files, if any, maintained by Supplier pertaining to the Product.</w:t>
      </w:r>
    </w:p>
    <w:p>
      <w:pPr>
        <w:spacing w:after="0" w:line="190" w:lineRule="exact"/>
        <w:rPr>
          <w:sz w:val="20"/>
          <w:szCs w:val="20"/>
          <w:color w:val="auto"/>
        </w:rPr>
      </w:pPr>
    </w:p>
    <w:p>
      <w:pPr>
        <w:jc w:val="both"/>
        <w:ind w:left="740" w:hanging="732"/>
        <w:spacing w:after="0" w:line="246" w:lineRule="auto"/>
        <w:tabs>
          <w:tab w:leader="none" w:pos="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u w:val="single" w:color="auto"/>
          <w:color w:val="auto"/>
        </w:rPr>
        <w:t>Adverse Event Reporting/Field Alert Report (FAR)</w:t>
      </w:r>
      <w:r>
        <w:rPr>
          <w:rFonts w:ascii="Arial" w:cs="Arial" w:eastAsia="Arial" w:hAnsi="Arial"/>
          <w:sz w:val="20"/>
          <w:szCs w:val="20"/>
          <w:color w:val="auto"/>
        </w:rPr>
        <w:t>. As between the Parties, it is understood and agreed that Purchaser shall have</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 sole right and responsibility for reporting any adverse events or other non-compliance condition relating to the Product or Final Product to the applicable and appropriate Government or Regulatory Authorities. Supplier shall provide Purchaser all reasonable assistance in complying with such reporting requirements, at Purchaser’s expense.</w:t>
      </w:r>
    </w:p>
    <w:p>
      <w:pPr>
        <w:spacing w:after="0" w:line="191" w:lineRule="exact"/>
        <w:rPr>
          <w:sz w:val="20"/>
          <w:szCs w:val="20"/>
          <w:color w:val="auto"/>
        </w:rPr>
      </w:pPr>
    </w:p>
    <w:p>
      <w:pPr>
        <w:jc w:val="both"/>
        <w:ind w:left="740" w:hanging="732"/>
        <w:spacing w:after="0"/>
        <w:tabs>
          <w:tab w:leader="none" w:pos="7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u w:val="single" w:color="auto"/>
          <w:color w:val="auto"/>
        </w:rPr>
        <w:t>Delay or Withdrawal of Regulatory Approval</w:t>
      </w:r>
      <w:r>
        <w:rPr>
          <w:rFonts w:ascii="Arial" w:cs="Arial" w:eastAsia="Arial" w:hAnsi="Arial"/>
          <w:sz w:val="20"/>
          <w:szCs w:val="20"/>
          <w:color w:val="auto"/>
        </w:rPr>
        <w:t>. If Purchaser does not receive its first FDA approval to market, distribute and sell</w:t>
      </w:r>
      <w:r>
        <w:rPr>
          <w:rFonts w:ascii="Arial" w:cs="Arial" w:eastAsia="Arial" w:hAnsi="Arial"/>
          <w:sz w:val="20"/>
          <w:szCs w:val="20"/>
          <w:u w:val="single" w:color="auto"/>
          <w:color w:val="auto"/>
        </w:rPr>
        <w:t xml:space="preserve"> </w:t>
      </w:r>
      <w:r>
        <w:rPr>
          <w:rFonts w:ascii="Arial" w:cs="Arial" w:eastAsia="Arial" w:hAnsi="Arial"/>
          <w:sz w:val="20"/>
          <w:szCs w:val="20"/>
          <w:color w:val="auto"/>
        </w:rPr>
        <w:t>Finished Product by [***], or following such approval, Purchaser or its licensee shall withdraw or plan to withdraw, or be required by the FDA to withdraw, the Final Product from the market for any reason for a period that is, or is reasonably expected to be, greater than [***], then Purchaser may provide Supplier with written notice requesting that the Parties meet (in person or via video or teleconference) to discuss in good faith whether any adjustments are warranted to the terms and conditions of this Agreement to take into account the change in circumstances.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w:t>
      </w:r>
      <w:r>
        <w:rPr>
          <w:rFonts w:ascii="Arial" w:cs="Arial" w:eastAsia="Arial" w:hAnsi="Arial"/>
          <w:sz w:val="20"/>
          <w:szCs w:val="20"/>
          <w:b w:val="1"/>
          <w:bCs w:val="1"/>
          <w:u w:val="single" w:color="auto"/>
          <w:color w:val="auto"/>
        </w:rPr>
        <w:t>PROCESS DEVELOPMENTS</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62" w:lineRule="auto"/>
        <w:tabs>
          <w:tab w:leader="none" w:pos="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9"/>
          <w:szCs w:val="19"/>
          <w:color w:val="auto"/>
        </w:rPr>
        <w:t>The Parties acknowledge that the Background IP of Purchaser or Supplier is and will remain the separate property of Purchaser or Supplier, as the case may be and are not affected by this Agreement. Except as expressly permitted under this Agreement, neither Party shall have any claims to or rights in or to such separate Background IP of the other Party.</w:t>
      </w:r>
    </w:p>
    <w:p>
      <w:pPr>
        <w:spacing w:after="0" w:line="175" w:lineRule="exact"/>
        <w:rPr>
          <w:sz w:val="20"/>
          <w:szCs w:val="20"/>
          <w:color w:val="auto"/>
        </w:rPr>
      </w:pPr>
    </w:p>
    <w:p>
      <w:pPr>
        <w:jc w:val="both"/>
        <w:ind w:left="740" w:hanging="732"/>
        <w:spacing w:after="0" w:line="252" w:lineRule="auto"/>
        <w:tabs>
          <w:tab w:leader="none" w:pos="7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9"/>
          <w:szCs w:val="19"/>
          <w:u w:val="single" w:color="auto"/>
          <w:color w:val="auto"/>
        </w:rPr>
        <w:t>License to Background IP</w:t>
      </w:r>
      <w:r>
        <w:rPr>
          <w:rFonts w:ascii="Arial" w:cs="Arial" w:eastAsia="Arial" w:hAnsi="Arial"/>
          <w:sz w:val="19"/>
          <w:szCs w:val="19"/>
          <w:color w:val="auto"/>
        </w:rPr>
        <w:t>. For the Term of this Agreement, Purchaser grants to Supplier, and Supplier accepts, a fully paid up,</w:t>
      </w:r>
      <w:r>
        <w:rPr>
          <w:rFonts w:ascii="Arial" w:cs="Arial" w:eastAsia="Arial" w:hAnsi="Arial"/>
          <w:sz w:val="19"/>
          <w:szCs w:val="19"/>
          <w:u w:val="single" w:color="auto"/>
          <w:color w:val="auto"/>
        </w:rPr>
        <w:t xml:space="preserve"> </w:t>
      </w:r>
      <w:r>
        <w:rPr>
          <w:rFonts w:ascii="Arial" w:cs="Arial" w:eastAsia="Arial" w:hAnsi="Arial"/>
          <w:sz w:val="19"/>
          <w:szCs w:val="19"/>
          <w:color w:val="auto"/>
        </w:rPr>
        <w:t>royalty-free, worldwide and nonexclusive right to use Purchaser’s Background IP, Purchaser Technology Data Package Improvements as well as Purchaser Foreground IP as necessary for the sole purpose to manufacture and supply the Product under this Agreement. Within the timetable set forth in this Agreement, Purchaser shall provide Supplier with a technology data package (the “</w:t>
      </w:r>
      <w:r>
        <w:rPr>
          <w:rFonts w:ascii="Arial" w:cs="Arial" w:eastAsia="Arial" w:hAnsi="Arial"/>
          <w:sz w:val="19"/>
          <w:szCs w:val="19"/>
          <w:b w:val="1"/>
          <w:bCs w:val="1"/>
          <w:color w:val="auto"/>
        </w:rPr>
        <w:t>Purchaser Technology Data Package</w:t>
      </w:r>
      <w:r>
        <w:rPr>
          <w:rFonts w:ascii="Arial" w:cs="Arial" w:eastAsia="Arial" w:hAnsi="Arial"/>
          <w:sz w:val="19"/>
          <w:szCs w:val="19"/>
          <w:color w:val="auto"/>
        </w:rPr>
        <w:t xml:space="preserve">”) containing such Purchaser Background IP, patents, data, documents and records necessary for Supplier to manufacture the Product. Specifics to such Purchaser Technology Data Package are outlined in </w:t>
      </w:r>
      <w:r>
        <w:rPr>
          <w:rFonts w:ascii="Arial" w:cs="Arial" w:eastAsia="Arial" w:hAnsi="Arial"/>
          <w:sz w:val="19"/>
          <w:szCs w:val="19"/>
          <w:b w:val="1"/>
          <w:bCs w:val="1"/>
          <w:color w:val="auto"/>
        </w:rPr>
        <w:t>Exhibit E</w:t>
      </w:r>
      <w:r>
        <w:rPr>
          <w:rFonts w:ascii="Arial" w:cs="Arial" w:eastAsia="Arial" w:hAnsi="Arial"/>
          <w:sz w:val="19"/>
          <w:szCs w:val="19"/>
          <w:color w:val="auto"/>
        </w:rPr>
        <w:t>. Any failure on the part of Purchaser to provide the Purchaser Technology Data Package in a complete and timely manner shall not be held against Supplier with regard to meeting timelines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8" w:name="page49"/>
    <w:bookmarkEnd w:id="48"/>
    <w:p>
      <w:pPr>
        <w:jc w:val="both"/>
        <w:ind w:left="740"/>
        <w:spacing w:after="0" w:line="271" w:lineRule="auto"/>
        <w:rPr>
          <w:sz w:val="20"/>
          <w:szCs w:val="20"/>
          <w:color w:val="auto"/>
        </w:rPr>
      </w:pPr>
      <w:r>
        <w:rPr>
          <w:rFonts w:ascii="Arial" w:cs="Arial" w:eastAsia="Arial" w:hAnsi="Arial"/>
          <w:sz w:val="18"/>
          <w:szCs w:val="18"/>
          <w:color w:val="auto"/>
        </w:rPr>
        <w:t>and will result in an automatic extension of Supplier timelines until such Purchaser Technology Data Package is complete, provided, however, that Purchaser’s failure to provide the Purchaser Technology Data Package in a complete and timely manner shall not constitute a breach of this Agreement by Purchaser. If following unsuccessful completion of validation services, Supplier does not believe that the Purchaser Technology Data Package previously provided by Purchaser to Supplier contains the information necessary for Supplier to manufacture and supply the Product under this Agreement, then Supplier shall notify Purchaser in writing within [***] following unsuccessful completion of validation services, and the Parties will promptly meet to discuss and seek agreement, in good faith, on additional information, if any, to be added to the Purchaser Technology Data Package.</w:t>
      </w:r>
    </w:p>
    <w:p>
      <w:pPr>
        <w:spacing w:after="0" w:line="173" w:lineRule="exact"/>
        <w:rPr>
          <w:sz w:val="20"/>
          <w:szCs w:val="20"/>
          <w:color w:val="auto"/>
        </w:rPr>
      </w:pPr>
    </w:p>
    <w:p>
      <w:pPr>
        <w:jc w:val="both"/>
        <w:ind w:left="740" w:hanging="732"/>
        <w:spacing w:after="0" w:line="252" w:lineRule="auto"/>
        <w:tabs>
          <w:tab w:leader="none" w:pos="7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Purchaser Foreground IP</w:t>
      </w:r>
      <w:r>
        <w:rPr>
          <w:rFonts w:ascii="Arial" w:cs="Arial" w:eastAsia="Arial" w:hAnsi="Arial"/>
          <w:sz w:val="19"/>
          <w:szCs w:val="19"/>
          <w:color w:val="auto"/>
        </w:rPr>
        <w:t>. All results, improvements, developments, inventions, materials, processes, equipment and other know-how, whether patentable or not, resulting from or derived from or directly relating to Purchaser’s activities outside this Agreement shall be the sole and exclusive property of Purchaser (“</w:t>
      </w:r>
      <w:r>
        <w:rPr>
          <w:rFonts w:ascii="Arial" w:cs="Arial" w:eastAsia="Arial" w:hAnsi="Arial"/>
          <w:sz w:val="19"/>
          <w:szCs w:val="19"/>
          <w:b w:val="1"/>
          <w:bCs w:val="1"/>
          <w:color w:val="auto"/>
        </w:rPr>
        <w:t>Purchaser Technology Data Package Improvements</w:t>
      </w:r>
      <w:r>
        <w:rPr>
          <w:rFonts w:ascii="Arial" w:cs="Arial" w:eastAsia="Arial" w:hAnsi="Arial"/>
          <w:sz w:val="19"/>
          <w:szCs w:val="19"/>
          <w:color w:val="auto"/>
        </w:rPr>
        <w:t>”). All improvements, developments, inventions, materials, processes, equipment and other know-how, whether patentable or not, resulting from or directly relating to Supplier’s performance under this Agreement, which are solely related to the Product and/or its manufacturing process and which do not utilize any Supplier Background IP and/or Supplier Facility Information shall be the sole and exclusive property of Purchaser (“</w:t>
      </w:r>
      <w:r>
        <w:rPr>
          <w:rFonts w:ascii="Arial" w:cs="Arial" w:eastAsia="Arial" w:hAnsi="Arial"/>
          <w:sz w:val="19"/>
          <w:szCs w:val="19"/>
          <w:b w:val="1"/>
          <w:bCs w:val="1"/>
          <w:color w:val="auto"/>
        </w:rPr>
        <w:t>Purchaser Foreground IP</w:t>
      </w:r>
      <w:r>
        <w:rPr>
          <w:rFonts w:ascii="Arial" w:cs="Arial" w:eastAsia="Arial" w:hAnsi="Arial"/>
          <w:sz w:val="19"/>
          <w:szCs w:val="19"/>
          <w:color w:val="auto"/>
        </w:rPr>
        <w:t>”). Supplier agrees to assign and hereby assigns to Purchaser all right, title and interest in and to such Purchaser Foreground IP.</w:t>
      </w:r>
    </w:p>
    <w:p>
      <w:pPr>
        <w:spacing w:after="0" w:line="190" w:lineRule="exact"/>
        <w:rPr>
          <w:sz w:val="20"/>
          <w:szCs w:val="20"/>
          <w:color w:val="auto"/>
        </w:rPr>
      </w:pPr>
    </w:p>
    <w:p>
      <w:pPr>
        <w:jc w:val="both"/>
        <w:ind w:left="740" w:hanging="732"/>
        <w:spacing w:after="0" w:line="244" w:lineRule="auto"/>
        <w:tabs>
          <w:tab w:leader="none" w:pos="72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u w:val="single" w:color="auto"/>
          <w:color w:val="auto"/>
        </w:rPr>
        <w:t>Supplier Foreground IP</w:t>
      </w:r>
      <w:r>
        <w:rPr>
          <w:rFonts w:ascii="Arial" w:cs="Arial" w:eastAsia="Arial" w:hAnsi="Arial"/>
          <w:sz w:val="20"/>
          <w:szCs w:val="20"/>
          <w:color w:val="auto"/>
        </w:rPr>
        <w:t>. All results, improvements, developments, inventions, materials, processes, equipment and other know-how,</w:t>
      </w:r>
      <w:r>
        <w:rPr>
          <w:rFonts w:ascii="Arial" w:cs="Arial" w:eastAsia="Arial" w:hAnsi="Arial"/>
          <w:sz w:val="20"/>
          <w:szCs w:val="20"/>
          <w:u w:val="single" w:color="auto"/>
          <w:color w:val="auto"/>
        </w:rPr>
        <w:t xml:space="preserve"> </w:t>
      </w:r>
      <w:r>
        <w:rPr>
          <w:rFonts w:ascii="Arial" w:cs="Arial" w:eastAsia="Arial" w:hAnsi="Arial"/>
          <w:sz w:val="20"/>
          <w:szCs w:val="20"/>
          <w:color w:val="auto"/>
        </w:rPr>
        <w:t>whether patentable or not, resulting from or derived from or directly relating to Supplier’s performance under this Agreement and which utilize Supplier Background IP and/or Supplier Facility Information, or which are generally applicable inventions (i.e. not solely related to Product and its manufacturing process) shall be the sole and exclusive property of Supplier (“</w:t>
      </w:r>
      <w:r>
        <w:rPr>
          <w:rFonts w:ascii="Arial" w:cs="Arial" w:eastAsia="Arial" w:hAnsi="Arial"/>
          <w:sz w:val="20"/>
          <w:szCs w:val="20"/>
          <w:b w:val="1"/>
          <w:bCs w:val="1"/>
          <w:color w:val="auto"/>
        </w:rPr>
        <w:t>Supplier</w:t>
      </w:r>
      <w:r>
        <w:rPr>
          <w:rFonts w:ascii="Arial" w:cs="Arial" w:eastAsia="Arial" w:hAnsi="Arial"/>
          <w:sz w:val="20"/>
          <w:szCs w:val="20"/>
          <w:color w:val="auto"/>
        </w:rPr>
        <w:t xml:space="preserve"> </w:t>
      </w:r>
      <w:r>
        <w:rPr>
          <w:rFonts w:ascii="Arial" w:cs="Arial" w:eastAsia="Arial" w:hAnsi="Arial"/>
          <w:sz w:val="20"/>
          <w:szCs w:val="20"/>
          <w:b w:val="1"/>
          <w:bCs w:val="1"/>
          <w:color w:val="auto"/>
        </w:rPr>
        <w:t>Foreground IP</w:t>
      </w:r>
      <w:r>
        <w:rPr>
          <w:rFonts w:ascii="Arial" w:cs="Arial" w:eastAsia="Arial" w:hAnsi="Arial"/>
          <w:sz w:val="20"/>
          <w:szCs w:val="20"/>
          <w:color w:val="auto"/>
        </w:rPr>
        <w:t>”).</w:t>
      </w:r>
    </w:p>
    <w:p>
      <w:pPr>
        <w:spacing w:after="0" w:line="194" w:lineRule="exact"/>
        <w:rPr>
          <w:sz w:val="20"/>
          <w:szCs w:val="20"/>
          <w:color w:val="auto"/>
        </w:rPr>
      </w:pPr>
    </w:p>
    <w:p>
      <w:pPr>
        <w:jc w:val="both"/>
        <w:ind w:left="740" w:hanging="732"/>
        <w:spacing w:after="0"/>
        <w:tabs>
          <w:tab w:leader="none" w:pos="72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20"/>
          <w:szCs w:val="20"/>
          <w:u w:val="single" w:color="auto"/>
          <w:color w:val="auto"/>
        </w:rPr>
        <w:t>Use of Foreground IP</w:t>
      </w:r>
      <w:r>
        <w:rPr>
          <w:rFonts w:ascii="Arial" w:cs="Arial" w:eastAsia="Arial" w:hAnsi="Arial"/>
          <w:sz w:val="20"/>
          <w:szCs w:val="20"/>
          <w:color w:val="auto"/>
        </w:rPr>
        <w:t>. Unless specifically agreed upon in writing by the Parties, Supplier shall not, and shall have no obligation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utilize in any way Supplier Background IP or Supplier Foreground IP during the performance of the services. As of the Effective Date, Supplier agrees and acknowledges that (a) [***], and (b) no Supplier Background IP or Supplier Foreground IP is or will be utilized in the manufacture of the Product absent the Parties specific written agreement, provided, however, in the event that the Parties mutually determine in the future that utilization or incorporation of such Supplier Background IP or Supplier Foreground IP is desirable, the Parties shall in good faith negotiate commercially reasonable terms upon which Supplier will use its Background and/or Foreground IP.</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w:t>
      </w:r>
      <w:r>
        <w:rPr>
          <w:rFonts w:ascii="Arial" w:cs="Arial" w:eastAsia="Arial" w:hAnsi="Arial"/>
          <w:sz w:val="20"/>
          <w:szCs w:val="20"/>
          <w:b w:val="1"/>
          <w:bCs w:val="1"/>
          <w:u w:val="single" w:color="auto"/>
          <w:color w:val="auto"/>
        </w:rPr>
        <w:t>CONFIDENTIALITY</w:t>
      </w:r>
      <w:r>
        <w:rPr>
          <w:rFonts w:ascii="Arial" w:cs="Arial" w:eastAsia="Arial" w:hAnsi="Arial"/>
          <w:sz w:val="20"/>
          <w:szCs w:val="20"/>
          <w:color w:val="auto"/>
        </w:rPr>
        <w: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Definition of Confidential Information</w:t>
      </w:r>
      <w:r>
        <w:rPr>
          <w:rFonts w:ascii="Arial" w:cs="Arial" w:eastAsia="Arial" w:hAnsi="Arial"/>
          <w:sz w:val="19"/>
          <w:szCs w:val="19"/>
          <w:color w:val="auto"/>
        </w:rPr>
        <w:t>.</w:t>
      </w:r>
    </w:p>
    <w:p>
      <w:pPr>
        <w:spacing w:after="0" w:line="210" w:lineRule="exact"/>
        <w:rPr>
          <w:sz w:val="20"/>
          <w:szCs w:val="20"/>
          <w:color w:val="auto"/>
        </w:rPr>
      </w:pPr>
    </w:p>
    <w:p>
      <w:pPr>
        <w:jc w:val="both"/>
        <w:ind w:left="1500" w:hanging="748"/>
        <w:spacing w:after="0" w:line="242" w:lineRule="auto"/>
        <w:tabs>
          <w:tab w:leader="none" w:pos="148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20"/>
          <w:szCs w:val="20"/>
          <w:color w:val="auto"/>
        </w:rPr>
        <w:t>For purposes of this Agreement,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of a Party shall mean all confidential or proprietary information or materials disclosed by or on behalf of the Party that disclosed the information (the “</w:t>
      </w:r>
      <w:r>
        <w:rPr>
          <w:rFonts w:ascii="Arial" w:cs="Arial" w:eastAsia="Arial" w:hAnsi="Arial"/>
          <w:sz w:val="20"/>
          <w:szCs w:val="20"/>
          <w:b w:val="1"/>
          <w:bCs w:val="1"/>
          <w:color w:val="auto"/>
        </w:rPr>
        <w:t>Disclosing Party</w:t>
      </w:r>
      <w:r>
        <w:rPr>
          <w:rFonts w:ascii="Arial" w:cs="Arial" w:eastAsia="Arial" w:hAnsi="Arial"/>
          <w:sz w:val="20"/>
          <w:szCs w:val="20"/>
          <w:color w:val="auto"/>
        </w:rPr>
        <w:t>”) to the Party that receives the information (the “</w:t>
      </w:r>
      <w:r>
        <w:rPr>
          <w:rFonts w:ascii="Arial" w:cs="Arial" w:eastAsia="Arial" w:hAnsi="Arial"/>
          <w:sz w:val="20"/>
          <w:szCs w:val="20"/>
          <w:b w:val="1"/>
          <w:bCs w:val="1"/>
          <w:color w:val="auto"/>
        </w:rPr>
        <w:t>Receiving Party</w:t>
      </w:r>
      <w:r>
        <w:rPr>
          <w:rFonts w:ascii="Arial" w:cs="Arial" w:eastAsia="Arial" w:hAnsi="Arial"/>
          <w:sz w:val="20"/>
          <w:szCs w:val="20"/>
          <w:color w:val="auto"/>
        </w:rPr>
        <w:t>”) or its Affiliate, and shall include all Batch Records (which are expected to contain Confidential Information of each of Supplier and Purchaser) included therein, whether disclosed orally or in writing or other tangible medium, including information relating to the matters which are the subject of this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49" w:name="page50"/>
    <w:bookmarkEnd w:id="49"/>
    <w:p>
      <w:pPr>
        <w:ind w:left="760"/>
        <w:spacing w:after="0"/>
        <w:tabs>
          <w:tab w:leader="none" w:pos="148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color w:val="auto"/>
        </w:rPr>
        <w:t>The confidentiality obligations hereunder shall not apply to information which:</w:t>
      </w:r>
    </w:p>
    <w:p>
      <w:pPr>
        <w:spacing w:after="0" w:line="216" w:lineRule="exact"/>
        <w:rPr>
          <w:sz w:val="20"/>
          <w:szCs w:val="20"/>
          <w:color w:val="auto"/>
        </w:rPr>
      </w:pPr>
    </w:p>
    <w:p>
      <w:pPr>
        <w:jc w:val="center"/>
        <w:ind w:left="1820"/>
        <w:spacing w:after="0" w:line="260" w:lineRule="auto"/>
        <w:rPr>
          <w:sz w:val="20"/>
          <w:szCs w:val="20"/>
          <w:color w:val="auto"/>
        </w:rPr>
      </w:pPr>
      <w:r>
        <w:rPr>
          <w:rFonts w:ascii="Arial" w:cs="Arial" w:eastAsia="Arial" w:hAnsi="Arial"/>
          <w:sz w:val="20"/>
          <w:szCs w:val="20"/>
          <w:color w:val="auto"/>
        </w:rPr>
        <w:t>7.1.2.1      is now, or hereafter becomes, generally available to the public through no fault of the Receiving Party, or its Affiliate, or any entity that obtained such information or materials from the Disclosing Party;</w:t>
      </w:r>
    </w:p>
    <w:p>
      <w:pPr>
        <w:spacing w:after="0" w:line="177" w:lineRule="exact"/>
        <w:rPr>
          <w:sz w:val="20"/>
          <w:szCs w:val="20"/>
          <w:color w:val="auto"/>
        </w:rPr>
      </w:pPr>
    </w:p>
    <w:p>
      <w:pPr>
        <w:ind w:left="2620" w:hanging="1122"/>
        <w:spacing w:after="0" w:line="260" w:lineRule="auto"/>
        <w:tabs>
          <w:tab w:leader="none" w:pos="2600" w:val="left"/>
        </w:tabs>
        <w:rPr>
          <w:sz w:val="20"/>
          <w:szCs w:val="20"/>
          <w:color w:val="auto"/>
        </w:rPr>
      </w:pPr>
      <w:r>
        <w:rPr>
          <w:rFonts w:ascii="Arial" w:cs="Arial" w:eastAsia="Arial" w:hAnsi="Arial"/>
          <w:sz w:val="20"/>
          <w:szCs w:val="20"/>
          <w:color w:val="auto"/>
        </w:rPr>
        <w:t>7.1.2.2</w:t>
      </w:r>
      <w:r>
        <w:rPr>
          <w:sz w:val="20"/>
          <w:szCs w:val="20"/>
          <w:color w:val="auto"/>
        </w:rPr>
        <w:tab/>
      </w:r>
      <w:r>
        <w:rPr>
          <w:rFonts w:ascii="Arial" w:cs="Arial" w:eastAsia="Arial" w:hAnsi="Arial"/>
          <w:sz w:val="20"/>
          <w:szCs w:val="20"/>
          <w:color w:val="auto"/>
        </w:rPr>
        <w:t>the Receiving Party or its Affiliate already possesses, as evidenced by its written records, prior to receipt thereof from the Disclosing Party;</w:t>
      </w:r>
    </w:p>
    <w:p>
      <w:pPr>
        <w:spacing w:after="0" w:line="177" w:lineRule="exact"/>
        <w:rPr>
          <w:sz w:val="20"/>
          <w:szCs w:val="20"/>
          <w:color w:val="auto"/>
        </w:rPr>
      </w:pPr>
    </w:p>
    <w:p>
      <w:pPr>
        <w:ind w:left="2620" w:right="20" w:hanging="1122"/>
        <w:spacing w:after="0" w:line="246" w:lineRule="auto"/>
        <w:tabs>
          <w:tab w:leader="none" w:pos="2600" w:val="left"/>
        </w:tabs>
        <w:rPr>
          <w:sz w:val="20"/>
          <w:szCs w:val="20"/>
          <w:color w:val="auto"/>
        </w:rPr>
      </w:pPr>
      <w:r>
        <w:rPr>
          <w:rFonts w:ascii="Arial" w:cs="Arial" w:eastAsia="Arial" w:hAnsi="Arial"/>
          <w:sz w:val="20"/>
          <w:szCs w:val="20"/>
          <w:color w:val="auto"/>
        </w:rPr>
        <w:t>7.1.2.3</w:t>
      </w:r>
      <w:r>
        <w:rPr>
          <w:sz w:val="20"/>
          <w:szCs w:val="20"/>
          <w:color w:val="auto"/>
        </w:rPr>
        <w:tab/>
      </w:r>
      <w:r>
        <w:rPr>
          <w:rFonts w:ascii="Arial" w:cs="Arial" w:eastAsia="Arial" w:hAnsi="Arial"/>
          <w:sz w:val="20"/>
          <w:szCs w:val="20"/>
          <w:color w:val="auto"/>
        </w:rPr>
        <w:t>is obtained without restriction from a Third Party that had the legal right to disclose the same to the Receiving Party or its Affiliate; or</w:t>
      </w:r>
    </w:p>
    <w:p>
      <w:pPr>
        <w:spacing w:after="0" w:line="190" w:lineRule="exact"/>
        <w:rPr>
          <w:sz w:val="20"/>
          <w:szCs w:val="20"/>
          <w:color w:val="auto"/>
        </w:rPr>
      </w:pPr>
    </w:p>
    <w:p>
      <w:pPr>
        <w:ind w:left="2620" w:hanging="1122"/>
        <w:spacing w:after="0" w:line="316" w:lineRule="auto"/>
        <w:tabs>
          <w:tab w:leader="none" w:pos="2600" w:val="left"/>
        </w:tabs>
        <w:rPr>
          <w:sz w:val="20"/>
          <w:szCs w:val="20"/>
          <w:color w:val="auto"/>
        </w:rPr>
      </w:pPr>
      <w:r>
        <w:rPr>
          <w:rFonts w:ascii="Arial" w:cs="Arial" w:eastAsia="Arial" w:hAnsi="Arial"/>
          <w:sz w:val="20"/>
          <w:szCs w:val="20"/>
          <w:color w:val="auto"/>
        </w:rPr>
        <w:t>7.1.2.4</w:t>
      </w:r>
      <w:r>
        <w:rPr>
          <w:sz w:val="20"/>
          <w:szCs w:val="20"/>
          <w:color w:val="auto"/>
        </w:rPr>
        <w:tab/>
      </w:r>
      <w:r>
        <w:rPr>
          <w:rFonts w:ascii="Arial" w:cs="Arial" w:eastAsia="Arial" w:hAnsi="Arial"/>
          <w:sz w:val="18"/>
          <w:szCs w:val="18"/>
          <w:color w:val="auto"/>
        </w:rPr>
        <w:t>has been independently developed by the Receiving Party or its Affiliate without the aid, application or use of any Confidential Information of the Disclosing Party, as demonstrated by competent written records.</w:t>
      </w:r>
    </w:p>
    <w:p>
      <w:pPr>
        <w:spacing w:after="0" w:line="130" w:lineRule="exact"/>
        <w:rPr>
          <w:sz w:val="20"/>
          <w:szCs w:val="20"/>
          <w:color w:val="auto"/>
        </w:rPr>
      </w:pPr>
    </w:p>
    <w:p>
      <w:pPr>
        <w:jc w:val="both"/>
        <w:ind w:left="740" w:hanging="732"/>
        <w:spacing w:after="0" w:line="252" w:lineRule="auto"/>
        <w:tabs>
          <w:tab w:leader="none" w:pos="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u w:val="single" w:color="auto"/>
          <w:color w:val="auto"/>
        </w:rPr>
        <w:t>Obligations of Confidentiality</w:t>
      </w:r>
      <w:r>
        <w:rPr>
          <w:rFonts w:ascii="Arial" w:cs="Arial" w:eastAsia="Arial" w:hAnsi="Arial"/>
          <w:sz w:val="19"/>
          <w:szCs w:val="19"/>
          <w:color w:val="auto"/>
        </w:rPr>
        <w:t>. During the Term and for a period ending [***] after termination of this Agreement, each Party shall</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keep in confidence and not disclose to any Third Party or use for any purpose except as provided herein or to perform its obligations under this Agreement, any and all Confidential Information of the other Party disclosed during the Term of this Agreement. Each Party shall be responsible to the other for any breach of this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by any party to whom it is permitted to disclose the other Party’s Confidential Information. Notwithstanding the foregoing, Supplier agrees that Purchaser may disclose Batch Records (including Supplier Facility Information contained within Batch Records) to Government or Regulatory Authorities in connection with Purchaser’s development, manufacture, registration, marketing or sale of the Final Product. In addition, Purchaser may disclose Batch Records (including Supplier Facility Information contained within Batch Records) to Third Parties in connection with potential licensing or other strategic transactions (but excluding commercial supply arrangements) regarding Purchaser or the Final Product, including, without limitation, to underwriters, bankers, lenders, consultants and advisors in connection with potential financing activities, but excluding other CMOs; provided, however, before any such disclosure of Confidential Information to Third Parties, Purchaser shall bind such Third Parties receiving such Confidential Information to a written agreement of confidentiality at least as restrictive as this Agreement, and shall be responsible for all actions of such Third Parties, including any breach of the terms hereof.</w:t>
      </w:r>
    </w:p>
    <w:p>
      <w:pPr>
        <w:spacing w:after="0" w:line="190" w:lineRule="exact"/>
        <w:rPr>
          <w:sz w:val="20"/>
          <w:szCs w:val="20"/>
          <w:color w:val="auto"/>
        </w:rPr>
      </w:pPr>
    </w:p>
    <w:p>
      <w:pPr>
        <w:jc w:val="both"/>
        <w:ind w:left="740" w:hanging="732"/>
        <w:spacing w:after="0" w:line="256" w:lineRule="auto"/>
        <w:tabs>
          <w:tab w:leader="none" w:pos="7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u w:val="single" w:color="auto"/>
          <w:color w:val="auto"/>
        </w:rPr>
        <w:t>Disclosure Pursuant to Governmental or Court Order</w:t>
      </w:r>
      <w:r>
        <w:rPr>
          <w:rFonts w:ascii="Arial" w:cs="Arial" w:eastAsia="Arial" w:hAnsi="Arial"/>
          <w:sz w:val="19"/>
          <w:szCs w:val="19"/>
          <w:color w:val="auto"/>
        </w:rPr>
        <w:t>. If a Party is compelled to disclose Confidential Information by law, stock</w:t>
      </w:r>
      <w:r>
        <w:rPr>
          <w:rFonts w:ascii="Arial" w:cs="Arial" w:eastAsia="Arial" w:hAnsi="Arial"/>
          <w:sz w:val="19"/>
          <w:szCs w:val="19"/>
          <w:u w:val="single" w:color="auto"/>
          <w:color w:val="auto"/>
        </w:rPr>
        <w:t xml:space="preserve"> </w:t>
      </w:r>
      <w:r>
        <w:rPr>
          <w:rFonts w:ascii="Arial" w:cs="Arial" w:eastAsia="Arial" w:hAnsi="Arial"/>
          <w:sz w:val="19"/>
          <w:szCs w:val="19"/>
          <w:color w:val="auto"/>
        </w:rPr>
        <w:t>exchange rules, or governmental order, then the compelled Party shall, prior to disclosure, provide the other Party with notice of the circumstances to allow the other Party a reasonable opportunity to contest any such disclosure and to seek, as applicable, a protective order or confidential treatment of such Confidential Information. Information shall not be deemed to be publicly available merely because more general information, or any combination thereof, may be publicly available. Notwithstanding the foregoing, either Party may disclose the terms of this Agreement in proceedings to enforce the same.</w:t>
      </w:r>
    </w:p>
    <w:p>
      <w:pPr>
        <w:spacing w:after="0" w:line="181" w:lineRule="exact"/>
        <w:rPr>
          <w:sz w:val="20"/>
          <w:szCs w:val="20"/>
          <w:color w:val="auto"/>
        </w:rPr>
      </w:pPr>
    </w:p>
    <w:p>
      <w:pPr>
        <w:jc w:val="both"/>
        <w:ind w:left="740" w:hanging="732"/>
        <w:spacing w:after="0"/>
        <w:tabs>
          <w:tab w:leader="none" w:pos="7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u w:val="single" w:color="auto"/>
          <w:color w:val="auto"/>
        </w:rPr>
        <w:t>Export Compliance</w:t>
      </w:r>
      <w:r>
        <w:rPr>
          <w:rFonts w:ascii="Arial" w:cs="Arial" w:eastAsia="Arial" w:hAnsi="Arial"/>
          <w:sz w:val="20"/>
          <w:szCs w:val="20"/>
          <w:color w:val="auto"/>
        </w:rPr>
        <w:t>. The Parties shall abide by the applicable export regulations of Germany and any other country or countries. If</w:t>
      </w:r>
      <w:r>
        <w:rPr>
          <w:rFonts w:ascii="Arial" w:cs="Arial" w:eastAsia="Arial" w:hAnsi="Arial"/>
          <w:sz w:val="20"/>
          <w:szCs w:val="20"/>
          <w:u w:val="single" w:color="auto"/>
          <w:color w:val="auto"/>
        </w:rPr>
        <w:t xml:space="preserve"> </w:t>
      </w:r>
      <w:r>
        <w:rPr>
          <w:rFonts w:ascii="Arial" w:cs="Arial" w:eastAsia="Arial" w:hAnsi="Arial"/>
          <w:sz w:val="20"/>
          <w:szCs w:val="20"/>
          <w:color w:val="auto"/>
        </w:rPr>
        <w:t>required, the Party intending to export controlled technology or data (including a “deemed” export) shall apply for an export license or other suitable authorization from the proper authority prior to any such export and inform any Receiving Party of any further restrictions on use of the technology or data. The Parties shall not export or re-export any technical data, products, or samples received from the Disclosing Party or the direct product of such technical data in contravention of the export compliance laws of Germany or associated regulations.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ARTICLE 8</w:t>
      </w:r>
      <w:r>
        <w:rPr>
          <w:rFonts w:ascii="Arial" w:cs="Arial" w:eastAsia="Arial" w:hAnsi="Arial"/>
          <w:sz w:val="20"/>
          <w:szCs w:val="20"/>
          <w:b w:val="1"/>
          <w:bCs w:val="1"/>
          <w:u w:val="single" w:color="auto"/>
          <w:color w:val="auto"/>
        </w:rPr>
        <w:t>REPRESENTATION &amp; WARRANTIES</w:t>
      </w:r>
      <w:r>
        <w:rPr>
          <w:rFonts w:ascii="Arial" w:cs="Arial" w:eastAsia="Arial" w:hAnsi="Arial"/>
          <w:sz w:val="20"/>
          <w:szCs w:val="20"/>
          <w:color w:val="auto"/>
        </w:rPr>
        <w:t>.</w:t>
      </w:r>
    </w:p>
    <w:p>
      <w:pPr>
        <w:spacing w:after="0" w:line="22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u w:val="single" w:color="auto"/>
          <w:color w:val="auto"/>
        </w:rPr>
        <w:t>Mutual Representations and Warranties</w:t>
      </w:r>
      <w:r>
        <w:rPr>
          <w:rFonts w:ascii="Arial" w:cs="Arial" w:eastAsia="Arial" w:hAnsi="Arial"/>
          <w:sz w:val="16"/>
          <w:szCs w:val="16"/>
          <w:color w:val="auto"/>
        </w:rPr>
        <w:t>. Each Party hereby represents and warrants to the other Party as follows:</w:t>
      </w:r>
    </w:p>
    <w:p>
      <w:pPr>
        <w:spacing w:after="0" w:line="216" w:lineRule="exact"/>
        <w:rPr>
          <w:sz w:val="20"/>
          <w:szCs w:val="20"/>
          <w:color w:val="auto"/>
        </w:rPr>
      </w:pPr>
    </w:p>
    <w:p>
      <w:pPr>
        <w:jc w:val="both"/>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20"/>
          <w:szCs w:val="20"/>
          <w:u w:val="single" w:color="auto"/>
          <w:color w:val="auto"/>
        </w:rPr>
        <w:t>Due Authorization</w:t>
      </w:r>
      <w:r>
        <w:rPr>
          <w:rFonts w:ascii="Arial" w:cs="Arial" w:eastAsia="Arial" w:hAnsi="Arial"/>
          <w:sz w:val="20"/>
          <w:szCs w:val="20"/>
          <w:color w:val="auto"/>
        </w:rPr>
        <w:t>. Such Party has taken all necessary action on its part to authorize the execution and delivery of this</w:t>
      </w:r>
      <w:r>
        <w:rPr>
          <w:rFonts w:ascii="Arial" w:cs="Arial" w:eastAsia="Arial" w:hAnsi="Arial"/>
          <w:sz w:val="20"/>
          <w:szCs w:val="20"/>
          <w:u w:val="single" w:color="auto"/>
          <w:color w:val="auto"/>
        </w:rPr>
        <w:t xml:space="preserve"> </w:t>
      </w:r>
      <w:r>
        <w:rPr>
          <w:rFonts w:ascii="Arial" w:cs="Arial" w:eastAsia="Arial" w:hAnsi="Arial"/>
          <w:sz w:val="20"/>
          <w:szCs w:val="20"/>
          <w:color w:val="auto"/>
        </w:rPr>
        <w:t>Agreement and the performance of its obligations hereunder.</w:t>
      </w:r>
    </w:p>
    <w:p>
      <w:pPr>
        <w:spacing w:after="0" w:line="177" w:lineRule="exact"/>
        <w:rPr>
          <w:sz w:val="20"/>
          <w:szCs w:val="20"/>
          <w:color w:val="auto"/>
        </w:rPr>
      </w:pPr>
    </w:p>
    <w:p>
      <w:pPr>
        <w:jc w:val="both"/>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20"/>
          <w:szCs w:val="20"/>
          <w:u w:val="single" w:color="auto"/>
          <w:color w:val="auto"/>
        </w:rPr>
        <w:t>Enforcement of Obligations</w:t>
      </w:r>
      <w:r>
        <w:rPr>
          <w:rFonts w:ascii="Arial" w:cs="Arial" w:eastAsia="Arial" w:hAnsi="Arial"/>
          <w:sz w:val="20"/>
          <w:szCs w:val="20"/>
          <w:color w:val="auto"/>
        </w:rPr>
        <w:t>. This Agreement has been duly executed and delivered on behalf of such Party, and</w:t>
      </w:r>
      <w:r>
        <w:rPr>
          <w:rFonts w:ascii="Arial" w:cs="Arial" w:eastAsia="Arial" w:hAnsi="Arial"/>
          <w:sz w:val="20"/>
          <w:szCs w:val="20"/>
          <w:u w:val="single" w:color="auto"/>
          <w:color w:val="auto"/>
        </w:rPr>
        <w:t xml:space="preserve"> </w:t>
      </w:r>
      <w:r>
        <w:rPr>
          <w:rFonts w:ascii="Arial" w:cs="Arial" w:eastAsia="Arial" w:hAnsi="Arial"/>
          <w:sz w:val="20"/>
          <w:szCs w:val="20"/>
          <w:color w:val="auto"/>
        </w:rPr>
        <w:t>constitutes a legal, valid, binding obligation, enforceable against such Party in accordance with its terms.</w:t>
      </w:r>
    </w:p>
    <w:p>
      <w:pPr>
        <w:spacing w:after="0" w:line="163" w:lineRule="exact"/>
        <w:rPr>
          <w:sz w:val="20"/>
          <w:szCs w:val="20"/>
          <w:color w:val="auto"/>
        </w:rPr>
      </w:pPr>
    </w:p>
    <w:p>
      <w:pPr>
        <w:jc w:val="both"/>
        <w:ind w:left="1500" w:right="20" w:hanging="748"/>
        <w:spacing w:after="0" w:line="316" w:lineRule="auto"/>
        <w:tabs>
          <w:tab w:leader="none" w:pos="1480"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and the performance of such Party's obligations hereunder do</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conflict with, or constitute a default or require any consent under, any contractual obligation of such Party.</w:t>
      </w:r>
    </w:p>
    <w:p>
      <w:pPr>
        <w:spacing w:after="0" w:line="13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u w:val="single" w:color="auto"/>
          <w:color w:val="auto"/>
        </w:rPr>
        <w:t>Warranties of Supplier</w:t>
      </w:r>
      <w:r>
        <w:rPr>
          <w:rFonts w:ascii="Arial" w:cs="Arial" w:eastAsia="Arial" w:hAnsi="Arial"/>
          <w:sz w:val="16"/>
          <w:szCs w:val="16"/>
          <w:color w:val="auto"/>
        </w:rPr>
        <w:t>. Supplier hereby represents and warrants to Purchaser that:</w:t>
      </w:r>
    </w:p>
    <w:p>
      <w:pPr>
        <w:spacing w:after="0" w:line="216" w:lineRule="exact"/>
        <w:rPr>
          <w:sz w:val="20"/>
          <w:szCs w:val="20"/>
          <w:color w:val="auto"/>
        </w:rPr>
      </w:pPr>
    </w:p>
    <w:p>
      <w:pPr>
        <w:jc w:val="both"/>
        <w:ind w:left="1500" w:hanging="748"/>
        <w:spacing w:after="0" w:line="258" w:lineRule="auto"/>
        <w:tabs>
          <w:tab w:leader="none" w:pos="1480"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19"/>
          <w:szCs w:val="19"/>
          <w:color w:val="auto"/>
        </w:rPr>
        <w:t>All Product delivered pursuant to this Agreement will be produced in accordance with the relevant Master Batch Record, comply with the Specification and manufactured pursuant to cGMP. If Supplier has manufactured defective Product because the specifications laid down in the Purchaser Technology Data Package resulted in the respective defect of the Product, any and all warranty and liability of Supplier in that respect shall be excluded.</w:t>
      </w:r>
    </w:p>
    <w:p>
      <w:pPr>
        <w:spacing w:after="0" w:line="181" w:lineRule="exact"/>
        <w:rPr>
          <w:sz w:val="20"/>
          <w:szCs w:val="20"/>
          <w:color w:val="auto"/>
        </w:rPr>
      </w:pPr>
    </w:p>
    <w:p>
      <w:pPr>
        <w:jc w:val="both"/>
        <w:ind w:left="1500" w:hanging="748"/>
        <w:spacing w:after="0"/>
        <w:tabs>
          <w:tab w:leader="none" w:pos="1480"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20"/>
          <w:szCs w:val="20"/>
          <w:color w:val="auto"/>
        </w:rPr>
        <w:t>Neither Supplier nor its Affiliates will in the performance of its obligations under this Agreement use the services of any person debarred or suspended under 21 U.S.C. §335(a), excluded from a U.S. federal healthcare program, debarred from U.S. federal contracting, or convicted or plead nolo contendere to any felony or to any violation of laws relating to fraud. If during the Term Supplier becomes aware of any non-compliance with this Section 8.2.2, Supplier shall notify Purchaser immediately. In either such event, Purchaser will have the right to terminate this Agreement upon written notice to Supplier if such non-compliance is not cured within [***] following the date Supplier first becomes aware of such non-compliance.</w:t>
      </w:r>
    </w:p>
    <w:p>
      <w:pPr>
        <w:spacing w:after="0" w:line="199" w:lineRule="exact"/>
        <w:rPr>
          <w:sz w:val="20"/>
          <w:szCs w:val="20"/>
          <w:color w:val="auto"/>
        </w:rPr>
      </w:pPr>
    </w:p>
    <w:p>
      <w:pPr>
        <w:jc w:val="both"/>
        <w:ind w:left="1500" w:hanging="748"/>
        <w:spacing w:after="0" w:line="271" w:lineRule="auto"/>
        <w:tabs>
          <w:tab w:leader="none" w:pos="1480"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18"/>
          <w:szCs w:val="18"/>
          <w:color w:val="auto"/>
        </w:rPr>
        <w:t>In performing its obligations under this Agreement, Supplier and its Affiliates will comply with all applicable laws, regulations, professional standards, and industry codes, ordinances and orders, as amended from time to time, including but not limited to (i) the Foreign Corrupt Practices Act of 1977 and the UK Bribery Act, (ii) the U.S. federal anti-kickback statute (42 U.S.C. §1320a-7b(b)), and state anti-kickback and other laws restricting gifts to, relationships with and information from prescribers, (iii) the federal Food and Drug Administration laws, regulations and guidance, including the federal Food, Drug and Cosmetic Act and the Prescription Drug Marketing Act, and (iv) those governing the purchase and sale of securities while in possession of material, non-public information about a company.</w:t>
      </w:r>
    </w:p>
    <w:p>
      <w:pPr>
        <w:spacing w:after="0" w:line="173" w:lineRule="exact"/>
        <w:rPr>
          <w:sz w:val="20"/>
          <w:szCs w:val="20"/>
          <w:color w:val="auto"/>
        </w:rPr>
      </w:pPr>
    </w:p>
    <w:p>
      <w:pPr>
        <w:jc w:val="both"/>
        <w:ind w:left="740" w:hanging="732"/>
        <w:spacing w:after="0" w:line="241" w:lineRule="auto"/>
        <w:tabs>
          <w:tab w:leader="none" w:pos="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u w:val="single" w:color="auto"/>
          <w:color w:val="auto"/>
        </w:rPr>
        <w:t>Warranties of Purchaser</w:t>
      </w:r>
      <w:r>
        <w:rPr>
          <w:rFonts w:ascii="Arial" w:cs="Arial" w:eastAsia="Arial" w:hAnsi="Arial"/>
          <w:sz w:val="20"/>
          <w:szCs w:val="20"/>
          <w:color w:val="auto"/>
        </w:rPr>
        <w:t>. Purchaser hereby represents and warrants that the Product and the Final Product, in particular their</w:t>
      </w:r>
      <w:r>
        <w:rPr>
          <w:rFonts w:ascii="Arial" w:cs="Arial" w:eastAsia="Arial" w:hAnsi="Arial"/>
          <w:sz w:val="20"/>
          <w:szCs w:val="20"/>
          <w:u w:val="single" w:color="auto"/>
          <w:color w:val="auto"/>
        </w:rPr>
        <w:t xml:space="preserve"> </w:t>
      </w:r>
      <w:r>
        <w:rPr>
          <w:rFonts w:ascii="Arial" w:cs="Arial" w:eastAsia="Arial" w:hAnsi="Arial"/>
          <w:sz w:val="20"/>
          <w:szCs w:val="20"/>
          <w:color w:val="auto"/>
        </w:rPr>
        <w:t>Production/manufacture, use, sale and distribution, and any other information provided by Purchaser to Supplier do not infringe on any German, European or foreign patent, trademark, copyright or other intellectual property or proprietary right of any third party; provided that Purchaser makes no representations and warranties as to any infringement that is attributable to use by Supplier of any proprietary manufacturing process of Supplier.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1" w:name="page52"/>
    <w:bookmarkEnd w:id="51"/>
    <w:p>
      <w:pPr>
        <w:jc w:val="both"/>
        <w:ind w:left="740" w:hanging="732"/>
        <w:spacing w:after="0" w:line="244" w:lineRule="auto"/>
        <w:tabs>
          <w:tab w:leader="none" w:pos="7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u w:val="single" w:color="auto"/>
          <w:color w:val="auto"/>
        </w:rPr>
        <w:t>Disclaimer of Warranty</w:t>
      </w:r>
      <w:r>
        <w:rPr>
          <w:rFonts w:ascii="Arial" w:cs="Arial" w:eastAsia="Arial" w:hAnsi="Arial"/>
          <w:sz w:val="20"/>
          <w:szCs w:val="20"/>
          <w:color w:val="auto"/>
        </w:rPr>
        <w:t>. EXCEPT AS SET FORTH IN THIS AGREEMENT, EACH PARTY EXPRESSLY DISCLAIMS ANY</w:t>
      </w:r>
      <w:r>
        <w:rPr>
          <w:rFonts w:ascii="Arial" w:cs="Arial" w:eastAsia="Arial" w:hAnsi="Arial"/>
          <w:sz w:val="20"/>
          <w:szCs w:val="20"/>
          <w:u w:val="single" w:color="auto"/>
          <w:color w:val="auto"/>
        </w:rPr>
        <w:t xml:space="preserve"> </w:t>
      </w:r>
      <w:r>
        <w:rPr>
          <w:rFonts w:ascii="Arial" w:cs="Arial" w:eastAsia="Arial" w:hAnsi="Arial"/>
          <w:sz w:val="20"/>
          <w:szCs w:val="20"/>
          <w:color w:val="auto"/>
        </w:rPr>
        <w:t>AND ALL WARRANTIES OF ANY KIND, EXPRESS OR IMPLIED, INCLUDING WITHOUT LIMITATION THE WARRANTIES OF DESIGN, MERCHANTABILITY, AND FITNESS FOR A PARTICULAR PURPOSE. NO OTHER WARRANTY OR LIABILITY, EXPRESS OR IMPLIED, AND WHETHER ARISING BY OPERATION OF LAW OR CUSTOM, SHALL APPLY.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9</w:t>
      </w:r>
      <w:r>
        <w:rPr>
          <w:rFonts w:ascii="Arial" w:cs="Arial" w:eastAsia="Arial" w:hAnsi="Arial"/>
          <w:sz w:val="20"/>
          <w:szCs w:val="20"/>
          <w:b w:val="1"/>
          <w:bCs w:val="1"/>
          <w:u w:val="single" w:color="auto"/>
          <w:color w:val="auto"/>
        </w:rPr>
        <w:t>INDEMNIFICATION</w:t>
      </w:r>
      <w:r>
        <w:rPr>
          <w:rFonts w:ascii="Arial" w:cs="Arial" w:eastAsia="Arial" w:hAnsi="Arial"/>
          <w:sz w:val="20"/>
          <w:szCs w:val="20"/>
          <w:color w:val="auto"/>
        </w:rPr>
        <w:t>.</w:t>
      </w:r>
    </w:p>
    <w:p>
      <w:pPr>
        <w:spacing w:after="0" w:line="208" w:lineRule="exact"/>
        <w:rPr>
          <w:sz w:val="20"/>
          <w:szCs w:val="20"/>
          <w:color w:val="auto"/>
        </w:rPr>
      </w:pPr>
    </w:p>
    <w:p>
      <w:pPr>
        <w:jc w:val="both"/>
        <w:ind w:left="740" w:hanging="732"/>
        <w:spacing w:after="0" w:line="269" w:lineRule="auto"/>
        <w:tabs>
          <w:tab w:leader="none" w:pos="7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u w:val="single" w:color="auto"/>
          <w:color w:val="auto"/>
        </w:rPr>
        <w:t>Purchaser’s Indemnity Obligation</w:t>
      </w:r>
      <w:r>
        <w:rPr>
          <w:rFonts w:ascii="Arial" w:cs="Arial" w:eastAsia="Arial" w:hAnsi="Arial"/>
          <w:sz w:val="18"/>
          <w:szCs w:val="18"/>
          <w:color w:val="auto"/>
        </w:rPr>
        <w:t>. Purchaser shall defend, indemnify, and hold harmless Supplier (including its directors, officers,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Affiliates and agents) against any liability, judgments, damages, expenses or loss resulting from any Third Party actions, claims, suits, proceedings, demands, or allegations (collectively, “</w:t>
      </w:r>
      <w:r>
        <w:rPr>
          <w:rFonts w:ascii="Arial" w:cs="Arial" w:eastAsia="Arial" w:hAnsi="Arial"/>
          <w:sz w:val="18"/>
          <w:szCs w:val="18"/>
          <w:b w:val="1"/>
          <w:bCs w:val="1"/>
          <w:color w:val="auto"/>
        </w:rPr>
        <w:t>Claim</w:t>
      </w:r>
      <w:r>
        <w:rPr>
          <w:rFonts w:ascii="Arial" w:cs="Arial" w:eastAsia="Arial" w:hAnsi="Arial"/>
          <w:sz w:val="18"/>
          <w:szCs w:val="18"/>
          <w:color w:val="auto"/>
        </w:rPr>
        <w:t xml:space="preserve">”) to the extent based upon the (a) development, manufacture, use, promotion, distribution or sale by Purchaser or its Affiliate, sublicensee or customer of Product or Final Products containing Product supplied by Supplier under this Agreement; (b) Purchaser's breach of any of its representations, warranties, covenants or obligations under this Agreement; (c) the negligence or willful misconduct or omission of Purchaser or any of its officers, directors, agents, representatives, employees, or subcontractors, in the performance of the Agreement; or (d) the Production, use, sale, distribution and promotion, or other disposition of any Product or product incorporating the Product, in particular related to infringement of Third Party intellectual property rights; except in each case to the extent resulting from or caused by any activities set forth in </w:t>
      </w:r>
      <w:r>
        <w:rPr>
          <w:rFonts w:ascii="Arial" w:cs="Arial" w:eastAsia="Arial" w:hAnsi="Arial"/>
          <w:sz w:val="18"/>
          <w:szCs w:val="18"/>
          <w:u w:val="single" w:color="auto"/>
          <w:color w:val="auto"/>
        </w:rPr>
        <w:t>Article 9.2</w:t>
      </w:r>
      <w:r>
        <w:rPr>
          <w:rFonts w:ascii="Arial" w:cs="Arial" w:eastAsia="Arial" w:hAnsi="Arial"/>
          <w:sz w:val="18"/>
          <w:szCs w:val="18"/>
          <w:color w:val="auto"/>
        </w:rPr>
        <w:t xml:space="preserve"> for which Supplier is obligated to indemnify Purchaser.</w:t>
      </w:r>
    </w:p>
    <w:p>
      <w:pPr>
        <w:spacing w:after="0" w:line="178" w:lineRule="exact"/>
        <w:rPr>
          <w:sz w:val="20"/>
          <w:szCs w:val="20"/>
          <w:color w:val="auto"/>
        </w:rPr>
      </w:pPr>
    </w:p>
    <w:p>
      <w:pPr>
        <w:jc w:val="both"/>
        <w:ind w:left="740" w:hanging="732"/>
        <w:spacing w:after="0" w:line="271" w:lineRule="auto"/>
        <w:tabs>
          <w:tab w:leader="none" w:pos="7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u w:val="single" w:color="auto"/>
          <w:color w:val="auto"/>
        </w:rPr>
        <w:t>Supplier’s Indemnity Obligation</w:t>
      </w:r>
      <w:r>
        <w:rPr>
          <w:rFonts w:ascii="Arial" w:cs="Arial" w:eastAsia="Arial" w:hAnsi="Arial"/>
          <w:sz w:val="18"/>
          <w:szCs w:val="18"/>
          <w:color w:val="auto"/>
        </w:rPr>
        <w:t>. Subject to</w:t>
      </w:r>
      <w:r>
        <w:rPr>
          <w:rFonts w:ascii="Arial" w:cs="Arial" w:eastAsia="Arial" w:hAnsi="Arial"/>
          <w:sz w:val="18"/>
          <w:szCs w:val="18"/>
          <w:u w:val="single" w:color="auto"/>
          <w:color w:val="auto"/>
        </w:rPr>
        <w:t xml:space="preserve"> Article 10</w:t>
      </w:r>
      <w:r>
        <w:rPr>
          <w:rFonts w:ascii="Arial" w:cs="Arial" w:eastAsia="Arial" w:hAnsi="Arial"/>
          <w:sz w:val="18"/>
          <w:szCs w:val="18"/>
          <w:color w:val="auto"/>
        </w:rPr>
        <w:t>, Supplier shall defend, indemnify and hold harmless Purchaser (including its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directors, officers, employees and agents) against any liability, judgments, damages, expenses or loss resulting from any Third Party Claims to the extent based upon (a) the gross negligence or willful misconduct or omission of Supplier or its officers, directors, agents, representatives, employees, or subcontractors, (b) Supplier’s breach of any of its representations, warranties, covenants or obligations under this Agreement, or (c) any actual or alleged infringement or violation of any third party intellectual property to the extent resulting exclusively from practice or use of Supplier Background IP or Supplier Foreground IP; except in each case to the extent resulting from or caused by any activities set forth in </w:t>
      </w:r>
      <w:r>
        <w:rPr>
          <w:rFonts w:ascii="Arial" w:cs="Arial" w:eastAsia="Arial" w:hAnsi="Arial"/>
          <w:sz w:val="18"/>
          <w:szCs w:val="18"/>
          <w:u w:val="single" w:color="auto"/>
          <w:color w:val="auto"/>
        </w:rPr>
        <w:t>Article 9.1</w:t>
      </w:r>
      <w:r>
        <w:rPr>
          <w:rFonts w:ascii="Arial" w:cs="Arial" w:eastAsia="Arial" w:hAnsi="Arial"/>
          <w:sz w:val="18"/>
          <w:szCs w:val="18"/>
          <w:color w:val="auto"/>
        </w:rPr>
        <w:t xml:space="preserve"> for which Purchaser is obligated to indemnify Supplier.</w:t>
      </w:r>
    </w:p>
    <w:p>
      <w:pPr>
        <w:spacing w:after="0" w:line="17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u w:val="single" w:color="auto"/>
          <w:color w:val="auto"/>
        </w:rPr>
        <w:t>Notification of Claims; Conditions to Indemnification Obligations</w:t>
      </w:r>
      <w:r>
        <w:rPr>
          <w:rFonts w:ascii="Arial" w:cs="Arial" w:eastAsia="Arial" w:hAnsi="Arial"/>
          <w:sz w:val="18"/>
          <w:szCs w:val="18"/>
          <w:color w:val="auto"/>
        </w:rPr>
        <w:t>.</w:t>
      </w:r>
    </w:p>
    <w:p>
      <w:pPr>
        <w:spacing w:after="0" w:line="216" w:lineRule="exact"/>
        <w:rPr>
          <w:sz w:val="20"/>
          <w:szCs w:val="20"/>
          <w:color w:val="auto"/>
        </w:rPr>
      </w:pPr>
    </w:p>
    <w:p>
      <w:pPr>
        <w:jc w:val="both"/>
        <w:ind w:left="1500" w:hanging="748"/>
        <w:spacing w:after="0" w:line="238" w:lineRule="auto"/>
        <w:tabs>
          <w:tab w:leader="none" w:pos="1480" w:val="left"/>
        </w:tabs>
        <w:rPr>
          <w:sz w:val="20"/>
          <w:szCs w:val="20"/>
          <w:color w:val="auto"/>
        </w:rPr>
      </w:pPr>
      <w:r>
        <w:rPr>
          <w:rFonts w:ascii="Arial" w:cs="Arial" w:eastAsia="Arial" w:hAnsi="Arial"/>
          <w:sz w:val="20"/>
          <w:szCs w:val="20"/>
          <w:color w:val="auto"/>
        </w:rPr>
        <w:t>9.3.1</w:t>
      </w:r>
      <w:r>
        <w:rPr>
          <w:sz w:val="20"/>
          <w:szCs w:val="20"/>
          <w:color w:val="auto"/>
        </w:rPr>
        <w:tab/>
      </w:r>
      <w:r>
        <w:rPr>
          <w:rFonts w:ascii="Arial" w:cs="Arial" w:eastAsia="Arial" w:hAnsi="Arial"/>
          <w:sz w:val="20"/>
          <w:szCs w:val="20"/>
          <w:color w:val="auto"/>
        </w:rPr>
        <w:t xml:space="preserve">As a condition to a Party’s right to receive indemnification under this </w:t>
      </w:r>
      <w:r>
        <w:rPr>
          <w:rFonts w:ascii="Arial" w:cs="Arial" w:eastAsia="Arial" w:hAnsi="Arial"/>
          <w:sz w:val="20"/>
          <w:szCs w:val="20"/>
          <w:u w:val="single" w:color="auto"/>
          <w:color w:val="auto"/>
        </w:rPr>
        <w:t>Article 9</w:t>
      </w:r>
      <w:r>
        <w:rPr>
          <w:rFonts w:ascii="Arial" w:cs="Arial" w:eastAsia="Arial" w:hAnsi="Arial"/>
          <w:sz w:val="20"/>
          <w:szCs w:val="20"/>
          <w:color w:val="auto"/>
        </w:rPr>
        <w:t>, it shall: (a) promptly notify the other Party as soon as it becomes aware of a claim or suit for which indemnification may be sought pursuant hereto; provided, that failure to provide such notice within a reasonable period of time shall not relieve the indemnifying Party of any of its obligations hereunder except to the extent the indemnifying Party is prejudiced by such failure; (b) cooperate, and cause the individual indemnitees to cooperate, with the indemnifying Party in the defense, settlement or compromise of such claim or suit (at the indemnifying Party’s expense); and (c) permit the indemnifying Party to control the defense, settlement or compromise of such claim or suit, including the right to select defense counsel. The indemnified Party shall have the right, but not the obligation, to be represented in such defense by counsel of its own selection and at its own expense.</w:t>
      </w:r>
    </w:p>
    <w:p>
      <w:pPr>
        <w:spacing w:after="0" w:line="202" w:lineRule="exact"/>
        <w:rPr>
          <w:sz w:val="20"/>
          <w:szCs w:val="20"/>
          <w:color w:val="auto"/>
        </w:rPr>
      </w:pPr>
    </w:p>
    <w:p>
      <w:pPr>
        <w:jc w:val="both"/>
        <w:ind w:left="1500" w:hanging="748"/>
        <w:spacing w:after="0" w:line="260" w:lineRule="auto"/>
        <w:tabs>
          <w:tab w:leader="none" w:pos="1480" w:val="left"/>
        </w:tabs>
        <w:rPr>
          <w:sz w:val="20"/>
          <w:szCs w:val="20"/>
          <w:color w:val="auto"/>
        </w:rPr>
      </w:pPr>
      <w:r>
        <w:rPr>
          <w:rFonts w:ascii="Arial" w:cs="Arial" w:eastAsia="Arial" w:hAnsi="Arial"/>
          <w:sz w:val="20"/>
          <w:szCs w:val="20"/>
          <w:color w:val="auto"/>
        </w:rPr>
        <w:t>9.3.2</w:t>
      </w:r>
      <w:r>
        <w:rPr>
          <w:sz w:val="20"/>
          <w:szCs w:val="20"/>
          <w:color w:val="auto"/>
        </w:rPr>
        <w:tab/>
      </w:r>
      <w:r>
        <w:rPr>
          <w:rFonts w:ascii="Arial" w:cs="Arial" w:eastAsia="Arial" w:hAnsi="Arial"/>
          <w:sz w:val="20"/>
          <w:szCs w:val="20"/>
          <w:color w:val="auto"/>
        </w:rPr>
        <w:t>In no event, however, may the indemnifying Party compromise or settle any claim or suit in a manner which admits fault or negligence on the part of the indemnified Party or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2" w:name="page53"/>
    <w:bookmarkEnd w:id="52"/>
    <w:p>
      <w:pPr>
        <w:jc w:val="both"/>
        <w:ind w:left="1500"/>
        <w:spacing w:after="0" w:line="244" w:lineRule="auto"/>
        <w:rPr>
          <w:sz w:val="20"/>
          <w:szCs w:val="20"/>
          <w:color w:val="auto"/>
        </w:rPr>
      </w:pPr>
      <w:r>
        <w:rPr>
          <w:rFonts w:ascii="Arial" w:cs="Arial" w:eastAsia="Arial" w:hAnsi="Arial"/>
          <w:sz w:val="20"/>
          <w:szCs w:val="20"/>
          <w:color w:val="auto"/>
        </w:rPr>
        <w:t xml:space="preserve">indemnitee without the prior written consent of the indemnified Party. Each Party shall reasonably cooperate with the other Party and its counsel in the course of the defense of any such suit, claim or demand, such cooperation to include using commercially reasonable efforts to provide or make available documents, information and witnesses. The indemnifying Party shall have no liability under this under this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with respect to claims or suits settled or compromised without its prior written consent.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w:t>
      </w:r>
      <w:r>
        <w:rPr>
          <w:rFonts w:ascii="Arial" w:cs="Arial" w:eastAsia="Arial" w:hAnsi="Arial"/>
          <w:sz w:val="20"/>
          <w:szCs w:val="20"/>
          <w:b w:val="1"/>
          <w:bCs w:val="1"/>
          <w:u w:val="single" w:color="auto"/>
          <w:color w:val="auto"/>
        </w:rPr>
        <w:t>LIABILITY</w:t>
      </w:r>
      <w:r>
        <w:rPr>
          <w:rFonts w:ascii="Arial" w:cs="Arial" w:eastAsia="Arial" w:hAnsi="Arial"/>
          <w:sz w:val="20"/>
          <w:szCs w:val="20"/>
          <w:color w:val="auto"/>
        </w:rPr>
        <w:t>.</w:t>
      </w:r>
    </w:p>
    <w:p>
      <w:pPr>
        <w:spacing w:after="0" w:line="208" w:lineRule="exact"/>
        <w:rPr>
          <w:sz w:val="20"/>
          <w:szCs w:val="20"/>
          <w:color w:val="auto"/>
        </w:rPr>
      </w:pPr>
    </w:p>
    <w:p>
      <w:pPr>
        <w:jc w:val="both"/>
        <w:ind w:left="740" w:hanging="732"/>
        <w:spacing w:after="0" w:line="243" w:lineRule="auto"/>
        <w:tabs>
          <w:tab w:leader="none" w:pos="7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u w:val="single" w:color="auto"/>
          <w:color w:val="auto"/>
        </w:rPr>
        <w:t>Consequential Damages Exclusion</w:t>
      </w:r>
      <w:r>
        <w:rPr>
          <w:rFonts w:ascii="Arial" w:cs="Arial" w:eastAsia="Arial" w:hAnsi="Arial"/>
          <w:sz w:val="20"/>
          <w:szCs w:val="20"/>
          <w:color w:val="auto"/>
        </w:rPr>
        <w:t>. NEITHER PARTY SHALL BE LIABLE TO THE OTHER FOR ANY SPECIAL,</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CONSEQUENTIAL, INCIDENTAL, PUNITIVE, OR INDIRECT DAMAGES ARISING FROM OR RELATING TO ANY BREACH OF THIS AGREEMENT OR ANY NON-CONTRACTUAL OBLIGATIONS RELATED TO IT, SUCH AS LOSS OF BUSINESS, LOSS OF PROFITS, RECALL COSTS, DEPLETION OF GOODWILL, REGARDLESS OF ANY NOTICE OF THE POSSIBILITY OF SUCH DAMAGES. Notwithstanding the foregoing, nothing in this </w:t>
      </w:r>
      <w:r>
        <w:rPr>
          <w:rFonts w:ascii="Arial" w:cs="Arial" w:eastAsia="Arial" w:hAnsi="Arial"/>
          <w:sz w:val="20"/>
          <w:szCs w:val="20"/>
          <w:u w:val="single" w:color="auto"/>
          <w:color w:val="auto"/>
        </w:rPr>
        <w:t>Article 10.1</w:t>
      </w:r>
      <w:r>
        <w:rPr>
          <w:rFonts w:ascii="Arial" w:cs="Arial" w:eastAsia="Arial" w:hAnsi="Arial"/>
          <w:sz w:val="20"/>
          <w:szCs w:val="20"/>
          <w:color w:val="auto"/>
        </w:rPr>
        <w:t xml:space="preserve"> is intended to limit or restrict the indemnification rights or obligations of any Party under </w:t>
      </w:r>
      <w:r>
        <w:rPr>
          <w:rFonts w:ascii="Arial" w:cs="Arial" w:eastAsia="Arial" w:hAnsi="Arial"/>
          <w:sz w:val="20"/>
          <w:szCs w:val="20"/>
          <w:u w:val="single" w:color="auto"/>
          <w:color w:val="auto"/>
        </w:rPr>
        <w:t>Article 9.1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9.2</w:t>
      </w:r>
      <w:r>
        <w:rPr>
          <w:rFonts w:ascii="Arial" w:cs="Arial" w:eastAsia="Arial" w:hAnsi="Arial"/>
          <w:sz w:val="20"/>
          <w:szCs w:val="20"/>
          <w:color w:val="auto"/>
        </w:rPr>
        <w:t>.</w:t>
      </w:r>
    </w:p>
    <w:p>
      <w:pPr>
        <w:spacing w:after="0" w:line="182" w:lineRule="exact"/>
        <w:rPr>
          <w:sz w:val="20"/>
          <w:szCs w:val="20"/>
          <w:color w:val="auto"/>
        </w:rPr>
      </w:pPr>
    </w:p>
    <w:p>
      <w:pPr>
        <w:jc w:val="both"/>
        <w:ind w:left="740" w:hanging="732"/>
        <w:spacing w:after="0" w:line="243" w:lineRule="auto"/>
        <w:tabs>
          <w:tab w:leader="none" w:pos="7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u w:val="single" w:color="auto"/>
          <w:color w:val="auto"/>
        </w:rPr>
        <w:t>Supplier’s Limitation of Liability</w:t>
      </w:r>
      <w:r>
        <w:rPr>
          <w:rFonts w:ascii="Arial" w:cs="Arial" w:eastAsia="Arial" w:hAnsi="Arial"/>
          <w:sz w:val="20"/>
          <w:szCs w:val="20"/>
          <w:color w:val="auto"/>
        </w:rPr>
        <w:t>. WITH THE EXCEPTION OF CLAIMS PURSUANT TO</w:t>
      </w:r>
      <w:r>
        <w:rPr>
          <w:rFonts w:ascii="Arial" w:cs="Arial" w:eastAsia="Arial" w:hAnsi="Arial"/>
          <w:sz w:val="20"/>
          <w:szCs w:val="20"/>
          <w:u w:val="single" w:color="auto"/>
          <w:color w:val="auto"/>
        </w:rPr>
        <w:t xml:space="preserve"> Article 7</w:t>
      </w:r>
      <w:r>
        <w:rPr>
          <w:rFonts w:ascii="Arial" w:cs="Arial" w:eastAsia="Arial" w:hAnsi="Arial"/>
          <w:sz w:val="20"/>
          <w:szCs w:val="20"/>
          <w:color w:val="auto"/>
        </w:rPr>
        <w:t>, OR CLAIMS RESULTING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FROM SUPPLIER’S GROSS NEGLIGENCE OR WILLFUL MISCONDUCT, SUPPLIER’S TOTAL LIABILITY FOR ANY AND ALL CLAIMS UNDER OR IN CONNECTION WITH THIS AGREEMENT, INCLUDING ANY THIRD PARTY CLAIMS, PRODUCT RECALL, AND SUPPLIER’S INDEMNITY OBLIGATION SET FORTH IN </w:t>
      </w:r>
      <w:r>
        <w:rPr>
          <w:rFonts w:ascii="Arial" w:cs="Arial" w:eastAsia="Arial" w:hAnsi="Arial"/>
          <w:sz w:val="20"/>
          <w:szCs w:val="20"/>
          <w:u w:val="single" w:color="auto"/>
          <w:color w:val="auto"/>
        </w:rPr>
        <w:t>ARTICLE 9.2</w:t>
      </w:r>
      <w:r>
        <w:rPr>
          <w:rFonts w:ascii="Arial" w:cs="Arial" w:eastAsia="Arial" w:hAnsi="Arial"/>
          <w:sz w:val="20"/>
          <w:szCs w:val="20"/>
          <w:color w:val="auto"/>
        </w:rPr>
        <w:t>, SHALL BE LIMITED AS FOLLOWS, PROVIDED, HOWEVER, THAT THE AMOUNTS BELOW WILL BE DOUBLED FOR ANY CLAIMS ALLEGING THE SUPPLIER FOREGROUND IP OR SUPPLIER BACKGROUND IP INFRINGE ON THE INTELLECTUAL PROPERTY RIGHTS OF A THIRD PARTY:</w:t>
      </w:r>
    </w:p>
    <w:p>
      <w:pPr>
        <w:spacing w:after="0" w:line="179"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10.2.1</w:t>
        <w:tab/>
        <w:t>PER INCIDENT TO [***]; AND</w:t>
      </w:r>
    </w:p>
    <w:p>
      <w:pPr>
        <w:spacing w:after="0" w:line="21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9"/>
          <w:szCs w:val="19"/>
          <w:color w:val="auto"/>
        </w:rPr>
        <w:t>PER CALENDAR YEAR TO [***]; AND</w:t>
      </w:r>
    </w:p>
    <w:p>
      <w:pPr>
        <w:spacing w:after="0" w:line="21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10.2.3</w:t>
        <w:tab/>
        <w:t>IN THE AGGREGATE TO [***].</w:t>
      </w:r>
    </w:p>
    <w:p>
      <w:pPr>
        <w:spacing w:after="0" w:line="216" w:lineRule="exact"/>
        <w:rPr>
          <w:sz w:val="20"/>
          <w:szCs w:val="20"/>
          <w:color w:val="auto"/>
        </w:rPr>
      </w:pPr>
    </w:p>
    <w:p>
      <w:pPr>
        <w:jc w:val="both"/>
        <w:ind w:left="1500" w:hanging="748"/>
        <w:spacing w:after="0"/>
        <w:tabs>
          <w:tab w:leader="none" w:pos="1480" w:val="left"/>
        </w:tabs>
        <w:rPr>
          <w:sz w:val="20"/>
          <w:szCs w:val="20"/>
          <w:color w:val="auto"/>
        </w:rPr>
      </w:pPr>
      <w:r>
        <w:rPr>
          <w:rFonts w:ascii="Arial" w:cs="Arial" w:eastAsia="Arial" w:hAnsi="Arial"/>
          <w:sz w:val="20"/>
          <w:szCs w:val="20"/>
          <w:color w:val="auto"/>
        </w:rPr>
        <w:t>10.2.4</w:t>
        <w:tab/>
        <w:t xml:space="preserve">ANY AND ALL CLAIMS OF EITHER PARTY UNDER OR IN CONNECTION WITH THIS AGREEMENT, INCLUDING ANY CLAIMS RELATING TO PRODUCT RECALL, BUT EXCLUDING IP INDEMNIFICATION CLAIMS PURSUANT TO </w:t>
      </w:r>
      <w:r>
        <w:rPr>
          <w:rFonts w:ascii="Arial" w:cs="Arial" w:eastAsia="Arial" w:hAnsi="Arial"/>
          <w:sz w:val="20"/>
          <w:szCs w:val="20"/>
          <w:u w:val="single" w:color="auto"/>
          <w:color w:val="auto"/>
        </w:rPr>
        <w:t>ARTICLE 9.1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9.2</w:t>
      </w:r>
      <w:r>
        <w:rPr>
          <w:rFonts w:ascii="Arial" w:cs="Arial" w:eastAsia="Arial" w:hAnsi="Arial"/>
          <w:sz w:val="20"/>
          <w:szCs w:val="20"/>
          <w:color w:val="auto"/>
        </w:rPr>
        <w:t>, AS APPLICABLE, SHALL EXPIRE [***].</w:t>
      </w:r>
    </w:p>
    <w:p>
      <w:pPr>
        <w:spacing w:after="0" w:line="1" w:lineRule="exact"/>
        <w:rPr>
          <w:sz w:val="20"/>
          <w:szCs w:val="20"/>
          <w:color w:val="auto"/>
        </w:rPr>
      </w:pPr>
    </w:p>
    <w:p>
      <w:pPr>
        <w:ind w:left="1500"/>
        <w:spacing w:after="0" w:line="244" w:lineRule="auto"/>
        <w:rPr>
          <w:sz w:val="20"/>
          <w:szCs w:val="20"/>
          <w:color w:val="auto"/>
        </w:rPr>
      </w:pPr>
      <w:r>
        <w:rPr>
          <w:rFonts w:ascii="Arial" w:cs="Arial" w:eastAsia="Arial" w:hAnsi="Arial"/>
          <w:sz w:val="20"/>
          <w:szCs w:val="20"/>
          <w:color w:val="auto"/>
        </w:rPr>
        <w:t xml:space="preserve">INDEMNIFICATION CLAIMS RELATING TO IP PURSUANT TO </w:t>
      </w:r>
      <w:r>
        <w:rPr>
          <w:rFonts w:ascii="Arial" w:cs="Arial" w:eastAsia="Arial" w:hAnsi="Arial"/>
          <w:sz w:val="20"/>
          <w:szCs w:val="20"/>
          <w:u w:val="single" w:color="auto"/>
          <w:color w:val="auto"/>
        </w:rPr>
        <w:t>ARTICLE 9.1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9.2</w:t>
      </w:r>
      <w:r>
        <w:rPr>
          <w:rFonts w:ascii="Arial" w:cs="Arial" w:eastAsia="Arial" w:hAnsi="Arial"/>
          <w:sz w:val="20"/>
          <w:szCs w:val="20"/>
          <w:color w:val="auto"/>
        </w:rPr>
        <w:t xml:space="preserve"> SHALL EXPIRE [***].</w:t>
      </w:r>
    </w:p>
    <w:p>
      <w:pPr>
        <w:spacing w:after="0" w:line="19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The limitations of liability set forth herein shall not apply:</w:t>
      </w:r>
    </w:p>
    <w:p>
      <w:pPr>
        <w:spacing w:after="0" w:line="243" w:lineRule="exact"/>
        <w:rPr>
          <w:sz w:val="20"/>
          <w:szCs w:val="20"/>
          <w:color w:val="auto"/>
        </w:rPr>
      </w:pPr>
    </w:p>
    <w:p>
      <w:pPr>
        <w:ind w:left="1500" w:hanging="759"/>
        <w:spacing w:after="0"/>
        <w:tabs>
          <w:tab w:leader="none" w:pos="1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death or personal injury of Purchaser caused by Supplier’s negligence;</w:t>
      </w:r>
    </w:p>
    <w:p>
      <w:pPr>
        <w:spacing w:after="0" w:line="40" w:lineRule="exact"/>
        <w:rPr>
          <w:rFonts w:ascii="Arial" w:cs="Arial" w:eastAsia="Arial" w:hAnsi="Arial"/>
          <w:sz w:val="20"/>
          <w:szCs w:val="20"/>
          <w:color w:val="auto"/>
        </w:rPr>
      </w:pPr>
    </w:p>
    <w:p>
      <w:pPr>
        <w:ind w:left="1500" w:hanging="759"/>
        <w:spacing w:after="0"/>
        <w:tabs>
          <w:tab w:leader="none" w:pos="1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to any matter for which it would be illegal for Supplier to exclude or attempt to exclude its liability; or</w:t>
      </w:r>
    </w:p>
    <w:p>
      <w:pPr>
        <w:spacing w:after="0" w:line="40" w:lineRule="exact"/>
        <w:rPr>
          <w:rFonts w:ascii="Arial" w:cs="Arial" w:eastAsia="Arial" w:hAnsi="Arial"/>
          <w:sz w:val="20"/>
          <w:szCs w:val="20"/>
          <w:color w:val="auto"/>
        </w:rPr>
      </w:pPr>
    </w:p>
    <w:p>
      <w:pPr>
        <w:ind w:left="1500" w:hanging="759"/>
        <w:spacing w:after="0"/>
        <w:tabs>
          <w:tab w:leader="none" w:pos="15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for fraud or fraudulent misrepresentation.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w:t>
      </w:r>
      <w:r>
        <w:rPr>
          <w:rFonts w:ascii="Arial" w:cs="Arial" w:eastAsia="Arial" w:hAnsi="Arial"/>
          <w:sz w:val="20"/>
          <w:szCs w:val="20"/>
          <w:b w:val="1"/>
          <w:bCs w:val="1"/>
          <w:u w:val="single" w:color="auto"/>
          <w:color w:val="auto"/>
        </w:rPr>
        <w:t>INSURANCE</w:t>
      </w:r>
      <w:r>
        <w:rPr>
          <w:rFonts w:ascii="Arial" w:cs="Arial" w:eastAsia="Arial" w:hAnsi="Arial"/>
          <w:sz w:val="20"/>
          <w:szCs w:val="20"/>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3" w:name="page54"/>
    <w:bookmarkEnd w:id="53"/>
    <w:p>
      <w:pPr>
        <w:spacing w:after="0"/>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u w:val="single" w:color="auto"/>
          <w:color w:val="auto"/>
        </w:rPr>
        <w:t>Minimum Coverages</w:t>
      </w:r>
      <w:r>
        <w:rPr>
          <w:rFonts w:ascii="Arial" w:cs="Arial" w:eastAsia="Arial" w:hAnsi="Arial"/>
          <w:sz w:val="18"/>
          <w:szCs w:val="18"/>
          <w:color w:val="auto"/>
        </w:rPr>
        <w:t>.</w:t>
      </w:r>
    </w:p>
    <w:p>
      <w:pPr>
        <w:spacing w:after="0" w:line="216" w:lineRule="exact"/>
        <w:rPr>
          <w:sz w:val="20"/>
          <w:szCs w:val="20"/>
          <w:color w:val="auto"/>
        </w:rPr>
      </w:pPr>
    </w:p>
    <w:p>
      <w:pPr>
        <w:jc w:val="both"/>
        <w:ind w:left="1500" w:hanging="748"/>
        <w:spacing w:after="0" w:line="246" w:lineRule="auto"/>
        <w:tabs>
          <w:tab w:leader="none" w:pos="1480" w:val="left"/>
        </w:tabs>
        <w:rPr>
          <w:sz w:val="20"/>
          <w:szCs w:val="20"/>
          <w:color w:val="auto"/>
        </w:rPr>
      </w:pPr>
      <w:r>
        <w:rPr>
          <w:rFonts w:ascii="Arial" w:cs="Arial" w:eastAsia="Arial" w:hAnsi="Arial"/>
          <w:sz w:val="20"/>
          <w:szCs w:val="20"/>
          <w:color w:val="auto"/>
        </w:rPr>
        <w:t>11.1.1</w:t>
        <w:tab/>
        <w:t>Each Party will procure and maintain, at its own expense, (A) commercial general liability insurance including premises operations, personal injury and advertising injury including fire legal liability for bodily injury and property damage, with a per-occurrence limit of not less than [***] and an aggregate limit of not less than [***]; and (B) products and completed operations liability insurance with a per-occurrence limit of not less than [***].</w:t>
      </w:r>
    </w:p>
    <w:p>
      <w:pPr>
        <w:spacing w:after="0" w:line="191" w:lineRule="exact"/>
        <w:rPr>
          <w:sz w:val="20"/>
          <w:szCs w:val="20"/>
          <w:color w:val="auto"/>
        </w:rPr>
      </w:pPr>
    </w:p>
    <w:p>
      <w:pPr>
        <w:jc w:val="both"/>
        <w:ind w:left="1500" w:hanging="748"/>
        <w:spacing w:after="0" w:line="262" w:lineRule="auto"/>
        <w:tabs>
          <w:tab w:leader="none" w:pos="148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9"/>
          <w:szCs w:val="19"/>
          <w:color w:val="auto"/>
        </w:rPr>
        <w:t>The above coverages may be satisfied through umbrella or excess liability coverage. Each of the policies required above shall be maintained for the duration of the Agreement, and for [***] if written on a claims made or occurrence reported form, and shall be obtained from an insurance carrier rated A-VII or better with A. M. Best.</w:t>
      </w:r>
    </w:p>
    <w:p>
      <w:pPr>
        <w:spacing w:after="0" w:line="175" w:lineRule="exact"/>
        <w:rPr>
          <w:sz w:val="20"/>
          <w:szCs w:val="20"/>
          <w:color w:val="auto"/>
        </w:rPr>
      </w:pPr>
    </w:p>
    <w:p>
      <w:pPr>
        <w:jc w:val="both"/>
        <w:ind w:left="740" w:hanging="732"/>
        <w:spacing w:after="0" w:line="260" w:lineRule="auto"/>
        <w:tabs>
          <w:tab w:leader="none" w:pos="7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u w:val="single" w:color="auto"/>
          <w:color w:val="auto"/>
        </w:rPr>
        <w:t>Evidence of Insurance</w:t>
      </w:r>
      <w:r>
        <w:rPr>
          <w:rFonts w:ascii="Arial" w:cs="Arial" w:eastAsia="Arial" w:hAnsi="Arial"/>
          <w:sz w:val="20"/>
          <w:szCs w:val="20"/>
          <w:color w:val="auto"/>
        </w:rPr>
        <w:t>. Upon request, each Party shall furnish to the other certificates of insurance or other suitable written</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documentation evidencing the insurance coverages as required in this </w:t>
      </w:r>
      <w:r>
        <w:rPr>
          <w:rFonts w:ascii="Arial" w:cs="Arial" w:eastAsia="Arial" w:hAnsi="Arial"/>
          <w:sz w:val="20"/>
          <w:szCs w:val="20"/>
          <w:u w:val="single" w:color="auto"/>
          <w:color w:val="auto"/>
        </w:rPr>
        <w:t>Article 11</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12</w:t>
      </w: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tabs>
          <w:tab w:leader="none" w:pos="7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u w:val="single" w:color="auto"/>
          <w:color w:val="auto"/>
        </w:rPr>
        <w:t>Termination for Cause</w:t>
      </w:r>
      <w:r>
        <w:rPr>
          <w:rFonts w:ascii="Arial" w:cs="Arial" w:eastAsia="Arial" w:hAnsi="Arial"/>
          <w:sz w:val="20"/>
          <w:szCs w:val="20"/>
          <w:color w:val="auto"/>
        </w:rPr>
        <w:t>. If a Party breaches a material obligation under this Agreement, the other Party may notify such breaching</w:t>
      </w:r>
      <w:r>
        <w:rPr>
          <w:rFonts w:ascii="Arial" w:cs="Arial" w:eastAsia="Arial" w:hAnsi="Arial"/>
          <w:sz w:val="20"/>
          <w:szCs w:val="20"/>
          <w:u w:val="single" w:color="auto"/>
          <w:color w:val="auto"/>
        </w:rPr>
        <w:t xml:space="preserve"> </w:t>
      </w:r>
      <w:r>
        <w:rPr>
          <w:rFonts w:ascii="Arial" w:cs="Arial" w:eastAsia="Arial" w:hAnsi="Arial"/>
          <w:sz w:val="20"/>
          <w:szCs w:val="20"/>
          <w:color w:val="auto"/>
        </w:rPr>
        <w:t xml:space="preserve">Party in writing of such breach and require that the breaching Party cure such breach within [***] of such notice for any payment breach, or within [***] of the non-breaching Party's notice of any other breach. In the event the breaching Party shall not have cured the breach by the end of the applicable cure period, the non-breaching Party may terminate this Agreement for cause immediately upon written notice to the breaching Party; provided that, if the basis for such termination is disputed by either Party, such termination shall not be effective if and until final resolution pursuant to </w:t>
      </w:r>
      <w:r>
        <w:rPr>
          <w:rFonts w:ascii="Arial" w:cs="Arial" w:eastAsia="Arial" w:hAnsi="Arial"/>
          <w:sz w:val="20"/>
          <w:szCs w:val="20"/>
          <w:u w:val="single" w:color="auto"/>
          <w:color w:val="auto"/>
        </w:rPr>
        <w:t>Article 14</w:t>
      </w:r>
      <w:r>
        <w:rPr>
          <w:rFonts w:ascii="Arial" w:cs="Arial" w:eastAsia="Arial" w:hAnsi="Arial"/>
          <w:sz w:val="20"/>
          <w:szCs w:val="20"/>
          <w:color w:val="auto"/>
        </w:rPr>
        <w:t xml:space="preserve"> that this Agreement is terminated as a result of such material breach.</w:t>
      </w:r>
    </w:p>
    <w:p>
      <w:pPr>
        <w:spacing w:after="0" w:line="19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u w:val="single" w:color="auto"/>
          <w:color w:val="auto"/>
        </w:rPr>
        <w:t>Remedies for Termination for Cause</w:t>
      </w:r>
      <w:r>
        <w:rPr>
          <w:rFonts w:ascii="Arial" w:cs="Arial" w:eastAsia="Arial" w:hAnsi="Arial"/>
          <w:sz w:val="16"/>
          <w:szCs w:val="16"/>
          <w:color w:val="auto"/>
        </w:rPr>
        <w:t>.</w:t>
      </w:r>
    </w:p>
    <w:p>
      <w:pPr>
        <w:spacing w:after="0" w:line="202"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 xml:space="preserve">If Supplier terminates this Agreement for cause pursuant to </w:t>
      </w:r>
      <w:r>
        <w:rPr>
          <w:rFonts w:ascii="Arial" w:cs="Arial" w:eastAsia="Arial" w:hAnsi="Arial"/>
          <w:sz w:val="18"/>
          <w:szCs w:val="18"/>
          <w:u w:val="single" w:color="auto"/>
          <w:color w:val="auto"/>
        </w:rPr>
        <w:t>Article 12.1</w:t>
      </w:r>
      <w:r>
        <w:rPr>
          <w:rFonts w:ascii="Arial" w:cs="Arial" w:eastAsia="Arial" w:hAnsi="Arial"/>
          <w:sz w:val="18"/>
          <w:szCs w:val="18"/>
          <w:color w:val="auto"/>
        </w:rPr>
        <w:t>, then:</w:t>
      </w:r>
    </w:p>
    <w:p>
      <w:pPr>
        <w:spacing w:after="0" w:line="216" w:lineRule="exact"/>
        <w:rPr>
          <w:sz w:val="20"/>
          <w:szCs w:val="20"/>
          <w:color w:val="auto"/>
        </w:rPr>
      </w:pPr>
    </w:p>
    <w:p>
      <w:pPr>
        <w:jc w:val="both"/>
        <w:ind w:left="2620" w:hanging="1122"/>
        <w:spacing w:after="0" w:line="316" w:lineRule="auto"/>
        <w:tabs>
          <w:tab w:leader="none" w:pos="260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Purchaser shall purchase from Supplier any and all inventories of the Product manufactured at the purchase price then in effect as well as pay Supplier for any Product volumes bindingly forecasted or ordered;</w:t>
      </w:r>
    </w:p>
    <w:p>
      <w:pPr>
        <w:spacing w:after="0" w:line="13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 xml:space="preserve">If Purchaser terminates this Agreement for cause pursuant to </w:t>
      </w:r>
      <w:r>
        <w:rPr>
          <w:rFonts w:ascii="Arial" w:cs="Arial" w:eastAsia="Arial" w:hAnsi="Arial"/>
          <w:sz w:val="16"/>
          <w:szCs w:val="16"/>
          <w:u w:val="single" w:color="auto"/>
          <w:color w:val="auto"/>
        </w:rPr>
        <w:t>Article 12.1</w:t>
      </w:r>
      <w:r>
        <w:rPr>
          <w:rFonts w:ascii="Arial" w:cs="Arial" w:eastAsia="Arial" w:hAnsi="Arial"/>
          <w:sz w:val="16"/>
          <w:szCs w:val="16"/>
          <w:color w:val="auto"/>
        </w:rPr>
        <w:t>, then:</w:t>
      </w:r>
    </w:p>
    <w:p>
      <w:pPr>
        <w:spacing w:after="0" w:line="216" w:lineRule="exact"/>
        <w:rPr>
          <w:sz w:val="20"/>
          <w:szCs w:val="20"/>
          <w:color w:val="auto"/>
        </w:rPr>
      </w:pPr>
    </w:p>
    <w:p>
      <w:pPr>
        <w:jc w:val="both"/>
        <w:ind w:left="2620" w:hanging="1122"/>
        <w:spacing w:after="0"/>
        <w:tabs>
          <w:tab w:leader="none" w:pos="260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20"/>
          <w:szCs w:val="20"/>
          <w:color w:val="auto"/>
        </w:rPr>
        <w:t>Purchaser shall be obligated to (i) pay for all volumes of Product delivered to Purchaser until the date of the notice of material breach giving rise to termination, and (ii) accept delivery and pay for such volumes of Product which Seller manufactured until the date of the notice of termination, provided, however, that Purchaser shall have no obligation to make the payments described in (i) and (ii) of this Article if Purchaser has terminated this Agreement due to Supplier’s failure to manufacture Product in accordance with Specification, cGMP or applicable law;</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4" w:name="page55"/>
    <w:bookmarkEnd w:id="54"/>
    <w:p>
      <w:pPr>
        <w:jc w:val="both"/>
        <w:ind w:left="740" w:hanging="732"/>
        <w:spacing w:after="0" w:line="254" w:lineRule="auto"/>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 Termination or expiration of this Agreement shall not (i) affect any other rights of either Party which may have accrued up</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to the date of such termination or expiration or (ii) subject to </w:t>
      </w:r>
      <w:r>
        <w:rPr>
          <w:rFonts w:ascii="Arial" w:cs="Arial" w:eastAsia="Arial" w:hAnsi="Arial"/>
          <w:sz w:val="19"/>
          <w:szCs w:val="19"/>
          <w:u w:val="single" w:color="auto"/>
          <w:color w:val="auto"/>
        </w:rPr>
        <w:t>Article 12.2.2.1</w:t>
      </w:r>
      <w:r>
        <w:rPr>
          <w:rFonts w:ascii="Arial" w:cs="Arial" w:eastAsia="Arial" w:hAnsi="Arial"/>
          <w:sz w:val="19"/>
          <w:szCs w:val="19"/>
          <w:color w:val="auto"/>
        </w:rPr>
        <w:t xml:space="preserve">, relieve Purchaser of its obligation to pay to Supplier any undisputed sums due in respect of Product delivered prior to termination or expiration, including but not limited to any Raw Materials purchased and/or work in progress pursuant to a purchase order accepted by Supplier pursuant to this Agreement, so long as such Raw Materials cannot promptly be used by Supplier for its other clients. The Articles of this Agreement that by their nature would survive the expiration or termination of this Agreement shall survive the expiration or termination of this Agreement (for the time periods set forth therein), in particular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12.4</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15</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13</w:t>
      </w:r>
      <w:r>
        <w:rPr>
          <w:rFonts w:ascii="Arial" w:cs="Arial" w:eastAsia="Arial" w:hAnsi="Arial"/>
          <w:sz w:val="20"/>
          <w:szCs w:val="20"/>
          <w:b w:val="1"/>
          <w:bCs w:val="1"/>
          <w:u w:val="single" w:color="auto"/>
          <w:color w:val="auto"/>
        </w:rPr>
        <w:t>FORCE MAJEURE</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74" w:lineRule="auto"/>
        <w:tabs>
          <w:tab w:leader="none" w:pos="7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u w:val="single" w:color="auto"/>
          <w:color w:val="auto"/>
        </w:rPr>
        <w:t>Event of Force Majeure</w:t>
      </w:r>
      <w:r>
        <w:rPr>
          <w:rFonts w:ascii="Arial" w:cs="Arial" w:eastAsia="Arial" w:hAnsi="Arial"/>
          <w:sz w:val="18"/>
          <w:szCs w:val="18"/>
          <w:color w:val="auto"/>
        </w:rPr>
        <w:t>. Neither Party shall be liable to the other for its failure to perform any of its obligations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except for payment obligations, during any period in which such performance is delayed or rendered impracticable or impossible due to circumstances beyond its reasonable control, including without limitation earthquakes, governmental acts or regulation, fire, flood, pandemics, explosion, labor difficulties (other than those with its own employees), civil disorder, and acts of God, provided that the Party experiencing the delay promptly notifies the other Party of the delay (“</w:t>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68" w:lineRule="exact"/>
        <w:rPr>
          <w:sz w:val="20"/>
          <w:szCs w:val="20"/>
          <w:color w:val="auto"/>
        </w:rPr>
      </w:pPr>
    </w:p>
    <w:p>
      <w:pPr>
        <w:jc w:val="both"/>
        <w:ind w:left="740" w:hanging="732"/>
        <w:spacing w:after="0" w:line="267" w:lineRule="auto"/>
        <w:tabs>
          <w:tab w:leader="none" w:pos="7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8"/>
          <w:szCs w:val="18"/>
          <w:u w:val="single" w:color="auto"/>
          <w:color w:val="auto"/>
        </w:rPr>
        <w:t>Effect of Force Majeure</w:t>
      </w:r>
      <w:r>
        <w:rPr>
          <w:rFonts w:ascii="Arial" w:cs="Arial" w:eastAsia="Arial" w:hAnsi="Arial"/>
          <w:sz w:val="18"/>
          <w:szCs w:val="18"/>
          <w:color w:val="auto"/>
        </w:rPr>
        <w:t>. If such Force Majeure occurs, the affected Party shall notify the other Party in writing as soon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practicable of the occurrence of said Force Majeure event, the nature of and expected duration of the Force Majeure event, and the effect the Force Majeure event will have on such Party’s performance of this Agreement. The affected Party will be excused from performing its obligations hereunder only during the Force Majeure event and the affected Party shall not be liable to the other Party for damages by reason of any delay or suspension of performance resulting from the Force Majeure event. The Party that invokes this </w:t>
      </w:r>
      <w:r>
        <w:rPr>
          <w:rFonts w:ascii="Arial" w:cs="Arial" w:eastAsia="Arial" w:hAnsi="Arial"/>
          <w:sz w:val="18"/>
          <w:szCs w:val="18"/>
          <w:u w:val="single" w:color="auto"/>
          <w:color w:val="auto"/>
        </w:rPr>
        <w:t>Article 13.2</w:t>
      </w:r>
      <w:r>
        <w:rPr>
          <w:rFonts w:ascii="Arial" w:cs="Arial" w:eastAsia="Arial" w:hAnsi="Arial"/>
          <w:sz w:val="18"/>
          <w:szCs w:val="18"/>
          <w:color w:val="auto"/>
        </w:rPr>
        <w:t xml:space="preserve"> shall use commercially reasonable efforts to resume performance of its ongoing obligations to the other Party as soon as practicable. If the event of Force Majeure shall continue unabated for [***], then both Parties shall meet to discuss and negotiate in good faith what modifications to this Agreement should result from such cause(s); and if the Parties are not able to agree upon such modifications within [***], the Party that has not invoked this </w:t>
      </w:r>
      <w:r>
        <w:rPr>
          <w:rFonts w:ascii="Arial" w:cs="Arial" w:eastAsia="Arial" w:hAnsi="Arial"/>
          <w:sz w:val="18"/>
          <w:szCs w:val="18"/>
          <w:u w:val="single" w:color="auto"/>
          <w:color w:val="auto"/>
        </w:rPr>
        <w:t>Article 13.2</w:t>
      </w:r>
      <w:r>
        <w:rPr>
          <w:rFonts w:ascii="Arial" w:cs="Arial" w:eastAsia="Arial" w:hAnsi="Arial"/>
          <w:sz w:val="18"/>
          <w:szCs w:val="18"/>
          <w:color w:val="auto"/>
        </w:rPr>
        <w:t xml:space="preserve"> may terminate this Agreement upon written notice delivered by such Party to the other Party, provided that Purchaser shall (i) purchase from Supplier any and all inventories of the Product manufactured at the Product Price then in effect, and (ii) reimburse Supplier for any actual, out-of-pocket costs and expenses incurred up to the effective date of termination, including non-cancellable Third Party costs.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14</w:t>
      </w:r>
      <w:r>
        <w:rPr>
          <w:rFonts w:ascii="Arial" w:cs="Arial" w:eastAsia="Arial" w:hAnsi="Arial"/>
          <w:sz w:val="20"/>
          <w:szCs w:val="20"/>
          <w:b w:val="1"/>
          <w:bCs w:val="1"/>
          <w:u w:val="single" w:color="auto"/>
          <w:color w:val="auto"/>
        </w:rPr>
        <w:t>GOVERNING LAW AND VENUE</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91" w:lineRule="auto"/>
        <w:tabs>
          <w:tab w:leader="none" w:pos="7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legal relations between the Parties in connection herewith shall be governed by,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construed in accordance with, the laws of the [***], excluding the provisions of the United Nations Convention on Contracts for the International Sale of Goods and any conflict of law provisions that would require application of another choice of law.</w:t>
      </w:r>
    </w:p>
    <w:p>
      <w:pPr>
        <w:spacing w:after="0" w:line="152" w:lineRule="exact"/>
        <w:rPr>
          <w:sz w:val="20"/>
          <w:szCs w:val="20"/>
          <w:color w:val="auto"/>
        </w:rPr>
      </w:pPr>
    </w:p>
    <w:p>
      <w:pPr>
        <w:jc w:val="both"/>
        <w:ind w:left="740" w:hanging="732"/>
        <w:spacing w:after="0" w:line="277" w:lineRule="auto"/>
        <w:tabs>
          <w:tab w:leader="none" w:pos="7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u w:val="single" w:color="auto"/>
          <w:color w:val="auto"/>
        </w:rPr>
        <w:t>Jurisdiction</w:t>
      </w:r>
      <w:r>
        <w:rPr>
          <w:rFonts w:ascii="Arial" w:cs="Arial" w:eastAsia="Arial" w:hAnsi="Arial"/>
          <w:sz w:val="18"/>
          <w:szCs w:val="18"/>
          <w:color w:val="auto"/>
        </w:rPr>
        <w:t>. Any dispute, controversy or claim arising out of or in connection with this Agreement, or the breach, termination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invalidity thereof, that cannot be solved by both Parties in an amicable manner shall be finally settled by arbitration in accordance with the ICC Rules of Arbitration in force on the date when the notice of arbitration is submitted. The number of arbitrators will be three (3). The seat of arbitration will be London, England. The arbitral proceedings will be conducted in English.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ARTICLE 15</w:t>
      </w: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w:t>
      </w:r>
    </w:p>
    <w:p>
      <w:pPr>
        <w:spacing w:after="0" w:line="222" w:lineRule="exact"/>
        <w:rPr>
          <w:sz w:val="20"/>
          <w:szCs w:val="20"/>
          <w:color w:val="auto"/>
        </w:rPr>
      </w:pPr>
    </w:p>
    <w:p>
      <w:pPr>
        <w:jc w:val="both"/>
        <w:ind w:left="740" w:hanging="732"/>
        <w:spacing w:after="0" w:line="282" w:lineRule="auto"/>
        <w:tabs>
          <w:tab w:leader="none" w:pos="7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All notices, consents, claims, demands or other communications given under this Agreement shall only be sufficient if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writing and sent (1) by electronic mail, conditioned upon written acknowledgment of receipt or (2) by an internationally recognized overnight courier service which provides a delivery receipt, to the Parties at the address set forth below or at such other address designated by either Party in writing. Such communications must be sent to the respective Parties at the below addresses.</w:t>
      </w:r>
    </w:p>
    <w:p>
      <w:pPr>
        <w:spacing w:after="0" w:line="155"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For Supplier:</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Evonik Operations GmbH</w:t>
      </w:r>
    </w:p>
    <w:p>
      <w:pPr>
        <w:ind w:left="740"/>
        <w:spacing w:after="0"/>
        <w:rPr>
          <w:sz w:val="20"/>
          <w:szCs w:val="20"/>
          <w:color w:val="auto"/>
        </w:rPr>
      </w:pPr>
      <w:r>
        <w:rPr>
          <w:rFonts w:ascii="Arial" w:cs="Arial" w:eastAsia="Arial" w:hAnsi="Arial"/>
          <w:sz w:val="20"/>
          <w:szCs w:val="20"/>
          <w:color w:val="auto"/>
        </w:rPr>
        <w:t>[***]</w:t>
      </w:r>
    </w:p>
    <w:p>
      <w:pPr>
        <w:spacing w:after="0" w:line="18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For Purchaser:</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Phathom Pharmaceuticals, Inc.</w:t>
      </w:r>
    </w:p>
    <w:p>
      <w:pPr>
        <w:ind w:left="740"/>
        <w:spacing w:after="0"/>
        <w:rPr>
          <w:sz w:val="20"/>
          <w:szCs w:val="20"/>
          <w:color w:val="auto"/>
        </w:rPr>
      </w:pPr>
      <w:r>
        <w:rPr>
          <w:rFonts w:ascii="Arial" w:cs="Arial" w:eastAsia="Arial" w:hAnsi="Arial"/>
          <w:sz w:val="20"/>
          <w:szCs w:val="20"/>
          <w:color w:val="auto"/>
        </w:rPr>
        <w:t>2150 E. Lake Cook Road, Suite 800</w:t>
      </w:r>
    </w:p>
    <w:p>
      <w:pPr>
        <w:ind w:left="740"/>
        <w:spacing w:after="0"/>
        <w:rPr>
          <w:sz w:val="20"/>
          <w:szCs w:val="20"/>
          <w:color w:val="auto"/>
        </w:rPr>
      </w:pPr>
      <w:r>
        <w:rPr>
          <w:rFonts w:ascii="Arial" w:cs="Arial" w:eastAsia="Arial" w:hAnsi="Arial"/>
          <w:sz w:val="20"/>
          <w:szCs w:val="20"/>
          <w:color w:val="auto"/>
        </w:rPr>
        <w:t>Buffalo Grove, Illinois 60089</w:t>
      </w:r>
    </w:p>
    <w:p>
      <w:pPr>
        <w:ind w:left="740"/>
        <w:spacing w:after="0"/>
        <w:rPr>
          <w:sz w:val="20"/>
          <w:szCs w:val="20"/>
          <w:color w:val="auto"/>
        </w:rPr>
      </w:pPr>
      <w:r>
        <w:rPr>
          <w:rFonts w:ascii="Arial" w:cs="Arial" w:eastAsia="Arial" w:hAnsi="Arial"/>
          <w:sz w:val="20"/>
          <w:szCs w:val="20"/>
          <w:color w:val="auto"/>
        </w:rPr>
        <w:t>Attn: Vice President, Manufacturing and Supply Chain</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Phathom Pharmaceuticals, Inc.</w:t>
      </w:r>
    </w:p>
    <w:p>
      <w:pPr>
        <w:ind w:left="740"/>
        <w:spacing w:after="0" w:line="225" w:lineRule="auto"/>
        <w:rPr>
          <w:sz w:val="20"/>
          <w:szCs w:val="20"/>
          <w:color w:val="auto"/>
        </w:rPr>
      </w:pPr>
      <w:r>
        <w:rPr>
          <w:rFonts w:ascii="Arial" w:cs="Arial" w:eastAsia="Arial" w:hAnsi="Arial"/>
          <w:sz w:val="20"/>
          <w:szCs w:val="20"/>
          <w:color w:val="auto"/>
        </w:rPr>
        <w:t>100 Campus Drive, Suite 102</w:t>
      </w:r>
    </w:p>
    <w:p>
      <w:pPr>
        <w:ind w:left="740"/>
        <w:spacing w:after="0"/>
        <w:rPr>
          <w:sz w:val="20"/>
          <w:szCs w:val="20"/>
          <w:color w:val="auto"/>
        </w:rPr>
      </w:pPr>
      <w:r>
        <w:rPr>
          <w:rFonts w:ascii="Arial" w:cs="Arial" w:eastAsia="Arial" w:hAnsi="Arial"/>
          <w:sz w:val="20"/>
          <w:szCs w:val="20"/>
          <w:color w:val="auto"/>
        </w:rPr>
        <w:t>Florham Park, NJ 07932</w:t>
      </w:r>
    </w:p>
    <w:p>
      <w:pPr>
        <w:ind w:left="740"/>
        <w:spacing w:after="0"/>
        <w:rPr>
          <w:sz w:val="20"/>
          <w:szCs w:val="20"/>
          <w:color w:val="auto"/>
        </w:rPr>
      </w:pPr>
      <w:r>
        <w:rPr>
          <w:rFonts w:ascii="Arial" w:cs="Arial" w:eastAsia="Arial" w:hAnsi="Arial"/>
          <w:sz w:val="20"/>
          <w:szCs w:val="20"/>
          <w:color w:val="auto"/>
        </w:rPr>
        <w:t>Attn: General Counsel (Legal Department)</w:t>
      </w:r>
    </w:p>
    <w:p>
      <w:pPr>
        <w:ind w:left="740"/>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pacing w:after="0" w:line="202" w:lineRule="exact"/>
        <w:rPr>
          <w:sz w:val="20"/>
          <w:szCs w:val="20"/>
          <w:color w:val="auto"/>
        </w:rPr>
      </w:pPr>
    </w:p>
    <w:p>
      <w:pPr>
        <w:jc w:val="both"/>
        <w:ind w:left="740" w:hanging="733"/>
        <w:spacing w:after="0" w:line="260" w:lineRule="auto"/>
        <w:tabs>
          <w:tab w:leader="none" w:pos="7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20"/>
          <w:szCs w:val="20"/>
          <w:u w:val="single" w:color="auto"/>
          <w:color w:val="auto"/>
        </w:rPr>
        <w:t>Independent Parties</w:t>
      </w:r>
      <w:r>
        <w:rPr>
          <w:rFonts w:ascii="Arial" w:cs="Arial" w:eastAsia="Arial" w:hAnsi="Arial"/>
          <w:sz w:val="20"/>
          <w:szCs w:val="20"/>
          <w:color w:val="auto"/>
        </w:rPr>
        <w:t>. The Parties are not employees or legal representatives of the other Party for any purpose. Neither Party shall</w:t>
      </w:r>
      <w:r>
        <w:rPr>
          <w:rFonts w:ascii="Arial" w:cs="Arial" w:eastAsia="Arial" w:hAnsi="Arial"/>
          <w:sz w:val="20"/>
          <w:szCs w:val="20"/>
          <w:u w:val="single" w:color="auto"/>
          <w:color w:val="auto"/>
        </w:rPr>
        <w:t xml:space="preserve"> </w:t>
      </w:r>
      <w:r>
        <w:rPr>
          <w:rFonts w:ascii="Arial" w:cs="Arial" w:eastAsia="Arial" w:hAnsi="Arial"/>
          <w:sz w:val="20"/>
          <w:szCs w:val="20"/>
          <w:color w:val="auto"/>
        </w:rPr>
        <w:t>have the authority to enter into any contracts in the name of or on behalf of the other Party.</w:t>
      </w:r>
    </w:p>
    <w:p>
      <w:pPr>
        <w:spacing w:after="0" w:line="177" w:lineRule="exact"/>
        <w:rPr>
          <w:sz w:val="20"/>
          <w:szCs w:val="20"/>
          <w:color w:val="auto"/>
        </w:rPr>
      </w:pPr>
    </w:p>
    <w:p>
      <w:pPr>
        <w:jc w:val="both"/>
        <w:ind w:left="740" w:hanging="733"/>
        <w:spacing w:after="0" w:line="255" w:lineRule="auto"/>
        <w:tabs>
          <w:tab w:leader="none" w:pos="7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u w:val="single" w:color="auto"/>
          <w:color w:val="auto"/>
        </w:rPr>
        <w:t>Publicity; Use of Name</w:t>
      </w:r>
      <w:r>
        <w:rPr>
          <w:rFonts w:ascii="Arial" w:cs="Arial" w:eastAsia="Arial" w:hAnsi="Arial"/>
          <w:sz w:val="19"/>
          <w:szCs w:val="19"/>
          <w:color w:val="auto"/>
        </w:rPr>
        <w:t>. Except as required by law, neither Party shall originate any publicity, news release or other public</w:t>
      </w:r>
      <w:r>
        <w:rPr>
          <w:rFonts w:ascii="Arial" w:cs="Arial" w:eastAsia="Arial" w:hAnsi="Arial"/>
          <w:sz w:val="19"/>
          <w:szCs w:val="19"/>
          <w:u w:val="single" w:color="auto"/>
          <w:color w:val="auto"/>
        </w:rPr>
        <w:t xml:space="preserve"> </w:t>
      </w:r>
      <w:r>
        <w:rPr>
          <w:rFonts w:ascii="Arial" w:cs="Arial" w:eastAsia="Arial" w:hAnsi="Arial"/>
          <w:sz w:val="19"/>
          <w:szCs w:val="19"/>
          <w:color w:val="auto"/>
        </w:rPr>
        <w:t>announcement, written or oral, whether to the public, press, stockholders or otherwise, relating to this Agreement, to any amendment hereto or thereto or activities hereunder or thereunder without the prior written consent of the other Party. Nothing contained in this Agreement shall be construed as conferring any right to use in advertising, publicity or other promotional activities any name, trade name, trademark, or other designation (including any contraction, abbreviation, or simulation of any of the foregoing); and each Party hereto agrees not to use any designation of the other Party in any promotional activity associated with this Agreement without the express written approval of the other Party.</w:t>
      </w:r>
    </w:p>
    <w:p>
      <w:pPr>
        <w:spacing w:after="0" w:line="184" w:lineRule="exact"/>
        <w:rPr>
          <w:sz w:val="20"/>
          <w:szCs w:val="20"/>
          <w:color w:val="auto"/>
        </w:rPr>
      </w:pPr>
    </w:p>
    <w:p>
      <w:pPr>
        <w:jc w:val="both"/>
        <w:ind w:left="740" w:hanging="733"/>
        <w:spacing w:after="0" w:line="241" w:lineRule="auto"/>
        <w:tabs>
          <w:tab w:leader="none" w:pos="7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Agreement is held to be invalid or unenforceable, the valid or enforceable portion</w:t>
      </w:r>
      <w:r>
        <w:rPr>
          <w:rFonts w:ascii="Arial" w:cs="Arial" w:eastAsia="Arial" w:hAnsi="Arial"/>
          <w:sz w:val="20"/>
          <w:szCs w:val="20"/>
          <w:u w:val="single" w:color="auto"/>
          <w:color w:val="auto"/>
        </w:rPr>
        <w:t xml:space="preserve"> </w:t>
      </w:r>
      <w:r>
        <w:rPr>
          <w:rFonts w:ascii="Arial" w:cs="Arial" w:eastAsia="Arial" w:hAnsi="Arial"/>
          <w:sz w:val="20"/>
          <w:szCs w:val="20"/>
          <w:color w:val="auto"/>
        </w:rPr>
        <w:t>thereof and the remaining provisions of this Agreement will remain in full force and effect. The Parties undertake in good faith to replace an illegal, invalid or unenforceable provision by a valid one which most closely corresponds with the economic intention of the invalid ruling.</w:t>
      </w:r>
    </w:p>
    <w:p>
      <w:pPr>
        <w:spacing w:after="0" w:line="197" w:lineRule="exact"/>
        <w:rPr>
          <w:sz w:val="20"/>
          <w:szCs w:val="20"/>
          <w:color w:val="auto"/>
        </w:rPr>
      </w:pPr>
    </w:p>
    <w:p>
      <w:pPr>
        <w:jc w:val="both"/>
        <w:ind w:left="740" w:hanging="733"/>
        <w:spacing w:after="0" w:line="260" w:lineRule="auto"/>
        <w:tabs>
          <w:tab w:leader="none" w:pos="72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20"/>
          <w:szCs w:val="20"/>
          <w:u w:val="single" w:color="auto"/>
          <w:color w:val="auto"/>
        </w:rPr>
        <w:t>Waiver</w:t>
      </w:r>
      <w:r>
        <w:rPr>
          <w:rFonts w:ascii="Arial" w:cs="Arial" w:eastAsia="Arial" w:hAnsi="Arial"/>
          <w:sz w:val="20"/>
          <w:szCs w:val="20"/>
          <w:color w:val="auto"/>
        </w:rPr>
        <w:t>. Any waiver (express or implied) by either Party of any breach of this Agreement shall not constitute a waiver of any other</w:t>
      </w:r>
      <w:r>
        <w:rPr>
          <w:rFonts w:ascii="Arial" w:cs="Arial" w:eastAsia="Arial" w:hAnsi="Arial"/>
          <w:sz w:val="20"/>
          <w:szCs w:val="20"/>
          <w:u w:val="single" w:color="auto"/>
          <w:color w:val="auto"/>
        </w:rPr>
        <w:t xml:space="preserve"> </w:t>
      </w:r>
      <w:r>
        <w:rPr>
          <w:rFonts w:ascii="Arial" w:cs="Arial" w:eastAsia="Arial" w:hAnsi="Arial"/>
          <w:sz w:val="20"/>
          <w:szCs w:val="20"/>
          <w:color w:val="auto"/>
        </w:rPr>
        <w:t>or subsequent breach.</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jc w:val="both"/>
        <w:ind w:left="740" w:hanging="732"/>
        <w:spacing w:after="0" w:line="246" w:lineRule="auto"/>
        <w:tabs>
          <w:tab w:leader="none" w:pos="72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and the exhibits attached hereto constitute the entire, final, complete and exclusive agreement</w:t>
      </w:r>
      <w:r>
        <w:rPr>
          <w:rFonts w:ascii="Arial" w:cs="Arial" w:eastAsia="Arial" w:hAnsi="Arial"/>
          <w:sz w:val="20"/>
          <w:szCs w:val="20"/>
          <w:u w:val="single" w:color="auto"/>
          <w:color w:val="auto"/>
        </w:rPr>
        <w:t xml:space="preserve"> </w:t>
      </w:r>
      <w:r>
        <w:rPr>
          <w:rFonts w:ascii="Arial" w:cs="Arial" w:eastAsia="Arial" w:hAnsi="Arial"/>
          <w:sz w:val="20"/>
          <w:szCs w:val="20"/>
          <w:color w:val="auto"/>
        </w:rPr>
        <w:t>between the Parties and supersede all previous agreements or representations, written or oral, with respect to the subject matter of this Agreement. No pre-printed terms and conditions on any purchase order, order confirmation or acknowledgment, or any other writing shall have binding effect upon the Parties.</w:t>
      </w:r>
    </w:p>
    <w:p>
      <w:pPr>
        <w:spacing w:after="0" w:line="191" w:lineRule="exact"/>
        <w:rPr>
          <w:sz w:val="20"/>
          <w:szCs w:val="20"/>
          <w:color w:val="auto"/>
        </w:rPr>
      </w:pPr>
    </w:p>
    <w:p>
      <w:pPr>
        <w:jc w:val="both"/>
        <w:ind w:left="740" w:right="20" w:hanging="732"/>
        <w:spacing w:after="0" w:line="260" w:lineRule="auto"/>
        <w:tabs>
          <w:tab w:leader="none" w:pos="720" w:val="left"/>
        </w:tabs>
        <w:rPr>
          <w:sz w:val="20"/>
          <w:szCs w:val="20"/>
          <w:color w:val="auto"/>
        </w:rPr>
      </w:pPr>
      <w:r>
        <w:rPr>
          <w:rFonts w:ascii="Arial" w:cs="Arial" w:eastAsia="Arial" w:hAnsi="Arial"/>
          <w:sz w:val="20"/>
          <w:szCs w:val="20"/>
          <w:color w:val="auto"/>
        </w:rPr>
        <w:t>15.7</w:t>
      </w:r>
      <w:r>
        <w:rPr>
          <w:sz w:val="20"/>
          <w:szCs w:val="20"/>
          <w:color w:val="auto"/>
        </w:rPr>
        <w:tab/>
      </w:r>
      <w:r>
        <w:rPr>
          <w:rFonts w:ascii="Arial" w:cs="Arial" w:eastAsia="Arial" w:hAnsi="Arial"/>
          <w:sz w:val="20"/>
          <w:szCs w:val="20"/>
          <w:u w:val="single" w:color="auto"/>
          <w:color w:val="auto"/>
        </w:rPr>
        <w:t>Amendment</w:t>
      </w:r>
      <w:r>
        <w:rPr>
          <w:rFonts w:ascii="Arial" w:cs="Arial" w:eastAsia="Arial" w:hAnsi="Arial"/>
          <w:sz w:val="20"/>
          <w:szCs w:val="20"/>
          <w:color w:val="auto"/>
        </w:rPr>
        <w:t>. Any amendment to this Agreement must comply with the formal requirements set forth in</w:t>
      </w:r>
      <w:r>
        <w:rPr>
          <w:rFonts w:ascii="Arial" w:cs="Arial" w:eastAsia="Arial" w:hAnsi="Arial"/>
          <w:sz w:val="20"/>
          <w:szCs w:val="20"/>
          <w:u w:val="single" w:color="auto"/>
          <w:color w:val="auto"/>
        </w:rPr>
        <w:t xml:space="preserve"> Article 15.10 </w:t>
      </w:r>
      <w:r>
        <w:rPr>
          <w:rFonts w:ascii="Arial" w:cs="Arial" w:eastAsia="Arial" w:hAnsi="Arial"/>
          <w:sz w:val="20"/>
          <w:szCs w:val="20"/>
          <w:color w:val="auto"/>
        </w:rPr>
        <w:t>and must</w:t>
      </w:r>
      <w:r>
        <w:rPr>
          <w:rFonts w:ascii="Arial" w:cs="Arial" w:eastAsia="Arial" w:hAnsi="Arial"/>
          <w:sz w:val="20"/>
          <w:szCs w:val="20"/>
          <w:u w:val="single" w:color="auto"/>
          <w:color w:val="auto"/>
        </w:rPr>
        <w:t xml:space="preserve"> </w:t>
      </w:r>
      <w:r>
        <w:rPr>
          <w:rFonts w:ascii="Arial" w:cs="Arial" w:eastAsia="Arial" w:hAnsi="Arial"/>
          <w:sz w:val="20"/>
          <w:szCs w:val="20"/>
          <w:color w:val="auto"/>
        </w:rPr>
        <w:t>specifically refer to the provision of the Agreement being amended or waived in order to be effective.</w:t>
      </w:r>
    </w:p>
    <w:p>
      <w:pPr>
        <w:spacing w:after="0" w:line="163" w:lineRule="exact"/>
        <w:rPr>
          <w:sz w:val="20"/>
          <w:szCs w:val="20"/>
          <w:color w:val="auto"/>
        </w:rPr>
      </w:pPr>
    </w:p>
    <w:p>
      <w:pPr>
        <w:jc w:val="both"/>
        <w:ind w:left="740" w:hanging="732"/>
        <w:spacing w:after="0" w:line="254" w:lineRule="auto"/>
        <w:tabs>
          <w:tab w:leader="none" w:pos="720" w:val="left"/>
        </w:tabs>
        <w:rPr>
          <w:sz w:val="20"/>
          <w:szCs w:val="20"/>
          <w:color w:val="auto"/>
        </w:rPr>
      </w:pPr>
      <w:r>
        <w:rPr>
          <w:rFonts w:ascii="Arial" w:cs="Arial" w:eastAsia="Arial" w:hAnsi="Arial"/>
          <w:sz w:val="20"/>
          <w:szCs w:val="20"/>
          <w:color w:val="auto"/>
        </w:rPr>
        <w:t>15.8</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shall assign or transfer this Agreement or any rights or obligations hereunder, by operation of law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otherwise, without the prior written consent of the other Party, except that either Party may, without the other Party’s consent (but subject to written notice), assign this Agreement in its entirety to an Affiliate (provided that the assigning Party will remain responsible and liable for such assignee’s performance under this Agreement), and each Party may, without the other Party’s consent (but subject to written notice), assign this Agreement in its entirety to a successor to substantially all of the business or assets of the assigning Party or its business unit responsible for performance under this Agreement. In the event of a valid assignment,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the terms of this </w:t>
      </w:r>
      <w:r>
        <w:rPr>
          <w:rFonts w:ascii="Arial" w:cs="Arial" w:eastAsia="Arial" w:hAnsi="Arial"/>
          <w:sz w:val="19"/>
          <w:szCs w:val="19"/>
          <w:u w:val="single" w:color="auto"/>
          <w:color w:val="auto"/>
        </w:rPr>
        <w:t>Article 15.8</w:t>
      </w:r>
      <w:r>
        <w:rPr>
          <w:rFonts w:ascii="Arial" w:cs="Arial" w:eastAsia="Arial" w:hAnsi="Arial"/>
          <w:sz w:val="19"/>
          <w:szCs w:val="19"/>
          <w:color w:val="auto"/>
        </w:rPr>
        <w:t xml:space="preserve"> shall be null and void and of no legal effect.</w:t>
      </w:r>
    </w:p>
    <w:p>
      <w:pPr>
        <w:spacing w:after="0" w:line="185" w:lineRule="exact"/>
        <w:rPr>
          <w:sz w:val="20"/>
          <w:szCs w:val="20"/>
          <w:color w:val="auto"/>
        </w:rPr>
      </w:pPr>
    </w:p>
    <w:p>
      <w:pPr>
        <w:jc w:val="both"/>
        <w:ind w:left="740" w:hanging="732"/>
        <w:spacing w:after="0" w:line="269" w:lineRule="auto"/>
        <w:tabs>
          <w:tab w:leader="none" w:pos="720" w:val="left"/>
        </w:tabs>
        <w:rPr>
          <w:sz w:val="20"/>
          <w:szCs w:val="20"/>
          <w:color w:val="auto"/>
        </w:rPr>
      </w:pPr>
      <w:r>
        <w:rPr>
          <w:rFonts w:ascii="Arial" w:cs="Arial" w:eastAsia="Arial" w:hAnsi="Arial"/>
          <w:sz w:val="20"/>
          <w:szCs w:val="20"/>
          <w:color w:val="auto"/>
        </w:rPr>
        <w:t>15.9</w:t>
      </w:r>
      <w:r>
        <w:rPr>
          <w:sz w:val="20"/>
          <w:szCs w:val="20"/>
          <w:color w:val="auto"/>
        </w:rPr>
        <w:tab/>
      </w:r>
      <w:r>
        <w:rPr>
          <w:rFonts w:ascii="Arial" w:cs="Arial" w:eastAsia="Arial" w:hAnsi="Arial"/>
          <w:sz w:val="19"/>
          <w:szCs w:val="19"/>
          <w:u w:val="single" w:color="auto"/>
          <w:color w:val="auto"/>
        </w:rPr>
        <w:t>English Language</w:t>
      </w:r>
      <w:r>
        <w:rPr>
          <w:rFonts w:ascii="Arial" w:cs="Arial" w:eastAsia="Arial" w:hAnsi="Arial"/>
          <w:sz w:val="19"/>
          <w:szCs w:val="19"/>
          <w:color w:val="auto"/>
        </w:rPr>
        <w:t>. The English language version of this Agreement shall be controlling on both Parties, and all matters relating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interpretation or enforcement of this Agreement shall be in English. All information, documents, reports, notices and communications to be provided by one Party to the other Party hereunder shall be provided in the English language.</w:t>
      </w:r>
    </w:p>
    <w:p>
      <w:pPr>
        <w:spacing w:after="0" w:line="156" w:lineRule="exact"/>
        <w:rPr>
          <w:sz w:val="20"/>
          <w:szCs w:val="20"/>
          <w:color w:val="auto"/>
        </w:rPr>
      </w:pPr>
    </w:p>
    <w:p>
      <w:pPr>
        <w:jc w:val="both"/>
        <w:ind w:left="740" w:hanging="732"/>
        <w:spacing w:after="0" w:line="246" w:lineRule="auto"/>
        <w:tabs>
          <w:tab w:leader="none" w:pos="720" w:val="left"/>
        </w:tabs>
        <w:rPr>
          <w:sz w:val="20"/>
          <w:szCs w:val="20"/>
          <w:color w:val="auto"/>
        </w:rPr>
      </w:pPr>
      <w:r>
        <w:rPr>
          <w:rFonts w:ascii="Arial" w:cs="Arial" w:eastAsia="Arial" w:hAnsi="Arial"/>
          <w:sz w:val="20"/>
          <w:szCs w:val="20"/>
          <w:color w:val="auto"/>
        </w:rPr>
        <w:t>15.10</w:t>
      </w:r>
      <w:r>
        <w:rPr>
          <w:sz w:val="20"/>
          <w:szCs w:val="20"/>
          <w:color w:val="auto"/>
        </w:rPr>
        <w:tab/>
      </w:r>
      <w:r>
        <w:rPr>
          <w:rFonts w:ascii="Arial" w:cs="Arial" w:eastAsia="Arial" w:hAnsi="Arial"/>
          <w:sz w:val="20"/>
          <w:szCs w:val="20"/>
          <w:u w:val="single" w:color="auto"/>
          <w:color w:val="auto"/>
        </w:rPr>
        <w:t>Counterparts; Evidence of Signature</w:t>
      </w:r>
      <w:r>
        <w:rPr>
          <w:rFonts w:ascii="Arial" w:cs="Arial" w:eastAsia="Arial" w:hAnsi="Arial"/>
          <w:sz w:val="20"/>
          <w:szCs w:val="20"/>
          <w:color w:val="auto"/>
        </w:rPr>
        <w:t>. This Agreement may be executed in two or more counterparts, each of which shall be deemed</w:t>
      </w:r>
      <w:r>
        <w:rPr>
          <w:rFonts w:ascii="Arial" w:cs="Arial" w:eastAsia="Arial" w:hAnsi="Arial"/>
          <w:sz w:val="20"/>
          <w:szCs w:val="20"/>
          <w:u w:val="single" w:color="auto"/>
          <w:color w:val="auto"/>
        </w:rPr>
        <w:t xml:space="preserve"> </w:t>
      </w:r>
      <w:r>
        <w:rPr>
          <w:rFonts w:ascii="Arial" w:cs="Arial" w:eastAsia="Arial" w:hAnsi="Arial"/>
          <w:sz w:val="20"/>
          <w:szCs w:val="20"/>
          <w:color w:val="auto"/>
        </w:rPr>
        <w:t>an original and all of which shall constitute together the same instrument. Any such counterparts executed and/or transmitted electronically, including scanned signed documents or digital signatures, shall bind the Parties to the same extent as documents with original signatures.</w:t>
      </w:r>
    </w:p>
    <w:p>
      <w:pPr>
        <w:spacing w:after="0" w:line="19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Parties hereto have each caused this Agreement to be signed and delivered by its duly authorized officer or representative as of the Effective Date.</w:t>
      </w:r>
    </w:p>
    <w:p>
      <w:pPr>
        <w:spacing w:after="0" w:line="16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56"/>
        </w:trPr>
        <w:tc>
          <w:tcPr>
            <w:tcW w:w="4320" w:type="dxa"/>
            <w:vAlign w:val="bottom"/>
            <w:gridSpan w:val="3"/>
          </w:tcPr>
          <w:p>
            <w:pPr>
              <w:spacing w:after="0"/>
              <w:rPr>
                <w:sz w:val="20"/>
                <w:szCs w:val="20"/>
                <w:color w:val="auto"/>
              </w:rPr>
            </w:pPr>
            <w:r>
              <w:rPr>
                <w:rFonts w:ascii="Arial" w:cs="Arial" w:eastAsia="Arial" w:hAnsi="Arial"/>
                <w:sz w:val="20"/>
                <w:szCs w:val="20"/>
                <w:b w:val="1"/>
                <w:bCs w:val="1"/>
                <w:color w:val="auto"/>
              </w:rPr>
              <w:t>Phathom Pharmaceuticals, Inc.</w:t>
            </w:r>
          </w:p>
        </w:tc>
        <w:tc>
          <w:tcPr>
            <w:tcW w:w="3900" w:type="dxa"/>
            <w:vAlign w:val="bottom"/>
            <w:gridSpan w:val="3"/>
          </w:tcPr>
          <w:p>
            <w:pPr>
              <w:ind w:left="1660"/>
              <w:spacing w:after="0"/>
              <w:rPr>
                <w:sz w:val="20"/>
                <w:szCs w:val="20"/>
                <w:color w:val="auto"/>
              </w:rPr>
            </w:pPr>
            <w:r>
              <w:rPr>
                <w:rFonts w:ascii="Arial" w:cs="Arial" w:eastAsia="Arial" w:hAnsi="Arial"/>
                <w:sz w:val="20"/>
                <w:szCs w:val="20"/>
                <w:b w:val="1"/>
                <w:bCs w:val="1"/>
                <w:color w:val="auto"/>
                <w:w w:val="91"/>
              </w:rPr>
              <w:t>Evonik Operations GmbH</w:t>
            </w:r>
          </w:p>
        </w:tc>
      </w:tr>
      <w:tr>
        <w:trPr>
          <w:trHeight w:val="509"/>
        </w:trPr>
        <w:tc>
          <w:tcPr>
            <w:tcW w:w="1040" w:type="dxa"/>
            <w:vAlign w:val="bottom"/>
          </w:tcPr>
          <w:p>
            <w:pPr>
              <w:spacing w:after="0"/>
              <w:rPr>
                <w:sz w:val="20"/>
                <w:szCs w:val="20"/>
                <w:color w:val="auto"/>
              </w:rPr>
            </w:pPr>
            <w:r>
              <w:rPr>
                <w:rFonts w:ascii="Arial" w:cs="Arial" w:eastAsia="Arial" w:hAnsi="Arial"/>
                <w:sz w:val="20"/>
                <w:szCs w:val="20"/>
                <w:color w:val="auto"/>
              </w:rPr>
              <w:t>By:</w:t>
            </w:r>
          </w:p>
        </w:tc>
        <w:tc>
          <w:tcPr>
            <w:tcW w:w="1340" w:type="dxa"/>
            <w:vAlign w:val="bottom"/>
          </w:tcPr>
          <w:p>
            <w:pPr>
              <w:spacing w:after="0"/>
              <w:rPr>
                <w:sz w:val="20"/>
                <w:szCs w:val="20"/>
                <w:color w:val="auto"/>
              </w:rPr>
            </w:pPr>
            <w:r>
              <w:rPr>
                <w:rFonts w:ascii="Arial" w:cs="Arial" w:eastAsia="Arial" w:hAnsi="Arial"/>
                <w:sz w:val="20"/>
                <w:szCs w:val="20"/>
                <w:color w:val="auto"/>
                <w:w w:val="92"/>
              </w:rPr>
              <w:t>/s/ Azmi Nabulsi</w:t>
            </w:r>
          </w:p>
        </w:tc>
        <w:tc>
          <w:tcPr>
            <w:tcW w:w="1940" w:type="dxa"/>
            <w:vAlign w:val="bottom"/>
          </w:tcPr>
          <w:p>
            <w:pPr>
              <w:spacing w:after="0"/>
              <w:rPr>
                <w:sz w:val="24"/>
                <w:szCs w:val="24"/>
                <w:color w:val="auto"/>
              </w:rPr>
            </w:pPr>
          </w:p>
        </w:tc>
        <w:tc>
          <w:tcPr>
            <w:tcW w:w="3900" w:type="dxa"/>
            <w:vAlign w:val="bottom"/>
            <w:gridSpan w:val="3"/>
          </w:tcPr>
          <w:p>
            <w:pPr>
              <w:ind w:left="1660"/>
              <w:spacing w:after="0"/>
              <w:rPr>
                <w:sz w:val="20"/>
                <w:szCs w:val="20"/>
                <w:color w:val="auto"/>
              </w:rPr>
            </w:pPr>
            <w:r>
              <w:rPr>
                <w:rFonts w:ascii="Arial" w:cs="Arial" w:eastAsia="Arial" w:hAnsi="Arial"/>
                <w:sz w:val="20"/>
                <w:szCs w:val="20"/>
                <w:color w:val="auto"/>
              </w:rPr>
              <w:t>By: /s/ [***]</w:t>
            </w:r>
          </w:p>
        </w:tc>
      </w:tr>
      <w:tr>
        <w:trPr>
          <w:trHeight w:val="20"/>
        </w:trPr>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3"/>
        </w:trPr>
        <w:tc>
          <w:tcPr>
            <w:tcW w:w="1040" w:type="dxa"/>
            <w:vAlign w:val="bottom"/>
          </w:tcPr>
          <w:p>
            <w:pPr>
              <w:spacing w:after="0"/>
              <w:rPr>
                <w:sz w:val="20"/>
                <w:szCs w:val="20"/>
                <w:color w:val="auto"/>
              </w:rPr>
            </w:pPr>
            <w:r>
              <w:rPr>
                <w:rFonts w:ascii="Arial" w:cs="Arial" w:eastAsia="Arial" w:hAnsi="Arial"/>
                <w:sz w:val="20"/>
                <w:szCs w:val="20"/>
                <w:color w:val="auto"/>
              </w:rPr>
              <w:t>Name:</w:t>
            </w:r>
          </w:p>
        </w:tc>
        <w:tc>
          <w:tcPr>
            <w:tcW w:w="1340" w:type="dxa"/>
            <w:vAlign w:val="bottom"/>
          </w:tcPr>
          <w:p>
            <w:pPr>
              <w:spacing w:after="0"/>
              <w:rPr>
                <w:sz w:val="20"/>
                <w:szCs w:val="20"/>
                <w:color w:val="auto"/>
              </w:rPr>
            </w:pPr>
            <w:r>
              <w:rPr>
                <w:rFonts w:ascii="Arial" w:cs="Arial" w:eastAsia="Arial" w:hAnsi="Arial"/>
                <w:sz w:val="20"/>
                <w:szCs w:val="20"/>
                <w:color w:val="auto"/>
              </w:rPr>
              <w:t>Azmi Nabulsi</w:t>
            </w:r>
          </w:p>
        </w:tc>
        <w:tc>
          <w:tcPr>
            <w:tcW w:w="1940" w:type="dxa"/>
            <w:vAlign w:val="bottom"/>
          </w:tcPr>
          <w:p>
            <w:pPr>
              <w:spacing w:after="0"/>
              <w:rPr>
                <w:sz w:val="20"/>
                <w:szCs w:val="20"/>
                <w:color w:val="auto"/>
              </w:rPr>
            </w:pPr>
          </w:p>
        </w:tc>
        <w:tc>
          <w:tcPr>
            <w:tcW w:w="3900" w:type="dxa"/>
            <w:vAlign w:val="bottom"/>
            <w:gridSpan w:val="3"/>
          </w:tcPr>
          <w:p>
            <w:pPr>
              <w:ind w:left="1660"/>
              <w:spacing w:after="0"/>
              <w:rPr>
                <w:sz w:val="20"/>
                <w:szCs w:val="20"/>
                <w:color w:val="auto"/>
              </w:rPr>
            </w:pPr>
            <w:r>
              <w:rPr>
                <w:rFonts w:ascii="Arial" w:cs="Arial" w:eastAsia="Arial" w:hAnsi="Arial"/>
                <w:sz w:val="20"/>
                <w:szCs w:val="20"/>
                <w:color w:val="auto"/>
              </w:rPr>
              <w:t>Name: [***]</w:t>
            </w:r>
          </w:p>
        </w:tc>
      </w:tr>
      <w:tr>
        <w:trPr>
          <w:trHeight w:val="250"/>
        </w:trPr>
        <w:tc>
          <w:tcPr>
            <w:tcW w:w="1040" w:type="dxa"/>
            <w:vAlign w:val="bottom"/>
          </w:tcPr>
          <w:p>
            <w:pPr>
              <w:spacing w:after="0"/>
              <w:rPr>
                <w:sz w:val="20"/>
                <w:szCs w:val="20"/>
                <w:color w:val="auto"/>
              </w:rPr>
            </w:pPr>
            <w:r>
              <w:rPr>
                <w:rFonts w:ascii="Arial" w:cs="Arial" w:eastAsia="Arial" w:hAnsi="Arial"/>
                <w:sz w:val="20"/>
                <w:szCs w:val="20"/>
                <w:color w:val="auto"/>
              </w:rPr>
              <w:t>Title:</w:t>
            </w:r>
          </w:p>
        </w:tc>
        <w:tc>
          <w:tcPr>
            <w:tcW w:w="3280" w:type="dxa"/>
            <w:vAlign w:val="bottom"/>
            <w:gridSpan w:val="2"/>
          </w:tcPr>
          <w:p>
            <w:pPr>
              <w:spacing w:after="0"/>
              <w:rPr>
                <w:sz w:val="20"/>
                <w:szCs w:val="20"/>
                <w:color w:val="auto"/>
              </w:rPr>
            </w:pPr>
            <w:r>
              <w:rPr>
                <w:rFonts w:ascii="Arial" w:cs="Arial" w:eastAsia="Arial" w:hAnsi="Arial"/>
                <w:sz w:val="20"/>
                <w:szCs w:val="20"/>
                <w:color w:val="auto"/>
              </w:rPr>
              <w:t>COO</w:t>
            </w:r>
          </w:p>
        </w:tc>
        <w:tc>
          <w:tcPr>
            <w:tcW w:w="3900" w:type="dxa"/>
            <w:vAlign w:val="bottom"/>
            <w:gridSpan w:val="3"/>
          </w:tcPr>
          <w:p>
            <w:pPr>
              <w:ind w:left="1660"/>
              <w:spacing w:after="0"/>
              <w:rPr>
                <w:sz w:val="20"/>
                <w:szCs w:val="20"/>
                <w:color w:val="auto"/>
              </w:rPr>
            </w:pPr>
            <w:r>
              <w:rPr>
                <w:rFonts w:ascii="Arial" w:cs="Arial" w:eastAsia="Arial" w:hAnsi="Arial"/>
                <w:sz w:val="20"/>
                <w:szCs w:val="20"/>
                <w:color w:val="auto"/>
              </w:rPr>
              <w:t>Title: SVP Health Care</w:t>
            </w:r>
          </w:p>
        </w:tc>
      </w:tr>
    </w:tbl>
    <w:p>
      <w:pPr>
        <w:spacing w:after="0" w:line="200" w:lineRule="exact"/>
        <w:rPr>
          <w:sz w:val="20"/>
          <w:szCs w:val="20"/>
          <w:color w:val="auto"/>
        </w:rPr>
      </w:pPr>
    </w:p>
    <w:p>
      <w:pPr>
        <w:spacing w:after="0" w:line="333"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Name: [***]</w:t>
      </w:r>
    </w:p>
    <w:p>
      <w:pPr>
        <w:jc w:val="right"/>
        <w:ind w:right="1819"/>
        <w:spacing w:after="0"/>
        <w:rPr>
          <w:sz w:val="20"/>
          <w:szCs w:val="20"/>
          <w:color w:val="auto"/>
        </w:rPr>
      </w:pPr>
      <w:r>
        <w:rPr>
          <w:rFonts w:ascii="Arial" w:cs="Arial" w:eastAsia="Arial" w:hAnsi="Arial"/>
          <w:sz w:val="20"/>
          <w:szCs w:val="20"/>
          <w:color w:val="auto"/>
        </w:rPr>
        <w:t>Title: Senior Legal Counsel</w:t>
      </w:r>
    </w:p>
    <w:p>
      <w:pPr>
        <w:spacing w:after="0" w:line="186"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194945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751"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20"/>
          <w:szCs w:val="20"/>
          <w:b w:val="1"/>
          <w:bCs w:val="1"/>
          <w:u w:val="single" w:color="auto"/>
          <w:color w:val="auto"/>
        </w:rPr>
        <w:t>EXHIBIT A DEFINITIONS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 Party, any person, corporation, company, partnership or other entity that controls, is controlled by, or is under common control with that Party.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shall mean the applicable provisions of any national, regional, state and local laws, treaties, statutes, rules, regulations, guidance, or ordinances of or from any Governmental or Regulatory Authority of the European Union, United States, or other territory, in each instance only to the extent applicable to the performance of the Parties’ obligations hereunder including, without limitation, the manufacture or use of the Product.</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any and all (1) proprietary information and know-how and expertise whether patented or patentable including, without limitation, specifications, processes, formulations, procedures, instructions, technology and any other technical information which may be contained in drawings, photographs, samples, models and other documentation or communicated orally; (2) patent applications, patents and other intellectual property rights; (3) material, including without limitation, samples of products and models; and (4) software and other creation being subject to copyrights; which a Party owns or controls prior to the Effective Date, or thereafter acquires or independently develops outside the scope of this Agreement. In the case of Supplier, Supplier Background IP also includes Supplier Facility and Supplier Facility Information. In the case of Purchaser, Purchaser Background IP also includes Purchaser Technology Data Package.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Batch Record</w:t>
      </w:r>
      <w:r>
        <w:rPr>
          <w:rFonts w:ascii="Arial" w:cs="Arial" w:eastAsia="Arial" w:hAnsi="Arial"/>
          <w:sz w:val="20"/>
          <w:szCs w:val="20"/>
          <w:color w:val="auto"/>
        </w:rPr>
        <w:t>” shall have the meaning set forth in the Quality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Claim</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9.1</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7.1</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Disclosing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7.1</w:t>
      </w:r>
      <w:r>
        <w:rPr>
          <w:rFonts w:ascii="Arial" w:cs="Arial" w:eastAsia="Arial" w:hAnsi="Arial"/>
          <w:sz w:val="20"/>
          <w:szCs w:val="20"/>
          <w:color w:val="auto"/>
        </w:rPr>
        <w: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Current Good Manufacturing Practice</w:t>
      </w:r>
      <w:r>
        <w:rPr>
          <w:rFonts w:ascii="Arial" w:cs="Arial" w:eastAsia="Arial" w:hAnsi="Arial"/>
          <w:sz w:val="19"/>
          <w:szCs w:val="19"/>
          <w:color w:val="auto"/>
        </w:rPr>
        <w:t>" or “</w:t>
      </w:r>
      <w:r>
        <w:rPr>
          <w:rFonts w:ascii="Arial" w:cs="Arial" w:eastAsia="Arial" w:hAnsi="Arial"/>
          <w:sz w:val="19"/>
          <w:szCs w:val="19"/>
          <w:b w:val="1"/>
          <w:bCs w:val="1"/>
          <w:color w:val="auto"/>
        </w:rPr>
        <w:t>cGMP</w:t>
      </w:r>
      <w:r>
        <w:rPr>
          <w:rFonts w:ascii="Arial" w:cs="Arial" w:eastAsia="Arial" w:hAnsi="Arial"/>
          <w:sz w:val="19"/>
          <w:szCs w:val="19"/>
          <w:color w:val="auto"/>
        </w:rPr>
        <w:t>” means all then-current applicable laws, regulations and recognized good manufacturing practices that apply to the manufacture of any therapeutically active material that provides pharmacological activity in a pharmaceutical product, and govern the standards of manufacture of any product intended for human use, including, as applicable: (i) 21 C.F.R. Parts 210 and 211, as amended, in the United States, (ii) the EU good manufacturing practices set forth in Eudralex Volume 4: The Rules Governing Medicinal Products in the European Union Volume 4: Good Manufacturing Practices, Medicinal Products for Human and Veterinary Use – Part II – Basic Requirements for Active Substances used as Starting Materials, (iii) the Guideline ICH Tripartite Guidance Q7 Good Manufacturing Practice Guide for Active Pharmaceutical Ingredients and (iv) applicable guidance published by the FDA or the EMA; and; in each case as may be modified or supplemented during the Term.</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shall have the meaning set forth in the preamble of this Agreement.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United States Food and Drug Administration, or any successor thereto, having the administrative authority to regulate the marketing of human pharmaceutical products or biological therapeutic products, drug delivery systems, and devices in the United States of America.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9" w:name="page60"/>
    <w:bookmarkEnd w:id="59"/>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Final Product</w:t>
      </w:r>
      <w:r>
        <w:rPr>
          <w:rFonts w:ascii="Arial" w:cs="Arial" w:eastAsia="Arial" w:hAnsi="Arial"/>
          <w:sz w:val="20"/>
          <w:szCs w:val="20"/>
          <w:color w:val="auto"/>
        </w:rPr>
        <w:t>” shall have the meaning set forth in the recitals of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Force Majeure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13.1</w:t>
      </w:r>
      <w:r>
        <w:rPr>
          <w:rFonts w:ascii="Arial" w:cs="Arial" w:eastAsia="Arial" w:hAnsi="Arial"/>
          <w:sz w:val="20"/>
          <w:szCs w:val="20"/>
          <w:color w:val="auto"/>
        </w:rPr>
        <w:t>.</w:t>
      </w:r>
    </w:p>
    <w:p>
      <w:pPr>
        <w:spacing w:after="0" w:line="189"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or Regulatory Authority</w:t>
      </w:r>
      <w:r>
        <w:rPr>
          <w:rFonts w:ascii="Arial" w:cs="Arial" w:eastAsia="Arial" w:hAnsi="Arial"/>
          <w:sz w:val="18"/>
          <w:szCs w:val="18"/>
          <w:color w:val="auto"/>
        </w:rPr>
        <w:t>” means any supranational, national, regional, state or local government, court, governmental agency, authority, board, bureau, instrumentality or regulatory body which are relevant to the development and manufacture of the Product.</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Invention</w:t>
      </w:r>
      <w:r>
        <w:rPr>
          <w:rFonts w:ascii="Arial" w:cs="Arial" w:eastAsia="Arial" w:hAnsi="Arial"/>
          <w:sz w:val="20"/>
          <w:szCs w:val="20"/>
          <w:color w:val="auto"/>
        </w:rPr>
        <w:t>” shall mean any creation, discovery and invention (whether or not patentable) conceived, created, developed or reduced to practice by Supplier in connection with its performance of the contractual obligations hereunder.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Batch Record</w:t>
      </w:r>
      <w:r>
        <w:rPr>
          <w:rFonts w:ascii="Arial" w:cs="Arial" w:eastAsia="Arial" w:hAnsi="Arial"/>
          <w:sz w:val="20"/>
          <w:szCs w:val="20"/>
          <w:color w:val="auto"/>
        </w:rPr>
        <w:t>” shall have the meaning set forth in the Quality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“Maximum Supply Obligation</w:t>
      </w:r>
      <w:r>
        <w:rPr>
          <w:rFonts w:ascii="Arial" w:cs="Arial" w:eastAsia="Arial" w:hAnsi="Arial"/>
          <w:sz w:val="20"/>
          <w:szCs w:val="20"/>
          <w:color w:val="auto"/>
        </w:rPr>
        <w:t>” shall have the meaning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3.2.5</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xml:space="preserve">” shall have the meaning set forth in the recitals, and as further described in </w:t>
      </w:r>
      <w:r>
        <w:rPr>
          <w:rFonts w:ascii="Arial" w:cs="Arial" w:eastAsia="Arial" w:hAnsi="Arial"/>
          <w:sz w:val="20"/>
          <w:szCs w:val="20"/>
          <w:b w:val="1"/>
          <w:bCs w:val="1"/>
          <w:color w:val="auto"/>
        </w:rPr>
        <w:t>Exhibit B</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 Price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4.1</w:t>
      </w:r>
      <w:r>
        <w:rPr>
          <w:rFonts w:ascii="Arial" w:cs="Arial" w:eastAsia="Arial" w:hAnsi="Arial"/>
          <w:sz w:val="20"/>
          <w:szCs w:val="20"/>
          <w:color w:val="auto"/>
        </w:rPr>
        <w:t>.</w:t>
      </w:r>
    </w:p>
    <w:p>
      <w:pPr>
        <w:spacing w:after="0" w:line="189"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Production</w:t>
      </w:r>
      <w:r>
        <w:rPr>
          <w:rFonts w:ascii="Arial" w:cs="Arial" w:eastAsia="Arial" w:hAnsi="Arial"/>
          <w:sz w:val="20"/>
          <w:szCs w:val="20"/>
          <w:color w:val="auto"/>
        </w:rPr>
        <w:t>" or "</w:t>
      </w:r>
      <w:r>
        <w:rPr>
          <w:rFonts w:ascii="Arial" w:cs="Arial" w:eastAsia="Arial" w:hAnsi="Arial"/>
          <w:sz w:val="20"/>
          <w:szCs w:val="20"/>
          <w:b w:val="1"/>
          <w:bCs w:val="1"/>
          <w:color w:val="auto"/>
        </w:rPr>
        <w:t>Produce</w:t>
      </w:r>
      <w:r>
        <w:rPr>
          <w:rFonts w:ascii="Arial" w:cs="Arial" w:eastAsia="Arial" w:hAnsi="Arial"/>
          <w:sz w:val="20"/>
          <w:szCs w:val="20"/>
          <w:color w:val="auto"/>
        </w:rPr>
        <w:t>" means the synthesis, manufacturing, purification, packaging, testing and release of the Product by Supplier to Purchaser.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 Manager</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3.3</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Foreground IP</w:t>
      </w:r>
      <w:r>
        <w:rPr>
          <w:rFonts w:ascii="Arial" w:cs="Arial" w:eastAsia="Arial" w:hAnsi="Arial"/>
          <w:sz w:val="20"/>
          <w:szCs w:val="20"/>
          <w:color w:val="auto"/>
        </w:rPr>
        <w:t xml:space="preserve">” shall have the meaning as set forth in </w:t>
      </w:r>
      <w:r>
        <w:rPr>
          <w:rFonts w:ascii="Arial" w:cs="Arial" w:eastAsia="Arial" w:hAnsi="Arial"/>
          <w:sz w:val="20"/>
          <w:szCs w:val="20"/>
          <w:u w:val="single" w:color="auto"/>
          <w:color w:val="auto"/>
        </w:rPr>
        <w:t>Article 6.3</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Technology Data Package</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6.2</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 Technology Data Package Improvements</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6.3</w:t>
      </w:r>
      <w:r>
        <w:rPr>
          <w:rFonts w:ascii="Arial" w:cs="Arial" w:eastAsia="Arial" w:hAnsi="Arial"/>
          <w:sz w:val="20"/>
          <w:szCs w:val="20"/>
          <w:color w:val="auto"/>
        </w:rPr>
        <w:t>.</w:t>
      </w:r>
    </w:p>
    <w:p>
      <w:pPr>
        <w:spacing w:after="0" w:line="18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Quality Agreement</w:t>
      </w:r>
      <w:r>
        <w:rPr>
          <w:rFonts w:ascii="Arial" w:cs="Arial" w:eastAsia="Arial" w:hAnsi="Arial"/>
          <w:sz w:val="19"/>
          <w:szCs w:val="19"/>
          <w:color w:val="auto"/>
        </w:rPr>
        <w:t>” means the quality agreement between Purchaser and Supplier relating to the manufacture of Product (whether executed by the Parties prior to, concurrently with, or after entry into this Agreement), as the same may be amended or modified from time to time by agreement of the Parties. The Quality Agreement describes the relationship of the Parties hereunder and the responsibilities of each Party regarding quality systems practices and activities concerning the manufacture of the Product.</w:t>
      </w:r>
    </w:p>
    <w:p>
      <w:pPr>
        <w:spacing w:after="0" w:line="14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Raw Material</w:t>
      </w:r>
      <w:r>
        <w:rPr>
          <w:rFonts w:ascii="Arial" w:cs="Arial" w:eastAsia="Arial" w:hAnsi="Arial"/>
          <w:sz w:val="20"/>
          <w:szCs w:val="20"/>
          <w:color w:val="auto"/>
        </w:rPr>
        <w:t>” shall mean the chemicals, compounds, water, solvents, reagents and other materials and supplies, including disposable manufacturing materials and labeling and packaging materials, used in manufacturing the Product.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Receiving Party</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7.1</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Shortfall Payment</w:t>
      </w:r>
      <w:r>
        <w:rPr>
          <w:rFonts w:ascii="Arial" w:cs="Arial" w:eastAsia="Arial" w:hAnsi="Arial"/>
          <w:sz w:val="20"/>
          <w:szCs w:val="20"/>
          <w:color w:val="auto"/>
        </w:rPr>
        <w:t xml:space="preserve">" shall have the meaning set forth in </w:t>
      </w:r>
      <w:r>
        <w:rPr>
          <w:rFonts w:ascii="Arial" w:cs="Arial" w:eastAsia="Arial" w:hAnsi="Arial"/>
          <w:sz w:val="20"/>
          <w:szCs w:val="20"/>
          <w:u w:val="single" w:color="auto"/>
          <w:color w:val="auto"/>
        </w:rPr>
        <w:t>Article 3.8</w:t>
      </w:r>
      <w:r>
        <w:rPr>
          <w:rFonts w:ascii="Arial" w:cs="Arial" w:eastAsia="Arial" w:hAnsi="Arial"/>
          <w:sz w:val="20"/>
          <w:szCs w:val="20"/>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Specification</w:t>
      </w:r>
      <w:r>
        <w:rPr>
          <w:rFonts w:ascii="Arial" w:cs="Arial" w:eastAsia="Arial" w:hAnsi="Arial"/>
          <w:sz w:val="20"/>
          <w:szCs w:val="20"/>
          <w:color w:val="auto"/>
        </w:rPr>
        <w:t xml:space="preserve">” shall have the meaning as set forth in </w:t>
      </w:r>
      <w:r>
        <w:rPr>
          <w:rFonts w:ascii="Arial" w:cs="Arial" w:eastAsia="Arial" w:hAnsi="Arial"/>
          <w:sz w:val="20"/>
          <w:szCs w:val="20"/>
          <w:u w:val="single" w:color="auto"/>
          <w:color w:val="auto"/>
        </w:rPr>
        <w:t>Article 3.1</w:t>
      </w:r>
      <w:r>
        <w:rPr>
          <w:rFonts w:ascii="Arial" w:cs="Arial" w:eastAsia="Arial" w:hAnsi="Arial"/>
          <w:sz w:val="20"/>
          <w:szCs w:val="20"/>
          <w:color w:val="auto"/>
        </w:rPr>
        <w:t>.</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 Facility</w:t>
      </w:r>
      <w:r>
        <w:rPr>
          <w:rFonts w:ascii="Arial" w:cs="Arial" w:eastAsia="Arial" w:hAnsi="Arial"/>
          <w:sz w:val="20"/>
          <w:szCs w:val="20"/>
          <w:color w:val="auto"/>
        </w:rPr>
        <w:t>” shall mean the specific premises of Supplier located at [***] for Phase 1, Phase 2 and Phase 4 and additionally the specific premises of Supplier’s Affiliate and subcontractor [***] for Phase 3 and Phase 4.</w:t>
      </w:r>
    </w:p>
    <w:p>
      <w:pPr>
        <w:spacing w:after="0" w:line="150"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 Facility Information</w:t>
      </w:r>
      <w:r>
        <w:rPr>
          <w:rFonts w:ascii="Arial" w:cs="Arial" w:eastAsia="Arial" w:hAnsi="Arial"/>
          <w:sz w:val="20"/>
          <w:szCs w:val="20"/>
          <w:color w:val="auto"/>
        </w:rPr>
        <w:t>” means Supplier’s Confidential Information relating to (a) layout and design of Supplier Facility(ies); (b) equipment and other assets including information revealing the make,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0" w:name="page61"/>
    <w:bookmarkEnd w:id="60"/>
    <w:p>
      <w:pPr>
        <w:jc w:val="both"/>
        <w:spacing w:after="0" w:line="287" w:lineRule="auto"/>
        <w:rPr>
          <w:sz w:val="20"/>
          <w:szCs w:val="20"/>
          <w:color w:val="auto"/>
        </w:rPr>
      </w:pPr>
      <w:r>
        <w:rPr>
          <w:rFonts w:ascii="Arial" w:cs="Arial" w:eastAsia="Arial" w:hAnsi="Arial"/>
          <w:sz w:val="19"/>
          <w:szCs w:val="19"/>
          <w:color w:val="auto"/>
        </w:rPr>
        <w:t>model or other identifying features of any laboratory or process equipment utilized by Supplier in the performance of this Agreement; (c) any and all nomenclature, identifiers and facility capabilities of Supplier and (d) location and address of Supplier Facilities.</w:t>
      </w:r>
    </w:p>
    <w:p>
      <w:pPr>
        <w:spacing w:after="0" w:line="13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Supply Failure</w:t>
      </w:r>
      <w:r>
        <w:rPr>
          <w:rFonts w:ascii="Arial" w:cs="Arial" w:eastAsia="Arial" w:hAnsi="Arial"/>
          <w:sz w:val="20"/>
          <w:szCs w:val="20"/>
          <w:color w:val="auto"/>
        </w:rPr>
        <w:t>” means that after the second campaign following successful completion of the validation campaign of the relevant Supplier Facility Supplier has, in any given [***] period, failed to deliver at least [***] of Product ordered by Purchaser pursuant to the relevant Purchase Order(s) within [***] following the delivery date set forth in the applicable Acknowledgement and after expiry of a [***] grace period to be granted by Purchaser to Supplier to remedy such failure; for reasons solely attributable to Supplier, its Affiliates or subcontractors, and in particular other than Force Majeure.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Supplier Foreground IP</w:t>
      </w:r>
      <w:r>
        <w:rPr>
          <w:rFonts w:ascii="Arial" w:cs="Arial" w:eastAsia="Arial" w:hAnsi="Arial"/>
          <w:sz w:val="20"/>
          <w:szCs w:val="20"/>
          <w:color w:val="auto"/>
        </w:rPr>
        <w:t xml:space="preserve">” shall have the meaning as set forth in </w:t>
      </w:r>
      <w:r>
        <w:rPr>
          <w:rFonts w:ascii="Arial" w:cs="Arial" w:eastAsia="Arial" w:hAnsi="Arial"/>
          <w:sz w:val="20"/>
          <w:szCs w:val="20"/>
          <w:u w:val="single" w:color="auto"/>
          <w:color w:val="auto"/>
        </w:rPr>
        <w:t>Article 6.4</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w:t>
      </w:r>
      <w:r>
        <w:rPr>
          <w:rFonts w:ascii="Arial" w:cs="Arial" w:eastAsia="Arial" w:hAnsi="Arial"/>
          <w:sz w:val="20"/>
          <w:szCs w:val="20"/>
          <w:color w:val="auto"/>
        </w:rPr>
        <w:t xml:space="preserve">” shall have the meaning as set forth in </w:t>
      </w:r>
      <w:r>
        <w:rPr>
          <w:rFonts w:ascii="Arial" w:cs="Arial" w:eastAsia="Arial" w:hAnsi="Arial"/>
          <w:sz w:val="20"/>
          <w:szCs w:val="20"/>
          <w:u w:val="single" w:color="auto"/>
          <w:color w:val="auto"/>
        </w:rPr>
        <w:t>Article 2.2</w:t>
      </w:r>
      <w:r>
        <w:rPr>
          <w:rFonts w:ascii="Arial" w:cs="Arial" w:eastAsia="Arial" w:hAnsi="Arial"/>
          <w:sz w:val="20"/>
          <w:szCs w:val="20"/>
          <w:color w:val="auto"/>
        </w:rPr>
        <w:t>.</w:t>
      </w:r>
    </w:p>
    <w:p>
      <w:pPr>
        <w:spacing w:after="0" w:line="202"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Third Party</w:t>
      </w:r>
      <w:r>
        <w:rPr>
          <w:rFonts w:ascii="Arial" w:cs="Arial" w:eastAsia="Arial" w:hAnsi="Arial"/>
          <w:sz w:val="20"/>
          <w:szCs w:val="20"/>
          <w:color w:val="auto"/>
        </w:rPr>
        <w:t>” shall mean any other person, company or other business entity other than Purchaser or Supplier, or an Affiliate of either of them.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u w:val="single" w:color="auto"/>
          <w:color w:val="auto"/>
        </w:rPr>
        <w:t>EXHIBIT B - PRODUCT SPECIFICATION</w:t>
      </w:r>
    </w:p>
    <w:p>
      <w:pPr>
        <w:sectPr>
          <w:pgSz w:w="11900" w:h="16838" w:orient="portrait"/>
          <w:cols w:equalWidth="0" w:num="1">
            <w:col w:w="9019"/>
          </w:cols>
          <w:pgMar w:left="1440" w:top="319"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20"/>
          <w:szCs w:val="20"/>
          <w:b w:val="1"/>
          <w:bCs w:val="1"/>
          <w:u w:val="single" w:color="auto"/>
          <w:color w:val="auto"/>
        </w:rPr>
        <w:t>EXHIBIT C – INDICATIVE NON-BINDING PRODUCT VOLUMES</w:t>
      </w:r>
    </w:p>
    <w:p>
      <w:pPr>
        <w:sectPr>
          <w:pgSz w:w="11900" w:h="16838" w:orient="portrait"/>
          <w:cols w:equalWidth="0" w:num="1">
            <w:col w:w="9019"/>
          </w:cols>
          <w:pgMar w:left="1440" w:top="535"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3" w:name="page64"/>
    <w:bookmarkEnd w:id="63"/>
    <w:p>
      <w:pPr>
        <w:jc w:val="center"/>
        <w:ind w:right="19"/>
        <w:spacing w:after="0"/>
        <w:rPr>
          <w:sz w:val="20"/>
          <w:szCs w:val="20"/>
          <w:color w:val="auto"/>
        </w:rPr>
      </w:pPr>
      <w:r>
        <w:rPr>
          <w:rFonts w:ascii="Arial" w:cs="Arial" w:eastAsia="Arial" w:hAnsi="Arial"/>
          <w:sz w:val="19"/>
          <w:szCs w:val="19"/>
          <w:b w:val="1"/>
          <w:bCs w:val="1"/>
          <w:u w:val="single" w:color="auto"/>
          <w:color w:val="auto"/>
        </w:rPr>
        <w:t>EXHIBIT D – PRICE AND PRICE ADJUSTMENTS</w:t>
      </w:r>
    </w:p>
    <w:p>
      <w:pPr>
        <w:sectPr>
          <w:pgSz w:w="11900" w:h="16838" w:orient="portrait"/>
          <w:cols w:equalWidth="0" w:num="1">
            <w:col w:w="9019"/>
          </w:cols>
          <w:pgMar w:left="1440" w:top="535" w:right="1440" w:bottom="1440"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4" w:name="page65"/>
    <w:bookmarkEnd w:id="64"/>
    <w:p>
      <w:pPr>
        <w:jc w:val="center"/>
        <w:ind w:right="19"/>
        <w:spacing w:after="0"/>
        <w:rPr>
          <w:sz w:val="20"/>
          <w:szCs w:val="20"/>
          <w:color w:val="auto"/>
        </w:rPr>
      </w:pPr>
      <w:r>
        <w:rPr>
          <w:rFonts w:ascii="Arial" w:cs="Arial" w:eastAsia="Arial" w:hAnsi="Arial"/>
          <w:sz w:val="19"/>
          <w:szCs w:val="19"/>
          <w:b w:val="1"/>
          <w:bCs w:val="1"/>
          <w:u w:val="single" w:color="auto"/>
          <w:color w:val="auto"/>
        </w:rPr>
        <w:t>EXHIBIT E - PURCHASER TECHNOLOGY DATA PACKAGE</w:t>
      </w:r>
    </w:p>
    <w:p>
      <w:pPr>
        <w:sectPr>
          <w:pgSz w:w="11900" w:h="16838" w:orient="portrait"/>
          <w:cols w:equalWidth="0" w:num="1">
            <w:col w:w="9019"/>
          </w:cols>
          <w:pgMar w:left="1440" w:top="319" w:right="1440" w:bottom="1440" w:gutter="0" w:footer="0" w:header="0"/>
        </w:sect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u w:val="single" w:color="auto"/>
          <w:color w:val="auto"/>
        </w:rPr>
        <w:t>EXHIBIT F – PRODUCT VOLUMES</w:t>
      </w:r>
    </w:p>
    <w:p>
      <w:pPr>
        <w:sectPr>
          <w:pgSz w:w="11900" w:h="16838" w:orient="portrait"/>
          <w:cols w:equalWidth="0" w:num="1">
            <w:col w:w="9019"/>
          </w:cols>
          <w:pgMar w:left="1440" w:top="319" w:right="1440"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194945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10.2</w:t>
      </w:r>
    </w:p>
    <w:p>
      <w:pPr>
        <w:spacing w:after="0" w:line="72"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SECOND AMENDMENT TO LOAN AND SECURITY AGREEMENT</w:t>
      </w:r>
    </w:p>
    <w:p>
      <w:pPr>
        <w:spacing w:after="0" w:line="208" w:lineRule="exact"/>
        <w:rPr>
          <w:sz w:val="20"/>
          <w:szCs w:val="20"/>
          <w:color w:val="auto"/>
        </w:rPr>
      </w:pPr>
    </w:p>
    <w:p>
      <w:pPr>
        <w:ind w:left="740"/>
        <w:spacing w:after="0"/>
        <w:tabs>
          <w:tab w:leader="none" w:pos="1520" w:val="left"/>
          <w:tab w:leader="none" w:pos="2700" w:val="left"/>
          <w:tab w:leader="none" w:pos="4280" w:val="left"/>
          <w:tab w:leader="none" w:pos="5460" w:val="left"/>
          <w:tab w:leader="none" w:pos="6260" w:val="left"/>
          <w:tab w:leader="none" w:pos="7440" w:val="left"/>
          <w:tab w:leader="none" w:pos="9040" w:val="left"/>
        </w:tabs>
        <w:rPr>
          <w:sz w:val="20"/>
          <w:szCs w:val="20"/>
          <w:color w:val="auto"/>
        </w:rPr>
      </w:pPr>
      <w:r>
        <w:rPr>
          <w:rFonts w:ascii="Arial" w:cs="Arial" w:eastAsia="Arial" w:hAnsi="Arial"/>
          <w:sz w:val="20"/>
          <w:szCs w:val="20"/>
          <w:color w:val="auto"/>
        </w:rPr>
        <w:t>THIS</w:t>
      </w:r>
      <w:r>
        <w:rPr>
          <w:sz w:val="20"/>
          <w:szCs w:val="20"/>
          <w:color w:val="auto"/>
        </w:rPr>
        <w:tab/>
      </w:r>
      <w:r>
        <w:rPr>
          <w:rFonts w:ascii="Arial" w:cs="Arial" w:eastAsia="Arial" w:hAnsi="Arial"/>
          <w:sz w:val="20"/>
          <w:szCs w:val="20"/>
          <w:color w:val="auto"/>
        </w:rPr>
        <w:t>SECOND</w:t>
      </w:r>
      <w:r>
        <w:rPr>
          <w:sz w:val="20"/>
          <w:szCs w:val="20"/>
          <w:color w:val="auto"/>
        </w:rPr>
        <w:tab/>
      </w:r>
      <w:r>
        <w:rPr>
          <w:rFonts w:ascii="Arial" w:cs="Arial" w:eastAsia="Arial" w:hAnsi="Arial"/>
          <w:sz w:val="20"/>
          <w:szCs w:val="20"/>
          <w:color w:val="auto"/>
        </w:rPr>
        <w:t>AMENDMENT</w:t>
        <w:tab/>
        <w:t>TO  LOAN</w:t>
        <w:tab/>
        <w:t>AND</w:t>
      </w:r>
      <w:r>
        <w:rPr>
          <w:sz w:val="20"/>
          <w:szCs w:val="20"/>
          <w:color w:val="auto"/>
        </w:rPr>
        <w:tab/>
      </w:r>
      <w:r>
        <w:rPr>
          <w:rFonts w:ascii="Arial" w:cs="Arial" w:eastAsia="Arial" w:hAnsi="Arial"/>
          <w:sz w:val="20"/>
          <w:szCs w:val="20"/>
          <w:color w:val="auto"/>
        </w:rPr>
        <w:t>SECURITY</w:t>
        <w:tab/>
        <w:t>AGREEMENT</w:t>
      </w:r>
      <w:r>
        <w:rPr>
          <w:sz w:val="20"/>
          <w:szCs w:val="20"/>
          <w:color w:val="auto"/>
        </w:rPr>
        <w:tab/>
      </w:r>
      <w:r>
        <w:rPr>
          <w:rFonts w:ascii="Arial" w:cs="Arial" w:eastAsia="Arial" w:hAnsi="Arial"/>
          <w:sz w:val="16"/>
          <w:szCs w:val="16"/>
          <w:color w:val="auto"/>
        </w:rPr>
        <w:t>(this</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September 26, 2022, is entered into by and among PHATHOM PHARMACEUTICALS, INC., a Delaware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corporation, each of its Subsidiaries from time to time party to the Loan Agreement (as defined below) as borrower (individually or</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collectively, as the context may require,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parties to the Loan Agreement (collectively, referred to as the “</w:t>
      </w:r>
      <w:r>
        <w:rPr>
          <w:rFonts w:ascii="Arial" w:cs="Arial" w:eastAsia="Arial" w:hAnsi="Arial"/>
          <w:sz w:val="19"/>
          <w:szCs w:val="19"/>
          <w:u w:val="single" w:color="auto"/>
          <w:color w:val="auto"/>
        </w:rPr>
        <w:t>Lenders</w:t>
      </w:r>
      <w:r>
        <w:rPr>
          <w:rFonts w:ascii="Arial" w:cs="Arial" w:eastAsia="Arial" w:hAnsi="Arial"/>
          <w:sz w:val="19"/>
          <w:szCs w:val="19"/>
          <w:color w:val="auto"/>
        </w:rPr>
        <w:t>”), and HERCULES CAPITAL, INC., a Maryland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administrative agent and collateral agent for itself and the Lenders (together with its successors and assigns, in such</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capacity, the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281" w:lineRule="exact"/>
        <w:rPr>
          <w:sz w:val="20"/>
          <w:szCs w:val="20"/>
          <w:color w:val="auto"/>
        </w:rPr>
      </w:pPr>
    </w:p>
    <w:p>
      <w:pPr>
        <w:jc w:val="both"/>
        <w:ind w:right="340" w:firstLine="740"/>
        <w:spacing w:after="0" w:line="243" w:lineRule="auto"/>
        <w:tabs>
          <w:tab w:leader="none" w:pos="1474" w:val="left"/>
        </w:tabs>
        <w:numPr>
          <w:ilvl w:val="0"/>
          <w:numId w:val="13"/>
        </w:numPr>
        <w:rPr>
          <w:rFonts w:ascii="Arial" w:cs="Arial" w:eastAsia="Arial" w:hAnsi="Arial"/>
          <w:sz w:val="18"/>
          <w:szCs w:val="18"/>
          <w:color w:val="auto"/>
        </w:rPr>
      </w:pPr>
      <w:r>
        <w:rPr>
          <w:rFonts w:ascii="Arial" w:cs="Arial" w:eastAsia="Arial" w:hAnsi="Arial"/>
          <w:sz w:val="20"/>
          <w:szCs w:val="20"/>
          <w:color w:val="auto"/>
        </w:rPr>
        <w:t>Borrower, Lenders and Agent are parties to that certain Loan and Security Agreement, dated as of September 17, 2021 (as amended, restated, supplemented or otherwise modified from time to time prior to the date of this Amendment, the “</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273" w:lineRule="exact"/>
        <w:rPr>
          <w:rFonts w:ascii="Arial" w:cs="Arial" w:eastAsia="Arial" w:hAnsi="Arial"/>
          <w:sz w:val="18"/>
          <w:szCs w:val="18"/>
          <w:color w:val="auto"/>
        </w:rPr>
      </w:pPr>
    </w:p>
    <w:p>
      <w:pPr>
        <w:ind w:right="360" w:firstLine="740"/>
        <w:spacing w:after="0" w:line="260" w:lineRule="auto"/>
        <w:tabs>
          <w:tab w:leader="none" w:pos="1474" w:val="left"/>
        </w:tabs>
        <w:numPr>
          <w:ilvl w:val="0"/>
          <w:numId w:val="13"/>
        </w:numPr>
        <w:rPr>
          <w:rFonts w:ascii="Arial" w:cs="Arial" w:eastAsia="Arial" w:hAnsi="Arial"/>
          <w:sz w:val="18"/>
          <w:szCs w:val="18"/>
          <w:color w:val="auto"/>
        </w:rPr>
      </w:pPr>
      <w:r>
        <w:rPr>
          <w:rFonts w:ascii="Arial" w:cs="Arial" w:eastAsia="Arial" w:hAnsi="Arial"/>
          <w:sz w:val="20"/>
          <w:szCs w:val="20"/>
          <w:color w:val="auto"/>
        </w:rPr>
        <w:t>Borrower, Lenders and Agent desire to modify the terms of the Loan Agreement as set forth in this Amendment, subject to the terms and conditions hereof.</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9"/>
          <w:szCs w:val="19"/>
          <w:b w:val="1"/>
          <w:bCs w:val="1"/>
          <w:color w:val="auto"/>
        </w:rPr>
        <w:t>Definitions; Interpretation.</w:t>
      </w:r>
    </w:p>
    <w:p>
      <w:pPr>
        <w:spacing w:after="0" w:line="227" w:lineRule="exact"/>
        <w:rPr>
          <w:sz w:val="20"/>
          <w:szCs w:val="20"/>
          <w:color w:val="auto"/>
        </w:rPr>
      </w:pPr>
    </w:p>
    <w:p>
      <w:pPr>
        <w:ind w:right="360" w:firstLine="740"/>
        <w:spacing w:after="0" w:line="323" w:lineRule="auto"/>
        <w:tabs>
          <w:tab w:leader="none" w:pos="1472" w:val="left"/>
        </w:tabs>
        <w:numPr>
          <w:ilvl w:val="0"/>
          <w:numId w:val="14"/>
        </w:numPr>
        <w:rPr>
          <w:rFonts w:ascii="Arial" w:cs="Arial" w:eastAsia="Arial" w:hAnsi="Arial"/>
          <w:sz w:val="16"/>
          <w:szCs w:val="16"/>
          <w:color w:val="auto"/>
        </w:rPr>
      </w:pPr>
      <w:r>
        <w:rPr>
          <w:rFonts w:ascii="Arial" w:cs="Arial" w:eastAsia="Arial" w:hAnsi="Arial"/>
          <w:sz w:val="18"/>
          <w:szCs w:val="18"/>
          <w:b w:val="1"/>
          <w:bCs w:val="1"/>
          <w:color w:val="auto"/>
        </w:rPr>
        <w:t>Terms Defined in Loan Agreement</w:t>
      </w:r>
      <w:r>
        <w:rPr>
          <w:rFonts w:ascii="Arial" w:cs="Arial" w:eastAsia="Arial" w:hAnsi="Arial"/>
          <w:sz w:val="18"/>
          <w:szCs w:val="18"/>
          <w:color w:val="auto"/>
        </w:rPr>
        <w:t>. All capitalized terms used in this Amendment (including in the recitals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otherwise defined herein shall have the meanings assigned to them in the Loan Agreement (as amended by this Amendment).</w:t>
      </w:r>
    </w:p>
    <w:p>
      <w:pPr>
        <w:spacing w:after="0" w:line="117" w:lineRule="exact"/>
        <w:rPr>
          <w:rFonts w:ascii="Arial" w:cs="Arial" w:eastAsia="Arial" w:hAnsi="Arial"/>
          <w:sz w:val="16"/>
          <w:szCs w:val="16"/>
          <w:color w:val="auto"/>
        </w:rPr>
      </w:pPr>
    </w:p>
    <w:p>
      <w:pPr>
        <w:ind w:right="360" w:firstLine="741"/>
        <w:spacing w:after="0" w:line="267" w:lineRule="auto"/>
        <w:tabs>
          <w:tab w:leader="none" w:pos="1474" w:val="left"/>
        </w:tabs>
        <w:numPr>
          <w:ilvl w:val="0"/>
          <w:numId w:val="14"/>
        </w:numPr>
        <w:rPr>
          <w:rFonts w:ascii="Arial" w:cs="Arial" w:eastAsia="Arial" w:hAnsi="Arial"/>
          <w:sz w:val="18"/>
          <w:szCs w:val="18"/>
          <w:color w:val="auto"/>
        </w:rPr>
      </w:pPr>
      <w:r>
        <w:rPr>
          <w:rFonts w:ascii="Arial" w:cs="Arial" w:eastAsia="Arial" w:hAnsi="Arial"/>
          <w:sz w:val="20"/>
          <w:szCs w:val="20"/>
          <w:b w:val="1"/>
          <w:bCs w:val="1"/>
          <w:color w:val="auto"/>
        </w:rPr>
        <w:t>Rules of Construction</w:t>
      </w:r>
      <w:r>
        <w:rPr>
          <w:rFonts w:ascii="Arial" w:cs="Arial" w:eastAsia="Arial" w:hAnsi="Arial"/>
          <w:sz w:val="20"/>
          <w:szCs w:val="20"/>
          <w:color w:val="auto"/>
        </w:rPr>
        <w:t>. The rules of construction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1.2</w:t>
      </w:r>
      <w:r>
        <w:rPr>
          <w:rFonts w:ascii="Arial" w:cs="Arial" w:eastAsia="Arial" w:hAnsi="Arial"/>
          <w:sz w:val="20"/>
          <w:szCs w:val="20"/>
          <w:b w:val="1"/>
          <w:bCs w:val="1"/>
          <w:color w:val="auto"/>
        </w:rPr>
        <w:t xml:space="preserve"> </w:t>
      </w:r>
      <w:r>
        <w:rPr>
          <w:rFonts w:ascii="Arial" w:cs="Arial" w:eastAsia="Arial" w:hAnsi="Arial"/>
          <w:sz w:val="20"/>
          <w:szCs w:val="20"/>
          <w:color w:val="auto"/>
        </w:rPr>
        <w:t>of the Loan Agreement shall be applicable 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and are incorporated herein by this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9"/>
          <w:szCs w:val="19"/>
          <w:b w:val="1"/>
          <w:bCs w:val="1"/>
          <w:color w:val="auto"/>
        </w:rPr>
        <w:t>Amendments to the Loan Agreement.</w:t>
      </w:r>
    </w:p>
    <w:p>
      <w:pPr>
        <w:spacing w:after="0" w:line="233"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20"/>
          <w:szCs w:val="20"/>
          <w:color w:val="auto"/>
        </w:rPr>
        <w:t xml:space="preserve">Upon satisfaction of the conditions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the Loan Agreement is hereby amended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0" w:lineRule="exact"/>
        <w:rPr>
          <w:sz w:val="20"/>
          <w:szCs w:val="20"/>
          <w:color w:val="auto"/>
        </w:rPr>
      </w:pPr>
    </w:p>
    <w:p>
      <w:pPr>
        <w:ind w:left="2220" w:hanging="730"/>
        <w:spacing w:after="0"/>
        <w:tabs>
          <w:tab w:leader="none" w:pos="2220" w:val="left"/>
        </w:tabs>
        <w:numPr>
          <w:ilvl w:val="0"/>
          <w:numId w:val="15"/>
        </w:numPr>
        <w:rPr>
          <w:rFonts w:ascii="Arial" w:cs="Arial" w:eastAsia="Arial" w:hAnsi="Arial"/>
          <w:sz w:val="18"/>
          <w:szCs w:val="18"/>
          <w:color w:val="auto"/>
        </w:rPr>
      </w:pPr>
      <w:r>
        <w:rPr>
          <w:rFonts w:ascii="Arial" w:cs="Arial" w:eastAsia="Arial" w:hAnsi="Arial"/>
          <w:sz w:val="20"/>
          <w:szCs w:val="20"/>
          <w:u w:val="single" w:color="auto"/>
          <w:color w:val="auto"/>
        </w:rPr>
        <w:t>New Definitions</w:t>
      </w:r>
      <w:r>
        <w:rPr>
          <w:rFonts w:ascii="Arial" w:cs="Arial" w:eastAsia="Arial" w:hAnsi="Arial"/>
          <w:sz w:val="20"/>
          <w:szCs w:val="20"/>
          <w:color w:val="auto"/>
        </w:rPr>
        <w:t>. The following definition is added to Section 1.1 of the Loan Agreement in its proper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alphabetical order:</w:t>
      </w:r>
    </w:p>
    <w:p>
      <w:pPr>
        <w:spacing w:after="0" w:line="186" w:lineRule="exact"/>
        <w:rPr>
          <w:sz w:val="20"/>
          <w:szCs w:val="20"/>
          <w:color w:val="auto"/>
        </w:rPr>
      </w:pPr>
    </w:p>
    <w:p>
      <w:pPr>
        <w:jc w:val="both"/>
        <w:ind w:left="1480" w:right="34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PDUFA Action Date</w:t>
      </w:r>
      <w:r>
        <w:rPr>
          <w:rFonts w:ascii="Arial" w:cs="Arial" w:eastAsia="Arial" w:hAnsi="Arial"/>
          <w:sz w:val="20"/>
          <w:szCs w:val="20"/>
          <w:color w:val="auto"/>
        </w:rPr>
        <w:t>” means the Prescription Drug User Fee Act (“PDUFA”) target action date for Borrower’s new drug application for the use of vonoprazan as a treatment for adults for the healing of all grades of erosive esophagitis (“EE”) and relief of heartburn, and maintenance of healing of all grades of EE and relief of heartburn.</w:t>
      </w:r>
    </w:p>
    <w:p>
      <w:pPr>
        <w:spacing w:after="0" w:line="178" w:lineRule="exact"/>
        <w:rPr>
          <w:sz w:val="20"/>
          <w:szCs w:val="20"/>
          <w:color w:val="auto"/>
        </w:rPr>
      </w:pPr>
    </w:p>
    <w:p>
      <w:pPr>
        <w:ind w:left="1500"/>
        <w:spacing w:after="0"/>
        <w:tabs>
          <w:tab w:leader="none" w:pos="33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20"/>
          <w:szCs w:val="20"/>
          <w:u w:val="single" w:color="auto"/>
          <w:color w:val="auto"/>
        </w:rPr>
        <w:t>Amended and Restated Definition</w:t>
      </w:r>
      <w:r>
        <w:rPr>
          <w:rFonts w:ascii="Arial" w:cs="Arial" w:eastAsia="Arial" w:hAnsi="Arial"/>
          <w:sz w:val="20"/>
          <w:szCs w:val="20"/>
          <w:color w:val="auto"/>
        </w:rPr>
        <w:t>. The following definition in Section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1.1 of the Loan Agreement is hereby amended in its entirety and replaced with the following:</w:t>
      </w:r>
    </w:p>
    <w:p>
      <w:pPr>
        <w:spacing w:after="0" w:line="200" w:lineRule="exact"/>
        <w:rPr>
          <w:sz w:val="20"/>
          <w:szCs w:val="20"/>
          <w:color w:val="auto"/>
        </w:rPr>
      </w:pPr>
    </w:p>
    <w:p>
      <w:pPr>
        <w:jc w:val="both"/>
        <w:ind w:left="1480" w:right="340" w:firstLine="749"/>
        <w:spacing w:after="0" w:line="241" w:lineRule="auto"/>
        <w:rPr>
          <w:sz w:val="20"/>
          <w:szCs w:val="20"/>
          <w:color w:val="auto"/>
        </w:rPr>
      </w:pPr>
      <w:r>
        <w:rPr>
          <w:rFonts w:ascii="Arial" w:cs="Arial" w:eastAsia="Arial" w:hAnsi="Arial"/>
          <w:sz w:val="20"/>
          <w:szCs w:val="20"/>
          <w:color w:val="auto"/>
        </w:rPr>
        <w:t>“Initial Performance Covenant Test Date” means the date on which the outstanding principal amount of the Term Loan Advances is first greater than $100,000,000; provided that the Initial Performance Covenant Test Date shall begin only on or after November 15, 2023 (i.e. the date Borrower’s 2023 third fiscal quarter reporting is due under Section 7.1(b) hereof).</w:t>
      </w:r>
    </w:p>
    <w:p>
      <w:pPr>
        <w:spacing w:after="0" w:line="197" w:lineRule="exact"/>
        <w:rPr>
          <w:sz w:val="20"/>
          <w:szCs w:val="20"/>
          <w:color w:val="auto"/>
        </w:rPr>
      </w:pPr>
    </w:p>
    <w:p>
      <w:pPr>
        <w:ind w:right="1080" w:firstLine="1490"/>
        <w:spacing w:after="0" w:line="260" w:lineRule="auto"/>
        <w:tabs>
          <w:tab w:leader="none" w:pos="2223" w:val="left"/>
        </w:tabs>
        <w:numPr>
          <w:ilvl w:val="0"/>
          <w:numId w:val="16"/>
        </w:numPr>
        <w:rPr>
          <w:rFonts w:ascii="Arial" w:cs="Arial" w:eastAsia="Arial" w:hAnsi="Arial"/>
          <w:sz w:val="18"/>
          <w:szCs w:val="18"/>
          <w:color w:val="auto"/>
        </w:rPr>
      </w:pPr>
      <w:r>
        <w:rPr>
          <w:rFonts w:ascii="Arial" w:cs="Arial" w:eastAsia="Arial" w:hAnsi="Arial"/>
          <w:sz w:val="20"/>
          <w:szCs w:val="20"/>
          <w:u w:val="single" w:color="auto"/>
          <w:color w:val="auto"/>
        </w:rPr>
        <w:t>Tranche II Term Loan Commitment</w:t>
      </w:r>
      <w:r>
        <w:rPr>
          <w:rFonts w:ascii="Arial" w:cs="Arial" w:eastAsia="Arial" w:hAnsi="Arial"/>
          <w:sz w:val="20"/>
          <w:szCs w:val="20"/>
          <w:color w:val="auto"/>
        </w:rPr>
        <w:t>. Clause (ii) of Section 2.1(a) of the Loan Agreement is hereby amended in its entirety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179070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35" w:right="339" w:bottom="1440" w:gutter="0" w:footer="0" w:header="0"/>
        </w:sectPr>
      </w:pPr>
    </w:p>
    <w:bookmarkStart w:id="67" w:name="page68"/>
    <w:bookmarkEnd w:id="67"/>
    <w:p>
      <w:pPr>
        <w:jc w:val="both"/>
        <w:ind w:left="1540" w:right="20" w:firstLine="759"/>
        <w:spacing w:after="0" w:line="256" w:lineRule="auto"/>
        <w:tabs>
          <w:tab w:leader="none" w:pos="2607" w:val="left"/>
        </w:tabs>
        <w:numPr>
          <w:ilvl w:val="1"/>
          <w:numId w:val="17"/>
        </w:numPr>
        <w:rPr>
          <w:rFonts w:ascii="Arial" w:cs="Arial" w:eastAsia="Arial" w:hAnsi="Arial"/>
          <w:sz w:val="19"/>
          <w:szCs w:val="19"/>
          <w:color w:val="auto"/>
        </w:rPr>
      </w:pPr>
      <w:r>
        <w:rPr>
          <w:rFonts w:ascii="Arial" w:cs="Arial" w:eastAsia="Arial" w:hAnsi="Arial"/>
          <w:sz w:val="19"/>
          <w:szCs w:val="19"/>
          <w:i w:val="1"/>
          <w:iCs w:val="1"/>
          <w:u w:val="single" w:color="auto"/>
          <w:color w:val="auto"/>
        </w:rPr>
        <w:t>Tranche II</w:t>
      </w:r>
      <w:r>
        <w:rPr>
          <w:rFonts w:ascii="Arial" w:cs="Arial" w:eastAsia="Arial" w:hAnsi="Arial"/>
          <w:sz w:val="19"/>
          <w:szCs w:val="19"/>
          <w:color w:val="auto"/>
        </w:rPr>
        <w:t>. Subject to the terms and conditions of this Agreement and satisfaction of the Clinical</w:t>
      </w:r>
      <w:r>
        <w:rPr>
          <w:rFonts w:ascii="Arial" w:cs="Arial" w:eastAsia="Arial" w:hAnsi="Arial"/>
          <w:sz w:val="19"/>
          <w:szCs w:val="19"/>
          <w:i w:val="1"/>
          <w:iCs w:val="1"/>
          <w:color w:val="auto"/>
        </w:rPr>
        <w:t xml:space="preserve"> </w:t>
      </w:r>
      <w:r>
        <w:rPr>
          <w:rFonts w:ascii="Arial" w:cs="Arial" w:eastAsia="Arial" w:hAnsi="Arial"/>
          <w:sz w:val="19"/>
          <w:szCs w:val="19"/>
          <w:color w:val="auto"/>
        </w:rPr>
        <w:t>Milestone, on or prior to (A) February 15, 2023, or (B) in the event that the PDUFA Action Date is extended beyond January 11, 2023, May 15, 2023, Borrower may request, and Lenders shall severally (and not jointly) make, one or more additional Term Loan Advances in minimum increments of $5,000,000 (or if less than</w:t>
      </w:r>
    </w:p>
    <w:p>
      <w:pPr>
        <w:spacing w:after="0" w:line="1" w:lineRule="exact"/>
        <w:rPr>
          <w:rFonts w:ascii="Arial" w:cs="Arial" w:eastAsia="Arial" w:hAnsi="Arial"/>
          <w:sz w:val="19"/>
          <w:szCs w:val="19"/>
          <w:color w:val="auto"/>
        </w:rPr>
      </w:pPr>
    </w:p>
    <w:p>
      <w:pPr>
        <w:ind w:left="1540" w:right="20"/>
        <w:spacing w:after="0" w:line="244" w:lineRule="auto"/>
        <w:rPr>
          <w:rFonts w:ascii="Arial" w:cs="Arial" w:eastAsia="Arial" w:hAnsi="Arial"/>
          <w:sz w:val="19"/>
          <w:szCs w:val="19"/>
          <w:color w:val="auto"/>
        </w:rPr>
      </w:pPr>
      <w:r>
        <w:rPr>
          <w:rFonts w:ascii="Arial" w:cs="Arial" w:eastAsia="Arial" w:hAnsi="Arial"/>
          <w:sz w:val="20"/>
          <w:szCs w:val="20"/>
          <w:color w:val="auto"/>
        </w:rPr>
        <w:t>$5,000,000 the remaining amount of Term Loan Advances available to be drawn pursuant to this Section 2.1(a)(ii)) in an aggregate principal amount up to $50,000,000.</w:t>
      </w:r>
    </w:p>
    <w:p>
      <w:pPr>
        <w:spacing w:after="0" w:line="171" w:lineRule="exact"/>
        <w:rPr>
          <w:rFonts w:ascii="Arial" w:cs="Arial" w:eastAsia="Arial" w:hAnsi="Arial"/>
          <w:sz w:val="19"/>
          <w:szCs w:val="19"/>
          <w:color w:val="auto"/>
        </w:rPr>
      </w:pPr>
    </w:p>
    <w:p>
      <w:pPr>
        <w:jc w:val="both"/>
        <w:ind w:left="60" w:right="20" w:firstLine="740"/>
        <w:spacing w:after="0" w:line="253" w:lineRule="auto"/>
        <w:tabs>
          <w:tab w:leader="none" w:pos="1647" w:val="left"/>
        </w:tabs>
        <w:numPr>
          <w:ilvl w:val="0"/>
          <w:numId w:val="18"/>
        </w:numPr>
        <w:rPr>
          <w:rFonts w:ascii="Arial" w:cs="Arial" w:eastAsia="Arial" w:hAnsi="Arial"/>
          <w:sz w:val="18"/>
          <w:szCs w:val="18"/>
          <w:color w:val="auto"/>
        </w:rPr>
      </w:pPr>
      <w:r>
        <w:rPr>
          <w:rFonts w:ascii="Arial" w:cs="Arial" w:eastAsia="Arial" w:hAnsi="Arial"/>
          <w:sz w:val="20"/>
          <w:szCs w:val="20"/>
          <w:b w:val="1"/>
          <w:bCs w:val="1"/>
          <w:color w:val="auto"/>
        </w:rPr>
        <w:t>References Within Loan Agreement</w:t>
      </w:r>
      <w:r>
        <w:rPr>
          <w:rFonts w:ascii="Arial" w:cs="Arial" w:eastAsia="Arial" w:hAnsi="Arial"/>
          <w:sz w:val="20"/>
          <w:szCs w:val="20"/>
          <w:color w:val="auto"/>
        </w:rPr>
        <w:t>. Each reference in the Loan Agreement to “this Agreement” and the words</w:t>
      </w:r>
      <w:r>
        <w:rPr>
          <w:rFonts w:ascii="Arial" w:cs="Arial" w:eastAsia="Arial" w:hAnsi="Arial"/>
          <w:sz w:val="20"/>
          <w:szCs w:val="20"/>
          <w:b w:val="1"/>
          <w:bCs w:val="1"/>
          <w:color w:val="auto"/>
        </w:rPr>
        <w:t xml:space="preserve"> </w:t>
      </w:r>
      <w:r>
        <w:rPr>
          <w:rFonts w:ascii="Arial" w:cs="Arial" w:eastAsia="Arial" w:hAnsi="Arial"/>
          <w:sz w:val="20"/>
          <w:szCs w:val="20"/>
          <w:color w:val="auto"/>
        </w:rPr>
        <w:t>“hereof,” “herein,” “hereunder”, or words of like import, shall mean and be a reference to the Loan Agreement as amended by this Amendment. This Amendment shall be a Loan Document.</w:t>
      </w:r>
    </w:p>
    <w:p>
      <w:pPr>
        <w:spacing w:after="0" w:line="177" w:lineRule="exact"/>
        <w:rPr>
          <w:sz w:val="20"/>
          <w:szCs w:val="20"/>
          <w:color w:val="auto"/>
        </w:rPr>
      </w:pPr>
    </w:p>
    <w:p>
      <w:pPr>
        <w:jc w:val="both"/>
        <w:ind w:left="60"/>
        <w:spacing w:after="0" w:line="26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9"/>
          <w:szCs w:val="19"/>
          <w:b w:val="1"/>
          <w:bCs w:val="1"/>
          <w:color w:val="auto"/>
        </w:rPr>
        <w:t>Conditions of Effectiveness</w:t>
      </w:r>
      <w:r>
        <w:rPr>
          <w:rFonts w:ascii="Arial" w:cs="Arial" w:eastAsia="Arial" w:hAnsi="Arial"/>
          <w:sz w:val="19"/>
          <w:szCs w:val="19"/>
          <w:color w:val="auto"/>
        </w:rPr>
        <w:t>. The effectiveness of this Amendment (the “</w:t>
      </w:r>
      <w:r>
        <w:rPr>
          <w:rFonts w:ascii="Arial" w:cs="Arial" w:eastAsia="Arial" w:hAnsi="Arial"/>
          <w:sz w:val="19"/>
          <w:szCs w:val="19"/>
          <w:u w:val="single" w:color="auto"/>
          <w:color w:val="auto"/>
        </w:rPr>
        <w:t>Second Amendment Effective Date</w:t>
      </w:r>
      <w:r>
        <w:rPr>
          <w:rFonts w:ascii="Arial" w:cs="Arial" w:eastAsia="Arial" w:hAnsi="Arial"/>
          <w:sz w:val="19"/>
          <w:szCs w:val="19"/>
          <w:color w:val="auto"/>
        </w:rPr>
        <w:t>”) shall be</w:t>
      </w:r>
      <w:r>
        <w:rPr>
          <w:rFonts w:ascii="Arial" w:cs="Arial" w:eastAsia="Arial" w:hAnsi="Arial"/>
          <w:sz w:val="18"/>
          <w:szCs w:val="18"/>
          <w:b w:val="1"/>
          <w:bCs w:val="1"/>
          <w:color w:val="auto"/>
        </w:rPr>
        <w:t xml:space="preserve"> </w:t>
      </w:r>
      <w:r>
        <w:rPr>
          <w:rFonts w:ascii="Arial" w:cs="Arial" w:eastAsia="Arial" w:hAnsi="Arial"/>
          <w:sz w:val="19"/>
          <w:szCs w:val="19"/>
          <w:color w:val="auto"/>
        </w:rPr>
        <w:t>subject to Agent’s receipt of the following documents, in form and substance satisfactory to Agent, or, as applicable, the following conditions being met:</w:t>
      </w:r>
    </w:p>
    <w:p>
      <w:pPr>
        <w:spacing w:after="0" w:line="173" w:lineRule="exact"/>
        <w:rPr>
          <w:sz w:val="20"/>
          <w:szCs w:val="20"/>
          <w:color w:val="auto"/>
        </w:rPr>
      </w:pPr>
    </w:p>
    <w:p>
      <w:pPr>
        <w:ind w:left="1560" w:hanging="759"/>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20"/>
          <w:szCs w:val="20"/>
          <w:color w:val="auto"/>
        </w:rPr>
        <w:t>this Amendment, executed by Agent, each Lender and Borrower;</w:t>
      </w:r>
    </w:p>
    <w:p>
      <w:pPr>
        <w:spacing w:after="0" w:line="202" w:lineRule="exact"/>
        <w:rPr>
          <w:rFonts w:ascii="Arial" w:cs="Arial" w:eastAsia="Arial" w:hAnsi="Arial"/>
          <w:sz w:val="18"/>
          <w:szCs w:val="18"/>
          <w:color w:val="auto"/>
        </w:rPr>
      </w:pPr>
    </w:p>
    <w:p>
      <w:pPr>
        <w:ind w:left="60" w:right="20" w:firstLine="740"/>
        <w:spacing w:after="0" w:line="260" w:lineRule="auto"/>
        <w:tabs>
          <w:tab w:leader="none" w:pos="1647" w:val="left"/>
        </w:tabs>
        <w:numPr>
          <w:ilvl w:val="0"/>
          <w:numId w:val="19"/>
        </w:numPr>
        <w:rPr>
          <w:rFonts w:ascii="Arial" w:cs="Arial" w:eastAsia="Arial" w:hAnsi="Arial"/>
          <w:sz w:val="18"/>
          <w:szCs w:val="18"/>
          <w:color w:val="auto"/>
        </w:rPr>
      </w:pPr>
      <w:r>
        <w:rPr>
          <w:rFonts w:ascii="Arial" w:cs="Arial" w:eastAsia="Arial" w:hAnsi="Arial"/>
          <w:sz w:val="20"/>
          <w:szCs w:val="20"/>
          <w:color w:val="auto"/>
        </w:rPr>
        <w:t>Borrower shall have paid (i) all invoiced costs and expenses then due in accordance with Section 6(d), and (ii) all other fees, costs and expenses, if any, due and payable as of the date hereof under the Loan Agreement; and</w:t>
      </w:r>
    </w:p>
    <w:p>
      <w:pPr>
        <w:spacing w:after="0" w:line="176" w:lineRule="exact"/>
        <w:rPr>
          <w:rFonts w:ascii="Arial" w:cs="Arial" w:eastAsia="Arial" w:hAnsi="Arial"/>
          <w:sz w:val="18"/>
          <w:szCs w:val="18"/>
          <w:color w:val="auto"/>
        </w:rPr>
      </w:pPr>
    </w:p>
    <w:p>
      <w:pPr>
        <w:ind w:left="60" w:firstLine="740"/>
        <w:spacing w:after="0" w:line="260" w:lineRule="auto"/>
        <w:tabs>
          <w:tab w:leader="none" w:pos="1647" w:val="left"/>
        </w:tabs>
        <w:numPr>
          <w:ilvl w:val="0"/>
          <w:numId w:val="19"/>
        </w:numPr>
        <w:rPr>
          <w:rFonts w:ascii="Arial" w:cs="Arial" w:eastAsia="Arial" w:hAnsi="Arial"/>
          <w:sz w:val="18"/>
          <w:szCs w:val="18"/>
          <w:color w:val="auto"/>
        </w:rPr>
      </w:pPr>
      <w:r>
        <w:rPr>
          <w:rFonts w:ascii="Arial" w:cs="Arial" w:eastAsia="Arial" w:hAnsi="Arial"/>
          <w:sz w:val="20"/>
          <w:szCs w:val="20"/>
          <w:color w:val="auto"/>
        </w:rPr>
        <w:t>on the Second Amendment Effective Date, immediately after giving effect to the amendment of the Loan Agreement contemplated hereby:</w:t>
      </w:r>
    </w:p>
    <w:p>
      <w:pPr>
        <w:spacing w:after="0" w:line="176" w:lineRule="exact"/>
        <w:rPr>
          <w:rFonts w:ascii="Arial" w:cs="Arial" w:eastAsia="Arial" w:hAnsi="Arial"/>
          <w:sz w:val="18"/>
          <w:szCs w:val="18"/>
          <w:color w:val="auto"/>
        </w:rPr>
      </w:pPr>
    </w:p>
    <w:p>
      <w:pPr>
        <w:ind w:left="60" w:right="80" w:firstLine="1489"/>
        <w:spacing w:after="0" w:line="260" w:lineRule="auto"/>
        <w:tabs>
          <w:tab w:leader="none" w:pos="2281" w:val="left"/>
        </w:tabs>
        <w:numPr>
          <w:ilvl w:val="1"/>
          <w:numId w:val="19"/>
        </w:numPr>
        <w:rPr>
          <w:rFonts w:ascii="Arial" w:cs="Arial" w:eastAsia="Arial" w:hAnsi="Arial"/>
          <w:sz w:val="18"/>
          <w:szCs w:val="18"/>
          <w:color w:val="auto"/>
        </w:rPr>
      </w:pPr>
      <w:r>
        <w:rPr>
          <w:rFonts w:ascii="Arial" w:cs="Arial" w:eastAsia="Arial" w:hAnsi="Arial"/>
          <w:sz w:val="20"/>
          <w:szCs w:val="20"/>
          <w:color w:val="auto"/>
        </w:rPr>
        <w:t>The representations and warranties contained in Section 4 shall be true and correct on and as of the Second Amendment Effective Date as though made on and as of such date; and</w:t>
      </w:r>
    </w:p>
    <w:p>
      <w:pPr>
        <w:spacing w:after="0" w:line="163" w:lineRule="exact"/>
        <w:rPr>
          <w:rFonts w:ascii="Arial" w:cs="Arial" w:eastAsia="Arial" w:hAnsi="Arial"/>
          <w:sz w:val="18"/>
          <w:szCs w:val="18"/>
          <w:color w:val="auto"/>
        </w:rPr>
      </w:pPr>
    </w:p>
    <w:p>
      <w:pPr>
        <w:ind w:left="2280" w:hanging="731"/>
        <w:spacing w:after="0"/>
        <w:tabs>
          <w:tab w:leader="none" w:pos="2280" w:val="left"/>
        </w:tabs>
        <w:numPr>
          <w:ilvl w:val="1"/>
          <w:numId w:val="19"/>
        </w:numPr>
        <w:rPr>
          <w:rFonts w:ascii="Arial" w:cs="Arial" w:eastAsia="Arial" w:hAnsi="Arial"/>
          <w:sz w:val="17"/>
          <w:szCs w:val="17"/>
          <w:color w:val="auto"/>
        </w:rPr>
      </w:pPr>
      <w:r>
        <w:rPr>
          <w:rFonts w:ascii="Arial" w:cs="Arial" w:eastAsia="Arial" w:hAnsi="Arial"/>
          <w:sz w:val="19"/>
          <w:szCs w:val="19"/>
          <w:color w:val="auto"/>
        </w:rPr>
        <w:t>There exist no Events of Default or events that with the passage of time would result in an Event of</w:t>
      </w:r>
    </w:p>
    <w:p>
      <w:pPr>
        <w:spacing w:after="0" w:line="27"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20"/>
          <w:szCs w:val="20"/>
          <w:color w:val="auto"/>
        </w:rPr>
        <w:t>Default.</w:t>
      </w:r>
    </w:p>
    <w:p>
      <w:pPr>
        <w:spacing w:after="0" w:line="194" w:lineRule="exact"/>
        <w:rPr>
          <w:sz w:val="20"/>
          <w:szCs w:val="20"/>
          <w:color w:val="auto"/>
        </w:rPr>
      </w:pPr>
    </w:p>
    <w:p>
      <w:pPr>
        <w:jc w:val="both"/>
        <w:ind w:left="60"/>
        <w:spacing w:after="0" w:line="251"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9"/>
          <w:szCs w:val="19"/>
          <w:b w:val="1"/>
          <w:bCs w:val="1"/>
          <w:color w:val="auto"/>
        </w:rPr>
        <w:t>Representations and Warranties</w:t>
      </w:r>
      <w:r>
        <w:rPr>
          <w:rFonts w:ascii="Arial" w:cs="Arial" w:eastAsia="Arial" w:hAnsi="Arial"/>
          <w:sz w:val="19"/>
          <w:szCs w:val="19"/>
          <w:color w:val="auto"/>
        </w:rPr>
        <w:t>. To induce Agent and Lenders to enter into this Amendment, Borrower hereby</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confirms, as of the date hereof, (a) that the representations and warranties made by it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the Loan Agreement and in the other Loan Documents are true and correct in all material respects;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materiality qualifier shall not be applicable to any representations and warranties that already are qualified or modified by materiality in the text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to the extent such representations and warranties by their terms expressly relate only to a prior date such representations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warranties shall be true and correct as of such prior date, and (a) that no Event of Default has occurred and is continuing; (b) that there has not been and there does not exist a Material Adverse Effect; (c)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Arial" w:cs="Arial" w:eastAsia="Arial" w:hAnsi="Arial"/>
          <w:sz w:val="19"/>
          <w:szCs w:val="19"/>
          <w:u w:val="single" w:color="auto"/>
          <w:color w:val="auto"/>
        </w:rPr>
        <w:t>4</w:t>
      </w:r>
      <w:r>
        <w:rPr>
          <w:rFonts w:ascii="Arial" w:cs="Arial" w:eastAsia="Arial" w:hAnsi="Arial"/>
          <w:sz w:val="19"/>
          <w:szCs w:val="19"/>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204" w:right="679" w:bottom="1440" w:gutter="0" w:footer="0" w:header="0"/>
        </w:sectPr>
      </w:pPr>
    </w:p>
    <w:bookmarkStart w:id="68" w:name="page69"/>
    <w:bookmarkEnd w:id="68"/>
    <w:p>
      <w:pPr>
        <w:jc w:val="both"/>
        <w:ind w:left="60" w:right="20"/>
        <w:spacing w:after="0" w:line="287" w:lineRule="auto"/>
        <w:rPr>
          <w:sz w:val="20"/>
          <w:szCs w:val="20"/>
          <w:color w:val="auto"/>
        </w:rPr>
      </w:pPr>
      <w:r>
        <w:rPr>
          <w:rFonts w:ascii="Arial" w:cs="Arial" w:eastAsia="Arial" w:hAnsi="Arial"/>
          <w:sz w:val="19"/>
          <w:szCs w:val="19"/>
          <w:color w:val="auto"/>
        </w:rPr>
        <w:t xml:space="preserve">each reference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of the Loan Agreement to “this Agreement,” and the words “hereof”, “herein”, “hereunder”, or words of like import in such Section, shall mean and be a reference to the Loan Agreement as amended by this Amendment.</w:t>
      </w:r>
    </w:p>
    <w:p>
      <w:pPr>
        <w:spacing w:after="0" w:line="146" w:lineRule="exact"/>
        <w:rPr>
          <w:sz w:val="20"/>
          <w:szCs w:val="20"/>
          <w:color w:val="auto"/>
        </w:rPr>
      </w:pPr>
    </w:p>
    <w:p>
      <w:pPr>
        <w:jc w:val="both"/>
        <w:ind w:left="60" w:hanging="1"/>
        <w:spacing w:after="0" w:line="283" w:lineRule="auto"/>
        <w:rPr>
          <w:sz w:val="20"/>
          <w:szCs w:val="20"/>
          <w:color w:val="auto"/>
        </w:rPr>
      </w:pPr>
      <w:r>
        <w:rPr>
          <w:rFonts w:ascii="Arial" w:cs="Arial" w:eastAsia="Arial" w:hAnsi="Arial"/>
          <w:sz w:val="16"/>
          <w:szCs w:val="16"/>
          <w:b w:val="1"/>
          <w:bCs w:val="1"/>
          <w:color w:val="auto"/>
        </w:rPr>
        <w:t xml:space="preserve">SECTION 5 </w:t>
      </w:r>
      <w:r>
        <w:rPr>
          <w:rFonts w:ascii="Arial" w:cs="Arial" w:eastAsia="Arial" w:hAnsi="Arial"/>
          <w:sz w:val="17"/>
          <w:szCs w:val="17"/>
          <w:b w:val="1"/>
          <w:bCs w:val="1"/>
          <w:color w:val="auto"/>
        </w:rPr>
        <w:t>Release.</w:t>
      </w:r>
      <w:r>
        <w:rPr>
          <w:rFonts w:ascii="Arial" w:cs="Arial" w:eastAsia="Arial" w:hAnsi="Arial"/>
          <w:sz w:val="16"/>
          <w:szCs w:val="16"/>
          <w:b w:val="1"/>
          <w:bCs w:val="1"/>
          <w:color w:val="auto"/>
        </w:rPr>
        <w:t xml:space="preserve"> </w:t>
      </w:r>
      <w:r>
        <w:rPr>
          <w:rFonts w:ascii="Arial" w:cs="Arial" w:eastAsia="Arial" w:hAnsi="Arial"/>
          <w:sz w:val="17"/>
          <w:szCs w:val="17"/>
          <w:color w:val="auto"/>
        </w:rPr>
        <w:t>In consideration of the agreements of Agent and each Lender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7"/>
          <w:szCs w:val="17"/>
          <w:color w:val="auto"/>
        </w:rPr>
        <w:t>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7"/>
          <w:szCs w:val="17"/>
          <w:b w:val="1"/>
          <w:bCs w:val="1"/>
          <w:color w:val="auto"/>
        </w:rPr>
        <w:t>Releasees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Releasee</w:t>
      </w:r>
      <w:r>
        <w:rPr>
          <w:rFonts w:ascii="Arial" w:cs="Arial" w:eastAsia="Arial" w:hAnsi="Arial"/>
          <w:sz w:val="17"/>
          <w:szCs w:val="17"/>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 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9"/>
          <w:szCs w:val="19"/>
          <w:b w:val="1"/>
          <w:bCs w:val="1"/>
          <w:color w:val="auto"/>
        </w:rPr>
        <w:t>Miscellaneous.</w:t>
      </w:r>
    </w:p>
    <w:p>
      <w:pPr>
        <w:spacing w:after="0" w:line="227" w:lineRule="exact"/>
        <w:rPr>
          <w:sz w:val="20"/>
          <w:szCs w:val="20"/>
          <w:color w:val="auto"/>
        </w:rPr>
      </w:pPr>
    </w:p>
    <w:p>
      <w:pPr>
        <w:ind w:left="1560" w:hanging="759"/>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20"/>
          <w:szCs w:val="20"/>
          <w:b w:val="1"/>
          <w:bCs w:val="1"/>
          <w:color w:val="auto"/>
        </w:rPr>
        <w:t>Loan Documents Otherwise Not Affected; Reaffirmation; No Novation</w:t>
      </w:r>
      <w:r>
        <w:rPr>
          <w:rFonts w:ascii="Arial" w:cs="Arial" w:eastAsia="Arial" w:hAnsi="Arial"/>
          <w:sz w:val="20"/>
          <w:szCs w:val="20"/>
          <w:color w:val="auto"/>
        </w:rPr>
        <w:t>.</w:t>
      </w:r>
    </w:p>
    <w:p>
      <w:pPr>
        <w:spacing w:after="0" w:line="208" w:lineRule="exact"/>
        <w:rPr>
          <w:rFonts w:ascii="Arial" w:cs="Arial" w:eastAsia="Arial" w:hAnsi="Arial"/>
          <w:sz w:val="18"/>
          <w:szCs w:val="18"/>
          <w:color w:val="auto"/>
        </w:rPr>
      </w:pPr>
    </w:p>
    <w:p>
      <w:pPr>
        <w:jc w:val="both"/>
        <w:ind w:left="60" w:firstLine="1489"/>
        <w:spacing w:after="0" w:line="328" w:lineRule="auto"/>
        <w:tabs>
          <w:tab w:leader="none" w:pos="2282" w:val="left"/>
        </w:tabs>
        <w:numPr>
          <w:ilvl w:val="1"/>
          <w:numId w:val="20"/>
        </w:numPr>
        <w:rPr>
          <w:rFonts w:ascii="Arial" w:cs="Arial" w:eastAsia="Arial" w:hAnsi="Arial"/>
          <w:sz w:val="15"/>
          <w:szCs w:val="15"/>
          <w:color w:val="auto"/>
        </w:rPr>
      </w:pPr>
      <w:r>
        <w:rPr>
          <w:rFonts w:ascii="Arial" w:cs="Arial" w:eastAsia="Arial" w:hAnsi="Arial"/>
          <w:sz w:val="16"/>
          <w:szCs w:val="16"/>
          <w:color w:val="auto"/>
        </w:rPr>
        <w:t>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14" w:lineRule="exact"/>
        <w:rPr>
          <w:rFonts w:ascii="Arial" w:cs="Arial" w:eastAsia="Arial" w:hAnsi="Arial"/>
          <w:sz w:val="15"/>
          <w:szCs w:val="15"/>
          <w:color w:val="auto"/>
        </w:rPr>
      </w:pPr>
    </w:p>
    <w:p>
      <w:pPr>
        <w:jc w:val="both"/>
        <w:ind w:left="60" w:firstLine="1489"/>
        <w:spacing w:after="0" w:line="254" w:lineRule="auto"/>
        <w:tabs>
          <w:tab w:leader="none" w:pos="2283" w:val="left"/>
        </w:tabs>
        <w:numPr>
          <w:ilvl w:val="1"/>
          <w:numId w:val="20"/>
        </w:numPr>
        <w:rPr>
          <w:rFonts w:ascii="Arial" w:cs="Arial" w:eastAsia="Arial" w:hAnsi="Arial"/>
          <w:sz w:val="17"/>
          <w:szCs w:val="17"/>
          <w:color w:val="auto"/>
        </w:rPr>
      </w:pPr>
      <w:r>
        <w:rPr>
          <w:rFonts w:ascii="Arial" w:cs="Arial" w:eastAsia="Arial" w:hAnsi="Arial"/>
          <w:sz w:val="19"/>
          <w:szCs w:val="19"/>
          <w:color w:val="auto"/>
        </w:rPr>
        <w:t>Borrower hereby expressly (1) reaffirms, ratifies and confirms its Secured Obligations under the Loan Agreement and the other Loan Documents, (2) reaffirms, ratifies and confirms the grant of security under Section 3 of the Loan Agreement, (3) reaffirms that such grant of security in the Collateral secures all Secured Obligations under the Loan Agreement, including without limitation any Term Loan Advances funded on or after the Second Amendment Effective Date, as of the date hereof, and with effect from (and including) the Second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204" w:right="679" w:bottom="1440" w:gutter="0" w:footer="0" w:header="0"/>
        </w:sectPr>
      </w:pPr>
    </w:p>
    <w:bookmarkStart w:id="69" w:name="page70"/>
    <w:bookmarkEnd w:id="69"/>
    <w:p>
      <w:pPr>
        <w:jc w:val="both"/>
        <w:ind w:left="60" w:firstLine="1489"/>
        <w:spacing w:after="0" w:line="278" w:lineRule="auto"/>
        <w:tabs>
          <w:tab w:leader="none" w:pos="2282" w:val="left"/>
        </w:tabs>
        <w:numPr>
          <w:ilvl w:val="1"/>
          <w:numId w:val="21"/>
        </w:numPr>
        <w:rPr>
          <w:rFonts w:ascii="Arial" w:cs="Arial" w:eastAsia="Arial" w:hAnsi="Arial"/>
          <w:sz w:val="16"/>
          <w:szCs w:val="16"/>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45" w:lineRule="exact"/>
        <w:rPr>
          <w:rFonts w:ascii="Arial" w:cs="Arial" w:eastAsia="Arial" w:hAnsi="Arial"/>
          <w:sz w:val="16"/>
          <w:szCs w:val="16"/>
          <w:color w:val="auto"/>
        </w:rPr>
      </w:pPr>
    </w:p>
    <w:p>
      <w:pPr>
        <w:jc w:val="both"/>
        <w:ind w:left="60" w:firstLine="740"/>
        <w:spacing w:after="0" w:line="265" w:lineRule="auto"/>
        <w:tabs>
          <w:tab w:leader="none" w:pos="1647" w:val="left"/>
        </w:tabs>
        <w:numPr>
          <w:ilvl w:val="0"/>
          <w:numId w:val="22"/>
        </w:numPr>
        <w:rPr>
          <w:rFonts w:ascii="Arial" w:cs="Arial" w:eastAsia="Arial" w:hAnsi="Arial"/>
          <w:sz w:val="17"/>
          <w:szCs w:val="17"/>
          <w:color w:val="auto"/>
        </w:rPr>
      </w:pPr>
      <w:r>
        <w:rPr>
          <w:rFonts w:ascii="Arial" w:cs="Arial" w:eastAsia="Arial" w:hAnsi="Arial"/>
          <w:sz w:val="19"/>
          <w:szCs w:val="19"/>
          <w:b w:val="1"/>
          <w:bCs w:val="1"/>
          <w:color w:val="auto"/>
        </w:rPr>
        <w:t>Conditions</w:t>
      </w:r>
      <w:r>
        <w:rPr>
          <w:rFonts w:ascii="Arial" w:cs="Arial" w:eastAsia="Arial" w:hAnsi="Arial"/>
          <w:sz w:val="19"/>
          <w:szCs w:val="19"/>
          <w:color w:val="auto"/>
        </w:rPr>
        <w:t>. For purposes of determining compliance with the conditions specified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each Lender that</w:t>
      </w:r>
      <w:r>
        <w:rPr>
          <w:rFonts w:ascii="Arial" w:cs="Arial" w:eastAsia="Arial" w:hAnsi="Arial"/>
          <w:sz w:val="19"/>
          <w:szCs w:val="19"/>
          <w:b w:val="1"/>
          <w:bCs w:val="1"/>
          <w:color w:val="auto"/>
        </w:rPr>
        <w:t xml:space="preserve"> </w:t>
      </w:r>
      <w:r>
        <w:rPr>
          <w:rFonts w:ascii="Arial" w:cs="Arial" w:eastAsia="Arial" w:hAnsi="Arial"/>
          <w:sz w:val="19"/>
          <w:szCs w:val="19"/>
          <w:color w:val="auto"/>
        </w:rPr>
        <w:t>has signed this Amendment shall be deemed to have consented to, approved or accepted or to be satisfied with, each document or other matter required thereunder to be consented to or approved by or acceptable or satisfactory to the Lenders unless Agent shall have received notice from such Lender prior to the date hereof specifying its objection thereto.</w:t>
      </w:r>
    </w:p>
    <w:p>
      <w:pPr>
        <w:spacing w:after="0" w:line="169" w:lineRule="exact"/>
        <w:rPr>
          <w:rFonts w:ascii="Arial" w:cs="Arial" w:eastAsia="Arial" w:hAnsi="Arial"/>
          <w:sz w:val="17"/>
          <w:szCs w:val="17"/>
          <w:color w:val="auto"/>
        </w:rPr>
      </w:pPr>
    </w:p>
    <w:p>
      <w:pPr>
        <w:jc w:val="both"/>
        <w:ind w:left="60" w:right="20" w:firstLine="740"/>
        <w:spacing w:after="0" w:line="253"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20"/>
          <w:szCs w:val="20"/>
          <w:b w:val="1"/>
          <w:bCs w:val="1"/>
          <w:color w:val="auto"/>
        </w:rPr>
        <w:t>No Reliance</w:t>
      </w:r>
      <w:r>
        <w:rPr>
          <w:rFonts w:ascii="Arial" w:cs="Arial" w:eastAsia="Arial" w:hAnsi="Arial"/>
          <w:sz w:val="20"/>
          <w:szCs w:val="20"/>
          <w:color w:val="auto"/>
        </w:rPr>
        <w:t>. Borrower hereby acknowledges and confirms to Agent and Lenders that Borrower is executing this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 on the basis of its own investigation and for its own reasons without reliance upon any agreement, representation, understanding or communication by or on behalf of any other Person.</w:t>
      </w:r>
    </w:p>
    <w:p>
      <w:pPr>
        <w:spacing w:after="0" w:line="163" w:lineRule="exact"/>
        <w:rPr>
          <w:rFonts w:ascii="Arial" w:cs="Arial" w:eastAsia="Arial" w:hAnsi="Arial"/>
          <w:sz w:val="18"/>
          <w:szCs w:val="18"/>
          <w:color w:val="auto"/>
        </w:rPr>
      </w:pPr>
    </w:p>
    <w:p>
      <w:pPr>
        <w:jc w:val="both"/>
        <w:ind w:left="60" w:right="20" w:firstLine="740"/>
        <w:spacing w:after="0" w:line="243"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20"/>
          <w:szCs w:val="20"/>
          <w:b w:val="1"/>
          <w:bCs w:val="1"/>
          <w:color w:val="auto"/>
        </w:rPr>
        <w:t>Costs and Expenses</w:t>
      </w:r>
      <w:r>
        <w:rPr>
          <w:rFonts w:ascii="Arial" w:cs="Arial" w:eastAsia="Arial" w:hAnsi="Arial"/>
          <w:sz w:val="20"/>
          <w:szCs w:val="20"/>
          <w:color w:val="auto"/>
        </w:rPr>
        <w:t>. Borrower agrees to pay to Agent on the date hereof the out-of-pocket costs and expenses of</w:t>
      </w:r>
      <w:r>
        <w:rPr>
          <w:rFonts w:ascii="Arial" w:cs="Arial" w:eastAsia="Arial" w:hAnsi="Arial"/>
          <w:sz w:val="20"/>
          <w:szCs w:val="20"/>
          <w:b w:val="1"/>
          <w:bCs w:val="1"/>
          <w:color w:val="auto"/>
        </w:rPr>
        <w:t xml:space="preserve"> </w:t>
      </w:r>
      <w:r>
        <w:rPr>
          <w:rFonts w:ascii="Arial" w:cs="Arial" w:eastAsia="Arial" w:hAnsi="Arial"/>
          <w:sz w:val="20"/>
          <w:szCs w:val="20"/>
          <w:color w:val="auto"/>
        </w:rPr>
        <w:t>Agent and each Lender party hereto, and the fees and disbursements of counsel to Agent and each Lender party hereto (including allocated costs of internal counsel) in connection with the negotiation, preparation, execution and delivery of this Amendment and any other documents to be delivered in connection herewith on the date hereof.</w:t>
      </w:r>
    </w:p>
    <w:p>
      <w:pPr>
        <w:spacing w:after="0" w:line="189" w:lineRule="exact"/>
        <w:rPr>
          <w:rFonts w:ascii="Arial" w:cs="Arial" w:eastAsia="Arial" w:hAnsi="Arial"/>
          <w:sz w:val="18"/>
          <w:szCs w:val="18"/>
          <w:color w:val="auto"/>
        </w:rPr>
      </w:pPr>
    </w:p>
    <w:p>
      <w:pPr>
        <w:ind w:left="1640" w:hanging="840"/>
        <w:spacing w:after="0"/>
        <w:tabs>
          <w:tab w:leader="none" w:pos="1640" w:val="left"/>
        </w:tabs>
        <w:numPr>
          <w:ilvl w:val="0"/>
          <w:numId w:val="22"/>
        </w:numPr>
        <w:rPr>
          <w:rFonts w:ascii="Arial" w:cs="Arial" w:eastAsia="Arial" w:hAnsi="Arial"/>
          <w:sz w:val="15"/>
          <w:szCs w:val="15"/>
          <w:color w:val="auto"/>
        </w:rPr>
      </w:pPr>
      <w:r>
        <w:rPr>
          <w:rFonts w:ascii="Arial" w:cs="Arial" w:eastAsia="Arial" w:hAnsi="Arial"/>
          <w:sz w:val="16"/>
          <w:szCs w:val="16"/>
          <w:b w:val="1"/>
          <w:bCs w:val="1"/>
          <w:color w:val="auto"/>
        </w:rPr>
        <w:t>Binding Effect</w:t>
      </w:r>
      <w:r>
        <w:rPr>
          <w:rFonts w:ascii="Arial" w:cs="Arial" w:eastAsia="Arial" w:hAnsi="Arial"/>
          <w:sz w:val="16"/>
          <w:szCs w:val="16"/>
          <w:color w:val="auto"/>
        </w:rPr>
        <w:t>. This Amendment binds and is for the benefit of the successors and permitted assigns of each party.</w:t>
      </w:r>
    </w:p>
    <w:p>
      <w:pPr>
        <w:spacing w:after="0" w:line="261" w:lineRule="exact"/>
        <w:rPr>
          <w:rFonts w:ascii="Arial" w:cs="Arial" w:eastAsia="Arial" w:hAnsi="Arial"/>
          <w:sz w:val="15"/>
          <w:szCs w:val="15"/>
          <w:color w:val="auto"/>
        </w:rPr>
      </w:pPr>
    </w:p>
    <w:p>
      <w:pPr>
        <w:ind w:left="1640" w:hanging="840"/>
        <w:spacing w:after="0"/>
        <w:tabs>
          <w:tab w:leader="none" w:pos="1640" w:val="left"/>
        </w:tabs>
        <w:numPr>
          <w:ilvl w:val="0"/>
          <w:numId w:val="22"/>
        </w:numPr>
        <w:rPr>
          <w:rFonts w:ascii="Arial" w:cs="Arial" w:eastAsia="Arial" w:hAnsi="Arial"/>
          <w:sz w:val="17"/>
          <w:szCs w:val="17"/>
          <w:color w:val="auto"/>
        </w:rPr>
      </w:pPr>
      <w:r>
        <w:rPr>
          <w:rFonts w:ascii="Arial" w:cs="Arial" w:eastAsia="Arial" w:hAnsi="Arial"/>
          <w:sz w:val="19"/>
          <w:szCs w:val="19"/>
          <w:b w:val="1"/>
          <w:bCs w:val="1"/>
          <w:color w:val="auto"/>
        </w:rPr>
        <w:t xml:space="preserve">Governing Law. </w:t>
      </w:r>
      <w:r>
        <w:rPr>
          <w:rFonts w:ascii="Arial" w:cs="Arial" w:eastAsia="Arial" w:hAnsi="Arial"/>
          <w:sz w:val="19"/>
          <w:szCs w:val="19"/>
          <w:color w:val="auto"/>
        </w:rPr>
        <w:t>THIS AMENDMENT AND THE OTHER LOAN DOCUMENTS SHALL BE GOVERNED BY,</w:t>
      </w:r>
    </w:p>
    <w:p>
      <w:pPr>
        <w:spacing w:after="0" w:line="33" w:lineRule="exact"/>
        <w:rPr>
          <w:rFonts w:ascii="Arial" w:cs="Arial" w:eastAsia="Arial" w:hAnsi="Arial"/>
          <w:sz w:val="17"/>
          <w:szCs w:val="17"/>
          <w:color w:val="auto"/>
        </w:rPr>
      </w:pPr>
    </w:p>
    <w:p>
      <w:pPr>
        <w:ind w:left="60" w:right="20"/>
        <w:spacing w:after="0" w:line="269" w:lineRule="auto"/>
        <w:rPr>
          <w:rFonts w:ascii="Arial" w:cs="Arial" w:eastAsia="Arial" w:hAnsi="Arial"/>
          <w:sz w:val="17"/>
          <w:szCs w:val="17"/>
          <w:color w:val="auto"/>
        </w:rPr>
      </w:pPr>
      <w:r>
        <w:rPr>
          <w:rFonts w:ascii="Arial" w:cs="Arial" w:eastAsia="Arial" w:hAnsi="Arial"/>
          <w:sz w:val="19"/>
          <w:szCs w:val="19"/>
          <w:color w:val="auto"/>
        </w:rPr>
        <w:t>AND CONSTRUED AND ENFORCED IN ACCORDANCE WITH, THE LAWS OF THE STATE OF CALIFORNIA, EXCLUDING CONFLICT OF LAWS PRINCIPLES THAT WOULD CAUSE THE APPLICATION OF LAWS OF ANY OTHER JURISDICTION.</w:t>
      </w:r>
    </w:p>
    <w:p>
      <w:pPr>
        <w:spacing w:after="0" w:line="149" w:lineRule="exact"/>
        <w:rPr>
          <w:rFonts w:ascii="Arial" w:cs="Arial" w:eastAsia="Arial" w:hAnsi="Arial"/>
          <w:sz w:val="17"/>
          <w:szCs w:val="17"/>
          <w:color w:val="auto"/>
        </w:rPr>
      </w:pPr>
    </w:p>
    <w:p>
      <w:pPr>
        <w:jc w:val="both"/>
        <w:ind w:left="60" w:firstLine="740"/>
        <w:spacing w:after="0" w:line="248"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20"/>
          <w:szCs w:val="20"/>
          <w:b w:val="1"/>
          <w:bCs w:val="1"/>
          <w:color w:val="auto"/>
        </w:rPr>
        <w:t>Complete Agreement; Amendments</w:t>
      </w:r>
      <w:r>
        <w:rPr>
          <w:rFonts w:ascii="Arial" w:cs="Arial" w:eastAsia="Arial" w:hAnsi="Arial"/>
          <w:sz w:val="20"/>
          <w:szCs w:val="20"/>
          <w:color w:val="auto"/>
        </w:rPr>
        <w:t>. This Amendment and the Loan Documents represent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69" w:lineRule="exact"/>
        <w:rPr>
          <w:rFonts w:ascii="Arial" w:cs="Arial" w:eastAsia="Arial" w:hAnsi="Arial"/>
          <w:sz w:val="18"/>
          <w:szCs w:val="18"/>
          <w:color w:val="auto"/>
        </w:rPr>
      </w:pPr>
    </w:p>
    <w:p>
      <w:pPr>
        <w:ind w:left="60" w:firstLine="740"/>
        <w:spacing w:after="0" w:line="267"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20"/>
          <w:szCs w:val="20"/>
          <w:b w:val="1"/>
          <w:bCs w:val="1"/>
          <w:color w:val="auto"/>
        </w:rPr>
        <w:t xml:space="preserve">Severability of Provisions. </w:t>
      </w:r>
      <w:r>
        <w:rPr>
          <w:rFonts w:ascii="Arial" w:cs="Arial" w:eastAsia="Arial" w:hAnsi="Arial"/>
          <w:sz w:val="20"/>
          <w:szCs w:val="20"/>
          <w:color w:val="auto"/>
        </w:rPr>
        <w:t>Each provision of this Amendment is severable from every other provision in</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determining the enforceability of any provision.</w:t>
      </w:r>
    </w:p>
    <w:p>
      <w:pPr>
        <w:spacing w:after="0" w:line="163" w:lineRule="exact"/>
        <w:rPr>
          <w:rFonts w:ascii="Arial" w:cs="Arial" w:eastAsia="Arial" w:hAnsi="Arial"/>
          <w:sz w:val="18"/>
          <w:szCs w:val="18"/>
          <w:color w:val="auto"/>
        </w:rPr>
      </w:pPr>
    </w:p>
    <w:p>
      <w:pPr>
        <w:jc w:val="both"/>
        <w:ind w:left="60" w:firstLine="740"/>
        <w:spacing w:after="0" w:line="265" w:lineRule="auto"/>
        <w:tabs>
          <w:tab w:leader="none" w:pos="1645" w:val="left"/>
        </w:tabs>
        <w:numPr>
          <w:ilvl w:val="0"/>
          <w:numId w:val="22"/>
        </w:numPr>
        <w:rPr>
          <w:rFonts w:ascii="Arial" w:cs="Arial" w:eastAsia="Arial" w:hAnsi="Arial"/>
          <w:sz w:val="17"/>
          <w:szCs w:val="17"/>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any number of counterparts and by different parties on</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55" w:lineRule="exact"/>
        <w:rPr>
          <w:rFonts w:ascii="Arial" w:cs="Arial" w:eastAsia="Arial" w:hAnsi="Arial"/>
          <w:sz w:val="17"/>
          <w:szCs w:val="17"/>
          <w:color w:val="auto"/>
        </w:rPr>
      </w:pPr>
    </w:p>
    <w:p>
      <w:pPr>
        <w:jc w:val="both"/>
        <w:ind w:left="60" w:firstLine="740"/>
        <w:spacing w:after="0" w:line="253" w:lineRule="auto"/>
        <w:tabs>
          <w:tab w:leader="none" w:pos="1647" w:val="left"/>
        </w:tabs>
        <w:numPr>
          <w:ilvl w:val="0"/>
          <w:numId w:val="22"/>
        </w:numPr>
        <w:rPr>
          <w:rFonts w:ascii="Arial" w:cs="Arial" w:eastAsia="Arial" w:hAnsi="Arial"/>
          <w:sz w:val="18"/>
          <w:szCs w:val="18"/>
          <w:color w:val="auto"/>
        </w:rPr>
      </w:pPr>
      <w:r>
        <w:rPr>
          <w:rFonts w:ascii="Arial" w:cs="Arial" w:eastAsia="Arial" w:hAnsi="Arial"/>
          <w:sz w:val="20"/>
          <w:szCs w:val="20"/>
          <w:b w:val="1"/>
          <w:bCs w:val="1"/>
          <w:color w:val="auto"/>
        </w:rPr>
        <w:t>Electronic Execution of Certain Other Documents</w:t>
      </w:r>
      <w:r>
        <w:rPr>
          <w:rFonts w:ascii="Arial" w:cs="Arial" w:eastAsia="Arial" w:hAnsi="Arial"/>
          <w:sz w:val="20"/>
          <w:szCs w:val="20"/>
          <w:color w:val="auto"/>
        </w:rPr>
        <w:t>. The words “execution,” “execute”, “signed,” “signature,”</w:t>
      </w:r>
      <w:r>
        <w:rPr>
          <w:rFonts w:ascii="Arial" w:cs="Arial" w:eastAsia="Arial" w:hAnsi="Arial"/>
          <w:sz w:val="20"/>
          <w:szCs w:val="20"/>
          <w:b w:val="1"/>
          <w:bCs w:val="1"/>
          <w:color w:val="auto"/>
        </w:rPr>
        <w:t xml:space="preserve"> </w:t>
      </w:r>
      <w:r>
        <w:rPr>
          <w:rFonts w:ascii="Arial" w:cs="Arial" w:eastAsia="Arial" w:hAnsi="Arial"/>
          <w:sz w:val="20"/>
          <w:szCs w:val="20"/>
          <w:color w:val="auto"/>
        </w:rPr>
        <w:t>and words of like import in or related to any document to be signed in connection with this Amendment and the transactions contemplated hereby (including without limitation assignments,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204" w:right="679" w:bottom="1440" w:gutter="0" w:footer="0" w:header="0"/>
        </w:sectPr>
      </w:pPr>
    </w:p>
    <w:bookmarkStart w:id="70" w:name="page71"/>
    <w:bookmarkEnd w:id="70"/>
    <w:p>
      <w:pPr>
        <w:jc w:val="both"/>
        <w:ind w:left="60"/>
        <w:spacing w:after="0" w:line="243" w:lineRule="auto"/>
        <w:rPr>
          <w:sz w:val="20"/>
          <w:szCs w:val="20"/>
          <w:color w:val="auto"/>
        </w:rPr>
      </w:pPr>
      <w:r>
        <w:rPr>
          <w:rFonts w:ascii="Arial" w:cs="Arial" w:eastAsia="Arial" w:hAnsi="Arial"/>
          <w:sz w:val="20"/>
          <w:szCs w:val="20"/>
          <w:color w:val="auto"/>
        </w:rPr>
        <w:t>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[REMAINDER OF PAGE INTENTIONALLY LEFT BLANK]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00" w:top="204" w:right="679" w:bottom="1440" w:gutter="0" w:footer="0" w:header="0"/>
        </w:sectPr>
      </w:pPr>
    </w:p>
    <w:bookmarkStart w:id="71" w:name="page72"/>
    <w:bookmarkEnd w:id="71"/>
    <w:p>
      <w:pPr>
        <w:ind w:left="880"/>
        <w:spacing w:after="0"/>
        <w:rPr>
          <w:sz w:val="20"/>
          <w:szCs w:val="20"/>
          <w:color w:val="auto"/>
        </w:rPr>
      </w:pPr>
      <w:r>
        <w:rPr>
          <w:rFonts w:ascii="Arial" w:cs="Arial" w:eastAsia="Arial" w:hAnsi="Arial"/>
          <w:sz w:val="19"/>
          <w:szCs w:val="19"/>
          <w:color w:val="auto"/>
        </w:rPr>
        <w:t>IN WITNESS WHEREOF, the parties hereto have duly executed this Amendment, as of the date first above written.</w:t>
      </w:r>
    </w:p>
    <w:p>
      <w:pPr>
        <w:spacing w:after="0" w:line="227"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BORROWER:</w:t>
      </w:r>
    </w:p>
    <w:p>
      <w:pPr>
        <w:spacing w:after="0" w:line="2"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PHATHOM PHARMACEUTICALS, INC.</w:t>
      </w:r>
    </w:p>
    <w:p>
      <w:pPr>
        <w:ind w:left="5380"/>
        <w:spacing w:after="0"/>
        <w:rPr>
          <w:sz w:val="20"/>
          <w:szCs w:val="20"/>
          <w:color w:val="auto"/>
        </w:rPr>
      </w:pPr>
      <w:r>
        <w:rPr>
          <w:rFonts w:ascii="Arial" w:cs="Arial" w:eastAsia="Arial" w:hAnsi="Arial"/>
          <w:sz w:val="20"/>
          <w:szCs w:val="20"/>
          <w:color w:val="auto"/>
        </w:rPr>
        <w:t>Signature:</w:t>
      </w:r>
    </w:p>
    <w:p>
      <w:pPr>
        <w:jc w:val="right"/>
        <w:spacing w:after="0"/>
        <w:rPr>
          <w:sz w:val="20"/>
          <w:szCs w:val="20"/>
          <w:color w:val="auto"/>
        </w:rPr>
      </w:pPr>
      <w:r>
        <w:rPr>
          <w:rFonts w:ascii="Arial" w:cs="Arial" w:eastAsia="Arial" w:hAnsi="Arial"/>
          <w:sz w:val="20"/>
          <w:szCs w:val="20"/>
          <w:color w:val="auto"/>
        </w:rPr>
        <w:t xml:space="preserve">Print Name: Title: </w:t>
      </w:r>
      <w:r>
        <w:rPr>
          <w:rFonts w:ascii="Arial" w:cs="Arial" w:eastAsia="Arial" w:hAnsi="Arial"/>
          <w:sz w:val="16"/>
          <w:szCs w:val="16"/>
          <w:color w:val="auto"/>
        </w:rPr>
        <w:t>Molly Henderson Chief Financial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6508750</wp:posOffset>
            </wp:positionH>
            <wp:positionV relativeFrom="paragraph">
              <wp:posOffset>-24765</wp:posOffset>
            </wp:positionV>
            <wp:extent cx="42100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4210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204" w:right="859" w:bottom="1440" w:gutter="0" w:footer="0" w:header="0"/>
        </w:sectPr>
      </w:pPr>
    </w:p>
    <w:bookmarkStart w:id="72" w:name="page73"/>
    <w:bookmarkEnd w:id="72"/>
    <w:p>
      <w:pPr>
        <w:ind w:left="5380"/>
        <w:spacing w:after="0"/>
        <w:rPr>
          <w:sz w:val="20"/>
          <w:szCs w:val="20"/>
          <w:color w:val="auto"/>
        </w:rPr>
      </w:pPr>
      <w:r>
        <w:rPr>
          <w:rFonts w:ascii="Arial" w:cs="Arial" w:eastAsia="Arial" w:hAnsi="Arial"/>
          <w:sz w:val="20"/>
          <w:szCs w:val="20"/>
          <w:color w:val="auto"/>
        </w:rPr>
        <w:t>AGENT:</w:t>
      </w:r>
    </w:p>
    <w:p>
      <w:pPr>
        <w:spacing w:after="0" w:line="210"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HERCULES CAPITAL, INC.</w:t>
      </w:r>
    </w:p>
    <w:p>
      <w:pPr>
        <w:spacing w:after="0" w:line="208"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2514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61" w:lineRule="exact"/>
        <w:rPr>
          <w:sz w:val="20"/>
          <w:szCs w:val="20"/>
          <w:color w:val="auto"/>
        </w:rPr>
      </w:pPr>
    </w:p>
    <w:p>
      <w:pPr>
        <w:ind w:left="5380"/>
        <w:spacing w:after="0"/>
        <w:tabs>
          <w:tab w:leader="none" w:pos="65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16" w:lineRule="exact"/>
        <w:rPr>
          <w:sz w:val="20"/>
          <w:szCs w:val="20"/>
          <w:color w:val="auto"/>
        </w:rPr>
      </w:pPr>
    </w:p>
    <w:p>
      <w:pPr>
        <w:ind w:left="538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73" w:name="page74"/>
    <w:bookmarkEnd w:id="73"/>
    <w:p>
      <w:pPr>
        <w:ind w:left="5380"/>
        <w:spacing w:after="0"/>
        <w:rPr>
          <w:sz w:val="20"/>
          <w:szCs w:val="20"/>
          <w:color w:val="auto"/>
        </w:rPr>
      </w:pPr>
      <w:r>
        <w:rPr>
          <w:rFonts w:ascii="Arial" w:cs="Arial" w:eastAsia="Arial" w:hAnsi="Arial"/>
          <w:sz w:val="20"/>
          <w:szCs w:val="20"/>
          <w:color w:val="auto"/>
        </w:rPr>
        <w:t>[LENDERS:]</w:t>
      </w:r>
    </w:p>
    <w:p>
      <w:pPr>
        <w:spacing w:after="0" w:line="196"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HERCULES CAPITAL, INC.</w:t>
      </w:r>
    </w:p>
    <w:p>
      <w:pPr>
        <w:spacing w:after="0" w:line="222"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2514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61" w:lineRule="exact"/>
        <w:rPr>
          <w:sz w:val="20"/>
          <w:szCs w:val="20"/>
          <w:color w:val="auto"/>
        </w:rPr>
      </w:pPr>
    </w:p>
    <w:p>
      <w:pPr>
        <w:ind w:left="5380"/>
        <w:spacing w:after="0"/>
        <w:tabs>
          <w:tab w:leader="none" w:pos="65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16" w:lineRule="exact"/>
        <w:rPr>
          <w:sz w:val="20"/>
          <w:szCs w:val="20"/>
          <w:color w:val="auto"/>
        </w:rPr>
      </w:pPr>
    </w:p>
    <w:p>
      <w:pPr>
        <w:ind w:left="5380"/>
        <w:spacing w:after="0"/>
        <w:tabs>
          <w:tab w:leader="none" w:pos="6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342"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HERCULES CAPITAL IV, L.P.</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Hercules Technology SBIC Management, LLC, its General</w:t>
      </w:r>
    </w:p>
    <w:p>
      <w:pPr>
        <w:ind w:left="5940"/>
        <w:spacing w:after="0"/>
        <w:rPr>
          <w:sz w:val="20"/>
          <w:szCs w:val="20"/>
          <w:color w:val="auto"/>
        </w:rPr>
      </w:pPr>
      <w:r>
        <w:rPr>
          <w:rFonts w:ascii="Arial" w:cs="Arial" w:eastAsia="Arial" w:hAnsi="Arial"/>
          <w:sz w:val="20"/>
          <w:szCs w:val="20"/>
          <w:color w:val="auto"/>
        </w:rPr>
        <w:t>Partner</w:t>
      </w:r>
    </w:p>
    <w:p>
      <w:pPr>
        <w:ind w:left="5380"/>
        <w:spacing w:after="0"/>
        <w:rPr>
          <w:sz w:val="20"/>
          <w:szCs w:val="20"/>
          <w:color w:val="auto"/>
        </w:rPr>
      </w:pPr>
      <w:r>
        <w:rPr>
          <w:rFonts w:ascii="Arial" w:cs="Arial" w:eastAsia="Arial" w:hAnsi="Arial"/>
          <w:sz w:val="20"/>
          <w:szCs w:val="20"/>
          <w:color w:val="auto"/>
        </w:rPr>
        <w:t>By: Hercules Capital, Inc., its Manager</w:t>
      </w:r>
    </w:p>
    <w:p>
      <w:pPr>
        <w:spacing w:after="0" w:line="200"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2514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61" w:lineRule="exact"/>
        <w:rPr>
          <w:sz w:val="20"/>
          <w:szCs w:val="20"/>
          <w:color w:val="auto"/>
        </w:rPr>
      </w:pPr>
    </w:p>
    <w:p>
      <w:pPr>
        <w:ind w:left="5380"/>
        <w:spacing w:after="0"/>
        <w:tabs>
          <w:tab w:leader="none" w:pos="65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16" w:lineRule="exact"/>
        <w:rPr>
          <w:sz w:val="20"/>
          <w:szCs w:val="20"/>
          <w:color w:val="auto"/>
        </w:rPr>
      </w:pPr>
    </w:p>
    <w:p>
      <w:pPr>
        <w:ind w:left="5380"/>
        <w:spacing w:after="0"/>
        <w:tabs>
          <w:tab w:leader="none" w:pos="6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342"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HERCULES PRIVATE CREDIT FUND 1 L.P.</w:t>
      </w:r>
    </w:p>
    <w:p>
      <w:pPr>
        <w:spacing w:after="0" w:line="22"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Hercules Adviser LLC, its Investment Adviser</w:t>
      </w:r>
    </w:p>
    <w:p>
      <w:pPr>
        <w:spacing w:after="0" w:line="121"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20"/>
                <w:szCs w:val="20"/>
                <w:color w:val="auto"/>
              </w:rPr>
              <w:t>By:</w:t>
            </w:r>
          </w:p>
        </w:tc>
        <w:tc>
          <w:tcPr>
            <w:tcW w:w="400" w:type="dxa"/>
            <w:vAlign w:val="bottom"/>
            <w:tcBorders>
              <w:bottom w:val="single" w:sz="8" w:color="auto"/>
            </w:tcBorders>
          </w:tcPr>
          <w:p>
            <w:pPr>
              <w:spacing w:after="0"/>
              <w:rPr>
                <w:sz w:val="19"/>
                <w:szCs w:val="19"/>
                <w:color w:val="auto"/>
              </w:rPr>
            </w:pPr>
          </w:p>
        </w:tc>
        <w:tc>
          <w:tcPr>
            <w:tcW w:w="1720" w:type="dxa"/>
            <w:vAlign w:val="bottom"/>
          </w:tcPr>
          <w:p>
            <w:pPr>
              <w:ind w:left="60"/>
              <w:spacing w:after="0"/>
              <w:rPr>
                <w:sz w:val="20"/>
                <w:szCs w:val="20"/>
                <w:color w:val="auto"/>
              </w:rPr>
            </w:pPr>
            <w:r>
              <w:rPr>
                <w:rFonts w:ascii="Arial" w:cs="Arial" w:eastAsia="Arial" w:hAnsi="Arial"/>
                <w:sz w:val="20"/>
                <w:szCs w:val="20"/>
                <w:color w:val="auto"/>
                <w:w w:val="98"/>
              </w:rPr>
              <w:t>Name: Seth Meyer</w:t>
            </w:r>
          </w:p>
        </w:tc>
      </w:tr>
      <w:tr>
        <w:trPr>
          <w:trHeight w:val="252"/>
        </w:trPr>
        <w:tc>
          <w:tcPr>
            <w:tcW w:w="780" w:type="dxa"/>
            <w:vAlign w:val="bottom"/>
            <w:gridSpan w:val="2"/>
          </w:tcPr>
          <w:p>
            <w:pPr>
              <w:spacing w:after="0"/>
              <w:rPr>
                <w:sz w:val="20"/>
                <w:szCs w:val="20"/>
                <w:color w:val="auto"/>
              </w:rPr>
            </w:pPr>
            <w:r>
              <w:rPr>
                <w:rFonts w:ascii="Arial" w:cs="Arial" w:eastAsia="Arial" w:hAnsi="Arial"/>
                <w:sz w:val="20"/>
                <w:szCs w:val="20"/>
                <w:color w:val="auto"/>
              </w:rPr>
              <w:t>Title:</w:t>
            </w:r>
          </w:p>
        </w:tc>
        <w:tc>
          <w:tcPr>
            <w:tcW w:w="1720" w:type="dxa"/>
            <w:vAlign w:val="bottom"/>
          </w:tcPr>
          <w:p>
            <w:pPr>
              <w:spacing w:after="0"/>
              <w:rPr>
                <w:sz w:val="20"/>
                <w:szCs w:val="20"/>
                <w:color w:val="auto"/>
              </w:rPr>
            </w:pPr>
            <w:r>
              <w:rPr>
                <w:rFonts w:ascii="Arial" w:cs="Arial" w:eastAsia="Arial" w:hAnsi="Arial"/>
                <w:sz w:val="20"/>
                <w:szCs w:val="20"/>
                <w:color w:val="auto"/>
                <w:w w:val="91"/>
              </w:rPr>
              <w:t>Authorized Signatory</w:t>
            </w:r>
          </w:p>
        </w:tc>
      </w:tr>
    </w:tbl>
    <w:p>
      <w:pP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420" w:right="1119" w:bottom="1440" w:gutter="0" w:footer="0" w:header="0"/>
        </w:sectPr>
      </w:pPr>
    </w:p>
    <w:bookmarkStart w:id="74" w:name="page75"/>
    <w:bookmarkEnd w:id="74"/>
    <w:p>
      <w:pPr>
        <w:ind w:left="5380"/>
        <w:spacing w:after="0"/>
        <w:rPr>
          <w:sz w:val="20"/>
          <w:szCs w:val="20"/>
          <w:color w:val="auto"/>
        </w:rPr>
      </w:pPr>
      <w:r>
        <w:rPr>
          <w:rFonts w:ascii="Arial" w:cs="Arial" w:eastAsia="Arial" w:hAnsi="Arial"/>
          <w:sz w:val="20"/>
          <w:szCs w:val="20"/>
          <w:b w:val="1"/>
          <w:bCs w:val="1"/>
          <w:color w:val="auto"/>
        </w:rPr>
        <w:t>HERCULES PRIVATE GLOBAL VENTURE GROWTH</w:t>
      </w:r>
    </w:p>
    <w:p>
      <w:pPr>
        <w:spacing w:after="0" w:line="8"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FUND I L.P.</w:t>
      </w:r>
    </w:p>
    <w:p>
      <w:pPr>
        <w:ind w:left="5380"/>
        <w:spacing w:after="0"/>
        <w:rPr>
          <w:sz w:val="20"/>
          <w:szCs w:val="20"/>
          <w:color w:val="auto"/>
        </w:rPr>
      </w:pPr>
      <w:r>
        <w:rPr>
          <w:rFonts w:ascii="Arial" w:cs="Arial" w:eastAsia="Arial" w:hAnsi="Arial"/>
          <w:sz w:val="18"/>
          <w:szCs w:val="18"/>
          <w:color w:val="auto"/>
        </w:rPr>
        <w:t>By: Hercules Private Global Venture Growth Fund GP I LLC, its</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20"/>
          <w:szCs w:val="20"/>
          <w:color w:val="auto"/>
        </w:rPr>
        <w:t>general partner</w:t>
      </w:r>
    </w:p>
    <w:p>
      <w:pPr>
        <w:ind w:left="5380"/>
        <w:spacing w:after="0"/>
        <w:rPr>
          <w:sz w:val="20"/>
          <w:szCs w:val="20"/>
          <w:color w:val="auto"/>
        </w:rPr>
      </w:pPr>
      <w:r>
        <w:rPr>
          <w:rFonts w:ascii="Arial" w:cs="Arial" w:eastAsia="Arial" w:hAnsi="Arial"/>
          <w:sz w:val="20"/>
          <w:szCs w:val="20"/>
          <w:color w:val="auto"/>
        </w:rPr>
        <w:t>By: Hercules Adviser LLC, its sole member</w:t>
      </w:r>
    </w:p>
    <w:p>
      <w:pPr>
        <w:spacing w:after="0" w:line="18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-14605</wp:posOffset>
            </wp:positionV>
            <wp:extent cx="2514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61" w:lineRule="exact"/>
        <w:rPr>
          <w:sz w:val="20"/>
          <w:szCs w:val="20"/>
          <w:color w:val="auto"/>
        </w:rPr>
      </w:pPr>
    </w:p>
    <w:p>
      <w:pPr>
        <w:ind w:left="5380"/>
        <w:spacing w:after="0"/>
        <w:tabs>
          <w:tab w:leader="none" w:pos="6540" w:val="left"/>
        </w:tabs>
        <w:rPr>
          <w:sz w:val="20"/>
          <w:szCs w:val="20"/>
          <w:color w:val="auto"/>
        </w:rPr>
      </w:pPr>
      <w:r>
        <w:rPr>
          <w:rFonts w:ascii="Arial" w:cs="Arial" w:eastAsia="Arial" w:hAnsi="Arial"/>
          <w:sz w:val="20"/>
          <w:szCs w:val="20"/>
          <w:color w:val="auto"/>
        </w:rPr>
        <w:t>Print Name:</w:t>
      </w:r>
      <w:r>
        <w:rPr>
          <w:sz w:val="20"/>
          <w:szCs w:val="20"/>
          <w:color w:val="auto"/>
        </w:rPr>
        <w:tab/>
      </w:r>
      <w:r>
        <w:rPr>
          <w:rFonts w:ascii="Arial" w:cs="Arial" w:eastAsia="Arial" w:hAnsi="Arial"/>
          <w:sz w:val="16"/>
          <w:szCs w:val="16"/>
          <w:color w:val="auto"/>
        </w:rPr>
        <w:t>Seth Meyer</w:t>
      </w:r>
    </w:p>
    <w:p>
      <w:pPr>
        <w:spacing w:after="0" w:line="16" w:lineRule="exact"/>
        <w:rPr>
          <w:sz w:val="20"/>
          <w:szCs w:val="20"/>
          <w:color w:val="auto"/>
        </w:rPr>
      </w:pPr>
    </w:p>
    <w:p>
      <w:pPr>
        <w:ind w:left="5380"/>
        <w:spacing w:after="0"/>
        <w:tabs>
          <w:tab w:leader="none" w:pos="6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414"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Terrie Curran, certify that:</w:t>
      </w:r>
    </w:p>
    <w:p>
      <w:pPr>
        <w:spacing w:after="0" w:line="225"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11"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6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8"/>
          <w:szCs w:val="18"/>
          <w:color w:val="auto"/>
        </w:rPr>
      </w:pPr>
    </w:p>
    <w:p>
      <w:pPr>
        <w:ind w:left="520" w:right="260" w:hanging="512"/>
        <w:spacing w:after="0" w:line="24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20" w:right="28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hanging="503"/>
        <w:spacing w:after="0"/>
        <w:tabs>
          <w:tab w:leader="none" w:pos="1020" w:val="left"/>
        </w:tabs>
        <w:numPr>
          <w:ilvl w:val="1"/>
          <w:numId w:val="23"/>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20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8"/>
          <w:szCs w:val="18"/>
          <w:color w:val="auto"/>
        </w:rPr>
      </w:pPr>
    </w:p>
    <w:p>
      <w:pPr>
        <w:ind w:left="1020" w:right="20" w:hanging="503"/>
        <w:spacing w:after="0"/>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520" w:right="48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020" w:right="120" w:hanging="503"/>
        <w:spacing w:after="0" w:line="261" w:lineRule="auto"/>
        <w:tabs>
          <w:tab w:leader="none" w:pos="10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08, 2022</w:t>
      </w:r>
      <w:r>
        <w:rPr>
          <w:sz w:val="20"/>
          <w:szCs w:val="20"/>
          <w:color w:val="auto"/>
        </w:rPr>
        <w:tab/>
      </w:r>
      <w:r>
        <w:rPr>
          <w:rFonts w:ascii="Arial" w:cs="Arial" w:eastAsia="Arial" w:hAnsi="Arial"/>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Terrie Curran</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Molly Henderson, certify that:</w:t>
      </w:r>
    </w:p>
    <w:p>
      <w:pPr>
        <w:spacing w:after="0" w:line="22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Phathom Pharmaceuticals, Inc.</w:t>
      </w:r>
    </w:p>
    <w:p>
      <w:pPr>
        <w:spacing w:after="0" w:line="211"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6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8"/>
          <w:szCs w:val="18"/>
          <w:color w:val="auto"/>
        </w:rPr>
      </w:pPr>
    </w:p>
    <w:p>
      <w:pPr>
        <w:ind w:left="520" w:right="260" w:hanging="512"/>
        <w:spacing w:after="0" w:line="246"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ind w:left="1020" w:right="280" w:hanging="503"/>
        <w:spacing w:after="0" w:line="248"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ind w:left="1020" w:hanging="503"/>
        <w:spacing w:after="0"/>
        <w:tabs>
          <w:tab w:leader="none" w:pos="1020" w:val="left"/>
        </w:tabs>
        <w:numPr>
          <w:ilvl w:val="1"/>
          <w:numId w:val="24"/>
        </w:numPr>
        <w:rPr>
          <w:rFonts w:ascii="Arial" w:cs="Arial" w:eastAsia="Arial" w:hAnsi="Arial"/>
          <w:sz w:val="18"/>
          <w:szCs w:val="18"/>
          <w:color w:val="010000"/>
        </w:rPr>
      </w:pPr>
      <w:r>
        <w:rPr>
          <w:rFonts w:ascii="Arial" w:cs="Arial" w:eastAsia="Arial" w:hAnsi="Arial"/>
          <w:sz w:val="18"/>
          <w:szCs w:val="18"/>
          <w:color w:val="010000"/>
        </w:rPr>
        <w:t>(Paragraph omitted pursuant to SEC Release Nos. 33-8238/34-47986 and 33-8392/34-49313);</w:t>
      </w:r>
    </w:p>
    <w:p>
      <w:pPr>
        <w:spacing w:after="0" w:line="225" w:lineRule="exact"/>
        <w:rPr>
          <w:rFonts w:ascii="Arial" w:cs="Arial" w:eastAsia="Arial" w:hAnsi="Arial"/>
          <w:sz w:val="18"/>
          <w:szCs w:val="18"/>
          <w:color w:val="010000"/>
        </w:rPr>
      </w:pPr>
    </w:p>
    <w:p>
      <w:pPr>
        <w:jc w:val="both"/>
        <w:ind w:left="1020" w:right="20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8"/>
          <w:szCs w:val="18"/>
          <w:color w:val="auto"/>
        </w:rPr>
      </w:pPr>
    </w:p>
    <w:p>
      <w:pPr>
        <w:ind w:left="1020" w:right="20" w:hanging="503"/>
        <w:spacing w:after="0"/>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520" w:right="48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20" w:right="200" w:hanging="503"/>
        <w:spacing w:after="0" w:line="248"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1020" w:right="120" w:hanging="503"/>
        <w:spacing w:after="0" w:line="261" w:lineRule="auto"/>
        <w:tabs>
          <w:tab w:leader="none" w:pos="10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08, 2022</w:t>
      </w:r>
      <w:r>
        <w:rPr>
          <w:sz w:val="20"/>
          <w:szCs w:val="20"/>
          <w:color w:val="auto"/>
        </w:rPr>
        <w:tab/>
      </w:r>
      <w:r>
        <w:rPr>
          <w:rFonts w:ascii="Arial" w:cs="Arial" w:eastAsia="Arial" w:hAnsi="Arial"/>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Molly Henderson</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and Business Officer</w:t>
      </w: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7" w:name="page78"/>
    <w:bookmarkEnd w:id="77"/>
    <w:p>
      <w:pPr>
        <w:ind w:left="10200"/>
        <w:spacing w:after="0"/>
        <w:rPr>
          <w:sz w:val="20"/>
          <w:szCs w:val="20"/>
          <w:color w:val="auto"/>
        </w:rPr>
      </w:pPr>
      <w:r>
        <w:rPr>
          <w:rFonts w:ascii="Arial" w:cs="Arial" w:eastAsia="Arial" w:hAnsi="Arial"/>
          <w:sz w:val="18"/>
          <w:szCs w:val="18"/>
          <w:b w:val="1"/>
          <w:bCs w:val="1"/>
          <w:color w:val="auto"/>
        </w:rPr>
        <w:t>Exhibit 32.1</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ind w:right="260" w:firstLine="823"/>
        <w:spacing w:after="0" w:line="238" w:lineRule="auto"/>
        <w:rPr>
          <w:sz w:val="20"/>
          <w:szCs w:val="20"/>
          <w:color w:val="auto"/>
        </w:rPr>
      </w:pPr>
      <w:r>
        <w:rPr>
          <w:rFonts w:ascii="Arial" w:cs="Arial" w:eastAsia="Arial" w:hAnsi="Arial"/>
          <w:sz w:val="18"/>
          <w:szCs w:val="18"/>
          <w:color w:val="auto"/>
        </w:rPr>
        <w:t>In connection with the Quarterly Report on Form 10-Q of Phathom Pharmaceuticals, Inc. (the “Company”) for the quarter ended September 30, 2022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32" w:lineRule="exact"/>
        <w:rPr>
          <w:sz w:val="20"/>
          <w:szCs w:val="20"/>
          <w:color w:val="auto"/>
        </w:rPr>
      </w:pPr>
    </w:p>
    <w:p>
      <w:pPr>
        <w:ind w:left="840" w:hanging="832"/>
        <w:spacing w:after="0" w:line="261"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11" w:lineRule="exact"/>
        <w:rPr>
          <w:rFonts w:ascii="Arial" w:cs="Arial" w:eastAsia="Arial" w:hAnsi="Arial"/>
          <w:sz w:val="18"/>
          <w:szCs w:val="18"/>
          <w:color w:val="auto"/>
        </w:rPr>
      </w:pPr>
    </w:p>
    <w:p>
      <w:pPr>
        <w:ind w:left="840" w:right="180" w:hanging="832"/>
        <w:spacing w:after="0" w:line="246" w:lineRule="auto"/>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700"/>
        <w:spacing w:after="0"/>
        <w:tabs>
          <w:tab w:leader="none" w:pos="5700" w:val="left"/>
        </w:tabs>
        <w:rPr>
          <w:sz w:val="20"/>
          <w:szCs w:val="20"/>
          <w:color w:val="auto"/>
        </w:rPr>
      </w:pPr>
      <w:r>
        <w:rPr>
          <w:rFonts w:ascii="Arial" w:cs="Arial" w:eastAsia="Arial" w:hAnsi="Arial"/>
          <w:sz w:val="18"/>
          <w:szCs w:val="18"/>
          <w:color w:val="auto"/>
        </w:rPr>
        <w:t>Date: November 08, 2022</w:t>
      </w:r>
      <w:r>
        <w:rPr>
          <w:sz w:val="20"/>
          <w:szCs w:val="20"/>
          <w:color w:val="auto"/>
        </w:rPr>
        <w:tab/>
      </w:r>
      <w:r>
        <w:rPr>
          <w:rFonts w:ascii="Arial" w:cs="Arial" w:eastAsia="Arial" w:hAnsi="Arial"/>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24428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Terrie Curran</w:t>
      </w:r>
    </w:p>
    <w:p>
      <w:pPr>
        <w:ind w:left="5720"/>
        <w:spacing w:after="0" w:line="229" w:lineRule="auto"/>
        <w:rPr>
          <w:sz w:val="20"/>
          <w:szCs w:val="20"/>
          <w:color w:val="auto"/>
        </w:rPr>
      </w:pPr>
      <w:r>
        <w:rPr>
          <w:rFonts w:ascii="Arial" w:cs="Arial" w:eastAsia="Arial" w:hAnsi="Arial"/>
          <w:sz w:val="18"/>
          <w:szCs w:val="18"/>
          <w:color w:val="auto"/>
        </w:rPr>
        <w:t>Chief Executive Officer and President</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right="80" w:firstLine="823"/>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ind w:left="10200"/>
        <w:spacing w:after="0"/>
        <w:rPr>
          <w:sz w:val="20"/>
          <w:szCs w:val="20"/>
          <w:color w:val="auto"/>
        </w:rPr>
      </w:pPr>
      <w:r>
        <w:rPr>
          <w:rFonts w:ascii="Arial" w:cs="Arial" w:eastAsia="Arial" w:hAnsi="Arial"/>
          <w:sz w:val="18"/>
          <w:szCs w:val="18"/>
          <w:b w:val="1"/>
          <w:bCs w:val="1"/>
          <w:color w:val="auto"/>
        </w:rPr>
        <w:t>Exhibit 32.2</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1" w:lineRule="exact"/>
        <w:rPr>
          <w:sz w:val="20"/>
          <w:szCs w:val="20"/>
          <w:color w:val="auto"/>
        </w:rPr>
      </w:pPr>
    </w:p>
    <w:p>
      <w:pPr>
        <w:ind w:right="220" w:firstLine="823"/>
        <w:spacing w:after="0" w:line="238" w:lineRule="auto"/>
        <w:rPr>
          <w:sz w:val="20"/>
          <w:szCs w:val="20"/>
          <w:color w:val="auto"/>
        </w:rPr>
      </w:pPr>
      <w:r>
        <w:rPr>
          <w:rFonts w:ascii="Arial" w:cs="Arial" w:eastAsia="Arial" w:hAnsi="Arial"/>
          <w:sz w:val="18"/>
          <w:szCs w:val="18"/>
          <w:color w:val="auto"/>
        </w:rPr>
        <w:t>In connection with the Quarterly Report on Form 10-Q of Phathom Pharmaceuticals, Inc. (the “Company”) for the quarter ended September 30, 2022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232" w:lineRule="exact"/>
        <w:rPr>
          <w:sz w:val="20"/>
          <w:szCs w:val="20"/>
          <w:color w:val="auto"/>
        </w:rPr>
      </w:pPr>
    </w:p>
    <w:p>
      <w:pPr>
        <w:ind w:left="840" w:hanging="832"/>
        <w:spacing w:after="0" w:line="261"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211" w:lineRule="exact"/>
        <w:rPr>
          <w:rFonts w:ascii="Arial" w:cs="Arial" w:eastAsia="Arial" w:hAnsi="Arial"/>
          <w:sz w:val="18"/>
          <w:szCs w:val="18"/>
          <w:color w:val="auto"/>
        </w:rPr>
      </w:pPr>
    </w:p>
    <w:p>
      <w:pPr>
        <w:ind w:left="840" w:right="180" w:hanging="832"/>
        <w:spacing w:after="0" w:line="246"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1380"/>
        <w:spacing w:after="0"/>
        <w:tabs>
          <w:tab w:leader="none" w:pos="5380" w:val="left"/>
        </w:tabs>
        <w:rPr>
          <w:sz w:val="20"/>
          <w:szCs w:val="20"/>
          <w:color w:val="auto"/>
        </w:rPr>
      </w:pPr>
      <w:r>
        <w:rPr>
          <w:rFonts w:ascii="Arial" w:cs="Arial" w:eastAsia="Arial" w:hAnsi="Arial"/>
          <w:sz w:val="18"/>
          <w:szCs w:val="18"/>
          <w:color w:val="auto"/>
        </w:rPr>
        <w:t>Date: November 08, 2022</w:t>
      </w:r>
      <w:r>
        <w:rPr>
          <w:sz w:val="20"/>
          <w:szCs w:val="20"/>
          <w:color w:val="auto"/>
        </w:rPr>
        <w:tab/>
      </w:r>
      <w:r>
        <w:rPr>
          <w:rFonts w:ascii="Arial" w:cs="Arial" w:eastAsia="Arial" w:hAnsi="Arial"/>
          <w:sz w:val="18"/>
          <w:szCs w:val="18"/>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6350</wp:posOffset>
            </wp:positionV>
            <wp:extent cx="2854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Molly Henderson</w:t>
      </w:r>
    </w:p>
    <w:p>
      <w:pPr>
        <w:ind w:left="5400"/>
        <w:spacing w:after="0" w:line="229" w:lineRule="auto"/>
        <w:rPr>
          <w:sz w:val="20"/>
          <w:szCs w:val="20"/>
          <w:color w:val="auto"/>
        </w:rPr>
      </w:pPr>
      <w:r>
        <w:rPr>
          <w:rFonts w:ascii="Arial" w:cs="Arial" w:eastAsia="Arial" w:hAnsi="Arial"/>
          <w:sz w:val="18"/>
          <w:szCs w:val="18"/>
          <w:color w:val="auto"/>
        </w:rPr>
        <w:t>Chief Financial and Business Officer</w:t>
      </w:r>
    </w:p>
    <w:p>
      <w:pPr>
        <w:spacing w:after="0" w:line="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(Principal Financial and Accounting Officer)</w:t>
      </w:r>
    </w:p>
    <w:p>
      <w:pPr>
        <w:spacing w:after="0" w:line="225" w:lineRule="exact"/>
        <w:rPr>
          <w:sz w:val="20"/>
          <w:szCs w:val="20"/>
          <w:color w:val="auto"/>
        </w:rPr>
      </w:pPr>
    </w:p>
    <w:p>
      <w:pPr>
        <w:ind w:right="80" w:firstLine="823"/>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lvl w:ilvl="1">
      <w:lvlJc w:val="left"/>
      <w:lvlText w:val="%2"/>
      <w:numFmt w:val="decimal"/>
      <w:start w:val="10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upp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Roman"/>
      <w:start w:val="1"/>
    </w:lvl>
  </w:abstractNum>
  <w:abstractNum w:abstractNumId="15">
    <w:nsid w:val="628C895D"/>
    <w:multiLevelType w:val="hybridMultilevel"/>
    <w:lvl w:ilvl="0">
      <w:lvlJc w:val="left"/>
      <w:lvlText w:val="(%1)"/>
      <w:numFmt w:val="lowerRoman"/>
      <w:start w:val="3"/>
    </w:lvl>
  </w:abstractNum>
  <w:abstractNum w:abstractNumId="16">
    <w:nsid w:val="333AB105"/>
    <w:multiLevelType w:val="hybridMultilevel"/>
    <w:lvl w:ilvl="0">
      <w:lvlJc w:val="left"/>
      <w:lvlText w:val="%1"/>
      <w:numFmt w:val="lowerLetter"/>
      <w:start w:val="1"/>
    </w:lvl>
    <w:lvl w:ilvl="1">
      <w:lvlJc w:val="left"/>
      <w:lvlText w:val="(%2)"/>
      <w:numFmt w:val="lowerLetter"/>
      <w:start w:val="35"/>
    </w:lvl>
  </w:abstractNum>
  <w:abstractNum w:abstractNumId="17">
    <w:nsid w:val="721DA317"/>
    <w:multiLevelType w:val="hybridMultilevel"/>
    <w:lvl w:ilvl="0">
      <w:lvlJc w:val="left"/>
      <w:lvlText w:val="(%1)"/>
      <w:numFmt w:val="lowerLetter"/>
      <w:start w:val="2"/>
    </w:lvl>
    <w:lvl w:ilvl="1">
      <w:lvlJc w:val="left"/>
      <w:lvlText w:val="%2"/>
      <w:numFmt w:val="lowerLetter"/>
      <w:start w:val="1"/>
    </w:lvl>
  </w:abstractNum>
  <w:abstractNum w:abstractNumId="18">
    <w:nsid w:val="2443A858"/>
    <w:multiLevelType w:val="hybridMultilevel"/>
    <w:lvl w:ilvl="0">
      <w:lvlJc w:val="left"/>
      <w:lvlText w:val="(%1)"/>
      <w:numFmt w:val="lowerLetter"/>
      <w:start w:val="1"/>
    </w:lvl>
    <w:lvl w:ilvl="1">
      <w:lvlJc w:val="left"/>
      <w:lvlText w:val="(%2)"/>
      <w:numFmt w:val="lowerRoman"/>
      <w:start w:val="1"/>
    </w:lvl>
  </w:abstractNum>
  <w:abstractNum w:abstractNumId="19">
    <w:nsid w:val="2D1D5AE9"/>
    <w:multiLevelType w:val="hybridMultilevel"/>
    <w:lvl w:ilvl="0">
      <w:lvlJc w:val="left"/>
      <w:lvlText w:val="(%1)"/>
      <w:numFmt w:val="lowerLetter"/>
      <w:start w:val="1"/>
    </w:lvl>
    <w:lvl w:ilvl="1">
      <w:lvlJc w:val="left"/>
      <w:lvlText w:val="(%2)"/>
      <w:numFmt w:val="lowerRoman"/>
      <w:start w:val="1"/>
    </w:lvl>
  </w:abstractNum>
  <w:abstractNum w:abstractNumId="20">
    <w:nsid w:val="6763845E"/>
    <w:multiLevelType w:val="hybridMultilevel"/>
    <w:lvl w:ilvl="0">
      <w:lvlJc w:val="left"/>
      <w:lvlText w:val="%1"/>
      <w:numFmt w:val="lowerLetter"/>
      <w:start w:val="1"/>
    </w:lvl>
    <w:lvl w:ilvl="1">
      <w:lvlJc w:val="left"/>
      <w:lvlText w:val="(%2)"/>
      <w:numFmt w:val="lowerLetter"/>
      <w:start w:val="61"/>
    </w:lvl>
  </w:abstractNum>
  <w:abstractNum w:abstractNumId="21">
    <w:nsid w:val="75A2A8D4"/>
    <w:multiLevelType w:val="hybridMultilevel"/>
    <w:lvl w:ilvl="0">
      <w:lvlJc w:val="left"/>
      <w:lvlText w:val="(%1)"/>
      <w:numFmt w:val="lowerLetter"/>
      <w:start w:val="2"/>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159" Type="http://schemas.openxmlformats.org/officeDocument/2006/relationships/hyperlink" Target="https://www.sec.gov/Archives/edgar/data/1783183/000119312519277761/d795888dex31.htm" TargetMode="External"/><Relationship Id="rId160" Type="http://schemas.openxmlformats.org/officeDocument/2006/relationships/hyperlink" Target="https://www.sec.gov/Archives/edgar/data/0001783183/000119312520254563/d10693dex31.htm" TargetMode="External"/><Relationship Id="rId161" Type="http://schemas.openxmlformats.org/officeDocument/2006/relationships/hyperlink" Target="https://www.sec.gov/Archives/edgar/data/1783183/000119312519267053/d63338dex41.htm" TargetMode="External"/><Relationship Id="rId162" Type="http://schemas.openxmlformats.org/officeDocument/2006/relationships/hyperlink" Target="https://www.sec.gov/Archives/edgar/data/1783183/000119312519258922/d63338dex42.htm" TargetMode="External"/><Relationship Id="rId163" Type="http://schemas.openxmlformats.org/officeDocument/2006/relationships/hyperlink" Target="https://www.sec.gov/Archives/edgar/data/1783183/000119312519258922/d63338dex43.htm" TargetMode="External"/><Relationship Id="rId164" Type="http://schemas.openxmlformats.org/officeDocument/2006/relationships/hyperlink" Target="https://www.sec.gov/Archives/edgar/data/1783183/000119312519258922/d63338dex44.htm" TargetMode="External"/><Relationship Id="rId165" Type="http://schemas.openxmlformats.org/officeDocument/2006/relationships/hyperlink" Target="https://www.sec.gov/Archives/edgar/data/1783183/000119312519267053/d63338dex45.htm" TargetMode="External"/><Relationship Id="rId166" Type="http://schemas.openxmlformats.org/officeDocument/2006/relationships/hyperlink" Target="https://www.sec.gov/Archives/edgar/data/1783183/000095017022002536/phat-ex4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2022-11-09T05:16:09Z</dcterms:created>
  <dcterms:modified xsi:type="dcterms:W3CDTF">2022-11-09T05:16:09Z</dcterms:modified>
</cp:coreProperties>
</file>