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817880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38735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60960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39"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8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86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3656330</wp:posOffset>
            </wp:positionH>
            <wp:positionV relativeFrom="paragraph">
              <wp:posOffset>-4445</wp:posOffset>
            </wp:positionV>
            <wp:extent cx="4565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6565" cy="8255"/>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001-39094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41275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PHATHOM PHARMACEUTICALS, INC.</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22225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jc w:val="center"/>
              <w:ind w:left="181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60" w:type="dxa"/>
            <w:vAlign w:val="bottom"/>
          </w:tcPr>
          <w:p>
            <w:pPr>
              <w:jc w:val="right"/>
              <w:ind w:right="2330"/>
              <w:spacing w:after="0"/>
              <w:rPr>
                <w:sz w:val="20"/>
                <w:szCs w:val="20"/>
                <w:color w:val="auto"/>
              </w:rPr>
            </w:pPr>
            <w:r>
              <w:rPr>
                <w:rFonts w:ascii="Times New Roman" w:cs="Times New Roman" w:eastAsia="Times New Roman" w:hAnsi="Times New Roman"/>
                <w:sz w:val="14"/>
                <w:szCs w:val="14"/>
                <w:b w:val="1"/>
                <w:bCs w:val="1"/>
                <w:color w:val="auto"/>
              </w:rPr>
              <w:t>82-4151574</w:t>
            </w:r>
          </w:p>
        </w:tc>
        <w:tc>
          <w:tcPr>
            <w:tcW w:w="0" w:type="dxa"/>
            <w:vAlign w:val="bottom"/>
          </w:tcPr>
          <w:p>
            <w:pPr>
              <w:spacing w:after="0"/>
              <w:rPr>
                <w:sz w:val="1"/>
                <w:szCs w:val="1"/>
                <w:color w:val="auto"/>
              </w:rPr>
            </w:pPr>
          </w:p>
        </w:tc>
      </w:tr>
      <w:tr>
        <w:trPr>
          <w:trHeight w:val="148"/>
        </w:trPr>
        <w:tc>
          <w:tcPr>
            <w:tcW w:w="3660" w:type="dxa"/>
            <w:vAlign w:val="bottom"/>
          </w:tcPr>
          <w:p>
            <w:pPr>
              <w:jc w:val="center"/>
              <w:ind w:left="179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60" w:type="dxa"/>
            <w:vAlign w:val="bottom"/>
          </w:tcPr>
          <w:p>
            <w:pPr>
              <w:jc w:val="center"/>
              <w:ind w:right="2170"/>
              <w:spacing w:after="0"/>
              <w:rPr>
                <w:sz w:val="20"/>
                <w:szCs w:val="20"/>
                <w:color w:val="auto"/>
              </w:rPr>
            </w:pPr>
            <w:r>
              <w:rPr>
                <w:rFonts w:ascii="Times New Roman" w:cs="Times New Roman" w:eastAsia="Times New Roman" w:hAnsi="Times New Roman"/>
                <w:sz w:val="13"/>
                <w:szCs w:val="13"/>
                <w:b w:val="1"/>
                <w:bCs w:val="1"/>
                <w:color w:val="auto"/>
              </w:rPr>
              <w:t>(I.R.S. Employer</w:t>
            </w:r>
          </w:p>
        </w:tc>
        <w:tc>
          <w:tcPr>
            <w:tcW w:w="0" w:type="dxa"/>
            <w:vAlign w:val="bottom"/>
          </w:tcPr>
          <w:p>
            <w:pPr>
              <w:spacing w:after="0"/>
              <w:rPr>
                <w:sz w:val="1"/>
                <w:szCs w:val="1"/>
                <w:color w:val="auto"/>
              </w:rPr>
            </w:pPr>
          </w:p>
        </w:tc>
      </w:tr>
      <w:tr>
        <w:trPr>
          <w:trHeight w:val="178"/>
        </w:trPr>
        <w:tc>
          <w:tcPr>
            <w:tcW w:w="3660" w:type="dxa"/>
            <w:vAlign w:val="bottom"/>
          </w:tcPr>
          <w:p>
            <w:pPr>
              <w:jc w:val="center"/>
              <w:ind w:left="179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20" w:type="dxa"/>
            <w:vAlign w:val="bottom"/>
            <w:gridSpan w:val="2"/>
          </w:tcPr>
          <w:p>
            <w:pPr>
              <w:jc w:val="center"/>
              <w:ind w:right="1610"/>
              <w:spacing w:after="0"/>
              <w:rPr>
                <w:sz w:val="20"/>
                <w:szCs w:val="20"/>
                <w:color w:val="auto"/>
              </w:rPr>
            </w:pPr>
            <w:r>
              <w:rPr>
                <w:rFonts w:ascii="Times New Roman" w:cs="Times New Roman" w:eastAsia="Times New Roman" w:hAnsi="Times New Roman"/>
                <w:sz w:val="13"/>
                <w:szCs w:val="13"/>
                <w:b w:val="1"/>
                <w:bCs w:val="1"/>
                <w:color w:val="auto"/>
              </w:rPr>
              <w:t>Identification No.)</w:t>
            </w:r>
          </w:p>
        </w:tc>
        <w:tc>
          <w:tcPr>
            <w:tcW w:w="0" w:type="dxa"/>
            <w:vAlign w:val="bottom"/>
          </w:tcPr>
          <w:p>
            <w:pPr>
              <w:spacing w:after="0"/>
              <w:rPr>
                <w:sz w:val="1"/>
                <w:szCs w:val="1"/>
                <w:color w:val="auto"/>
              </w:rPr>
            </w:pPr>
          </w:p>
        </w:tc>
      </w:tr>
      <w:tr>
        <w:trPr>
          <w:trHeight w:val="192"/>
        </w:trPr>
        <w:tc>
          <w:tcPr>
            <w:tcW w:w="3660" w:type="dxa"/>
            <w:vAlign w:val="bottom"/>
          </w:tcPr>
          <w:p>
            <w:pPr>
              <w:jc w:val="center"/>
              <w:ind w:left="1810"/>
              <w:spacing w:after="0"/>
              <w:rPr>
                <w:sz w:val="20"/>
                <w:szCs w:val="20"/>
                <w:color w:val="auto"/>
              </w:rPr>
            </w:pPr>
            <w:r>
              <w:rPr>
                <w:rFonts w:ascii="Times New Roman" w:cs="Times New Roman" w:eastAsia="Times New Roman" w:hAnsi="Times New Roman"/>
                <w:sz w:val="14"/>
                <w:szCs w:val="14"/>
                <w:b w:val="1"/>
                <w:bCs w:val="1"/>
                <w:color w:val="auto"/>
              </w:rPr>
              <w:t>100 Campus Drive, Suite 102</w:t>
            </w:r>
          </w:p>
        </w:tc>
        <w:tc>
          <w:tcPr>
            <w:tcW w:w="4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660" w:type="dxa"/>
            <w:vAlign w:val="bottom"/>
          </w:tcPr>
          <w:p>
            <w:pPr>
              <w:jc w:val="center"/>
              <w:ind w:left="1790"/>
              <w:spacing w:after="0"/>
              <w:rPr>
                <w:sz w:val="20"/>
                <w:szCs w:val="20"/>
                <w:color w:val="auto"/>
              </w:rPr>
            </w:pPr>
            <w:r>
              <w:rPr>
                <w:rFonts w:ascii="Times New Roman" w:cs="Times New Roman" w:eastAsia="Times New Roman" w:hAnsi="Times New Roman"/>
                <w:sz w:val="14"/>
                <w:szCs w:val="14"/>
                <w:b w:val="1"/>
                <w:bCs w:val="1"/>
                <w:color w:val="auto"/>
              </w:rPr>
              <w:t>Florham Park, New Jersey</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60" w:type="dxa"/>
            <w:vAlign w:val="bottom"/>
          </w:tcPr>
          <w:p>
            <w:pPr>
              <w:jc w:val="right"/>
              <w:ind w:right="2490"/>
              <w:spacing w:after="0"/>
              <w:rPr>
                <w:sz w:val="20"/>
                <w:szCs w:val="20"/>
                <w:color w:val="auto"/>
              </w:rPr>
            </w:pPr>
            <w:r>
              <w:rPr>
                <w:rFonts w:ascii="Times New Roman" w:cs="Times New Roman" w:eastAsia="Times New Roman" w:hAnsi="Times New Roman"/>
                <w:sz w:val="14"/>
                <w:szCs w:val="14"/>
                <w:b w:val="1"/>
                <w:bCs w:val="1"/>
                <w:color w:val="auto"/>
              </w:rPr>
              <w:t>07932</w:t>
            </w:r>
          </w:p>
        </w:tc>
        <w:tc>
          <w:tcPr>
            <w:tcW w:w="0" w:type="dxa"/>
            <w:vAlign w:val="bottom"/>
          </w:tcPr>
          <w:p>
            <w:pPr>
              <w:spacing w:after="0"/>
              <w:rPr>
                <w:sz w:val="1"/>
                <w:szCs w:val="1"/>
                <w:color w:val="auto"/>
              </w:rPr>
            </w:pPr>
          </w:p>
        </w:tc>
      </w:tr>
      <w:tr>
        <w:trPr>
          <w:trHeight w:val="178"/>
        </w:trPr>
        <w:tc>
          <w:tcPr>
            <w:tcW w:w="7420" w:type="dxa"/>
            <w:vAlign w:val="bottom"/>
            <w:gridSpan w:val="8"/>
          </w:tcPr>
          <w:p>
            <w:pPr>
              <w:jc w:val="center"/>
              <w:ind w:right="19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560" w:type="dxa"/>
            <w:vAlign w:val="bottom"/>
          </w:tcPr>
          <w:p>
            <w:pPr>
              <w:spacing w:after="0"/>
              <w:rPr>
                <w:sz w:val="15"/>
                <w:szCs w:val="15"/>
                <w:color w:val="auto"/>
              </w:rPr>
            </w:pPr>
          </w:p>
        </w:tc>
        <w:tc>
          <w:tcPr>
            <w:tcW w:w="3260" w:type="dxa"/>
            <w:vAlign w:val="bottom"/>
          </w:tcPr>
          <w:p>
            <w:pPr>
              <w:jc w:val="center"/>
              <w:ind w:right="2170"/>
              <w:spacing w:after="0"/>
              <w:rPr>
                <w:sz w:val="20"/>
                <w:szCs w:val="20"/>
                <w:color w:val="auto"/>
              </w:rPr>
            </w:pPr>
            <w:r>
              <w:rPr>
                <w:rFonts w:ascii="Times New Roman" w:cs="Times New Roman" w:eastAsia="Times New Roman" w:hAnsi="Times New Roman"/>
                <w:sz w:val="13"/>
                <w:szCs w:val="13"/>
                <w:b w:val="1"/>
                <w:bCs w:val="1"/>
                <w:color w:val="auto"/>
              </w:rPr>
              <w:t>(Zip Code)</w:t>
            </w:r>
          </w:p>
        </w:tc>
        <w:tc>
          <w:tcPr>
            <w:tcW w:w="0" w:type="dxa"/>
            <w:vAlign w:val="bottom"/>
          </w:tcPr>
          <w:p>
            <w:pPr>
              <w:spacing w:after="0"/>
              <w:rPr>
                <w:sz w:val="1"/>
                <w:szCs w:val="1"/>
                <w:color w:val="auto"/>
              </w:rPr>
            </w:pPr>
          </w:p>
        </w:tc>
      </w:tr>
      <w:tr>
        <w:trPr>
          <w:trHeight w:val="207"/>
        </w:trPr>
        <w:tc>
          <w:tcPr>
            <w:tcW w:w="7980" w:type="dxa"/>
            <w:vAlign w:val="bottom"/>
            <w:gridSpan w:val="9"/>
          </w:tcPr>
          <w:p>
            <w:pPr>
              <w:jc w:val="center"/>
              <w:ind w:left="319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(877) 742-8466</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46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660" w:type="dxa"/>
            <w:vAlign w:val="bottom"/>
            <w:vMerge w:val="continue"/>
          </w:tcPr>
          <w:p>
            <w:pPr>
              <w:spacing w:after="0"/>
              <w:rPr>
                <w:sz w:val="17"/>
                <w:szCs w:val="17"/>
                <w:color w:val="auto"/>
              </w:rPr>
            </w:pP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3660" w:type="dxa"/>
            <w:vAlign w:val="bottom"/>
          </w:tcPr>
          <w:p>
            <w:pPr>
              <w:jc w:val="center"/>
              <w:ind w:left="39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40" w:type="dxa"/>
            <w:vAlign w:val="bottom"/>
            <w:gridSpan w:val="4"/>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820" w:type="dxa"/>
            <w:vAlign w:val="bottom"/>
            <w:gridSpan w:val="2"/>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58"/>
        </w:trPr>
        <w:tc>
          <w:tcPr>
            <w:tcW w:w="3660" w:type="dxa"/>
            <w:vAlign w:val="bottom"/>
            <w:tcBorders>
              <w:top w:val="single" w:sz="8" w:color="auto"/>
            </w:tcBorders>
          </w:tcPr>
          <w:p>
            <w:pPr>
              <w:jc w:val="center"/>
              <w:ind w:left="410"/>
              <w:spacing w:after="0"/>
              <w:rPr>
                <w:sz w:val="20"/>
                <w:szCs w:val="20"/>
                <w:color w:val="auto"/>
              </w:rPr>
            </w:pPr>
            <w:r>
              <w:rPr>
                <w:rFonts w:ascii="Times New Roman" w:cs="Times New Roman" w:eastAsia="Times New Roman" w:hAnsi="Times New Roman"/>
                <w:sz w:val="13"/>
                <w:szCs w:val="13"/>
                <w:b w:val="1"/>
                <w:bCs w:val="1"/>
                <w:color w:val="auto"/>
              </w:rPr>
              <w:t>Common Stock, par value $0.0001 per share</w:t>
            </w:r>
          </w:p>
        </w:tc>
        <w:tc>
          <w:tcPr>
            <w:tcW w:w="46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PHAT</w:t>
            </w:r>
          </w:p>
        </w:tc>
        <w:tc>
          <w:tcPr>
            <w:tcW w:w="400" w:type="dxa"/>
            <w:vAlign w:val="bottom"/>
            <w:gridSpan w:val="2"/>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3260" w:type="dxa"/>
            <w:vAlign w:val="bottom"/>
            <w:tcBorders>
              <w:top w:val="single" w:sz="8" w:color="auto"/>
            </w:tcBorders>
          </w:tcPr>
          <w:p>
            <w:pPr>
              <w:jc w:val="center"/>
              <w:ind w:right="790"/>
              <w:spacing w:after="0"/>
              <w:rPr>
                <w:sz w:val="20"/>
                <w:szCs w:val="20"/>
                <w:color w:val="auto"/>
              </w:rPr>
            </w:pPr>
            <w:r>
              <w:rPr>
                <w:rFonts w:ascii="Times New Roman" w:cs="Times New Roman" w:eastAsia="Times New Roman" w:hAnsi="Times New Roman"/>
                <w:sz w:val="13"/>
                <w:szCs w:val="13"/>
                <w:b w:val="1"/>
                <w:bCs w:val="1"/>
                <w:color w:val="auto"/>
              </w:rPr>
              <w:t>The Nasdaq Global Select Market</w:t>
            </w: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4320" w:type="dxa"/>
            <w:vAlign w:val="bottom"/>
            <w:gridSpan w:val="8"/>
          </w:tcPr>
          <w:p>
            <w:pPr>
              <w:jc w:val="center"/>
              <w:ind w:right="349"/>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12(g) of the Act: None</w:t>
            </w:r>
          </w:p>
        </w:tc>
        <w:tc>
          <w:tcPr>
            <w:tcW w:w="3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00" w:type="dxa"/>
            <w:vAlign w:val="bottom"/>
            <w:gridSpan w:val="3"/>
          </w:tcPr>
          <w:p>
            <w:pPr>
              <w:spacing w:after="0"/>
              <w:rPr>
                <w:sz w:val="2"/>
                <w:szCs w:val="2"/>
                <w:color w:val="auto"/>
              </w:rPr>
            </w:pPr>
          </w:p>
        </w:tc>
        <w:tc>
          <w:tcPr>
            <w:tcW w:w="2240" w:type="dxa"/>
            <w:vAlign w:val="bottom"/>
            <w:tcBorders>
              <w:bottom w:val="single" w:sz="8" w:color="auto"/>
            </w:tcBorders>
            <w:gridSpan w:val="3"/>
          </w:tcPr>
          <w:p>
            <w:pPr>
              <w:spacing w:after="0"/>
              <w:rPr>
                <w:sz w:val="2"/>
                <w:szCs w:val="2"/>
                <w:color w:val="auto"/>
              </w:rPr>
            </w:pPr>
          </w:p>
        </w:tc>
        <w:tc>
          <w:tcPr>
            <w:tcW w:w="680" w:type="dxa"/>
            <w:vAlign w:val="bottom"/>
            <w:gridSpan w:val="2"/>
          </w:tcPr>
          <w:p>
            <w:pPr>
              <w:spacing w:after="0"/>
              <w:rPr>
                <w:sz w:val="2"/>
                <w:szCs w:val="2"/>
                <w:color w:val="auto"/>
              </w:rPr>
            </w:pPr>
          </w:p>
        </w:tc>
        <w:tc>
          <w:tcPr>
            <w:tcW w:w="560" w:type="dxa"/>
            <w:vAlign w:val="bottom"/>
            <w:vMerge w:val="restart"/>
          </w:tcPr>
          <w:p>
            <w:pPr>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vMerge w:val="restart"/>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09"/>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a well-known seasoned issuer, as defined in Rule 405 of the Securities Act.</w:t>
            </w:r>
          </w:p>
        </w:tc>
        <w:tc>
          <w:tcPr>
            <w:tcW w:w="560" w:type="dxa"/>
            <w:vAlign w:val="bottom"/>
            <w:vMerge w:val="continue"/>
          </w:tcPr>
          <w:p>
            <w:pPr>
              <w:spacing w:after="0"/>
              <w:rPr>
                <w:sz w:val="18"/>
                <w:szCs w:val="18"/>
                <w:color w:val="auto"/>
              </w:rPr>
            </w:pPr>
          </w:p>
        </w:tc>
        <w:tc>
          <w:tcPr>
            <w:tcW w:w="3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20" w:type="dxa"/>
            <w:vAlign w:val="bottom"/>
            <w:gridSpan w:val="8"/>
          </w:tcPr>
          <w:p>
            <w:pPr>
              <w:ind w:left="520"/>
              <w:spacing w:after="0"/>
              <w:rPr>
                <w:sz w:val="20"/>
                <w:szCs w:val="20"/>
                <w:color w:val="auto"/>
              </w:rPr>
            </w:pPr>
            <w:r>
              <w:rPr>
                <w:rFonts w:ascii="Times New Roman" w:cs="Times New Roman" w:eastAsia="Times New Roman" w:hAnsi="Times New Roman"/>
                <w:sz w:val="14"/>
                <w:szCs w:val="14"/>
                <w:color w:val="auto"/>
              </w:rPr>
              <w:t>Indicate by check mark if the registrant is not required to file reports pursuant to Section 13 or Section 15(d) of the Act.</w:t>
            </w:r>
          </w:p>
        </w:tc>
        <w:tc>
          <w:tcPr>
            <w:tcW w:w="560" w:type="dxa"/>
            <w:vAlign w:val="bottom"/>
          </w:tcPr>
          <w:p>
            <w:pPr>
              <w:ind w:left="120"/>
              <w:spacing w:after="0" w:line="161" w:lineRule="exact"/>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p>
        </w:tc>
        <w:tc>
          <w:tcPr>
            <w:tcW w:w="3260" w:type="dxa"/>
            <w:vAlign w:val="bottom"/>
          </w:tcPr>
          <w:p>
            <w:pPr>
              <w:ind w:left="14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ind w:right="120"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60" w:firstLine="509"/>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100" w:firstLine="509"/>
        <w:spacing w:after="0" w:line="245"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82"/>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Accelerated filer</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ind w:left="292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40" w:type="dxa"/>
            <w:vAlign w:val="bottom"/>
          </w:tcPr>
          <w:p>
            <w:pPr>
              <w:ind w:left="5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6"/>
        </w:trPr>
        <w:tc>
          <w:tcPr>
            <w:tcW w:w="200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580" w:type="dxa"/>
            <w:vAlign w:val="bottom"/>
          </w:tcPr>
          <w:p>
            <w:pPr>
              <w:ind w:left="520"/>
              <w:spacing w:after="0" w:line="131" w:lineRule="exact"/>
              <w:rPr>
                <w:sz w:val="20"/>
                <w:szCs w:val="20"/>
                <w:color w:val="auto"/>
              </w:rPr>
            </w:pPr>
            <w:r>
              <w:rPr>
                <w:rFonts w:ascii="MS PGothic" w:cs="MS PGothic" w:eastAsia="MS PGothic" w:hAnsi="MS PGothic"/>
                <w:sz w:val="13"/>
                <w:szCs w:val="13"/>
                <w:color w:val="auto"/>
              </w:rPr>
              <w:t>☐</w:t>
            </w:r>
          </w:p>
        </w:tc>
        <w:tc>
          <w:tcPr>
            <w:tcW w:w="4920" w:type="dxa"/>
            <w:vAlign w:val="bottom"/>
          </w:tcPr>
          <w:p>
            <w:pPr>
              <w:spacing w:after="0"/>
              <w:rPr>
                <w:sz w:val="19"/>
                <w:szCs w:val="19"/>
                <w:color w:val="auto"/>
              </w:rPr>
            </w:pPr>
          </w:p>
        </w:tc>
        <w:tc>
          <w:tcPr>
            <w:tcW w:w="640" w:type="dxa"/>
            <w:vAlign w:val="bottom"/>
          </w:tcPr>
          <w:p>
            <w:pPr>
              <w:spacing w:after="0"/>
              <w:rPr>
                <w:sz w:val="19"/>
                <w:szCs w:val="19"/>
                <w:color w:val="auto"/>
              </w:rPr>
            </w:pPr>
          </w:p>
        </w:tc>
      </w:tr>
    </w:tbl>
    <w:p>
      <w:pPr>
        <w:ind w:right="40" w:firstLine="509"/>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firstLine="509"/>
        <w:spacing w:after="0" w:line="17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 Oxley Act (15 U.S.C. 7262 (b))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right="80" w:firstLine="509"/>
        <w:spacing w:after="0" w:line="182" w:lineRule="exact"/>
        <w:rPr>
          <w:sz w:val="20"/>
          <w:szCs w:val="20"/>
          <w:color w:val="auto"/>
        </w:rPr>
      </w:pPr>
      <w:r>
        <w:rPr>
          <w:rFonts w:ascii="Times New Roman" w:cs="Times New Roman" w:eastAsia="Times New Roman" w:hAnsi="Times New Roman"/>
          <w:sz w:val="14"/>
          <w:szCs w:val="14"/>
          <w:color w:val="231F20"/>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000000"/>
        </w:rPr>
        <w:t>☐</w:t>
      </w:r>
    </w:p>
    <w:p>
      <w:pPr>
        <w:spacing w:after="0" w:line="1" w:lineRule="exact"/>
        <w:rPr>
          <w:sz w:val="24"/>
          <w:szCs w:val="24"/>
          <w:color w:val="auto"/>
        </w:rPr>
      </w:pPr>
    </w:p>
    <w:p>
      <w:pPr>
        <w:ind w:right="340" w:firstLine="509"/>
        <w:spacing w:after="0" w:line="182" w:lineRule="exact"/>
        <w:rPr>
          <w:sz w:val="20"/>
          <w:szCs w:val="20"/>
          <w:color w:val="auto"/>
        </w:rPr>
      </w:pPr>
      <w:r>
        <w:rPr>
          <w:rFonts w:ascii="Times New Roman" w:cs="Times New Roman" w:eastAsia="Times New Roman" w:hAnsi="Times New Roman"/>
          <w:sz w:val="14"/>
          <w:szCs w:val="14"/>
          <w:color w:val="231F20"/>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000000"/>
        </w:rPr>
        <w:t>☐</w:t>
      </w:r>
    </w:p>
    <w:p>
      <w:pPr>
        <w:spacing w:after="0" w:line="1" w:lineRule="exact"/>
        <w:rPr>
          <w:sz w:val="24"/>
          <w:szCs w:val="24"/>
          <w:color w:val="auto"/>
        </w:rPr>
      </w:pPr>
    </w:p>
    <w:p>
      <w:pPr>
        <w:ind w:left="520"/>
        <w:spacing w:after="0" w:line="161" w:lineRule="exact"/>
        <w:tabs>
          <w:tab w:leader="none" w:pos="708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42" w:lineRule="exact"/>
        <w:rPr>
          <w:sz w:val="24"/>
          <w:szCs w:val="24"/>
          <w:color w:val="auto"/>
        </w:rPr>
      </w:pPr>
    </w:p>
    <w:p>
      <w:pPr>
        <w:ind w:right="60" w:firstLine="509"/>
        <w:spacing w:after="0" w:line="245" w:lineRule="auto"/>
        <w:rPr>
          <w:sz w:val="20"/>
          <w:szCs w:val="20"/>
          <w:color w:val="auto"/>
        </w:rPr>
      </w:pPr>
      <w:r>
        <w:rPr>
          <w:rFonts w:ascii="Times New Roman" w:cs="Times New Roman" w:eastAsia="Times New Roman" w:hAnsi="Times New Roman"/>
          <w:sz w:val="14"/>
          <w:szCs w:val="14"/>
          <w:color w:val="auto"/>
        </w:rPr>
        <w:t>As of June 30, 2024, the aggregate market value of the registrant’s common stock held by non-affiliates of the registrant was approximately $470.4 million, based on the closing price of the registrant’s common stock on the Nasdaq Global Select Market of $10.30 per share.</w:t>
      </w:r>
    </w:p>
    <w:p>
      <w:pPr>
        <w:ind w:left="520"/>
        <w:spacing w:after="0"/>
        <w:rPr>
          <w:sz w:val="20"/>
          <w:szCs w:val="20"/>
          <w:color w:val="auto"/>
        </w:rPr>
      </w:pPr>
      <w:r>
        <w:rPr>
          <w:rFonts w:ascii="Times New Roman" w:cs="Times New Roman" w:eastAsia="Times New Roman" w:hAnsi="Times New Roman"/>
          <w:sz w:val="14"/>
          <w:szCs w:val="14"/>
          <w:color w:val="auto"/>
        </w:rPr>
        <w:t>As of March 3, 2025, the registrant had 69,636,970 shares of common stock ($0.0001 par value) outstanding.</w:t>
      </w:r>
    </w:p>
    <w:p>
      <w:pPr>
        <w:spacing w:after="0" w:line="1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9" w:lineRule="exact"/>
        <w:rPr>
          <w:sz w:val="24"/>
          <w:szCs w:val="24"/>
          <w:color w:val="auto"/>
        </w:rPr>
      </w:pPr>
    </w:p>
    <w:p>
      <w:pPr>
        <w:ind w:right="620" w:firstLine="509"/>
        <w:spacing w:after="0" w:line="261" w:lineRule="auto"/>
        <w:rPr>
          <w:sz w:val="20"/>
          <w:szCs w:val="20"/>
          <w:color w:val="auto"/>
        </w:rPr>
      </w:pPr>
      <w:r>
        <w:rPr>
          <w:rFonts w:ascii="Times New Roman" w:cs="Times New Roman" w:eastAsia="Times New Roman" w:hAnsi="Times New Roman"/>
          <w:sz w:val="14"/>
          <w:szCs w:val="14"/>
          <w:color w:val="auto"/>
        </w:rPr>
        <w:t>Certain sections of the registrant’s definitive proxy statement for the 2025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748030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gridSpan w:val="12"/>
          </w:tcPr>
          <w:p>
            <w:pPr>
              <w:jc w:val="center"/>
              <w:ind w:right="2500"/>
              <w:spacing w:after="0"/>
              <w:rPr>
                <w:sz w:val="20"/>
                <w:szCs w:val="20"/>
                <w:color w:val="auto"/>
              </w:rPr>
            </w:pPr>
            <w:r>
              <w:rPr>
                <w:rFonts w:ascii="Calibri" w:cs="Calibri" w:eastAsia="Calibri" w:hAnsi="Calibri"/>
                <w:sz w:val="18"/>
                <w:szCs w:val="18"/>
                <w:b w:val="1"/>
                <w:bCs w:val="1"/>
                <w:color w:val="auto"/>
                <w:w w:val="97"/>
              </w:rPr>
              <w:t>PHATHOM PHARMACEUTICALS, INC.</w:t>
            </w:r>
          </w:p>
        </w:tc>
        <w:tc>
          <w:tcPr>
            <w:tcW w:w="1780" w:type="dxa"/>
            <w:vAlign w:val="bottom"/>
          </w:tcPr>
          <w:p>
            <w:pPr>
              <w:spacing w:after="0"/>
              <w:rPr>
                <w:sz w:val="19"/>
                <w:szCs w:val="19"/>
                <w:color w:val="auto"/>
              </w:rPr>
            </w:pPr>
          </w:p>
        </w:tc>
      </w:tr>
      <w:tr>
        <w:trPr>
          <w:trHeight w:val="405"/>
        </w:trPr>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12"/>
          </w:tcPr>
          <w:p>
            <w:pPr>
              <w:jc w:val="center"/>
              <w:ind w:right="2520"/>
              <w:spacing w:after="0"/>
              <w:rPr>
                <w:sz w:val="20"/>
                <w:szCs w:val="20"/>
                <w:color w:val="auto"/>
              </w:rPr>
            </w:pPr>
            <w:r>
              <w:rPr>
                <w:rFonts w:ascii="Calibri" w:cs="Calibri" w:eastAsia="Calibri" w:hAnsi="Calibri"/>
                <w:sz w:val="18"/>
                <w:szCs w:val="18"/>
                <w:b w:val="1"/>
                <w:bCs w:val="1"/>
                <w:color w:val="auto"/>
                <w:w w:val="97"/>
              </w:rPr>
              <w:t>TABLE OF CONTENTS</w:t>
            </w:r>
          </w:p>
        </w:tc>
        <w:tc>
          <w:tcPr>
            <w:tcW w:w="1780" w:type="dxa"/>
            <w:vAlign w:val="bottom"/>
          </w:tcPr>
          <w:p>
            <w:pPr>
              <w:spacing w:after="0"/>
              <w:rPr>
                <w:sz w:val="24"/>
                <w:szCs w:val="24"/>
                <w:color w:val="auto"/>
              </w:rPr>
            </w:pPr>
          </w:p>
        </w:tc>
      </w:tr>
      <w:tr>
        <w:trPr>
          <w:trHeight w:val="392"/>
        </w:trPr>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20" w:type="dxa"/>
            <w:vAlign w:val="bottom"/>
            <w:gridSpan w:val="11"/>
          </w:tcPr>
          <w:p>
            <w:pPr>
              <w:jc w:val="center"/>
              <w:ind w:right="3280"/>
              <w:spacing w:after="0"/>
              <w:rPr>
                <w:sz w:val="20"/>
                <w:szCs w:val="20"/>
                <w:color w:val="auto"/>
              </w:rPr>
            </w:pPr>
            <w:r>
              <w:rPr>
                <w:rFonts w:ascii="Calibri" w:cs="Calibri" w:eastAsia="Calibri" w:hAnsi="Calibri"/>
                <w:sz w:val="18"/>
                <w:szCs w:val="18"/>
                <w:b w:val="1"/>
                <w:bCs w:val="1"/>
                <w:color w:val="auto"/>
                <w:w w:val="97"/>
              </w:rPr>
              <w:t>FORM 10-K</w:t>
            </w:r>
          </w:p>
        </w:tc>
        <w:tc>
          <w:tcPr>
            <w:tcW w:w="1780" w:type="dxa"/>
            <w:vAlign w:val="bottom"/>
          </w:tcPr>
          <w:p>
            <w:pPr>
              <w:spacing w:after="0"/>
              <w:rPr>
                <w:sz w:val="24"/>
                <w:szCs w:val="24"/>
                <w:color w:val="auto"/>
              </w:rPr>
            </w:pPr>
          </w:p>
        </w:tc>
      </w:tr>
      <w:tr>
        <w:trPr>
          <w:trHeight w:val="216"/>
        </w:trPr>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20" w:type="dxa"/>
            <w:vAlign w:val="bottom"/>
            <w:gridSpan w:val="13"/>
          </w:tcPr>
          <w:p>
            <w:pPr>
              <w:jc w:val="center"/>
              <w:ind w:right="2300"/>
              <w:spacing w:after="0" w:line="216" w:lineRule="exact"/>
              <w:rPr>
                <w:sz w:val="20"/>
                <w:szCs w:val="20"/>
                <w:color w:val="auto"/>
              </w:rPr>
            </w:pPr>
            <w:r>
              <w:rPr>
                <w:rFonts w:ascii="Calibri" w:cs="Calibri" w:eastAsia="Calibri" w:hAnsi="Calibri"/>
                <w:sz w:val="18"/>
                <w:szCs w:val="18"/>
                <w:b w:val="1"/>
                <w:bCs w:val="1"/>
                <w:color w:val="auto"/>
                <w:w w:val="97"/>
              </w:rPr>
              <w:t>For the Year Ended December 31, 2024</w:t>
            </w:r>
          </w:p>
        </w:tc>
        <w:tc>
          <w:tcPr>
            <w:tcW w:w="1780" w:type="dxa"/>
            <w:vAlign w:val="bottom"/>
          </w:tcPr>
          <w:p>
            <w:pPr>
              <w:spacing w:after="0"/>
              <w:rPr>
                <w:sz w:val="18"/>
                <w:szCs w:val="18"/>
                <w:color w:val="auto"/>
              </w:rPr>
            </w:pPr>
          </w:p>
        </w:tc>
      </w:tr>
      <w:tr>
        <w:trPr>
          <w:trHeight w:val="392"/>
        </w:trPr>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gridSpan w:val="10"/>
          </w:tcPr>
          <w:p>
            <w:pPr>
              <w:jc w:val="center"/>
              <w:ind w:right="3540"/>
              <w:spacing w:after="0"/>
              <w:rPr>
                <w:sz w:val="20"/>
                <w:szCs w:val="20"/>
                <w:color w:val="auto"/>
              </w:rPr>
            </w:pPr>
            <w:r>
              <w:rPr>
                <w:rFonts w:ascii="Calibri" w:cs="Calibri" w:eastAsia="Calibri" w:hAnsi="Calibri"/>
                <w:sz w:val="18"/>
                <w:szCs w:val="18"/>
                <w:b w:val="1"/>
                <w:bCs w:val="1"/>
                <w:color w:val="auto"/>
                <w:w w:val="98"/>
              </w:rPr>
              <w:t>INDEX</w:t>
            </w:r>
          </w:p>
        </w:tc>
        <w:tc>
          <w:tcPr>
            <w:tcW w:w="1780" w:type="dxa"/>
            <w:vAlign w:val="bottom"/>
          </w:tcPr>
          <w:p>
            <w:pPr>
              <w:spacing w:after="0"/>
              <w:rPr>
                <w:sz w:val="24"/>
                <w:szCs w:val="24"/>
                <w:color w:val="auto"/>
              </w:rPr>
            </w:pPr>
          </w:p>
        </w:tc>
      </w:tr>
      <w:tr>
        <w:trPr>
          <w:trHeight w:val="455"/>
        </w:trPr>
        <w:tc>
          <w:tcPr>
            <w:tcW w:w="10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Calibri" w:cs="Calibri" w:eastAsia="Calibri" w:hAnsi="Calibri"/>
                <w:sz w:val="18"/>
                <w:szCs w:val="18"/>
                <w:b w:val="1"/>
                <w:bCs w:val="1"/>
                <w:color w:val="0000FF"/>
              </w:rPr>
              <w:t>PART I</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Business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4</w:t>
            </w:r>
          </w:p>
        </w:tc>
      </w:tr>
      <w:tr>
        <w:trPr>
          <w:trHeight w:val="20"/>
        </w:trPr>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1A.</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Risk Factors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49</w:t>
            </w:r>
          </w:p>
        </w:tc>
      </w:tr>
      <w:tr>
        <w:trPr>
          <w:trHeight w:val="20"/>
        </w:trPr>
        <w:tc>
          <w:tcPr>
            <w:tcW w:w="10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1B.</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Unresolved Staf Comments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1C.</w:t>
            </w:r>
          </w:p>
        </w:tc>
        <w:tc>
          <w:tcPr>
            <w:tcW w:w="980" w:type="dxa"/>
            <w:vAlign w:val="bottom"/>
            <w:tcBorders>
              <w:top w:val="single" w:sz="8" w:color="0000FF"/>
              <w:bottom w:val="single" w:sz="8" w:color="0000FF"/>
            </w:tcBorders>
            <w:gridSpan w:val="5"/>
          </w:tcPr>
          <w:p>
            <w:pPr>
              <w:spacing w:after="0" w:line="196" w:lineRule="exact"/>
              <w:rPr>
                <w:sz w:val="20"/>
                <w:szCs w:val="20"/>
                <w:color w:val="auto"/>
              </w:rPr>
            </w:pPr>
            <w:r>
              <w:rPr>
                <w:rFonts w:ascii="Calibri" w:cs="Calibri" w:eastAsia="Calibri" w:hAnsi="Calibri"/>
                <w:sz w:val="18"/>
                <w:szCs w:val="18"/>
                <w:color w:val="0000FF"/>
                <w:w w:val="95"/>
              </w:rPr>
              <w:t>Cybersecurity</w:t>
            </w:r>
          </w:p>
        </w:tc>
        <w:tc>
          <w:tcPr>
            <w:tcW w:w="1000" w:type="dxa"/>
            <w:vAlign w:val="bottom"/>
            <w:tcBorders>
              <w:top w:val="single" w:sz="8" w:color="0000FF"/>
            </w:tcBorders>
            <w:gridSpan w:val="6"/>
          </w:tcPr>
          <w:p>
            <w:pPr>
              <w:spacing w:after="0"/>
              <w:rPr>
                <w:sz w:val="17"/>
                <w:szCs w:val="17"/>
                <w:color w:val="auto"/>
              </w:rPr>
            </w:pPr>
          </w:p>
        </w:tc>
        <w:tc>
          <w:tcPr>
            <w:tcW w:w="5200" w:type="dxa"/>
            <w:vAlign w:val="bottom"/>
            <w:gridSpan w:val="12"/>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101</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2.</w:t>
            </w:r>
          </w:p>
        </w:tc>
        <w:tc>
          <w:tcPr>
            <w:tcW w:w="740" w:type="dxa"/>
            <w:vAlign w:val="bottom"/>
            <w:tcBorders>
              <w:bottom w:val="single" w:sz="8" w:color="0000FF"/>
            </w:tcBorders>
            <w:gridSpan w:val="3"/>
          </w:tcPr>
          <w:p>
            <w:pPr>
              <w:spacing w:after="0" w:line="196" w:lineRule="exact"/>
              <w:rPr>
                <w:sz w:val="20"/>
                <w:szCs w:val="20"/>
                <w:color w:val="auto"/>
              </w:rPr>
            </w:pPr>
            <w:r>
              <w:rPr>
                <w:rFonts w:ascii="Calibri" w:cs="Calibri" w:eastAsia="Calibri" w:hAnsi="Calibri"/>
                <w:sz w:val="18"/>
                <w:szCs w:val="18"/>
                <w:color w:val="0000FF"/>
              </w:rPr>
              <w:t>Propertes</w:t>
            </w:r>
          </w:p>
        </w:tc>
        <w:tc>
          <w:tcPr>
            <w:tcW w:w="40" w:type="dxa"/>
            <w:vAlign w:val="bottom"/>
            <w:tcBorders>
              <w:bottom w:val="single" w:sz="8" w:color="0000EE"/>
            </w:tcBorders>
          </w:tcPr>
          <w:p>
            <w:pPr>
              <w:spacing w:after="0"/>
              <w:rPr>
                <w:sz w:val="17"/>
                <w:szCs w:val="17"/>
                <w:color w:val="auto"/>
              </w:rPr>
            </w:pPr>
          </w:p>
        </w:tc>
        <w:tc>
          <w:tcPr>
            <w:tcW w:w="6400" w:type="dxa"/>
            <w:vAlign w:val="bottom"/>
            <w:gridSpan w:val="19"/>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102</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3.</w:t>
            </w:r>
          </w:p>
        </w:tc>
        <w:tc>
          <w:tcPr>
            <w:tcW w:w="1280" w:type="dxa"/>
            <w:vAlign w:val="bottom"/>
            <w:tcBorders>
              <w:bottom w:val="single" w:sz="8" w:color="0000FF"/>
            </w:tcBorders>
            <w:gridSpan w:val="6"/>
          </w:tcPr>
          <w:p>
            <w:pPr>
              <w:spacing w:after="0" w:line="196" w:lineRule="exact"/>
              <w:rPr>
                <w:sz w:val="20"/>
                <w:szCs w:val="20"/>
                <w:color w:val="auto"/>
              </w:rPr>
            </w:pPr>
            <w:r>
              <w:rPr>
                <w:rFonts w:ascii="Calibri" w:cs="Calibri" w:eastAsia="Calibri" w:hAnsi="Calibri"/>
                <w:sz w:val="18"/>
                <w:szCs w:val="18"/>
                <w:color w:val="0000FF"/>
                <w:w w:val="96"/>
              </w:rPr>
              <w:t>Legal Proceedings</w:t>
            </w:r>
          </w:p>
        </w:tc>
        <w:tc>
          <w:tcPr>
            <w:tcW w:w="40" w:type="dxa"/>
            <w:vAlign w:val="bottom"/>
            <w:tcBorders>
              <w:bottom w:val="single" w:sz="8" w:color="0000EE"/>
            </w:tcBorders>
          </w:tcPr>
          <w:p>
            <w:pPr>
              <w:spacing w:after="0"/>
              <w:rPr>
                <w:sz w:val="17"/>
                <w:szCs w:val="17"/>
                <w:color w:val="auto"/>
              </w:rPr>
            </w:pPr>
          </w:p>
        </w:tc>
        <w:tc>
          <w:tcPr>
            <w:tcW w:w="5860" w:type="dxa"/>
            <w:vAlign w:val="bottom"/>
            <w:gridSpan w:val="16"/>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102</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4.</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Mine Safety Disclosures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102</w:t>
            </w:r>
          </w:p>
        </w:tc>
      </w:tr>
      <w:tr>
        <w:trPr>
          <w:trHeight w:val="412"/>
        </w:trPr>
        <w:tc>
          <w:tcPr>
            <w:tcW w:w="1040" w:type="dxa"/>
            <w:vAlign w:val="bottom"/>
          </w:tcPr>
          <w:p>
            <w:pPr>
              <w:spacing w:after="0"/>
              <w:rPr>
                <w:sz w:val="24"/>
                <w:szCs w:val="24"/>
                <w:color w:val="auto"/>
              </w:rPr>
            </w:pPr>
          </w:p>
        </w:tc>
        <w:tc>
          <w:tcPr>
            <w:tcW w:w="520" w:type="dxa"/>
            <w:vAlign w:val="bottom"/>
            <w:tcBorders>
              <w:bottom w:val="single" w:sz="8" w:color="0000FF"/>
            </w:tcBorders>
            <w:gridSpan w:val="2"/>
          </w:tcPr>
          <w:p>
            <w:pPr>
              <w:spacing w:after="0"/>
              <w:rPr>
                <w:sz w:val="20"/>
                <w:szCs w:val="20"/>
                <w:color w:val="auto"/>
              </w:rPr>
            </w:pPr>
            <w:r>
              <w:rPr>
                <w:rFonts w:ascii="Calibri" w:cs="Calibri" w:eastAsia="Calibri" w:hAnsi="Calibri"/>
                <w:sz w:val="18"/>
                <w:szCs w:val="18"/>
                <w:b w:val="1"/>
                <w:bCs w:val="1"/>
                <w:color w:val="0000FF"/>
                <w:w w:val="93"/>
              </w:rPr>
              <w:t>PART II</w:t>
            </w:r>
          </w:p>
        </w:tc>
        <w:tc>
          <w:tcPr>
            <w:tcW w:w="720" w:type="dxa"/>
            <w:vAlign w:val="bottom"/>
            <w:gridSpan w:val="3"/>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5.</w:t>
            </w:r>
          </w:p>
        </w:tc>
        <w:tc>
          <w:tcPr>
            <w:tcW w:w="7180" w:type="dxa"/>
            <w:vAlign w:val="bottom"/>
            <w:tcBorders>
              <w:bottom w:val="single" w:sz="8" w:color="0000FF"/>
            </w:tcBorders>
            <w:gridSpan w:val="23"/>
          </w:tcPr>
          <w:p>
            <w:pPr>
              <w:spacing w:after="0" w:line="196" w:lineRule="exact"/>
              <w:rPr>
                <w:sz w:val="20"/>
                <w:szCs w:val="20"/>
                <w:color w:val="auto"/>
              </w:rPr>
            </w:pPr>
            <w:r>
              <w:rPr>
                <w:rFonts w:ascii="Calibri" w:cs="Calibri" w:eastAsia="Calibri" w:hAnsi="Calibri"/>
                <w:sz w:val="18"/>
                <w:szCs w:val="18"/>
                <w:color w:val="0000FF"/>
                <w:w w:val="98"/>
              </w:rPr>
              <w:t>Market for Registrant’s Common Equity, Related Stockholder Maters and Issuer Purchases of Equity</w:t>
            </w:r>
          </w:p>
        </w:tc>
        <w:tc>
          <w:tcPr>
            <w:tcW w:w="178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Securites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103</w:t>
            </w: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Borders>
              <w:right w:val="single" w:sz="8" w:color="0000EE"/>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6.</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[Reserved]</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103</w:t>
            </w: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right w:val="single" w:sz="8" w:color="0000EE"/>
            </w:tcBorders>
            <w:gridSpan w:val="4"/>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7.</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Management’s Discussion and Analysis of Financial Conditon and Results of Operatons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104</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7A.</w:t>
            </w:r>
          </w:p>
        </w:tc>
        <w:tc>
          <w:tcPr>
            <w:tcW w:w="6240" w:type="dxa"/>
            <w:vAlign w:val="bottom"/>
            <w:tcBorders>
              <w:top w:val="single" w:sz="8" w:color="0000FF"/>
            </w:tcBorders>
            <w:gridSpan w:val="20"/>
          </w:tcPr>
          <w:p>
            <w:pPr>
              <w:spacing w:after="0" w:line="196" w:lineRule="exact"/>
              <w:rPr>
                <w:sz w:val="20"/>
                <w:szCs w:val="20"/>
                <w:color w:val="auto"/>
              </w:rPr>
            </w:pPr>
            <w:r>
              <w:rPr>
                <w:rFonts w:ascii="Calibri" w:cs="Calibri" w:eastAsia="Calibri" w:hAnsi="Calibri"/>
                <w:sz w:val="18"/>
                <w:szCs w:val="18"/>
                <w:color w:val="0000FF"/>
              </w:rPr>
              <w:t>Quanttatve and Qualitatve Disclosures About Market Risk</w:t>
            </w:r>
          </w:p>
        </w:tc>
        <w:tc>
          <w:tcPr>
            <w:tcW w:w="940" w:type="dxa"/>
            <w:vAlign w:val="bottom"/>
            <w:gridSpan w:val="3"/>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115</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8.</w:t>
            </w:r>
          </w:p>
        </w:tc>
        <w:tc>
          <w:tcPr>
            <w:tcW w:w="3300" w:type="dxa"/>
            <w:vAlign w:val="bottom"/>
            <w:tcBorders>
              <w:top w:val="single" w:sz="8" w:color="0000FF"/>
              <w:bottom w:val="single" w:sz="8" w:color="0000FF"/>
            </w:tcBorders>
            <w:gridSpan w:val="14"/>
          </w:tcPr>
          <w:p>
            <w:pPr>
              <w:spacing w:after="0" w:line="196" w:lineRule="exact"/>
              <w:rPr>
                <w:sz w:val="20"/>
                <w:szCs w:val="20"/>
                <w:color w:val="auto"/>
              </w:rPr>
            </w:pPr>
            <w:r>
              <w:rPr>
                <w:rFonts w:ascii="Calibri" w:cs="Calibri" w:eastAsia="Calibri" w:hAnsi="Calibri"/>
                <w:sz w:val="18"/>
                <w:szCs w:val="18"/>
                <w:color w:val="0000FF"/>
                <w:w w:val="97"/>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900" w:type="dxa"/>
            <w:vAlign w:val="bottom"/>
            <w:tcBorders>
              <w:top w:val="single" w:sz="8" w:color="0000FF"/>
            </w:tcBorders>
            <w:gridSpan w:val="2"/>
          </w:tcPr>
          <w:p>
            <w:pPr>
              <w:spacing w:after="0"/>
              <w:rPr>
                <w:sz w:val="17"/>
                <w:szCs w:val="17"/>
                <w:color w:val="auto"/>
              </w:rPr>
            </w:pPr>
          </w:p>
        </w:tc>
        <w:tc>
          <w:tcPr>
            <w:tcW w:w="2960" w:type="dxa"/>
            <w:vAlign w:val="bottom"/>
            <w:gridSpan w:val="6"/>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115</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9.</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Changes in and Disagreements with Accountants on Accountng and Financial Disclosure</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116</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9A.</w:t>
            </w:r>
          </w:p>
        </w:tc>
        <w:tc>
          <w:tcPr>
            <w:tcW w:w="1760" w:type="dxa"/>
            <w:vAlign w:val="bottom"/>
            <w:tcBorders>
              <w:top w:val="single" w:sz="8" w:color="0000FF"/>
              <w:bottom w:val="single" w:sz="8" w:color="0000FF"/>
            </w:tcBorders>
            <w:gridSpan w:val="10"/>
          </w:tcPr>
          <w:p>
            <w:pPr>
              <w:spacing w:after="0" w:line="196" w:lineRule="exact"/>
              <w:rPr>
                <w:sz w:val="20"/>
                <w:szCs w:val="20"/>
                <w:color w:val="auto"/>
              </w:rPr>
            </w:pPr>
            <w:r>
              <w:rPr>
                <w:rFonts w:ascii="Calibri" w:cs="Calibri" w:eastAsia="Calibri" w:hAnsi="Calibri"/>
                <w:sz w:val="18"/>
                <w:szCs w:val="18"/>
                <w:color w:val="0000FF"/>
                <w:w w:val="95"/>
              </w:rPr>
              <w:t>Controls and Procedures</w:t>
            </w:r>
          </w:p>
        </w:tc>
        <w:tc>
          <w:tcPr>
            <w:tcW w:w="4520" w:type="dxa"/>
            <w:vAlign w:val="bottom"/>
            <w:tcBorders>
              <w:top w:val="single" w:sz="8" w:color="0000FF"/>
            </w:tcBorders>
            <w:gridSpan w:val="11"/>
          </w:tcPr>
          <w:p>
            <w:pPr>
              <w:spacing w:after="0"/>
              <w:rPr>
                <w:sz w:val="17"/>
                <w:szCs w:val="17"/>
                <w:color w:val="auto"/>
              </w:rPr>
            </w:pPr>
          </w:p>
        </w:tc>
        <w:tc>
          <w:tcPr>
            <w:tcW w:w="900" w:type="dxa"/>
            <w:vAlign w:val="bottom"/>
            <w:gridSpan w:val="2"/>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116</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9B.</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Other Informaton</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116</w:t>
            </w: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5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9C.</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Disclosure Regarding Foreign Jurisdictons that Prevent Inspectons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231F20"/>
              </w:rPr>
              <w:t>117</w:t>
            </w:r>
          </w:p>
        </w:tc>
      </w:tr>
      <w:tr>
        <w:trPr>
          <w:trHeight w:val="412"/>
        </w:trPr>
        <w:tc>
          <w:tcPr>
            <w:tcW w:w="104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Calibri" w:cs="Calibri" w:eastAsia="Calibri" w:hAnsi="Calibri"/>
                <w:sz w:val="18"/>
                <w:szCs w:val="18"/>
                <w:b w:val="1"/>
                <w:bCs w:val="1"/>
                <w:color w:val="0000FF"/>
              </w:rPr>
              <w:t>PART III</w:t>
            </w: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10.</w:t>
            </w:r>
          </w:p>
        </w:tc>
        <w:tc>
          <w:tcPr>
            <w:tcW w:w="3980" w:type="dxa"/>
            <w:vAlign w:val="bottom"/>
            <w:tcBorders>
              <w:bottom w:val="single" w:sz="8" w:color="0000FF"/>
            </w:tcBorders>
            <w:gridSpan w:val="16"/>
          </w:tcPr>
          <w:p>
            <w:pPr>
              <w:spacing w:after="0" w:line="196" w:lineRule="exact"/>
              <w:rPr>
                <w:sz w:val="20"/>
                <w:szCs w:val="20"/>
                <w:color w:val="auto"/>
              </w:rPr>
            </w:pPr>
            <w:r>
              <w:rPr>
                <w:rFonts w:ascii="Calibri" w:cs="Calibri" w:eastAsia="Calibri" w:hAnsi="Calibri"/>
                <w:sz w:val="18"/>
                <w:szCs w:val="18"/>
                <w:color w:val="0000FF"/>
              </w:rPr>
              <w:t>Directors, Executve Ofcers and Corporate Governance</w:t>
            </w:r>
          </w:p>
        </w:tc>
        <w:tc>
          <w:tcPr>
            <w:tcW w:w="3200" w:type="dxa"/>
            <w:vAlign w:val="bottom"/>
            <w:gridSpan w:val="7"/>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117</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11.</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Executve Compensaton</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117</w:t>
            </w: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Borders>
              <w:right w:val="single" w:sz="8" w:color="0000FF"/>
            </w:tcBorders>
            <w:gridSpan w:val="4"/>
            <w:shd w:val="clear" w:color="auto" w:fill="0000FF"/>
          </w:tcPr>
          <w:p>
            <w:pPr>
              <w:spacing w:after="0" w:line="20" w:lineRule="exact"/>
              <w:rPr>
                <w:sz w:val="1"/>
                <w:szCs w:val="1"/>
                <w:color w:val="auto"/>
              </w:rPr>
            </w:pPr>
          </w:p>
        </w:tc>
        <w:tc>
          <w:tcPr>
            <w:tcW w:w="680" w:type="dxa"/>
            <w:vAlign w:val="bottom"/>
            <w:tcBorders>
              <w:lef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EE"/>
            </w:tcBorders>
            <w:gridSpan w:val="2"/>
            <w:shd w:val="clear" w:color="auto" w:fill="0000FF"/>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6"/>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12.</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w w:val="98"/>
              </w:rPr>
              <w:t>Security Ownership of Certain Benefcial Owners and Management and Related Stockholder Maters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117</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13.</w:t>
            </w:r>
          </w:p>
        </w:tc>
        <w:tc>
          <w:tcPr>
            <w:tcW w:w="5380" w:type="dxa"/>
            <w:vAlign w:val="bottom"/>
            <w:tcBorders>
              <w:top w:val="single" w:sz="8" w:color="0000FF"/>
              <w:bottom w:val="single" w:sz="8" w:color="0000FF"/>
            </w:tcBorders>
            <w:gridSpan w:val="19"/>
          </w:tcPr>
          <w:p>
            <w:pPr>
              <w:spacing w:after="0" w:line="196" w:lineRule="exact"/>
              <w:rPr>
                <w:sz w:val="20"/>
                <w:szCs w:val="20"/>
                <w:color w:val="auto"/>
              </w:rPr>
            </w:pPr>
            <w:r>
              <w:rPr>
                <w:rFonts w:ascii="Calibri" w:cs="Calibri" w:eastAsia="Calibri" w:hAnsi="Calibri"/>
                <w:sz w:val="18"/>
                <w:szCs w:val="18"/>
                <w:color w:val="0000FF"/>
                <w:w w:val="98"/>
              </w:rPr>
              <w:t>Certain Relatonships and Related Transactons, and Director Independence</w:t>
            </w:r>
          </w:p>
        </w:tc>
        <w:tc>
          <w:tcPr>
            <w:tcW w:w="1760" w:type="dxa"/>
            <w:vAlign w:val="bottom"/>
            <w:tcBorders>
              <w:top w:val="single" w:sz="8" w:color="0000FF"/>
            </w:tcBorders>
            <w:gridSpan w:val="3"/>
          </w:tcPr>
          <w:p>
            <w:pPr>
              <w:spacing w:after="0"/>
              <w:rPr>
                <w:sz w:val="17"/>
                <w:szCs w:val="17"/>
                <w:color w:val="auto"/>
              </w:rPr>
            </w:pPr>
          </w:p>
        </w:tc>
        <w:tc>
          <w:tcPr>
            <w:tcW w:w="40" w:type="dxa"/>
            <w:vAlign w:val="bottom"/>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117</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14.</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Principal Accountant Fees and Services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117</w:t>
            </w:r>
          </w:p>
        </w:tc>
      </w:tr>
      <w:tr>
        <w:trPr>
          <w:trHeight w:val="412"/>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sz w:val="20"/>
                <w:szCs w:val="20"/>
                <w:color w:val="auto"/>
              </w:rPr>
            </w:pPr>
            <w:r>
              <w:rPr>
                <w:rFonts w:ascii="Calibri" w:cs="Calibri" w:eastAsia="Calibri" w:hAnsi="Calibri"/>
                <w:sz w:val="18"/>
                <w:szCs w:val="18"/>
                <w:b w:val="1"/>
                <w:bCs w:val="1"/>
                <w:color w:val="0000FF"/>
                <w:w w:val="91"/>
              </w:rPr>
              <w:t>PART IV</w:t>
            </w:r>
          </w:p>
        </w:tc>
        <w:tc>
          <w:tcPr>
            <w:tcW w:w="20" w:type="dxa"/>
            <w:vAlign w:val="bottom"/>
            <w:tcBorders>
              <w:bottom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15.</w:t>
            </w:r>
          </w:p>
        </w:tc>
        <w:tc>
          <w:tcPr>
            <w:tcW w:w="7180" w:type="dxa"/>
            <w:vAlign w:val="bottom"/>
            <w:gridSpan w:val="23"/>
          </w:tcPr>
          <w:p>
            <w:pPr>
              <w:spacing w:after="0" w:line="196" w:lineRule="exact"/>
              <w:rPr>
                <w:sz w:val="20"/>
                <w:szCs w:val="20"/>
                <w:color w:val="auto"/>
              </w:rPr>
            </w:pPr>
            <w:r>
              <w:rPr>
                <w:rFonts w:ascii="Calibri" w:cs="Calibri" w:eastAsia="Calibri" w:hAnsi="Calibri"/>
                <w:sz w:val="18"/>
                <w:szCs w:val="18"/>
                <w:color w:val="0000FF"/>
              </w:rPr>
              <w:t>Exhibits and Financial Statement Schedules</w:t>
            </w: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118</w:t>
            </w:r>
          </w:p>
        </w:tc>
      </w:tr>
      <w:tr>
        <w:trPr>
          <w:trHeight w:val="196"/>
        </w:trPr>
        <w:tc>
          <w:tcPr>
            <w:tcW w:w="1040" w:type="dxa"/>
            <w:vAlign w:val="bottom"/>
          </w:tcPr>
          <w:p>
            <w:pPr>
              <w:spacing w:after="0"/>
              <w:rPr>
                <w:sz w:val="17"/>
                <w:szCs w:val="17"/>
                <w:color w:val="auto"/>
              </w:rPr>
            </w:pPr>
          </w:p>
        </w:tc>
        <w:tc>
          <w:tcPr>
            <w:tcW w:w="1240" w:type="dxa"/>
            <w:vAlign w:val="bottom"/>
            <w:gridSpan w:val="5"/>
          </w:tcPr>
          <w:p>
            <w:pPr>
              <w:spacing w:after="0" w:line="196" w:lineRule="exact"/>
              <w:rPr>
                <w:sz w:val="20"/>
                <w:szCs w:val="20"/>
                <w:color w:val="auto"/>
              </w:rPr>
            </w:pPr>
            <w:r>
              <w:rPr>
                <w:rFonts w:ascii="Calibri" w:cs="Calibri" w:eastAsia="Calibri" w:hAnsi="Calibri"/>
                <w:sz w:val="18"/>
                <w:szCs w:val="18"/>
                <w:color w:val="auto"/>
              </w:rPr>
              <w:t>Item 16.</w:t>
            </w:r>
          </w:p>
        </w:tc>
        <w:tc>
          <w:tcPr>
            <w:tcW w:w="1460" w:type="dxa"/>
            <w:vAlign w:val="bottom"/>
            <w:tcBorders>
              <w:top w:val="single" w:sz="8" w:color="0000FF"/>
              <w:bottom w:val="single" w:sz="8" w:color="0000FF"/>
            </w:tcBorders>
            <w:gridSpan w:val="8"/>
          </w:tcPr>
          <w:p>
            <w:pPr>
              <w:spacing w:after="0" w:line="196" w:lineRule="exact"/>
              <w:rPr>
                <w:sz w:val="20"/>
                <w:szCs w:val="20"/>
                <w:color w:val="auto"/>
              </w:rPr>
            </w:pPr>
            <w:r>
              <w:rPr>
                <w:rFonts w:ascii="Calibri" w:cs="Calibri" w:eastAsia="Calibri" w:hAnsi="Calibri"/>
                <w:sz w:val="18"/>
                <w:szCs w:val="18"/>
                <w:color w:val="0000FF"/>
                <w:w w:val="96"/>
              </w:rPr>
              <w:t>Form 10-K Summary</w:t>
            </w:r>
          </w:p>
        </w:tc>
        <w:tc>
          <w:tcPr>
            <w:tcW w:w="1600" w:type="dxa"/>
            <w:vAlign w:val="bottom"/>
            <w:tcBorders>
              <w:top w:val="single" w:sz="8" w:color="0000FF"/>
            </w:tcBorders>
            <w:gridSpan w:val="5"/>
          </w:tcPr>
          <w:p>
            <w:pPr>
              <w:spacing w:after="0"/>
              <w:rPr>
                <w:sz w:val="17"/>
                <w:szCs w:val="17"/>
                <w:color w:val="auto"/>
              </w:rPr>
            </w:pPr>
          </w:p>
        </w:tc>
        <w:tc>
          <w:tcPr>
            <w:tcW w:w="4120" w:type="dxa"/>
            <w:vAlign w:val="bottom"/>
            <w:gridSpan w:val="10"/>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118</w:t>
            </w:r>
          </w:p>
        </w:tc>
      </w:tr>
      <w:tr>
        <w:trPr>
          <w:trHeight w:val="196"/>
        </w:trPr>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Borders>
              <w:bottom w:val="single" w:sz="8" w:color="0000FF"/>
            </w:tcBorders>
            <w:gridSpan w:val="4"/>
          </w:tcPr>
          <w:p>
            <w:pPr>
              <w:spacing w:after="0" w:line="196" w:lineRule="exact"/>
              <w:rPr>
                <w:sz w:val="20"/>
                <w:szCs w:val="20"/>
                <w:color w:val="auto"/>
              </w:rPr>
            </w:pPr>
            <w:r>
              <w:rPr>
                <w:rFonts w:ascii="Calibri" w:cs="Calibri" w:eastAsia="Calibri" w:hAnsi="Calibri"/>
                <w:sz w:val="18"/>
                <w:szCs w:val="18"/>
                <w:color w:val="0000FF"/>
                <w:w w:val="96"/>
              </w:rPr>
              <w:t>Signatures</w:t>
            </w:r>
          </w:p>
        </w:tc>
        <w:tc>
          <w:tcPr>
            <w:tcW w:w="6400" w:type="dxa"/>
            <w:vAlign w:val="bottom"/>
            <w:gridSpan w:val="19"/>
          </w:tcPr>
          <w:p>
            <w:pPr>
              <w:spacing w:after="0"/>
              <w:rPr>
                <w:sz w:val="17"/>
                <w:szCs w:val="17"/>
                <w:color w:val="auto"/>
              </w:rPr>
            </w:pPr>
          </w:p>
        </w:tc>
        <w:tc>
          <w:tcPr>
            <w:tcW w:w="1780" w:type="dxa"/>
            <w:vAlign w:val="bottom"/>
          </w:tcPr>
          <w:p>
            <w:pPr>
              <w:jc w:val="right"/>
              <w:ind w:right="930"/>
              <w:spacing w:after="0" w:line="196" w:lineRule="exact"/>
              <w:rPr>
                <w:sz w:val="20"/>
                <w:szCs w:val="20"/>
                <w:color w:val="auto"/>
              </w:rPr>
            </w:pPr>
            <w:r>
              <w:rPr>
                <w:rFonts w:ascii="Calibri" w:cs="Calibri" w:eastAsia="Calibri" w:hAnsi="Calibri"/>
                <w:sz w:val="18"/>
                <w:szCs w:val="18"/>
                <w:color w:val="auto"/>
              </w:rPr>
              <w:t>150</w:t>
            </w:r>
          </w:p>
        </w:tc>
      </w:tr>
      <w:tr>
        <w:trPr>
          <w:trHeight w:val="682"/>
        </w:trPr>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80" w:type="dxa"/>
            <w:vAlign w:val="bottom"/>
            <w:gridSpan w:val="16"/>
          </w:tcPr>
          <w:p>
            <w:pPr>
              <w:jc w:val="center"/>
              <w:ind w:left="2610"/>
              <w:spacing w:after="0"/>
              <w:rPr>
                <w:sz w:val="20"/>
                <w:szCs w:val="20"/>
                <w:color w:val="auto"/>
              </w:rPr>
            </w:pPr>
            <w:r>
              <w:rPr>
                <w:rFonts w:ascii="Times New Roman" w:cs="Times New Roman" w:eastAsia="Times New Roman" w:hAnsi="Times New Roman"/>
                <w:sz w:val="18"/>
                <w:szCs w:val="18"/>
                <w:color w:val="auto"/>
                <w:w w:val="88"/>
              </w:rPr>
              <w:t>2</w:t>
            </w: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2" w:name="page3"/>
    <w:bookmarkEnd w:id="2"/>
    <w:p>
      <w:pPr>
        <w:jc w:val="center"/>
        <w:ind w:right="20"/>
        <w:spacing w:after="0"/>
        <w:rPr>
          <w:sz w:val="20"/>
          <w:szCs w:val="20"/>
          <w:color w:val="auto"/>
        </w:rPr>
      </w:pPr>
      <w:r>
        <w:rPr>
          <w:rFonts w:ascii="Calibri" w:cs="Calibri" w:eastAsia="Calibri" w:hAnsi="Calibri"/>
          <w:sz w:val="18"/>
          <w:szCs w:val="18"/>
          <w:b w:val="1"/>
          <w:bCs w:val="1"/>
          <w:color w:val="auto"/>
        </w:rPr>
        <w:t>PART I</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This annual report on Form 10-K contains forward-looking statements within the meaning of Secton 21E of the Securites Exchange Act of 1934, as amended, or the Exchange Act. All statements other than statements of historical facts contained in this annual report, including statements regarding our future results of operatons and fnancial positon, business strategy, research and development plans and costs, the tming and likelihood of regulatory flings and approvals, commercializaton plans, pricing and reimbursement, the potental to develop future product candidates, the tming and likelihood of success of the plans and objectves of management for future operatons, and future results of antcipated product development eforts, are forward-looking statements. These statements involve known and unknown risks, uncertaintes and other important factors that may cause our actual results, performance or achievements to be materially diferent from any future results, performance or achievements expressed or implied by the forward-looking statements. This annual report on Form 10-K also contains estmates and other statstcal data made by independent partes and by us relatng to market size and growth and other data about our industry. This data involves a number of assumptons and limitatons, and you are cautoned not to give undue weight to such estmates. In additon, projectons, assumptons and estmates of our future performance and the future performance of the markets in which we operate are necessarily subject to a high degree of uncertainty and risk.</w:t>
      </w:r>
    </w:p>
    <w:p>
      <w:pPr>
        <w:spacing w:after="0" w:line="1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some cases, you can identfy forward-looking statements by terms such as “may,” “will,” “should,” “expect,” “plan,” “antcipate,” “could,” “intend,” “target,” “project,” “contemplates,” “believes,” “estmates,” “predicts,” “potental” or “contnue” or the negatve of these terms or other similar expressions. The forward-looking statements in this annual report are only predictons. We have based these forward-looking statements largely on our current expectatons and projectons about future events and fnancial trends that we believe may afect our fnancial conditon, operatng results, business strategy, and short term and long term business operatons and objectves. These forward-looking statements speak only as of the date of this annual report and are subject to a number of risks, uncertaintes and assumptons, including those described in Part I, Item 1A, “Risk Factors.” The events and circumstances refected in our forward-looking statements may not be achieved or occur and actual results could difer materially from those projected in the forward-looking statements. Moreover, we operate in an evolving environment. New risk factors and uncertaintes may emerge from tme to tme, and it is not possible for management to predict all risk factors and uncertaintes. Except as required by applicable law, we do not plan to publicly update or revise any forward-looking statements contained herein, whether as a result of any new informaton, future events, changed circumstances or otherwise.</w:t>
      </w:r>
    </w:p>
    <w:p>
      <w:pPr>
        <w:spacing w:after="0" w:line="184"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This annual report includes trademarks, tradenames and service marks that are the property of other organizatons.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92"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We maintain a website at www.phathompharma.com, to which we regularly post copies of our press releases as well as additonal informaton about us. Our flings with the Securites and Exchange Commission, or SEC, are available free of charge through our website as soon as reasonably practcable afer being electronically fled with or furnished to the SEC. Informaton contained in our website does not consttute a part of this report or our other flings with the SEC.</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3" w:name="page4"/>
    <w:bookmarkEnd w:id="3"/>
    <w:p>
      <w:pPr>
        <w:spacing w:after="0"/>
        <w:rPr>
          <w:sz w:val="20"/>
          <w:szCs w:val="20"/>
          <w:color w:val="auto"/>
        </w:rPr>
      </w:pPr>
      <w:r>
        <w:rPr>
          <w:rFonts w:ascii="Calibri" w:cs="Calibri" w:eastAsia="Calibri" w:hAnsi="Calibri"/>
          <w:sz w:val="18"/>
          <w:szCs w:val="18"/>
          <w:b w:val="1"/>
          <w:bCs w:val="1"/>
          <w:color w:val="auto"/>
        </w:rPr>
        <w:t>Item 1. Business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are a biopharmaceutcal company focused on developing and commercializing novel treatments for gastrointestnal, or GI, diseases. Our approved products, VOQUEZNA®, VOQUEZNA® TRIPLE PAK® and VOQUEZNA® DUAL PAK®, contain vonoprazan, an oral small molecule potassium-compettve acid blocker, or PCAB. PCABs are a novel class of medicines that block acid secreton in the stomach. Vonoprazan is the frst gastric ant-secretory agent from a novel class approved in the United States, Europe, or Canada in over 30 years, and has shown rapid, potent, and durable ant-secretory efects. Vonoprazan has also demonstrated clinical benefts over the current standard of care as a single agent in the treatment of erosive gastroesophageal refux disease, or Erosive GERD, and in combinaton with antbiotcs for the treatment of </w:t>
      </w:r>
      <w:r>
        <w:rPr>
          <w:rFonts w:ascii="Calibri" w:cs="Calibri" w:eastAsia="Calibri" w:hAnsi="Calibri"/>
          <w:sz w:val="18"/>
          <w:szCs w:val="18"/>
          <w:i w:val="1"/>
          <w:iCs w:val="1"/>
          <w:color w:val="auto"/>
        </w:rPr>
        <w:t>Helicobacter pylori</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infecton. Takeda Pharmaceutcal Company Limited, or Takeda, developed vonoprazan and has received marketng approval in numerous countries in Asia and Latn America as well as Russia. Vonoprazan generated peak net sales of approximately $850 million and contnues to achieve volume growth during its tenth full year on the market since its approval in 2014. In May 2019, we in-licensed the U.S., European, and Canadian rights to vonoprazan from Takeda.</w:t>
      </w:r>
    </w:p>
    <w:p>
      <w:pPr>
        <w:spacing w:after="0" w:line="197" w:lineRule="exact"/>
        <w:rPr>
          <w:sz w:val="20"/>
          <w:szCs w:val="20"/>
          <w:color w:val="auto"/>
        </w:rPr>
      </w:pPr>
    </w:p>
    <w:p>
      <w:pPr>
        <w:ind w:right="20" w:firstLine="509"/>
        <w:spacing w:after="0" w:line="237" w:lineRule="auto"/>
        <w:rPr>
          <w:sz w:val="20"/>
          <w:szCs w:val="20"/>
          <w:color w:val="auto"/>
        </w:rPr>
      </w:pPr>
      <w:r>
        <w:rPr>
          <w:rFonts w:ascii="Calibri" w:cs="Calibri" w:eastAsia="Calibri" w:hAnsi="Calibri"/>
          <w:sz w:val="18"/>
          <w:szCs w:val="18"/>
          <w:color w:val="auto"/>
        </w:rPr>
        <w:t xml:space="preserve">In May 2022, the U.S. Food and Drug Administraton,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combinaton with amoxicillin, with or without clarithromycin,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We initated commercial launch for VOQUEZNA for both the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indicatons, and VOQUEZNA TRIPLE PAK and VOQUEZNA DUAL PAK for treatment of H. pylori infecton in the fourth quarter of 2023. In September 2023, we submited an NDA seeking approval of vonoprazan as a once-daily treatment for heartburn symptoms associated with Non-Erosive GERD in adults. On July 17, 2024, the FDA approved VOQUEZNA 10 mg tablets for the relief of heartburn associated with Non-Erosive GERD, the largest category of GERD.</w:t>
      </w:r>
    </w:p>
    <w:p>
      <w:pPr>
        <w:spacing w:after="0" w:line="18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are independently commercializing VOQUEZNA, VOQUEZNA TRIPLE PAK, and VOQUEZNA DUAL PAK in the United States. Our commercial launch contnues to build momentum and early launch data shows strong physician and patent demand. As of February 21, 2025, over 300,000 prescriptons for VOQUEZNA tablets, VOQUEZNA Triple Pak, and VOQUEZNA Dual Pak have been flled since launch. These prescriptons were writen by more than 20,000 prescribers. In additon, due to increasing commercial demand, we contnue to make progress in securing broad commercial coverage for VOQUEZNA with over 120 million, or over 80%, of total U.S. commercial lives with access to VOQUEZNA tablets.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128270</wp:posOffset>
            </wp:positionV>
            <wp:extent cx="4354830" cy="258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5483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1759585</wp:posOffset>
            </wp:positionH>
            <wp:positionV relativeFrom="page">
              <wp:posOffset>1117600</wp:posOffset>
            </wp:positionV>
            <wp:extent cx="4354830" cy="2588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4354830" cy="2588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Calibri" w:cs="Calibri" w:eastAsia="Calibri" w:hAnsi="Calibri"/>
          <w:sz w:val="18"/>
          <w:szCs w:val="18"/>
          <w:b w:val="1"/>
          <w:bCs w:val="1"/>
          <w:color w:val="auto"/>
        </w:rPr>
        <w:t>VOQUEZNA Commercial Launch Initated in November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1599565</wp:posOffset>
            </wp:positionH>
            <wp:positionV relativeFrom="paragraph">
              <wp:posOffset>126365</wp:posOffset>
            </wp:positionV>
            <wp:extent cx="3951605" cy="22199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951605" cy="2219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contnue to evaluate potental commercial partnerships for vonoprazan in Europe and Canada, expand development of vonoprazan into other indicatons, dosing regimens and alternatve formulatons and packaging, and evaluate the in-license or acquisiton of additonal clinical or commercial stage product candidates for the treatment of GI diseases in a capital efcient manner.</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May 2021, the FDA granted qualifed infectous disease product, or QIDP, designatons for VOQUEZNA TRIPLE PAK and VOQUEZNA DUAL PAK and we thereby received an extension of fve years of new chemical entty, or NCE, exclusivity based on the vonoprazan component in the applicable NDAs. We believe the extended NCE exclusivity should apply to any other approved or future products containing vonoprazan we develop and for which we obtain FDA approval. In December 2024, we submited a citzen petton requestng that FDA update the Orange Book listngs to refect the same ten-year period of NCE exclusivity for</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 w:name="page6"/>
    <w:bookmarkEnd w:id="5"/>
    <w:p>
      <w:pPr>
        <w:ind w:right="100"/>
        <w:spacing w:after="0" w:line="235" w:lineRule="auto"/>
        <w:rPr>
          <w:sz w:val="20"/>
          <w:szCs w:val="20"/>
          <w:color w:val="auto"/>
        </w:rPr>
      </w:pPr>
      <w:r>
        <w:rPr>
          <w:rFonts w:ascii="Calibri" w:cs="Calibri" w:eastAsia="Calibri" w:hAnsi="Calibri"/>
          <w:sz w:val="18"/>
          <w:szCs w:val="18"/>
          <w:color w:val="auto"/>
        </w:rPr>
        <w:t>VOQUEZNA as refected on the VOQUEZNA TRIPLE PAK and VOQUEZNA DUAL PAK Orange Book listngs. For additonal informaton, see the discussion in our risk factors related to non-patent regulatory exclusivity.</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While we are initally focused on the commercializaton of vonoprazan for the treatment of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we believe there are opportunites to develop vonoprazan in other indicatons in our licensed territories. For example, we plan to expand the clinical development of vonoprazan in the U.S. into eosinophilic esophagits, or EoE, the most common type of eosinophilic gastrointestnal disease. EoE is an autoimmune disease with signifcant unmet need and can result in trouble swallowing, chest pain, vomitng and impacton of food in the esophagus, a medical emergency. There are only two FDA-approved treatments for EoE. Although not approved for this indicaton, PPIs are ofen prescribed as a frst-line therapy for the treatment of EoE. Given the limited choices of therapies for EoE and vonoprazan’s demonstrated potental, we believe EoE is an important indicaton for future study. We have obtained FDA feedback on the design of a Phase 2 study investgatng VOQUEZNA as a potental treatment for EoE, in adults and adolescents, and plan to initate the study in the frst half of 2025.</w:t>
      </w:r>
    </w:p>
    <w:p>
      <w:pPr>
        <w:spacing w:after="0" w:line="18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are two of the most common acid-related GI diseases and impact millions of people. The prevalence of GERD is estmated to be 20% of the U.S. populaton and 15% of the populaton in the fve major countries in Europe (France, Germany, Italy, Spain and the United Kingdom), or collectvely, the EU5. GERD is a disease that develops when the refux of acidic stomach contents causes troublesome symptoms and/or complicatons. An estmated 20 million adults in the U.S. have Erosive GERD and more than twice that number, or an estmated 45 million adults, are believed to sufer from Non-Erosive GERD.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is a bacterial pathogen that infects approximately 35% of the U.S. populaton and 45% of the EU5 populaton. As a result of the chronic infammaton induced by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approximately 20% of infected patents will develop a range of pathologies, including dyspepsia, peptc ulcer disease, gastric cancer, and mucosa-associated lymphoid tssue or MALT, lymphoma.</w:t>
      </w:r>
    </w:p>
    <w:p>
      <w:pPr>
        <w:spacing w:after="0" w:line="195"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Over the last thirty years, the proton pump inhibitor, or PPI, class, has been the standard of care for the treatment of acid-related GI diseases. PPIs are generally used as a single agent for the treatment of GERD and in combinaton with antbiotcs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The PPI class includes drugs such as Prilosec (omeprazole), Nexium (esomeprazole), and Prevacid (lansoprazole). Prior to the introducton of generic and over-the-counter, or OTC, alternatves, annual PPI class sales reached approximately $12.5 billion in the United States, with peak sales for individual brands of approximately $3.7 billion for Prilosec, $3.5 billion for Nexium, and $3.4 billion for Prevacid.</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While PPIs are the current standard of care and have experienced signifcant commercial success, they have signifcant limitatons that result in a large unmet medical need. In GERD, PPI therapy is suboptmal for many patents due to the slow onset and insufcient duraton of acid control which can lead to inadequate symptom relief. Less than 50% of patents are satsfed with their current treatment. In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the standard of care consists of a combinaton of a PPI and at least two oral antbiotcs. However, increasing antbiotc resistance has resulted in declining eradicaton rates with PPI-based therapy. We believe these unmet medical needs are in part driven by limitatons associated with the mechanism of acton and pharmacokinetcs of PPIs.</w:t>
      </w:r>
    </w:p>
    <w:p>
      <w:pPr>
        <w:spacing w:after="0" w:line="181"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PPIs reduce gastric acid secreton by irreversibly binding to and inhibitng actve proton pumps expressed on the parietal cells. Proton pumps of parietal cells become actvated during a meal and thus, oral intake of PPIs prior to meal is required ideally to achieve maximal efcacy. PPIs also require actvaton by gastric acid, but they are unstable in the presence of acid and therefore enteric coatng is necessary to protect them from degradaton in the stomach when given orally. All these factors, combined with the short circulatng half-life of PPIs, limits their efcacy. Additonally, because proton pumps contnuously switch between actve and inactve states, multple doses of PPIs are required to inhibit enough proton pumps to achieve a clinical beneft. As a result, PPIs have a relatvely slow onset of acton and limited potency and duraton of efect, which may result in patents experiencing only partal relief, increasing PPI dosage, and/or cycling through multple PPIs seeking relief.</w:t>
      </w:r>
    </w:p>
    <w:p>
      <w:pPr>
        <w:spacing w:after="0" w:line="19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Vonoprazan has a diferentated mechanism of acton from PPIs. Unlike PPIs, vonoprazan:</w:t>
      </w:r>
    </w:p>
    <w:p>
      <w:pPr>
        <w:spacing w:after="0" w:line="185" w:lineRule="exact"/>
        <w:rPr>
          <w:sz w:val="20"/>
          <w:szCs w:val="20"/>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 stable in the presence of acid;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does not require actvaton by gastric acid;</w:t>
      </w:r>
    </w:p>
    <w:p>
      <w:pPr>
        <w:spacing w:after="0" w:line="203" w:lineRule="exact"/>
        <w:rPr>
          <w:rFonts w:ascii="Times New Roman" w:cs="Times New Roman" w:eastAsia="Times New Roman" w:hAnsi="Times New Roman"/>
          <w:sz w:val="18"/>
          <w:szCs w:val="18"/>
          <w:color w:val="auto"/>
        </w:rPr>
      </w:pPr>
    </w:p>
    <w:p>
      <w:pPr>
        <w:ind w:left="900" w:right="660" w:hanging="383"/>
        <w:spacing w:after="0" w:line="235" w:lineRule="auto"/>
        <w:tabs>
          <w:tab w:leader="none" w:pos="900" w:val="left"/>
        </w:tabs>
        <w:numPr>
          <w:ilvl w:val="0"/>
          <w:numId w:val="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 designed to selectvely concentrate in the parietal cells in both the restng and stmulated states, bind to the actve pumps and remain associated with the actve and inactve pumps;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 w:name="page7"/>
    <w:bookmarkEnd w:id="6"/>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can be taken independent from meal intake;</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binds to the pumps in a noncovalent and reversible manner;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has a long plasma half-life that replenishes the drug at the site of acton over the course of the day.</w:t>
      </w:r>
    </w:p>
    <w:p>
      <w:pPr>
        <w:spacing w:after="0" w:line="198" w:lineRule="exact"/>
        <w:rPr>
          <w:sz w:val="20"/>
          <w:szCs w:val="20"/>
          <w:color w:val="auto"/>
        </w:rPr>
      </w:pPr>
    </w:p>
    <w:p>
      <w:pPr>
        <w:ind w:right="220" w:firstLine="509"/>
        <w:spacing w:after="0" w:line="326" w:lineRule="auto"/>
        <w:rPr>
          <w:sz w:val="20"/>
          <w:szCs w:val="20"/>
          <w:color w:val="auto"/>
        </w:rPr>
      </w:pPr>
      <w:r>
        <w:rPr>
          <w:rFonts w:ascii="MS PGothic" w:cs="MS PGothic" w:eastAsia="MS PGothic" w:hAnsi="MS PGothic"/>
          <w:sz w:val="17"/>
          <w:szCs w:val="17"/>
          <w:color w:val="auto"/>
        </w:rPr>
        <w:t>These factors have enabled vonoprazan to demonstrate more rapid and potent acid suppression versus the PPIs esomeprazole and lansoprazole in human subjects two to three hours afer oral dosing and maintain target acid inhibiton over a 24-hour period in randomized, open-label, crossover clinical trials. In contrast, PPIs require three to fve days to reach steady state acid suppression and do not reliably maintain target acid inhibiton over a 24-hour period. In additon, vonoprazan demonstrated approximately 10-to-100-fold beter acid control compared to lansoprazole and esomeprazole.</w:t>
      </w:r>
    </w:p>
    <w:p>
      <w:pPr>
        <w:spacing w:after="0" w:line="116" w:lineRule="exact"/>
        <w:rPr>
          <w:sz w:val="20"/>
          <w:szCs w:val="20"/>
          <w:color w:val="auto"/>
        </w:rPr>
      </w:pPr>
    </w:p>
    <w:p>
      <w:pPr>
        <w:ind w:left="520"/>
        <w:spacing w:after="0"/>
        <w:rPr>
          <w:sz w:val="20"/>
          <w:szCs w:val="20"/>
          <w:color w:val="auto"/>
        </w:rPr>
      </w:pPr>
      <w:r>
        <w:rPr>
          <w:rFonts w:ascii="MS PGothic" w:cs="MS PGothic" w:eastAsia="MS PGothic" w:hAnsi="MS PGothic"/>
          <w:sz w:val="17"/>
          <w:szCs w:val="17"/>
          <w:color w:val="auto"/>
        </w:rPr>
        <w:t xml:space="preserve">Vonoprazan has demonstrated clinical advantages over the PPI lansoprazole in the treatment of Erosive GERD and </w:t>
      </w:r>
      <w:r>
        <w:rPr>
          <w:rFonts w:ascii="Calibri" w:cs="Calibri" w:eastAsia="Calibri" w:hAnsi="Calibri"/>
          <w:sz w:val="17"/>
          <w:szCs w:val="17"/>
          <w:i w:val="1"/>
          <w:iCs w:val="1"/>
          <w:color w:val="auto"/>
        </w:rPr>
        <w:t>H. pylori</w:t>
      </w:r>
      <w:r>
        <w:rPr>
          <w:rFonts w:ascii="MS PGothic" w:cs="MS PGothic" w:eastAsia="MS PGothic" w:hAnsi="MS PGothic"/>
          <w:sz w:val="17"/>
          <w:szCs w:val="17"/>
          <w:color w:val="auto"/>
        </w:rPr>
        <w:t xml:space="preserve"> infecton in completed</w:t>
      </w:r>
    </w:p>
    <w:p>
      <w:pPr>
        <w:spacing w:after="0" w:line="8" w:lineRule="exact"/>
        <w:rPr>
          <w:sz w:val="20"/>
          <w:szCs w:val="20"/>
          <w:color w:val="auto"/>
        </w:rPr>
      </w:pPr>
    </w:p>
    <w:p>
      <w:pPr>
        <w:spacing w:after="0"/>
        <w:rPr>
          <w:sz w:val="20"/>
          <w:szCs w:val="20"/>
          <w:color w:val="auto"/>
        </w:rPr>
      </w:pPr>
      <w:r>
        <w:rPr>
          <w:rFonts w:ascii="MS PGothic" w:cs="MS PGothic" w:eastAsia="MS PGothic" w:hAnsi="MS PGothic"/>
          <w:sz w:val="18"/>
          <w:szCs w:val="18"/>
          <w:color w:val="auto"/>
        </w:rPr>
        <w:t>Phase 3 clinical trials conducted in the United States and Europe, including:</w:t>
      </w:r>
    </w:p>
    <w:p>
      <w:pPr>
        <w:spacing w:after="0" w:line="158" w:lineRule="exact"/>
        <w:rPr>
          <w:sz w:val="20"/>
          <w:szCs w:val="20"/>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more complete healing of Erosive GERD in patents with moderate to severe disease afer two weeks;</w:t>
      </w:r>
    </w:p>
    <w:p>
      <w:pPr>
        <w:spacing w:after="0" w:line="13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more durable healing of Erosive GERD in patents with all grades of disease;</w:t>
      </w:r>
    </w:p>
    <w:p>
      <w:pPr>
        <w:spacing w:after="0" w:line="1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 xml:space="preserve">higher </w:t>
      </w:r>
      <w:r>
        <w:rPr>
          <w:rFonts w:ascii="Calibri" w:cs="Calibri" w:eastAsia="Calibri" w:hAnsi="Calibri"/>
          <w:sz w:val="18"/>
          <w:szCs w:val="18"/>
          <w:i w:val="1"/>
          <w:iCs w:val="1"/>
          <w:color w:val="auto"/>
        </w:rPr>
        <w:t>H. pylori</w:t>
      </w:r>
      <w:r>
        <w:rPr>
          <w:rFonts w:ascii="MS PGothic" w:cs="MS PGothic" w:eastAsia="MS PGothic" w:hAnsi="MS PGothic"/>
          <w:sz w:val="18"/>
          <w:szCs w:val="18"/>
          <w:color w:val="auto"/>
        </w:rPr>
        <w:t xml:space="preserve"> eradicaton rates in combinaton with antbiotcs compared to standard of care triple therapy; and</w:t>
      </w:r>
    </w:p>
    <w:p>
      <w:pPr>
        <w:spacing w:after="0" w:line="12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more fexible dosing, including dosing independent of food and tme of day.</w:t>
      </w:r>
    </w:p>
    <w:p>
      <w:pPr>
        <w:spacing w:after="0" w:line="185" w:lineRule="exact"/>
        <w:rPr>
          <w:sz w:val="20"/>
          <w:szCs w:val="20"/>
          <w:color w:val="auto"/>
        </w:rPr>
      </w:pPr>
    </w:p>
    <w:p>
      <w:pPr>
        <w:ind w:right="140" w:firstLine="509"/>
        <w:spacing w:after="0" w:line="334" w:lineRule="auto"/>
        <w:rPr>
          <w:sz w:val="20"/>
          <w:szCs w:val="20"/>
          <w:color w:val="auto"/>
        </w:rPr>
      </w:pPr>
      <w:r>
        <w:rPr>
          <w:rFonts w:ascii="MS PGothic" w:cs="MS PGothic" w:eastAsia="MS PGothic" w:hAnsi="MS PGothic"/>
          <w:sz w:val="18"/>
          <w:szCs w:val="18"/>
          <w:color w:val="auto"/>
        </w:rPr>
        <w:t>Moreover, we believe that vonoprazan’s ant-secretory mechanism has the potental to contribute to additonal clinical advantages over PPIs such as rapid symptom relief through "as- needed" dosing in the treatment of patents with Non-Erosive GERD.</w:t>
      </w:r>
    </w:p>
    <w:p>
      <w:pPr>
        <w:spacing w:after="0" w:line="120" w:lineRule="exact"/>
        <w:rPr>
          <w:sz w:val="20"/>
          <w:szCs w:val="20"/>
          <w:color w:val="auto"/>
        </w:rPr>
      </w:pPr>
    </w:p>
    <w:p>
      <w:pPr>
        <w:ind w:firstLine="509"/>
        <w:spacing w:after="0" w:line="299" w:lineRule="auto"/>
        <w:rPr>
          <w:sz w:val="20"/>
          <w:szCs w:val="20"/>
          <w:color w:val="auto"/>
        </w:rPr>
      </w:pPr>
      <w:r>
        <w:rPr>
          <w:rFonts w:ascii="Calibri" w:cs="Calibri" w:eastAsia="Calibri" w:hAnsi="Calibri"/>
          <w:sz w:val="17"/>
          <w:szCs w:val="17"/>
          <w:b w:val="1"/>
          <w:bCs w:val="1"/>
          <w:i w:val="1"/>
          <w:iCs w:val="1"/>
          <w:color w:val="auto"/>
        </w:rPr>
        <w:t>Erosive GERD</w:t>
      </w:r>
      <w:r>
        <w:rPr>
          <w:rFonts w:ascii="MS PGothic" w:cs="MS PGothic" w:eastAsia="MS PGothic" w:hAnsi="MS PGothic"/>
          <w:sz w:val="17"/>
          <w:szCs w:val="17"/>
          <w:color w:val="auto"/>
        </w:rPr>
        <w:t>. FDA approval of VOQUEZNA for the healing and maintenance of healing of all grades of erosive esophagits and relief of heartburn</w:t>
      </w:r>
      <w:r>
        <w:rPr>
          <w:rFonts w:ascii="Calibri" w:cs="Calibri" w:eastAsia="Calibri" w:hAnsi="Calibri"/>
          <w:sz w:val="17"/>
          <w:szCs w:val="17"/>
          <w:b w:val="1"/>
          <w:bCs w:val="1"/>
          <w:i w:val="1"/>
          <w:iCs w:val="1"/>
          <w:color w:val="auto"/>
        </w:rPr>
        <w:t xml:space="preserve"> </w:t>
      </w:r>
      <w:r>
        <w:rPr>
          <w:rFonts w:ascii="MS PGothic" w:cs="MS PGothic" w:eastAsia="MS PGothic" w:hAnsi="MS PGothic"/>
          <w:sz w:val="17"/>
          <w:szCs w:val="17"/>
          <w:color w:val="auto"/>
        </w:rPr>
        <w:t>associated with erosive esophagits in adults was based on the results from PHALCON‑EE, our Phase 3 clinical trial conducted in the United States and Europe. This trial assessed vonoprazan versus lansoprazole in the healing and maintenance of healing of adult patents with Erosive GERD. In PHALCON-EE, vonoprazan met its primary healing endpoint demonstratng non-inferiority to lansoprazole in the number of patents who showed complete healing of Erosive GERD afer eight weeks of treatment. Further, in a pre-specifed secondary endpoint, vonoprazan demonstrated superior healing afer two weeks of treatment in patents with moderate to severe Erosive GERD compared to lansoprazole. Afer two weeks of treatment, 70% of patents with moderate to severe Erosive GERD were healed afer treatment with vonoprazan versus 53% with lansoprazole (p=0.0008). In the maintenance phase of the trial, both doses of vonoprazan (10 mg and 20 mg) met the primary endpoint of non-inferiority compared to lansoprazole in the number of all patents who maintained healing of Erosive GERD through week 24. Further, both vonoprazan doses also met a pre-specifed secondary endpoint demonstratng superiority of maintenance of healing versus lansoprazole (79% for vonoprazan 10 mg, 81% for vonoprazan 20 mg compared to 72% for lansoprazole 15 mg) (p&lt;0.0001 for both non-inferiority comparisons; p=0.0436 for vonoprazan 10 mg superiority comparison; p=0.0272 for vonoprazan 20 mg superiority comparison). Both vonoprazan doses also met the pre-specifed secondary endpoint of demonstratng superiority of the percentage of patents with moderate-to-severe disease who maintained healing of Erosive GERD through week 24 (75% vonoprazan 10 mg, 77% vonoprazan 20 mg v. 61% lansoprazole 15 mg) (p=0.0490 for vonoprazan 10 mg superiority comparison; p=0.0196 for vonoprazan 20 mg superiority comparison).</w:t>
      </w:r>
    </w:p>
    <w:p>
      <w:pPr>
        <w:spacing w:after="0" w:line="141" w:lineRule="exact"/>
        <w:rPr>
          <w:sz w:val="20"/>
          <w:szCs w:val="20"/>
          <w:color w:val="auto"/>
        </w:rPr>
      </w:pPr>
    </w:p>
    <w:p>
      <w:pPr>
        <w:ind w:right="40" w:firstLine="509"/>
        <w:spacing w:after="0" w:line="326" w:lineRule="auto"/>
        <w:rPr>
          <w:sz w:val="20"/>
          <w:szCs w:val="20"/>
          <w:color w:val="auto"/>
        </w:rPr>
      </w:pPr>
      <w:r>
        <w:rPr>
          <w:rFonts w:ascii="MS PGothic" w:cs="MS PGothic" w:eastAsia="MS PGothic" w:hAnsi="MS PGothic"/>
          <w:sz w:val="17"/>
          <w:szCs w:val="17"/>
          <w:color w:val="auto"/>
        </w:rPr>
        <w:t>In PHALCON-EE, vonoprazan 20 mg met the secondary endpoint of showing non-inferiority to lansoprazole 30 mg in the mean percentage of 24-hour heartburn free days over the healing period, and both vonoprazan doses met the secondary endpoint of showing non-inferiority to lansoprazole 15 mg in the mean percentage of 24-hour heartburn free days over the maintenance period. Finally, vonoprazan 20 mg was also compared to lansoprazole 30 mg in a superiority test for onset of sustained resoluton of heartburn by day three of the healing phase but did not achieve statstcal signifcance (p=0.2196).</w:t>
      </w:r>
    </w:p>
    <w:p>
      <w:pPr>
        <w:spacing w:after="0" w:line="116" w:lineRule="exact"/>
        <w:rPr>
          <w:sz w:val="20"/>
          <w:szCs w:val="20"/>
          <w:color w:val="auto"/>
        </w:rPr>
      </w:pPr>
    </w:p>
    <w:p>
      <w:pPr>
        <w:ind w:right="100" w:firstLine="509"/>
        <w:spacing w:after="0" w:line="293" w:lineRule="auto"/>
        <w:rPr>
          <w:sz w:val="20"/>
          <w:szCs w:val="20"/>
          <w:color w:val="auto"/>
        </w:rPr>
      </w:pPr>
      <w:r>
        <w:rPr>
          <w:rFonts w:ascii="Calibri" w:cs="Calibri" w:eastAsia="Calibri" w:hAnsi="Calibri"/>
          <w:sz w:val="17"/>
          <w:szCs w:val="17"/>
          <w:b w:val="1"/>
          <w:bCs w:val="1"/>
          <w:i w:val="1"/>
          <w:iCs w:val="1"/>
          <w:color w:val="auto"/>
        </w:rPr>
        <w:t xml:space="preserve">Non-Erosive gastroesophageal refux disease (Non-Erosive GERD). </w:t>
      </w:r>
      <w:r>
        <w:rPr>
          <w:rFonts w:ascii="MS PGothic" w:cs="MS PGothic" w:eastAsia="MS PGothic" w:hAnsi="MS PGothic"/>
          <w:sz w:val="17"/>
          <w:szCs w:val="17"/>
          <w:color w:val="auto"/>
        </w:rPr>
        <w:t>In PHALCON-NERD-301, a Phase 3 study evaluatng the efcacy and safety of</w:t>
      </w:r>
      <w:r>
        <w:rPr>
          <w:rFonts w:ascii="Calibri" w:cs="Calibri" w:eastAsia="Calibri" w:hAnsi="Calibri"/>
          <w:sz w:val="17"/>
          <w:szCs w:val="17"/>
          <w:b w:val="1"/>
          <w:bCs w:val="1"/>
          <w:i w:val="1"/>
          <w:iCs w:val="1"/>
          <w:color w:val="auto"/>
        </w:rPr>
        <w:t xml:space="preserve"> </w:t>
      </w:r>
      <w:r>
        <w:rPr>
          <w:rFonts w:ascii="MS PGothic" w:cs="MS PGothic" w:eastAsia="MS PGothic" w:hAnsi="MS PGothic"/>
          <w:sz w:val="17"/>
          <w:szCs w:val="17"/>
          <w:color w:val="auto"/>
        </w:rPr>
        <w:t>vonoprazan for the daily treatment of adults with Non-Erosive GERD, both doses of vonoprazan (10 mg and 20 mg) met the primary endpoint evaluatng the mean percentage of 24-hour heartburn-free days through week four by demonstratng statstcal signifcance versus placebo (mean 45% vonoprazan 10 mg, 44% vonoprazan 20 mg, compared to 28% for placebo; p&lt;0.0001 for both vonoprazan 10 mg and 20 mg versus placebo). The median percentage of 24-hour heartburn-free days was 48%, 46% and 17% for vonoprazan 10 mg, vonoprazan 20 mg, and placebo, respectvely. Patents randomized to vonoprazan 10 mg and 20 mg during the inital 4-week period remained on their blinded treatment assignment for a 20-week extension period. The mean percentage of heartburn free days reported over the 20-week extension period for these patents was 63% for vonoprazan 10 mg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7" w:name="page8"/>
    <w:bookmarkEnd w:id="7"/>
    <w:p>
      <w:pPr>
        <w:ind w:right="40"/>
        <w:spacing w:after="0" w:line="235" w:lineRule="auto"/>
        <w:rPr>
          <w:sz w:val="20"/>
          <w:szCs w:val="20"/>
          <w:color w:val="auto"/>
        </w:rPr>
      </w:pPr>
      <w:r>
        <w:rPr>
          <w:rFonts w:ascii="Calibri" w:cs="Calibri" w:eastAsia="Calibri" w:hAnsi="Calibri"/>
          <w:sz w:val="18"/>
          <w:szCs w:val="18"/>
          <w:color w:val="auto"/>
        </w:rPr>
        <w:t>and 61% for vonoprazan 20 mg. Additonally, patents randomized to placebo during the inital 4-week period were re-randomized to either vonoprazan 10 mg or 20 mg for the 20-week extension period. For these patents, the mean percentage of heartburn free days reported over the 20-week extension period was 62% for vonoprazan 10 mg and 63% for vonoprazan 20 mg. Based on the results of PHALCON-NERD-301, on July 17, 2024, the FDA approved VOQUEZNA 10 mg tablets for the relief of heartburn associated with Non-Erosive GERD.</w:t>
      </w:r>
    </w:p>
    <w:p>
      <w:pPr>
        <w:spacing w:after="0" w:line="179"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PHALCON-NERD-201, a Phase 2 study evaluatng three doses of vonoprazan (10 mg, 20 mg, and 40 mg) as an as needed therapy for relief of episodic heartburn in subjects with Non-Erosive GERD, all three vonoprazan doses successfully met the primary endpoint evaluatng the percentage of heartburn episodes completely relieved within three hours with relief sustained for over 24 hours and were statstcally signifcant (p&lt;0.0001) when compared to placebo. Within three hours, vonoprazan 10 mg, 20 mg, and 40 mg achieved complete and sustained relief in 56%, 61% and 70% of evaluable heartburn episodes, respectvely, as compared to 27% of episodes for placebo. An evaluable heartburn episode is a heartburn episode for which the partcipant completes a minimum of one tmed assessment afer taking study medicaton.</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With our recent launch of VOQUEZNA for Non-Erosive GERD, we have begun generatng real-world data which are being reviewed to understand consumer usage paterns and prescribing habits of healthcare providers. We believe these eforts will help assess the value and potental tming for advancing a Phase 3 program to evaluate the "as-needed" dosing of VOQUEZNA for actve heartburn episodes, building on the positve results from our prior Phase 2 study.</w:t>
      </w:r>
    </w:p>
    <w:p>
      <w:pPr>
        <w:spacing w:after="0" w:line="192"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b w:val="1"/>
          <w:bCs w:val="1"/>
          <w:i w:val="1"/>
          <w:iCs w:val="1"/>
          <w:color w:val="auto"/>
        </w:rPr>
        <w:t>H. pylori</w:t>
      </w:r>
      <w:r>
        <w:rPr>
          <w:rFonts w:ascii="Calibri" w:cs="Calibri" w:eastAsia="Calibri" w:hAnsi="Calibri"/>
          <w:sz w:val="17"/>
          <w:szCs w:val="17"/>
          <w:color w:val="auto"/>
        </w:rPr>
        <w:t>. The FDA’s approval of VOQUEZNA TRIPLE PAK and VOQUEZNA DUAL PAK was based on the results from PHALCON-HP, our Phase 3 clinical</w:t>
      </w:r>
      <w:r>
        <w:rPr>
          <w:rFonts w:ascii="Calibri" w:cs="Calibri" w:eastAsia="Calibri" w:hAnsi="Calibri"/>
          <w:sz w:val="17"/>
          <w:szCs w:val="17"/>
          <w:b w:val="1"/>
          <w:bCs w:val="1"/>
          <w:i w:val="1"/>
          <w:iCs w:val="1"/>
          <w:color w:val="auto"/>
        </w:rPr>
        <w:t xml:space="preserve"> </w:t>
      </w:r>
      <w:r>
        <w:rPr>
          <w:rFonts w:ascii="Calibri" w:cs="Calibri" w:eastAsia="Calibri" w:hAnsi="Calibri"/>
          <w:sz w:val="17"/>
          <w:szCs w:val="17"/>
          <w:color w:val="auto"/>
        </w:rPr>
        <w:t xml:space="preserve">trial in the United States and Europe studying two vonoprazan-based treatment regimens for the eradicaton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both of which successfully met their primary and all secondary endpoints. The trial studied vonoprazan triple therapy and vonoprazan dual therapy compared to lansoprazole in combinaton with amoxicillin and clarithromycin, or lansoprazole triple therapy. The objectve of the PHALCON-HP trial was to compare eradicaton rates in all treated subjects as well as in two pre-identfed subgroups of patents: those patents with clarithromycin resistant strains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and those patents who did not have clarithromycin or amoxicillin resistant strains of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For regulatory purposes, the primary endpoint of this study was a non-inferiority comparison in the non-resistant subgroup for each of vonoprazan triple therapy and vonoprazan dual therapy compared to lansoprazole triple therapy.</w:t>
      </w:r>
    </w:p>
    <w:p>
      <w:pPr>
        <w:spacing w:after="0" w:line="16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PHALCON-HP, both vonoprazan-based regimens successfully met their primary endpoints. In the modifed intent-to-treat, or mITT, populaton,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rates were 84.7% for vonoprazan triple therapy and 78.5% for vonoprazan dual therapy compared to 78.8% with lansoprazole triple</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therapy (p&lt;0.0001 and p=0.0073, respectvely, for non-inferiority). In the pre-specifed per protocol populaton, a subset of the mITT populaton comprised of patents who were protocol compliant,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were 90.4% with vonoprazan triple therapy and 81.2% with vonoprazan dual therapy compared to 82.1% with lansoprazole triple therapy (p&lt;0.0001 and p=0.0155, respectvely, for non-inferiority).</w:t>
      </w:r>
    </w:p>
    <w:p>
      <w:pPr>
        <w:spacing w:after="0" w:line="18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 xml:space="preserve">In PHALCON-HP vonoprazan triple therapy and vonoprazan dual therapy also met all secondary endpoints, demonstratng superior eradicaton rates versus lansoprazole triple therapy in all patents and in the subgroup of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Among all patents, the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 of vonoprazan triple therapy was superior to that of lansoprazole triple therapy in both the mITT populaton (80.8% vs. 68.5%;</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p=0.0001) and the per protocol populaton (85.7% vs. 70.0%; p&lt;0.0001).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resistant to clarithromycin, the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eradicaton rate with vonoprazan triple therapy was superior to that of lansoprazole triple therapy in both the mITT populaton (65.8% vs. 31.9%;</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p&lt;0.0001) and the per protocol populaton (67.2% vs. 29.0%; p&lt;0.0001).</w:t>
      </w:r>
    </w:p>
    <w:p>
      <w:pPr>
        <w:spacing w:after="0" w:line="19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 xml:space="preserve">Among all patents,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superior to that of lansoprazole triple therapy in both the mITT populaton (77.2% vs. 68.5%; p=0.0127) and the per protocol populaton (81.1% vs. 70.0%; p=0.0027). 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also superior to that of lansoprazole triple therapy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resistant to clarithromycin in both the mITT populaton (69.6% vs. 31.9%; p&lt;0.0001) and the per protocol populaton (79.5% vs. 29.0%; p&lt;0.0001).</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Management</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management team has deep expertse in developing and commercializing therapeutcs, including ant-secretory agents, and direct experience developing vonoprazan at Takeda. Our Chief Executve Ofcer, Terrie Curran, has more than 25 years of experience in the biopharmaceutcal industry. Ms. Curran served as President, Global Infammaton and Immunology (I&amp;I) Franchise and as a member of the Executve Commitee at Celgene Corporaton from 2017 to 2019. Ms. Curran joined Celgene in 2013 as the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 w:name="page9"/>
    <w:bookmarkEnd w:id="8"/>
    <w:p>
      <w:pPr>
        <w:spacing w:after="0" w:line="235" w:lineRule="auto"/>
        <w:rPr>
          <w:sz w:val="20"/>
          <w:szCs w:val="20"/>
          <w:color w:val="auto"/>
        </w:rPr>
      </w:pPr>
      <w:r>
        <w:rPr>
          <w:rFonts w:ascii="Calibri" w:cs="Calibri" w:eastAsia="Calibri" w:hAnsi="Calibri"/>
          <w:sz w:val="18"/>
          <w:szCs w:val="18"/>
          <w:color w:val="auto"/>
        </w:rPr>
        <w:t>U.S. Commercial Head of the I&amp;I Franchise, where she built the capabilites and recruited the teams that executed the successful launch of OTEZLA, which was sold to Amgen in November 2019 for $13.4 billion. Molly Henderson, our Chief Financial and Business Ofcer, has over 20 years of extensive fnancial experience in the biopharmaceutcal industry. Ms. Henderson previously held the role of Chief Financial Ofcer at various companies such as UroGen Pharma and Iovance Biotherapeutcs, Inc. where she oversaw all aspects of the corporate fnance strategy, investor relatons and capital raising. Martn Gilligan, our Chief Commercial Ofcer, has more than 30 years in the industry working at both large and small biopharmaceutcal companies. His commercial experience includes launching specialty and primary care products, both in the U.S. and globally. Prior to joining Phathom, Mr. Gilligan worked at Celgene Corporaton, and was Corporate Vice President in the I&amp;I Franchise, responsible for marketng, market access, early product development, and business development. Azmi Nabulsi, M.D., M.P.H., our Chief Operatng Ofcer, was Deputy Chief Medical and Scientfc Ofcer at Takeda. Our Chief Development Sciences Ofcer, Tom Harris, was Senior Vice President and Head of Global Regulatory at Takeda. Both Dr. Nabulsi and Mr. Harris were extensively involved with the development of vonoprazan at Takeda and contnue to lead our ongoing development eforts for VOQUEZNA.</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Pipeline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chart summarizes our current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135255</wp:posOffset>
            </wp:positionV>
            <wp:extent cx="5966460" cy="3094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6460" cy="309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Strategy</w:t>
      </w:r>
    </w:p>
    <w:p>
      <w:pPr>
        <w:spacing w:after="0" w:line="177"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Our mission is to improve the lives of people sufering from GI diseases. Our strategy is focused on contnuing our commercial eforts of approved VOQUEZNA products and further developing vonoprazan as a frst-in-class PCAB in the United States for the treatment of acid-related GI diseases. Key elements of this strategy include:</w:t>
      </w:r>
    </w:p>
    <w:p>
      <w:pPr>
        <w:spacing w:after="0" w:line="205" w:lineRule="exact"/>
        <w:rPr>
          <w:sz w:val="20"/>
          <w:szCs w:val="20"/>
          <w:color w:val="auto"/>
        </w:rPr>
      </w:pPr>
    </w:p>
    <w:p>
      <w:pPr>
        <w:ind w:left="900" w:right="20" w:hanging="383"/>
        <w:spacing w:after="0" w:line="235" w:lineRule="auto"/>
        <w:tabs>
          <w:tab w:leader="none" w:pos="900" w:val="left"/>
        </w:tabs>
        <w:numPr>
          <w:ilvl w:val="0"/>
          <w:numId w:val="6"/>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 xml:space="preserve">Contnue our eforts to ensure the </w:t>
      </w:r>
      <w:r>
        <w:rPr>
          <w:rFonts w:ascii="Calibri" w:cs="Calibri" w:eastAsia="Calibri" w:hAnsi="Calibri"/>
          <w:sz w:val="18"/>
          <w:szCs w:val="18"/>
          <w:b w:val="1"/>
          <w:bCs w:val="1"/>
          <w:i w:val="1"/>
          <w:iCs w:val="1"/>
          <w:color w:val="212529"/>
        </w:rPr>
        <w:t>s</w:t>
      </w:r>
      <w:r>
        <w:rPr>
          <w:rFonts w:ascii="Calibri" w:cs="Calibri" w:eastAsia="Calibri" w:hAnsi="Calibri"/>
          <w:sz w:val="18"/>
          <w:szCs w:val="18"/>
          <w:b w:val="1"/>
          <w:bCs w:val="1"/>
          <w:i w:val="1"/>
          <w:iCs w:val="1"/>
          <w:color w:val="auto"/>
        </w:rPr>
        <w:t>uccessful commercializaton of VOQUEZNA, VOQUEZNA TRIPLE PAK and VOQUEZNA DUAL PAK in the U.S</w:t>
      </w:r>
      <w:r>
        <w:rPr>
          <w:rFonts w:ascii="Calibri" w:cs="Calibri" w:eastAsia="Calibri" w:hAnsi="Calibri"/>
          <w:sz w:val="18"/>
          <w:szCs w:val="18"/>
          <w:color w:val="auto"/>
        </w:rPr>
        <w: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 xml:space="preserve">We have built a frst-class commercial infrastructure including a natonal sales force to support the commercial launch of VOQUEZNA for treatment of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and VOQUEZNA TRIPLE PAK and VOQUEZNA DUAL PAK for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which commenced in the fourth quarter of 2023. Further, on July 17, 2024, the FDA approved VOQUEZNA 10 mg tablets for the relief of heartburn associated with Non-Erosive GERD and we launched vonoprazan in the U.S. for daily treatment of heartburn associated with Non-Erosive GERD in the third quarter of 2024. Our successful commercializaton of these products in the United States includes a focused sales force targetng prescribers of treatments for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partcularly gastroenterologists and primary care physicians. Through our natonal sales force we are currently targetng approximately 52,000 core high volume PPI prescribers who, on average, have writen close to 1,200 PPI prescriptons annually. We believe we have an opportunity</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9" w:name="page10"/>
    <w:bookmarkEnd w:id="9"/>
    <w:p>
      <w:pPr>
        <w:ind w:left="900" w:right="40"/>
        <w:spacing w:after="0" w:line="235" w:lineRule="auto"/>
        <w:rPr>
          <w:sz w:val="20"/>
          <w:szCs w:val="20"/>
          <w:color w:val="auto"/>
        </w:rPr>
      </w:pPr>
      <w:r>
        <w:rPr>
          <w:rFonts w:ascii="Calibri" w:cs="Calibri" w:eastAsia="Calibri" w:hAnsi="Calibri"/>
          <w:sz w:val="18"/>
          <w:szCs w:val="18"/>
          <w:color w:val="auto"/>
        </w:rPr>
        <w:t xml:space="preserve">to achieve signifcant share of voice and exposure to physicians given the scarcity of actvely marketed ant-secretory medicines. Given the limitatons of PPIs and current unmet need, we believe the commercial opportunity for VOQUEZNA is substantal. Moreover, we believe all our U.S. approved products containing vonoprazan, including VOQUEZNA, should beneft from the 10-year period of non-patent NCE exclusivity that commenced upon approval of our inital products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May 2022.</w:t>
      </w:r>
    </w:p>
    <w:p>
      <w:pPr>
        <w:spacing w:after="0" w:line="192" w:lineRule="exact"/>
        <w:rPr>
          <w:sz w:val="20"/>
          <w:szCs w:val="20"/>
          <w:color w:val="auto"/>
        </w:rPr>
      </w:pPr>
    </w:p>
    <w:p>
      <w:pPr>
        <w:ind w:left="90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Further expand the development of vonoprazan across indicatons, including EoE, and alternatve formulatons and packaging</w:t>
      </w:r>
      <w:r>
        <w:rPr>
          <w:rFonts w:ascii="Calibri" w:cs="Calibri" w:eastAsia="Calibri" w:hAnsi="Calibri"/>
          <w:sz w:val="18"/>
          <w:szCs w:val="18"/>
          <w:color w:val="auto"/>
        </w:rPr>
        <w:t>. We plan to</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pursue vonoprazan lifecycle extension strategies in areas with clear unmet need, clinical ratonale, and commercial justfcaton. For example, we have obtained FDA feedback on the design of a Phase 2 study investgatng VOQUEZNA as a potental treatment for EoE, in adults and adolescents, and plan to initate the study in the frst half of 2025. Additonally, we believe that vonoprazan has the ideal profle for an OTC product because of the potental for rapid symptom relief and a well-tolerated safety profle. We plan to explore the economics and potental development in this market to determine the best strategy going forward. Potental indicatons for development in additon to EoE may include treatment of gastric and duodenal ulcers, and Barret’s esophagus; and alternatve formulatons and packaging include orally disintegratng tablets and other oral dosage forms for patents with difculty swallowing, and an intravenous formulaton for in-hospital applicatons. We are also evaluatng further development of vonoprazan as an “as needed” treatment of Non-Erosive GERD. With our recent launch of VOQUEZNA for Non-Erosive GERD, we have begun generatng real-world data which are being reviewed to understand consumer usage paterns and prescribing habits of healthcare providers. These insights will help assess the value and potental tming for advancing a Phase 3 program to validate the "as needed" dosing of VOQUEZNA for actve heartburn episodes.</w:t>
      </w:r>
    </w:p>
    <w:p>
      <w:pPr>
        <w:spacing w:after="0" w:line="199"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Evaluate commercial partnerships to maximize the vonoprazan opportunity outside of the United States</w:t>
      </w:r>
      <w:r>
        <w:rPr>
          <w:rFonts w:ascii="Calibri" w:cs="Calibri" w:eastAsia="Calibri" w:hAnsi="Calibri"/>
          <w:sz w:val="18"/>
          <w:szCs w:val="18"/>
          <w:color w:val="auto"/>
        </w:rPr>
        <w:t>. To address the opportunity for</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vonoprazan in Europe and Canada, we contnue to evaluate potental partners with existng commercial infrastructure and expertse in these markets. We believe this strategy could allow us to realize the value of the market opportunity in Europe and Canada while focusing our resources on the U.S. market.</w:t>
      </w:r>
    </w:p>
    <w:p>
      <w:pPr>
        <w:spacing w:after="0" w:line="20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7"/>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In-license or acquisiton of additonal clinical or commercial stage product candidates for the treatment of GI diseases in a capital efcient manner</w:t>
      </w:r>
      <w:r>
        <w:rPr>
          <w:rFonts w:ascii="Calibri" w:cs="Calibri" w:eastAsia="Calibri" w:hAnsi="Calibri"/>
          <w:sz w:val="18"/>
          <w:szCs w:val="18"/>
          <w:color w:val="auto"/>
        </w:rPr>
        <w:t>. We plan to evaluate and to take advantage of our management team’s GI expertse to opportunistcally in-license or acquire additonal</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innovatve therapies for diseases treated by gastroenterologists. We plan to leverage our development and commercial infrastructure to support multple assets targetng GI indicatons.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Acid-Related GI Diseases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Overview</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Gastric acid is a digestve fuid formed in the stomach. The highly acidic environment of the stomach causes the unfolding, or denaturing, of food proteins that are subsequently broken down by gastric enzymes. Gastric acid is secreted by the hydrogen potassium ATPase enzyme, which is known as the proton pump. Proton pumps are expressed on the channeled surfaces, or canaliculi, of parietal cells in the stomach, which secrete acid. Proton pumps are contnuously synthesized and switch between actve and inactve states in response to various stmuli, such as food. When actvated, proton pumps increase acid secreton.</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 diseases where treatment is related to acid control, such as GERD, peptc ulcer disease, Zollinger Ellison syndrome,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are signifcant medical problems because of their high prevalence, chronic nature and clinical sequelae. GERD results from the efects of acid on compromised mucosal defenses in the gastrointestnal tract. The refux of gastric acid into the esophagus produces frequent and/or severe heartburn, indigeston, and refux symptoms. Chronic GERD may damage esophageal tssue and progress to more severe diseases including Erosive GERD, Barret’s esophagus, and esophageal cancer. GERD and related diseases are associated with impaired quality of life and substantal costs to the healthcare system given their chronic nature and sequelae.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gastric acid limits the efectveness of antbiotcs used to eradicate infecton. Chronic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can lead to dyspepsia, peptc ulcer disease, gastric cancer, and MALT lymphoma.</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Prevalence</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prevalence of GI diseases is high. Approximately 20% of the U.S. populaton and 15% of EU5 populaton report chronic heartburn or regurgitaton symptoms potentally related to GERD. We estmate that there are approximately 65 million individuals in the United States and 50 million individuals in the EU5 with GERD. In the United States, GERD is the most common gastroenterology-related outpatent diagnosis. Additonally, approximately 35% of the U.S. populaton and 45% of the EU5 populaton are infected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0" w:name="page11"/>
    <w:bookmarkEnd w:id="10"/>
    <w:p>
      <w:pPr>
        <w:spacing w:after="0"/>
        <w:rPr>
          <w:sz w:val="20"/>
          <w:szCs w:val="20"/>
          <w:color w:val="auto"/>
        </w:rPr>
      </w:pPr>
      <w:r>
        <w:rPr>
          <w:rFonts w:ascii="Calibri" w:cs="Calibri" w:eastAsia="Calibri" w:hAnsi="Calibri"/>
          <w:sz w:val="17"/>
          <w:szCs w:val="17"/>
          <w:color w:val="auto"/>
        </w:rPr>
        <w:t xml:space="preserve">with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We estmate that there are approximately 115 million individuals in the United States and 145 million individuals in the EU5 infected with </w:t>
      </w:r>
      <w:r>
        <w:rPr>
          <w:rFonts w:ascii="Calibri" w:cs="Calibri" w:eastAsia="Calibri" w:hAnsi="Calibri"/>
          <w:sz w:val="17"/>
          <w:szCs w:val="17"/>
          <w:i w:val="1"/>
          <w:iCs w:val="1"/>
          <w:color w:val="auto"/>
        </w:rPr>
        <w:t>H.</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pylori</w:t>
      </w:r>
      <w:r>
        <w:rPr>
          <w:rFonts w:ascii="Calibri" w:cs="Calibri" w:eastAsia="Calibri" w:hAnsi="Calibri"/>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 xml:space="preserve">Prevalence of GERD and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14605</wp:posOffset>
            </wp:positionV>
            <wp:extent cx="4568825" cy="16287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68825" cy="1628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Treatments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Treatments of acid-related GI diseases aim to provide relief of acute symptoms, healing of damaged tssue, and preventon of long-term clinical sequelae associated with chronic acid exposure. Gastric acidity is measured by the pH scale, a logarithmic scale where 7.0 describes a neutral state and lower levels indicate a higher level of acidity. The pH of the stomach typically ranges from 1.5 to 3.5. In patents with acid-related GI diseases, increasing gastric pH has been shown to improve mucosal healing rates and provide more rapid symptom relief for patents. For example, the duraton of tme that intra-gastric acidity is greater than pH 3.0 correlates with the healing of duodenal and gastric ulcers, and pH greater than 4.0 is correlated with the healing of Erosive GERD. Similarly, in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 more neutral gastric pH of 6.0 to 8.0 preserves antbiotc functon and is optmal for successful eradicaton.</w:t>
      </w:r>
    </w:p>
    <w:p>
      <w:pPr>
        <w:spacing w:after="0" w:line="181"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Drug-induced gastric acid suppression is a key component of the management of acid-related GI diseases prior to the launch of VOQUEZNA. Three classes of drugs with distnct mechanisms of acton were principally used for treatment in the United States and Europe: antacids, histamine receptor antagonists, or H2RAs, and PPIs.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Antacids</w:t>
      </w:r>
    </w:p>
    <w:p>
      <w:pPr>
        <w:spacing w:after="0" w:line="19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Antacids, frst commercially available in the 1930s, directly neutralize gastric acid to raise intra-gastric pH and can alleviate intermitent, mild symptoms of acid-related GI diseases, such as heartburn, but they are only efectve for a short duraton and require frequent administratons per day. In additon, antacids do not signifcantly help heal or prevent complicatons of acid-related diseases. Antacids include commonly known OTC products, such as Alka-Seltzer, Pepto-Bismol, Rolaids, and TUMS.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Histamine Receptor Antagonists (H2RAs)</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H2RAs, frst commercially available in the 1970s, decrease gastric acid secreton in order to raise gastric pH. H2RAs represented a dramatc improvement over antacids in the control of gastric acid and consequently in the management of acid-related GI diseases. H2RAs are also generally safe and well-tolerated. Among the H2RA class were the frst commercial blockbuster drugs, Pepcid (famotdine), Tagamet (cimetdine), and Zantac (ranitdine). Zantac was the world’s highest-selling prescripton drug in the mid-1990s, with peak global sales of $3.7 billion and U.S. sales of $2.2 billion. Prior to the launch of generic H2RAs and increasing competton from PPIs, the H2RA class achieved sales of approximately $3.5 billion in the United States. H2RAs achieved commercial success despite clinical limitatons, including unreliable 24-hour acid control, poor control of post-meal symptoms, and loss of efcacy over tme.</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Proton Pump Inhibitors (PPIs)</w:t>
      </w:r>
    </w:p>
    <w:p>
      <w:pPr>
        <w:spacing w:after="0" w:line="177"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PPIs, frst commercially available in 1989, ofered improved acid control over H2RAs. Pharmacodynamic data demonstrated that PPIs maintain gastric pH above target levels for a longer duraton than H2RAs. A commonly used benchmark of ant-secretory actvity is the percentage of tme in a 24-hour period that gastric pH exceeds 4.0, which we refer to as tme above pH 4.0, which ranges from 40% to 71% for PPIs versus 33% for H2RAs.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1" w:name="page12"/>
    <w:bookmarkEnd w:id="11"/>
    <w:p>
      <w:pPr>
        <w:ind w:right="100" w:firstLine="509"/>
        <w:spacing w:after="0" w:line="235" w:lineRule="auto"/>
        <w:rPr>
          <w:sz w:val="20"/>
          <w:szCs w:val="20"/>
          <w:color w:val="auto"/>
        </w:rPr>
      </w:pPr>
      <w:r>
        <w:rPr>
          <w:rFonts w:ascii="Calibri" w:cs="Calibri" w:eastAsia="Calibri" w:hAnsi="Calibri"/>
          <w:sz w:val="18"/>
          <w:szCs w:val="18"/>
          <w:color w:val="auto"/>
        </w:rPr>
        <w:t>Given this improved pharmacodynamic profle, PPIs demonstrated improved clinical symptom relief and healing over H2RAs. In a meta-analysis of results from 33 randomized clinical trials with over 3,000 GERD patents, a reducton in symptoms was achieved in 83% of patents taking PPIs versus 60% of those on H2RAs. In a second meta-analysis, the eight-week healing rate in patents with Erosive GERD was 82% for PPIs versus 52% for H2RAs.</w:t>
      </w:r>
    </w:p>
    <w:p>
      <w:pPr>
        <w:spacing w:after="0" w:line="178"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The PPI class is currently the frst-line treatment of acid-related GI diseases. Prior to the introducton and adopton of generic and OTC alternatves, annual PPI class sales reached approximately $12.5 billion in the United States, with peak sales for individual brands of approximately $3.7 billion for Prilosec, $3.5 billion for Nexium, and $3.4 billion for Prevacid. As recently as 2015, the last branded PPI, Dexilant (dexlansoprazole), reached approximately $530 million in sales in the United States despite limited diferentaton from other PPIs. While Dexilant demonstrated a modest improvement in tme above pH</w:t>
      </w:r>
    </w:p>
    <w:p>
      <w:pPr>
        <w:spacing w:after="0" w:line="3"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4.0 compared to other PPIs, the approved dose did not demonstrate consistent superiority in Phase 3 trials against other PPIs for the healing of Erosive GERD and has not been tested against PPIs in other indicatons. We believe that the commercial success of Dexilant highlights the value to physicians and patents of even incremental improvements over other PPIs.</w:t>
      </w:r>
    </w:p>
    <w:p>
      <w:pPr>
        <w:spacing w:after="0" w:line="173"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History of Pharmaceutcal Agents for Control of Gastric Acid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1119505</wp:posOffset>
            </wp:positionH>
            <wp:positionV relativeFrom="paragraph">
              <wp:posOffset>134620</wp:posOffset>
            </wp:positionV>
            <wp:extent cx="4911725" cy="21177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11725" cy="211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PPI Limitatons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While PPIs provide clinically meaningful symptom relief and healing for millions of patents sufering from acid-related GI diseases, they are inadequate for many patents. The suboptmal ant-secretory profle of PPIs results in slow onset of symptom relief, breakthrough nightme or postprandial heartburn, and treatment failure. A recent populaton-based survey with over 70,000 partcipants in the United States showed that 55% of patents who reported having GERD symptoms were taking PPIs, with 68% taking them daily, and 54% of those daily PPI users reportng persistent symptoms. This is consistent with earlier studies that have shown that approximately 15% to 45% of GERD patents are inadequately treated with PPIs, experiencing persistent, troublesome symptoms, such as heartburn and regurgitaton. In approximately two-thirds of symptomatc GERD patents, refux symptoms are not adequately controlled afer the frst dose of a PPI, and nearly 50% of patents stll sufer from symptoms three days later. Given these limitatons, more than 20% of GERD patents on PPI therapy take their PPI twice daily, which is not FDA approved, or purchase OTC heartburn treatments in additon to their prescripton medicine. In a survey of approximately 1,000 GERD patents and 1,000 physicians, approximately one third of GERD patents reported persistent symptoms and were dissatsfed with PPI therapy and 35% of physicians perceived patents as somewhat satsfed to completely dissatsfed with PPI treatment. In additon, in a real world study conducted in 2020 and 2021 evaluatng the perspectves and unmet needs of over 400 physicians and patents in the U.S. in the management of acid related disorders, fewer than one-third of the physician partcipants were satsfed with current treatment optons for their patents. Moreover, fewer than 50% of patents in the study reported they were satsfed with their current treatment.</w:t>
      </w:r>
    </w:p>
    <w:p>
      <w:pPr>
        <w:spacing w:after="0" w:line="20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patents with more severe grades of Erosive GERD, studies with PPIs have reported failure rates of healing of esophageal erosions exceeding 25%. Additonally, recurrence of erosions is common in healed Erosive GERD patents receiving maintenance PPI therapy. One study reported recurrence in 15% to 23% of patents with less severe Erosive GERD and 24% to 41% of patents with more severe Erosive GERD. We believe that these limitatons of PPIs are in part driven by their mechanism of acton and pharmacokinetcs.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2" w:name="page13"/>
    <w:bookmarkEnd w:id="12"/>
    <w:p>
      <w:pPr>
        <w:ind w:right="440" w:firstLine="509"/>
        <w:spacing w:after="0" w:line="235" w:lineRule="auto"/>
        <w:rPr>
          <w:sz w:val="20"/>
          <w:szCs w:val="20"/>
          <w:color w:val="auto"/>
        </w:rPr>
      </w:pPr>
      <w:r>
        <w:rPr>
          <w:rFonts w:ascii="Calibri" w:cs="Calibri" w:eastAsia="Calibri" w:hAnsi="Calibri"/>
          <w:sz w:val="18"/>
          <w:szCs w:val="18"/>
          <w:color w:val="auto"/>
        </w:rPr>
        <w:t>As a result of these PPI limitatons, real world data shows that up to 50% of GERD patents treated with a prescripton PPI make therapy changes during their treatment journey. Real world data has also identfed that 35% of patents treated with a prescripton PPI switch to a diferent PPI afer approximately 3 months.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Mechanistc Diferences Between PPIs and Vonoprazan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PPIs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Afer oral dosing, PPIs reach the gastric parietal cells through the bloodstream. PPIs are prodrugs that are converted to their actve form in the acidic environment of the secretory canaliculus of the parietal cell but degrade quickly because their actve form is unstable in acid. For example, the half-life of omeprazole (Prilosec) is less than 10 minutes at pH 2.0. The actve form of a PPI blocks acid producton by covalently binding to actve proton pumps that have moved to the surface of the secretory canaliculi afer actvaton of the parietal cell with stmuli, such as a meal. Because PPIs bind only to actvely secretng pumps, it is generally recommended that they be administered 30 to 60 minutes before a meal to achieve maximal efcacy. Once covalently bound to the proton pumps, the actve PPI molecule is no longer available to bind to newly synthesized or actvated proton pumps. Furthermore, given the relatvely short plasma half-life of most PPIs of one to two hours, resupply of additonal PPI molecules from the bloodstream is limited, and newly actvated pumps are not inhibited. Due to this profle, PPIs must be dosed over several days to inhibit enough proton pumps to increase gastric pH to a clinically meaningful threshold. Moreover, PPIs have a limited window of efcacy leading to incomplete acid suppression over the 24-hour dosing interval. In additon, PPIs are primarily metabolized by CYP2C19, an enzyme which has signifcant interpatent metabolic variability based on genotype. As a result, PPI exposure levels in some patents may not achieve target levels, potentally reducing clinical efcacy.</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Vonoprazan, a PCAB, has a diferentated mechanism of acton relatve to PPIs. Vonoprazan is designed to selectvely concentrate in the parietal cell in both the restng and stmulated states. In contrast to most PPIs, vonoprazan does not require gastric acid for actvaton, remains stable in the presence of gastric acid, binds to the actve proton pumps in a noncovalent and reversible manner, can be taken independent from meals and remains associated with the actve and inactve proton pumps, and remains in the secretory canaliculus where it contnues to inhibit acid secreton over an extended period. Vonoprazan’s prolonged efect is also maintained through a slow dissociaton rate from the proton pumps and resupply from the bloodstream due to its approximate seven-hour half-life. These characteristcs generally allow vonoprazan to rapidly achieve target 24-hour acid suppression within two to three hours of a single dose, unlike PPIs that require three to fve days to achieve stable acid suppression. In additon, vonoprazan is primarily metabolized by CYP3A4/5, an enzyme which has less genetc variability than CYP2C19, and may exhibit more consistent actvity than PPIs across U.S. and European populatons.</w:t>
      </w:r>
    </w:p>
    <w:p>
      <w:pPr>
        <w:spacing w:after="0" w:line="19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mechanistc and pharmacologic diferences of PPIs and vonoprazan are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126365</wp:posOffset>
            </wp:positionV>
            <wp:extent cx="4046220" cy="25031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046220" cy="2503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3" w:name="page14"/>
    <w:bookmarkEnd w:id="13"/>
    <w:p>
      <w:pPr>
        <w:spacing w:after="0"/>
        <w:rPr>
          <w:sz w:val="20"/>
          <w:szCs w:val="20"/>
          <w:color w:val="auto"/>
        </w:rPr>
      </w:pPr>
      <w:r>
        <w:rPr>
          <w:rFonts w:ascii="Calibri" w:cs="Calibri" w:eastAsia="Calibri" w:hAnsi="Calibri"/>
          <w:sz w:val="18"/>
          <w:szCs w:val="18"/>
          <w:b w:val="1"/>
          <w:bCs w:val="1"/>
          <w:color w:val="auto"/>
        </w:rPr>
        <w:t>Vonoprazan Pharmacodynamics vs. PPIs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Vonoprazan’s more rapid, potent, and durable ant-secretory efects versus the PPI lansoprazole (Prevacid) were demonstrated in a randomized, open-label, crossover clinical trial comparing 20 mg of once daily, or QD, vonoprazan to 30 mg QD of lansoprazole for 7 days in 41 healthy volunteers. As shown below, vonoprazan had a signifcantly higher 24-hour holding tme rato than lansoprazole for pH&gt;4.0 on Day 1 (62.4% vs. 22.6%) and Day 7 (87.8% vs. 42.3%) and for pH&gt;6.0 on Day 1 (33.1 vs. 7.4) and Day 7 (62.5% vs. 16.4%). Mean 24-hour intragastric pH for vonoprazan and lansoprazole was 4.6 and 2.8, respectvely, on Day 1, and 5.9 and 3.8, respectvely, on Day 7. Gastric pH levels are measured on a logarithmic scale from 0.0 to 14.0, in which each point represents a 10-fold change in acidity and higher pH values represent less acidity. In this study, vonoprazan maintained an average pH approximately two points higher than lansoprazole at Day 7.</w:t>
      </w:r>
    </w:p>
    <w:p>
      <w:pPr>
        <w:spacing w:after="0" w:line="177"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Improved Onset and Potency of pH Control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134620</wp:posOffset>
            </wp:positionV>
            <wp:extent cx="5349240" cy="23914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349240" cy="2391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This improved potency and duraton of pH control with vonoprazan, as measured by 24-hour pH hold tme and tme above pH 4.0, was evident not only at Day 1, but also at Day 7 when lansoprazole had reached its steady state (see table below).</w:t>
      </w:r>
    </w:p>
    <w:p>
      <w:pPr>
        <w:spacing w:after="0" w:line="172" w:lineRule="exact"/>
        <w:rPr>
          <w:sz w:val="20"/>
          <w:szCs w:val="20"/>
          <w:color w:val="auto"/>
        </w:rPr>
      </w:pPr>
    </w:p>
    <w:p>
      <w:pPr>
        <w:jc w:val="center"/>
        <w:ind w:right="-19"/>
        <w:spacing w:after="0"/>
        <w:rPr>
          <w:sz w:val="20"/>
          <w:szCs w:val="20"/>
          <w:color w:val="auto"/>
        </w:rPr>
      </w:pPr>
      <w:r>
        <w:rPr>
          <w:rFonts w:ascii="Calibri" w:cs="Calibri" w:eastAsia="Calibri" w:hAnsi="Calibri"/>
          <w:sz w:val="18"/>
          <w:szCs w:val="18"/>
          <w:b w:val="1"/>
          <w:bCs w:val="1"/>
          <w:color w:val="auto"/>
        </w:rPr>
        <w:t>24-hr Hold Time &gt; pH 4.0 and Mean pH of Vonoprazan vs. Lansoprazole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134620</wp:posOffset>
            </wp:positionV>
            <wp:extent cx="4800600" cy="1663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800600" cy="1663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 demonstrated similarly greater tme above pH 4.0 versus the PPI esomeprazole (Nexium) in a randomized, open-label, crossover clinical trial comparing 20 mg QD vonoprazan to 20 mg QD of esomeprazole in 20 healthy volunteers. In that trial, greater duraton of pH control with vonoprazan, as measured by tme above pH 4.0 was observed both on Day 1 and Day 7 (see table below).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4" w:name="page15"/>
    <w:bookmarkEnd w:id="14"/>
    <w:p>
      <w:pPr>
        <w:jc w:val="center"/>
        <w:ind w:right="-19"/>
        <w:spacing w:after="0"/>
        <w:rPr>
          <w:sz w:val="20"/>
          <w:szCs w:val="20"/>
          <w:color w:val="auto"/>
        </w:rPr>
      </w:pPr>
      <w:r>
        <w:rPr>
          <w:rFonts w:ascii="Calibri" w:cs="Calibri" w:eastAsia="Calibri" w:hAnsi="Calibri"/>
          <w:sz w:val="18"/>
          <w:szCs w:val="18"/>
          <w:b w:val="1"/>
          <w:bCs w:val="1"/>
          <w:color w:val="auto"/>
        </w:rPr>
        <w:t>24-hr Hold Time &gt; pH 4.0 of Vonoprazan vs. Esomeprazole at Day 1 and Day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126365</wp:posOffset>
            </wp:positionV>
            <wp:extent cx="3591560" cy="12858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591560"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for the Treatment of Acid-Related GI Diseases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Given the shortcomings of PPI therapy, we believe that there is a signifcant unmet medical need for a safe and efectve ant-secretory agent with rapid, potent, and durable ant-secretary efects. In May 2022, we received FDA approval for VOQUEZNA TRIPLE PAK and VOQUEZNA DUAL PAK, each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In November 2023, we received FDA approval of vonoprazan, under the brand name VOQUEZNA, for the healing and maintenance of healing of all grades of erosive esophagits and relief of heartburn associated with erosive esophagits in adults, and in September 2023, we submited an NDA seeking approval of vonoprazan as a once-daily treatment of heartburn associated with Non-Erosive GERD in adults. On July 17, 2024, the FDA approved VOQUEZNA 10 mg tablets for the relief of heartburn associated with Non-Erosive GERD, the largest category of GERD. Before we developed and obtained our inital approvals for VOQUEZNA, VOQUEZNA TRIPLE PAK and VOQUEZNA DUAL PAK in the United States, vonoprazan was developed in markets outside of the United States by Takeda through an extensive clinical program, including 19 Phase 3 clinical trials. An estmate of over 60 million patents have received vonoprazan in Japan and other countries in Asia, Latn America and Russia since its launch. Vonoprazan received marketng approval in Japan in late 2014 and generated peak net sales of approximately $850 million and contnues to achieve volume growth during its tenth full year on the market.</w:t>
      </w:r>
    </w:p>
    <w:p>
      <w:pPr>
        <w:spacing w:after="0" w:line="1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in GERD</w:t>
      </w:r>
    </w:p>
    <w:p>
      <w:pPr>
        <w:spacing w:after="0" w:line="190" w:lineRule="exact"/>
        <w:rPr>
          <w:sz w:val="20"/>
          <w:szCs w:val="20"/>
          <w:color w:val="auto"/>
        </w:rPr>
      </w:pPr>
    </w:p>
    <w:p>
      <w:pPr>
        <w:ind w:right="760" w:firstLine="509"/>
        <w:spacing w:after="0" w:line="235" w:lineRule="auto"/>
        <w:rPr>
          <w:sz w:val="20"/>
          <w:szCs w:val="20"/>
          <w:color w:val="auto"/>
        </w:rPr>
      </w:pPr>
      <w:r>
        <w:rPr>
          <w:rFonts w:ascii="Calibri" w:cs="Calibri" w:eastAsia="Calibri" w:hAnsi="Calibri"/>
          <w:sz w:val="18"/>
          <w:szCs w:val="18"/>
          <w:color w:val="auto"/>
        </w:rPr>
        <w:t>Based on the signifcant unmet medical need, previous Phase 3 trial results from Japan and elsewhere in Asia, and commercial potental, we prioritzed the development and commercializaton of vonoprazan in GERD, specifcally for:</w:t>
      </w:r>
    </w:p>
    <w:p>
      <w:pPr>
        <w:spacing w:after="0" w:line="186" w:lineRule="exact"/>
        <w:rPr>
          <w:sz w:val="20"/>
          <w:szCs w:val="20"/>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healing of all grades of Erosive GERD and relief of associated heartburn in adults;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maintenance of healing of all grades of Erosive GERD and relief of associated heartburn in adults;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relief of heartburn associated with Non-Erosive GERD in adults.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GERD Disease Overview</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GERD is one of the most prevalent diseases of any kind and is the most prevalent GI disease, afectng approximately 20% of the U.S. populaton and approximately 15% of the European populaton. We estmate there are approximately 65 million individuals with GERD in the United States and 50 million individuals with GERD in the EU5. GERD is a disease that develops when the refux of acidic stomach contents into the esophagus causes troublesome symptoms and/or complicatons. The term covers a spectrum of diseases, the main categories of which are Erosive GERD, or EE, and Non-Erosive refux disease, or Non-Erosive GERD. These diseases are detailed below:</w:t>
      </w:r>
    </w:p>
    <w:p>
      <w:pPr>
        <w:spacing w:after="0" w:line="207" w:lineRule="exact"/>
        <w:rPr>
          <w:sz w:val="20"/>
          <w:szCs w:val="20"/>
          <w:color w:val="auto"/>
        </w:rPr>
      </w:pPr>
    </w:p>
    <w:p>
      <w:pPr>
        <w:ind w:left="900" w:right="180" w:hanging="383"/>
        <w:spacing w:after="0" w:line="235" w:lineRule="auto"/>
        <w:tabs>
          <w:tab w:leader="none" w:pos="900" w:val="left"/>
        </w:tabs>
        <w:numPr>
          <w:ilvl w:val="0"/>
          <w:numId w:val="9"/>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Erosive GERD</w:t>
      </w:r>
      <w:r>
        <w:rPr>
          <w:rFonts w:ascii="Calibri" w:cs="Calibri" w:eastAsia="Calibri" w:hAnsi="Calibri"/>
          <w:sz w:val="18"/>
          <w:szCs w:val="18"/>
          <w:color w:val="auto"/>
        </w:rPr>
        <w:t>: Approximately 30% of GERD patents have Erosive GERD, which is classifed by erosions in the esophageal mucosa caused by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acidic refux of stomach contents into the esophagus. Erosive GERD is commonly graded by the Los Angeles (LA) classifcaton system, which characterizes the extent of erosions in the esophagus and is graded on a scale of increasing severity from A to D, with D being the most severe. Approximately 20% to 30% of Erosive GERD patents have moderate-to-severe disease with LA grade C or D erosions. Erosive GERD can have serious consequences. If lef untreated, esophagits may develop into peptc stricture, Barret’s esophagus or esophageal cancer.</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5" w:name="page16"/>
    <w:bookmarkEnd w:id="15"/>
    <w:p>
      <w:pPr>
        <w:ind w:left="900" w:right="200" w:hanging="383"/>
        <w:spacing w:after="0" w:line="235" w:lineRule="auto"/>
        <w:tabs>
          <w:tab w:leader="none" w:pos="900" w:val="left"/>
        </w:tabs>
        <w:numPr>
          <w:ilvl w:val="0"/>
          <w:numId w:val="10"/>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Non-Erosive gastroesophageal refux disease (Non-Erosive GERD)</w:t>
      </w:r>
      <w:r>
        <w:rPr>
          <w:rFonts w:ascii="Calibri" w:cs="Calibri" w:eastAsia="Calibri" w:hAnsi="Calibri"/>
          <w:sz w:val="18"/>
          <w:szCs w:val="18"/>
          <w:color w:val="auto"/>
        </w:rPr>
        <w:t>: Approximately 70% of GERD patents have Non-Erosive GERD, classifed by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abnormal gastric acid exposure in the esophagus and persistent symptoms without the presence of esophageal damage.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127000</wp:posOffset>
            </wp:positionV>
            <wp:extent cx="4937760" cy="27774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GERD patents typically present with heartburn and refux symptoms. Based on these symptoms, patents are typically treated frst-line with PPIs prior to a diagnostc endoscopy for specifc disease classifcaton of Erosive GERD or Non-Erosive GERD. Clinical guidelines suggest that endoscopy be performed in patents who contnue to have symptoms despite an eight-week course of daily PPIs or have alarm symptoms, including GI bleeding, anemia, weight loss, chest pain, or difcult or painful swallowing. Our market research suggests that most patents are treated empirically based on symptoms rather than based on endoscopic characterizaton of disease.</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GERD Treatment Paradigm</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PPIs are currently the most widely used ant-secretory agents available in the United States and Europe for relieving GERD symptoms and healing erosions in gastric mucosa. Our market research suggests that approximately 80% of patents who are pharmacologically treated receive a PPI, and approximately 85% of PPI use is prescripton rather than OTC. The majority of PPI use is chronic, with more than 70% of patents prescribed PPIs for daily use. According to IQVIA prescripton data, approximately 110 million PPI prescriptons are writen and flled annually across all indicatons.</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There are few treatment optons for GERD patents who are inadequately managed on PPI therapy. In a real world study conducted in 2020 and 2021 evaluatng the perspectves and unmet needs of over 400 physicians and patents in the U.S. in the management of acid related disorders, only half of physicians reported that their patents are getng long-lastng relief from a PPI resultng in approximately 25% of patents taking a PPI more than once a day despite patents’ concerns about long term side efects of PPI use. A limited number of patents proceed to a surgical procedure, such as Nissen fundoplicaton. However, this procedure results in postoperatve morbidity of 5% to 20%, as well as a two-to six-week recovery period and a median hospital stay of two days.</w:t>
      </w:r>
    </w:p>
    <w:p>
      <w:pPr>
        <w:spacing w:after="0" w:line="181"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U.S. market research survey reported that 55% to 60% of physicians included in the survey believed that vonoprazan has demonstrated superior efcacy in the healing and maintenance of healed esophageal erosions compared to existng Erosive GERD treatments, provides faster onset of acton compared to existng GERD treatments, and has superior duraton and magnitude of gastric pH control compared to existng GERD treatments.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Clinical Data for Vonoprazan in GERD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Development Program in Erosive GERD</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16" w:name="page17"/>
    <w:bookmarkEnd w:id="16"/>
    <w:p>
      <w:pPr>
        <w:ind w:right="120" w:firstLine="509"/>
        <w:spacing w:after="0" w:line="235" w:lineRule="auto"/>
        <w:rPr>
          <w:sz w:val="20"/>
          <w:szCs w:val="20"/>
          <w:color w:val="auto"/>
        </w:rPr>
      </w:pPr>
      <w:r>
        <w:rPr>
          <w:rFonts w:ascii="Calibri" w:cs="Calibri" w:eastAsia="Calibri" w:hAnsi="Calibri"/>
          <w:sz w:val="18"/>
          <w:szCs w:val="18"/>
          <w:color w:val="auto"/>
        </w:rPr>
        <w:t>Five Phase 3 clinical trials have been completed comparing vonoprazan to PPIs in Erosive GERD: our healing and maintenance of healing trial in the United States and Europe; a healing trial in Japan; a maintenance of healing trial in Japan; a healing trial in Asia (China, Taiwan, and Korea); and a maintenance of healing trial in Asia. In additon to these Phase 3 trials, several published investgator-sponsored studies have compared vonoprazan to PPIs across dosing regimens and endpoints. Results of these clinical trials are summarized below.</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and Maintenance of Healing of Erosive GERD in the United States and Europe (PHALCON-EE)</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October 2021, we announced that vonoprazan successfully met its primary endpoints and key secondary superiority endpoints in PHALCON-EE, our pivotal Phase 3 trial evaluatng vonoprazan versus lansoprazole for the treatment of Erosive GERD.</w:t>
      </w:r>
    </w:p>
    <w:p>
      <w:pPr>
        <w:spacing w:after="0" w:line="191" w:lineRule="exact"/>
        <w:rPr>
          <w:sz w:val="20"/>
          <w:szCs w:val="20"/>
          <w:color w:val="auto"/>
        </w:rPr>
      </w:pPr>
    </w:p>
    <w:p>
      <w:pPr>
        <w:ind w:right="180" w:firstLine="509"/>
        <w:spacing w:after="0" w:line="254" w:lineRule="auto"/>
        <w:rPr>
          <w:sz w:val="20"/>
          <w:szCs w:val="20"/>
          <w:color w:val="auto"/>
        </w:rPr>
      </w:pPr>
      <w:r>
        <w:rPr>
          <w:rFonts w:ascii="Calibri" w:cs="Calibri" w:eastAsia="Calibri" w:hAnsi="Calibri"/>
          <w:sz w:val="17"/>
          <w:szCs w:val="17"/>
          <w:color w:val="auto"/>
        </w:rPr>
        <w:t>PHALCON-EE was a randomized, double-blind, two-phase, multcenter, Phase 3 trial that enrolled 1,024 patents with EE in the U.S. and Europe. PHALCON-EE was modeled afer the successful Phase 3 clinical trials conducted in Japan and Asia with limited diferences, including the combinaton of the healing and maintenance phases into one single study whereas in Japan and Asia separate clinical trials were conducted for each of these indicatons.</w:t>
      </w:r>
    </w:p>
    <w:p>
      <w:pPr>
        <w:spacing w:after="0" w:line="16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frst phase of the trial, the Healing Phase, evaluated the efcacy and safety of vonoprazan 20 mg QD compared to lansoprazole 30 mg QD for the healing of Erosive GERD for up to eight weeks. In the Healing Phase, patents were assessed via endoscopy to determine complete healing following 2 weeks of treatment and, if complete healing was not achieved, a second endoscopy occurred at 8 weeks of treatment. Patents who achieved complete healing were re-randomized into the second phase of the trial, the Maintenance Phase, where vonoprazan 10 mg and 20 mg were compared to lansoprazole 15 mg to assess maintenance of healing of Erosive GERD via endoscopy following 24 weeks of treatment. Heartburn symptom relief was assessed via secondary endpoints in both the Healing and Maintenance Phases of the study based on twice daily e-diary data collecton.</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Healing Phase</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primary endpoint analysis of the Healing Phase was non-inferiority of vonoprazan 20 mg compared to lansoprazole 30 mg in the percentage of all patents who have complete healing of Erosive GERD by Week 8. Vonoprazan met the non-inferiority criteria for the primary comparison with a healing rate of 93% compared to 85% for lansoprazole (p&lt;0.0001). Based on a prespecifed exploratory comparison test, the diference in healing rates in all patents between vonoprazan and lansoprazole was also signifcant (nominal p&lt;0.0001). Non-inferiority analyses are conducted to evaluate whether the efect of an agent is not worse than the actve control by more than a specifed margin, while superiority analyses are conducted to evaluate whether an agent outperformed a comparator by a statstcally signifcant margin.</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Vonoprazan met the secondary superiority endpoint of healing in patents with moderate-to-severe disease, defned as patents with esophageal erosions classifed as Grades C or D by the Los Angeles (LA) Classifcaton System, at Week 2, demonstratng signifcantly faster healing than lansoprazole (70% for vonoprazan 20 mg and 53% for lansoprazole 30 mg) (p=0.0008). Vonoprazan also met the secondary endpoint of showing non-inferiority to lansoprazole 30 mg in the mean percentage of 24-hour heartburn free days over the healing period. In additonal pre-specifed secondary endpoint superiority comparisons, vonoprazan 20 mg healing rates were numerically greater than lansoprazole 30 mg in all patents at Week 2 (nominal p=0.0348) and in moderate-to-severe patents by Week 8 (nominal p&lt;0.0001), although these superiority comparisons were not tested in the pre-specifed testng hierarchy.</w:t>
      </w:r>
    </w:p>
    <w:p>
      <w:pPr>
        <w:spacing w:after="0" w:line="18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Vonoprazan 20 mg was also compared to lansoprazole 30 mg in a superiority test for onset of sustained resoluton of heartburn by day 3 but did not achieve statstcal signifcance (p=0.439).</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7" w:name="page18"/>
    <w:bookmarkEnd w:id="17"/>
    <w:p>
      <w:pPr>
        <w:jc w:val="center"/>
        <w:ind w:right="-79"/>
        <w:spacing w:after="0"/>
        <w:rPr>
          <w:sz w:val="20"/>
          <w:szCs w:val="20"/>
          <w:color w:val="auto"/>
        </w:rPr>
      </w:pPr>
      <w:r>
        <w:rPr>
          <w:rFonts w:ascii="Calibri" w:cs="Calibri" w:eastAsia="Calibri" w:hAnsi="Calibri"/>
          <w:sz w:val="18"/>
          <w:szCs w:val="18"/>
          <w:b w:val="1"/>
          <w:bCs w:val="1"/>
          <w:color w:val="auto"/>
        </w:rPr>
        <w:t>Results of US/EU Phase 3 Clinical Trial in the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1144905</wp:posOffset>
            </wp:positionH>
            <wp:positionV relativeFrom="paragraph">
              <wp:posOffset>126365</wp:posOffset>
            </wp:positionV>
            <wp:extent cx="4852035" cy="21170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85203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Maintenance Phase</w:t>
      </w:r>
    </w:p>
    <w:p>
      <w:pPr>
        <w:spacing w:after="0" w:line="190" w:lineRule="exact"/>
        <w:rPr>
          <w:sz w:val="20"/>
          <w:szCs w:val="20"/>
          <w:color w:val="auto"/>
        </w:rPr>
      </w:pPr>
    </w:p>
    <w:p>
      <w:pPr>
        <w:jc w:val="both"/>
        <w:ind w:right="440" w:firstLine="509"/>
        <w:spacing w:after="0" w:line="235" w:lineRule="auto"/>
        <w:rPr>
          <w:sz w:val="20"/>
          <w:szCs w:val="20"/>
          <w:color w:val="auto"/>
        </w:rPr>
      </w:pPr>
      <w:r>
        <w:rPr>
          <w:rFonts w:ascii="Calibri" w:cs="Calibri" w:eastAsia="Calibri" w:hAnsi="Calibri"/>
          <w:sz w:val="18"/>
          <w:szCs w:val="18"/>
          <w:color w:val="auto"/>
        </w:rPr>
        <w:t>Vonoprazan met the primary and all secondary endpoints in the Maintenance Phase. The primary endpoint of the Maintenance Phase was non-inferiority of vonoprazan 10 mg and 20 mg compared to lansoprazole 15 mg in the percentage of all patents who maintained healing of Erosive GERD through Week 24.</w:t>
      </w:r>
    </w:p>
    <w:p>
      <w:pPr>
        <w:spacing w:after="0" w:line="178"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Both vonoprazan doses met the Maintenance Phase primary endpoint of non-inferiority while also meetng the pre-specifed secondary comparison demonstratng superiority of maintenance of healing versus lansoprazole (79% for vonoprazan 10 mg, 81% for vonoprazan 20 mg compared to 72% for lansoprazole 15 mg) (p&lt;0.0001 for both non-inferiority comparisons; p=0.0438 for vonoprazan 10 mg superiority comparison; p=0.0136 for vonoprazan 20 mg superiority comparison).</w:t>
      </w:r>
    </w:p>
    <w:p>
      <w:pPr>
        <w:spacing w:after="0" w:line="179" w:lineRule="exact"/>
        <w:rPr>
          <w:sz w:val="20"/>
          <w:szCs w:val="20"/>
          <w:color w:val="auto"/>
        </w:rPr>
      </w:pPr>
    </w:p>
    <w:p>
      <w:pPr>
        <w:ind w:firstLine="509"/>
        <w:spacing w:after="0" w:line="252" w:lineRule="auto"/>
        <w:rPr>
          <w:sz w:val="20"/>
          <w:szCs w:val="20"/>
          <w:color w:val="auto"/>
        </w:rPr>
      </w:pPr>
      <w:r>
        <w:rPr>
          <w:rFonts w:ascii="Calibri" w:cs="Calibri" w:eastAsia="Calibri" w:hAnsi="Calibri"/>
          <w:sz w:val="17"/>
          <w:szCs w:val="17"/>
          <w:color w:val="auto"/>
        </w:rPr>
        <w:t>Both vonoprazan doses also met the secondary endpoint of demonstratng superiority of the percentage of patents with moderate-to-severe disease who maintained healing of Erosive GERD through Week 24 (75% vonoprazan 10 mg, 77% vonoprazan 20 mg v. 61% lansoprazole 15 mg) (p=0.0490 for vonoprazan 10 mg superiority comparison; p=0.0196 for vonoprazan 20 mg superiority comparison). Additonally, both vonoprazan doses also met the secondary endpoint of showing non-inferiority to lansoprazole 15 mg in the mean percentage of 24-hour heartburn free days over the maintenance period.</w:t>
      </w:r>
    </w:p>
    <w:p>
      <w:pPr>
        <w:spacing w:after="0" w:line="177" w:lineRule="exact"/>
        <w:rPr>
          <w:sz w:val="20"/>
          <w:szCs w:val="20"/>
          <w:color w:val="auto"/>
        </w:rPr>
      </w:pPr>
    </w:p>
    <w:p>
      <w:pPr>
        <w:jc w:val="center"/>
        <w:ind w:right="-79"/>
        <w:spacing w:after="0"/>
        <w:rPr>
          <w:sz w:val="20"/>
          <w:szCs w:val="20"/>
          <w:color w:val="auto"/>
        </w:rPr>
      </w:pPr>
      <w:r>
        <w:rPr>
          <w:rFonts w:ascii="Calibri" w:cs="Calibri" w:eastAsia="Calibri" w:hAnsi="Calibri"/>
          <w:sz w:val="18"/>
          <w:szCs w:val="18"/>
          <w:b w:val="1"/>
          <w:bCs w:val="1"/>
          <w:color w:val="auto"/>
        </w:rPr>
        <w:t>Results of US/EU Phase 3 Clinical Trial in Maintenance of Healing of 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1162050</wp:posOffset>
            </wp:positionH>
            <wp:positionV relativeFrom="paragraph">
              <wp:posOffset>126365</wp:posOffset>
            </wp:positionV>
            <wp:extent cx="4817745" cy="21170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817745" cy="2117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1" w:right="399" w:bottom="1440" w:gutter="0" w:footer="0" w:header="0"/>
        </w:sectPr>
      </w:pPr>
    </w:p>
    <w:bookmarkStart w:id="18" w:name="page19"/>
    <w:bookmarkEnd w:id="18"/>
    <w:p>
      <w:pPr>
        <w:spacing w:after="0"/>
        <w:rPr>
          <w:sz w:val="20"/>
          <w:szCs w:val="20"/>
          <w:color w:val="auto"/>
        </w:rPr>
      </w:pPr>
      <w:r>
        <w:rPr>
          <w:rFonts w:ascii="Calibri" w:cs="Calibri" w:eastAsia="Calibri" w:hAnsi="Calibri"/>
          <w:sz w:val="18"/>
          <w:szCs w:val="18"/>
          <w:i w:val="1"/>
          <w:iCs w:val="1"/>
          <w:color w:val="auto"/>
        </w:rPr>
        <w:t>Healing and Maintenance of Healing of Erosive GERD Clinical Trials in Japan and Asia</w:t>
      </w:r>
    </w:p>
    <w:p>
      <w:pPr>
        <w:spacing w:after="0" w:line="17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results of PHALCON-EE were consistent with the results of earlier Phase 3 trials of vonoprazan in healing and maintenance of healing of Erosive GERD afer which it was modeled. These trials were conducted in Japan as well as other countries in Asia.</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two Phase 3 trials in healing of Erosive GERD comparing vonoprazan 20 mg QD to lansoprazole 30 mg QD for up to eight weeks, one conducted in Japan and the other in several countries in Asia, vonoprazan achieved the primary endpoint of non-inferiority versus lansoprazole on the percent of patents with healed Erosive GERD up to Week 8. Exploratory testng suggested higher healing rates for vonoprazan versus lansoprazole in the moderate to severe patents at Week 2 in both studies.</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Similarly, in two Phase 3 trials in maintenance of healing of Erosive GERD comparing two doses of vonoprazan (10 mg and 20 mg QD) to lansoprazole 15 mg QD for 24 weeks, one conducted in Japan and the other in several countries in Asia, both vonoprazan doses achieved the primary endpoint of non-inferiority versus lansoprazole on the percent of patents with recurrence of Erosive GERD during the 24-week maintenance period. In both studies, exploratory testng suggested higher maintenance of healing rates for both vonoprazan doses versus lansoprazole in all patents and in the moderate to severe patents.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Our Development Program in Non-Erosive Gastroesophageal Refux Disease (Non-Erosive GERD)</w:t>
      </w:r>
    </w:p>
    <w:p>
      <w:pPr>
        <w:spacing w:after="0" w:line="177" w:lineRule="exact"/>
        <w:rPr>
          <w:sz w:val="20"/>
          <w:szCs w:val="20"/>
          <w:color w:val="auto"/>
        </w:rPr>
      </w:pPr>
    </w:p>
    <w:p>
      <w:pPr>
        <w:ind w:firstLine="549"/>
        <w:spacing w:after="0" w:line="235" w:lineRule="auto"/>
        <w:rPr>
          <w:sz w:val="20"/>
          <w:szCs w:val="20"/>
          <w:color w:val="auto"/>
        </w:rPr>
      </w:pPr>
      <w:r>
        <w:rPr>
          <w:rFonts w:ascii="Calibri" w:cs="Calibri" w:eastAsia="Calibri" w:hAnsi="Calibri"/>
          <w:sz w:val="18"/>
          <w:szCs w:val="18"/>
          <w:color w:val="auto"/>
        </w:rPr>
        <w:t>In July 2024, the FDA approved VOQUEZNA for the relief of heartburn associated with Non-Erosive GERD, the largest category of GERD. Non-Erosive GERD patents do not have esophageal erosions that require chronic treatment to prevent recurrence of erosions and their potental sequelae. Moreover, we believe the rapid onset of acid control of vonoprazan may enable as-needed use for the management of heartburn in Non-Erosive GERD patents as an alternatve to chronic daily treatment.</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Daily Dosing of Vonoprazan for the Treatment of Heartburn Associated with Non-Erosive GERD (PHALCON-NERD-301)</w:t>
      </w:r>
    </w:p>
    <w:p>
      <w:pPr>
        <w:spacing w:after="0" w:line="190"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In January 2023, we reported positve topline data from the primary endpoint in PHALCON-NERD-301, our Phase 3 study evaluatng the safety and efcacy of vonoprazan 10 mg and 20 mg as a daily dosing (QD) treatment, as compared to placebo (QD), in the relief of heartburn over four weeks in adult partcipants with Non-Erosive refux disease, or Non-Erosive GERD. In this trial, patents in each vonoprazan treatment group, 10 mg and 20 mg, had a signifcantly higher mean percentage of 24-hour heartburn-free days (without daytme or nightme heartburn as assessed by daily diary) compared to placebo afer four weeks. This is the same endpoint used in other Phase 3 trials for PPIs that are approved in the U.S. for the treatment of Non-Erosive GERD.</w:t>
      </w:r>
    </w:p>
    <w:p>
      <w:pPr>
        <w:spacing w:after="0" w:line="170"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PHALCON-NERD-301 also included a blinded 20-week long-term extension period to further evaluate the safety and efcacy of both doses of vonoprazan afer six months of contnuous use. A total of 772 patents with Non-Erosive GERD were enrolled, randomized and dosed in the multsite U.S. trial.</w:t>
      </w:r>
    </w:p>
    <w:p>
      <w:pPr>
        <w:spacing w:after="0" w:line="173" w:lineRule="exact"/>
        <w:rPr>
          <w:sz w:val="20"/>
          <w:szCs w:val="20"/>
          <w:color w:val="auto"/>
        </w:rPr>
      </w:pPr>
    </w:p>
    <w:p>
      <w:pPr>
        <w:ind w:left="3080"/>
        <w:spacing w:after="0"/>
        <w:rPr>
          <w:sz w:val="20"/>
          <w:szCs w:val="20"/>
          <w:color w:val="auto"/>
        </w:rPr>
      </w:pPr>
      <w:r>
        <w:rPr>
          <w:rFonts w:ascii="Calibri" w:cs="Calibri" w:eastAsia="Calibri" w:hAnsi="Calibri"/>
          <w:sz w:val="18"/>
          <w:szCs w:val="18"/>
          <w:b w:val="1"/>
          <w:bCs w:val="1"/>
          <w:color w:val="auto"/>
        </w:rPr>
        <w:t>Design of PHALCON-NERD-301 Phase 3 Non-Erosive Daily Dosing Clinical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152400</wp:posOffset>
            </wp:positionV>
            <wp:extent cx="4688840" cy="24688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8884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19" w:name="page20"/>
    <w:bookmarkEnd w:id="19"/>
    <w:p>
      <w:pPr>
        <w:spacing w:after="0"/>
        <w:rPr>
          <w:sz w:val="20"/>
          <w:szCs w:val="20"/>
          <w:color w:val="auto"/>
        </w:rPr>
      </w:pPr>
      <w:r>
        <w:rPr>
          <w:rFonts w:ascii="Calibri" w:cs="Calibri" w:eastAsia="Calibri" w:hAnsi="Calibri"/>
          <w:sz w:val="18"/>
          <w:szCs w:val="18"/>
          <w:i w:val="1"/>
          <w:iCs w:val="1"/>
          <w:color w:val="auto"/>
        </w:rPr>
        <w:t>Primary Endpoint of Phase 3 Clinical Trial in the Treatment of Non-Erosive GERD</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primary endpoint of the study, measured during the four-week, double-blind, placebo-controlled period, is the mean percentage of 24-hour heartburn free days. The topline results from the study showed both doses of vonoprazan, 20 mg and 10 mg, met the primary endpoint and demonstrated a signifcantly greater mean percentage of 24-hour heartburn-free days versus placebo (45% vonoprazan 10 mg, 44% vonoprazan 20 mg, 28% for placebo; p&lt;0.0001 for both vonoprazan doses versus placebo). Additonally, the median percentage of 24-hour heartburn-free days was 48%, 46% and 17% for vonoprazan 10 mg, vonoprazan 20 mg, and placebo, respectvely.</w:t>
      </w:r>
    </w:p>
    <w:p>
      <w:pPr>
        <w:spacing w:after="0" w:line="180" w:lineRule="exact"/>
        <w:rPr>
          <w:sz w:val="20"/>
          <w:szCs w:val="20"/>
          <w:color w:val="auto"/>
        </w:rPr>
      </w:pPr>
    </w:p>
    <w:p>
      <w:pPr>
        <w:jc w:val="both"/>
        <w:ind w:firstLine="509"/>
        <w:spacing w:after="0" w:line="254" w:lineRule="auto"/>
        <w:rPr>
          <w:sz w:val="20"/>
          <w:szCs w:val="20"/>
          <w:color w:val="auto"/>
        </w:rPr>
      </w:pPr>
      <w:r>
        <w:rPr>
          <w:rFonts w:ascii="Calibri" w:cs="Calibri" w:eastAsia="Calibri" w:hAnsi="Calibri"/>
          <w:sz w:val="17"/>
          <w:szCs w:val="17"/>
          <w:color w:val="auto"/>
        </w:rPr>
        <w:t>Vonoprazan was generally well tolerated in the inital four week double-blind, placebo-controlled phase of the trial. The overall adverse events for all vonoprazan arms were comparable to placebo and consistent with what was reported in previous studies. The most commonly reported adverse event was nausea (2.3% vonoprazan 10 mg, 3.1% vonoprazan 20 mg, 0.4% placebo) with no other events reported above 3.0% in either vonoprazan dose arm.</w:t>
      </w:r>
    </w:p>
    <w:p>
      <w:pPr>
        <w:spacing w:after="0" w:line="376" w:lineRule="exact"/>
        <w:rPr>
          <w:sz w:val="20"/>
          <w:szCs w:val="20"/>
          <w:color w:val="auto"/>
        </w:rPr>
      </w:pPr>
    </w:p>
    <w:p>
      <w:pPr>
        <w:jc w:val="center"/>
        <w:ind w:right="-99"/>
        <w:spacing w:after="0"/>
        <w:rPr>
          <w:sz w:val="20"/>
          <w:szCs w:val="20"/>
          <w:color w:val="auto"/>
        </w:rPr>
      </w:pPr>
      <w:r>
        <w:rPr>
          <w:rFonts w:ascii="Calibri" w:cs="Calibri" w:eastAsia="Calibri" w:hAnsi="Calibri"/>
          <w:sz w:val="18"/>
          <w:szCs w:val="18"/>
          <w:b w:val="1"/>
          <w:bCs w:val="1"/>
          <w:color w:val="auto"/>
        </w:rPr>
        <w:t>Results of Phase 3 Clinical Trial in the Treatment of Non-Erosive GERD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1573530</wp:posOffset>
            </wp:positionH>
            <wp:positionV relativeFrom="paragraph">
              <wp:posOffset>14605</wp:posOffset>
            </wp:positionV>
            <wp:extent cx="3994785" cy="23488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99478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During the 20-week extension period, patents randomized to vonoprazan 10 mg and 20 mg during the inital 4-week period remained on their blinded treatment assignment. The mean percentage of heartburn free days reported over the 20-week extension period for these patents was 63% for vonoprazan 10 mg and 61% for vonoprazan 20 mg. Additonally, patents who were randomized to placebo during the inital 4-week period were re-randomized to either vonoprazan 10 mg or 20 mg for the 20-week extension period. For these patents, the mean percentage of heartburn free days reported over the 20-week extension period was 62% for vonoprazan 10 mg and 63% for vonoprazan 20 mg. The graph below shows the percentage of subjects without heartburn over the entre 24-week course of the study in the intent-to-treat subject set, which represents subjects who received at least one dose of study medicaton during randomized treatment.</w:t>
      </w: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52" w:right="439" w:bottom="1440" w:gutter="0" w:footer="0" w:header="0"/>
        </w:sectPr>
      </w:pPr>
    </w:p>
    <w:bookmarkStart w:id="20" w:name="page21"/>
    <w:bookmarkEnd w:id="2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1468120</wp:posOffset>
            </wp:positionH>
            <wp:positionV relativeFrom="page">
              <wp:posOffset>868680</wp:posOffset>
            </wp:positionV>
            <wp:extent cx="4937760" cy="27774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493776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Vonoprazan was generally well tolerated in the 20-week extension period. The most common adverse events reported for the two vonoprazan doses during that period were upper respiratory tract infecton, sinusits, infuenza, urinary tract infecton, nasopharyngits, nausea, and gastroenterits, each reported at or below 5%.</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As Needed Dosing of Vonoprazan for the Treatment of Non-Erosive GERD</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February 2022, we announced that vonoprazan (10 mg, 20 mg and 40 mg), successfully met the primary endpoint in PHALCON-NERD-201, a Phase 2 trial evaluatng three doses of vonoprazan versus placebo as an as needed treatment of Non-Erosive GERD.</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PHALCON-NERD-201 was a Phase 2, randomized, double-blind, multcenter study that enrolled 458 subjects in the U.S. to evaluate the efcacy and safety of vonoprazan 10 mg, 20 mg, and 40 mg administered as needed for relief of episodic heartburn compared to placebo in subjects with Non-Erosive GERD (as confrmed by endoscopy). Afer an inital four-week vonoprazan 20 mg QD dose open-label run-in period, two hundred and seven subjects without a heartburn episode during the last 7 days of the run-in period and who also met drug and diary compliance requirements were randomized to receive vonoprazan 10 mg, 20 mg, 40 mg or placebo as needed for six weeks. Subjects completed an electronic diary to assess presence and severity of heartburn symptoms and use of rescue antacid (if needed).</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this Phase 2 proof-of-concept trial, the primary endpoint was the percentage of heartburn episodes completely relieved within three hours and with no further heartburn reported for 24 hours afer taking study drug. All three vonoprazan doses met this primary endpoint and were statstcally signifcant (p&lt;0.0001) when compared to placebo. Within three hours, vonoprazan 10 mg, 20 mg and 40 mg achieved complete and sustained relief in 56.0%, 60.6% and 70.0% of evaluable heartburn episodes, respectvely, as compared to 27.3% of episodes for placebo.</w:t>
      </w:r>
    </w:p>
    <w:p>
      <w:pPr>
        <w:spacing w:after="0" w:line="192"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During the PHALCON-NERD open-label daily dosing run-in phase, where all enrolled partcipants received vonoprazan 20 mg QD for four weeks, the mean percentage of 24-hour heartburn free days observed was 65.4% (median 76.0%).</w:t>
      </w:r>
    </w:p>
    <w:p>
      <w:pPr>
        <w:spacing w:after="0" w:line="17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With our recent launch of VOQUEZNA for Non-Erosive GERD, we have begun generatng real-world data which is being reviewed to understand consumer usage paterns and prescribing habits of healthcare providers. We believe these eforts will help assess the value and potental tming for advancing a Phase 3 program to evaluate the as needed dosing of VOQUEZNA for actve heartburn episodes, building on the positve results from our prior Phase 2 study.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center"/>
        <w:ind w:right="-59"/>
        <w:spacing w:after="0"/>
        <w:rPr>
          <w:sz w:val="20"/>
          <w:szCs w:val="20"/>
          <w:color w:val="auto"/>
        </w:rPr>
      </w:pPr>
      <w:r>
        <w:rPr>
          <w:rFonts w:ascii="Calibri" w:cs="Calibri" w:eastAsia="Calibri" w:hAnsi="Calibri"/>
          <w:sz w:val="18"/>
          <w:szCs w:val="18"/>
          <w:b w:val="1"/>
          <w:bCs w:val="1"/>
          <w:color w:val="auto"/>
        </w:rPr>
        <w:t>Results of Phase 2 Non-Erosive GERD As Needed Dosing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126365</wp:posOffset>
            </wp:positionV>
            <wp:extent cx="4191635" cy="255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9163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 xml:space="preserve">Vonoprazan in Combinaton with Antbiotcs for the Treatment of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Disease Burden and Outcomes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i w:val="1"/>
          <w:iCs w:val="1"/>
          <w:color w:val="auto"/>
        </w:rPr>
        <w:t xml:space="preserve">H. pylori </w:t>
      </w:r>
      <w:r>
        <w:rPr>
          <w:rFonts w:ascii="Calibri" w:cs="Calibri" w:eastAsia="Calibri" w:hAnsi="Calibri"/>
          <w:sz w:val="18"/>
          <w:szCs w:val="18"/>
          <w:color w:val="auto"/>
        </w:rPr>
        <w:t>is a bacterial pathogen that infects approximately 35% of the U.S. populaton, 45% of the EU5 populaton, and more than 50% of the global</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populaton. We estmate that there are approximately 115 million individuals in the United States and 145 million individuals in the EU5 infected with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pylori</w:t>
      </w:r>
      <w:r>
        <w:rPr>
          <w:rFonts w:ascii="Calibri" w:cs="Calibri" w:eastAsia="Calibri" w:hAnsi="Calibri"/>
          <w:sz w:val="18"/>
          <w:szCs w:val="18"/>
          <w:color w:val="auto"/>
        </w:rPr>
        <w:t>, and we believe there are approximately 2.5 million patents treated for</w:t>
      </w:r>
      <w:r>
        <w:rPr>
          <w:rFonts w:ascii="Calibri" w:cs="Calibri" w:eastAsia="Calibri" w:hAnsi="Calibri"/>
          <w:sz w:val="18"/>
          <w:szCs w:val="18"/>
          <w:i w:val="1"/>
          <w:iCs w:val="1"/>
          <w:color w:val="auto"/>
        </w:rPr>
        <w:t xml:space="preserve"> H. pylori </w:t>
      </w:r>
      <w:r>
        <w:rPr>
          <w:rFonts w:ascii="Calibri" w:cs="Calibri" w:eastAsia="Calibri" w:hAnsi="Calibri"/>
          <w:sz w:val="18"/>
          <w:szCs w:val="18"/>
          <w:color w:val="auto"/>
        </w:rPr>
        <w:t>infecton in the United States each year. As a result of the chronic</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infammaton induced by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approximately 20% of infected patents develop a range of pathologies including dyspepsia, peptc ulcer disease, gastric cancer, and MALT lymphoma. Gastric cancer is the third most common cause of cancer-related death worldwide, and over 80% of gastric cancers are atributed to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Globally there are more than one million new cases of gastric cancer and approximately 782,000 deaths each year.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has been proven to reduce the incidence of gastric cancer, and the American College of Gastroenterologists, or ACG, guidelines recommend treatment for all patents diagnosed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w:t>
      </w:r>
    </w:p>
    <w:p>
      <w:pPr>
        <w:spacing w:after="0" w:line="182"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Following the 2015 launch of vonoprazan in Japan not only did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increase, vonoprazan-containing regimens rapidly became the most common frst line treatment. One-year post launch, approximately 80% of all treated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-infected patents received vonoprazan-based regimens. In the study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-infected patents, vonoprazan-based regimens overtook PPI-based regimens as the most common frst-line treatment between 2015 and 2019. Within this Japanese database, the number of patents using vonoprazan-based regimens increased from 6,594 to 28,956 patents, while the number of patents using a PPI-based regimen decreased from 11,238 to 2,629, shown in the fgure below.</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1" w:right="399" w:bottom="1440" w:gutter="0" w:footer="0" w:header="0"/>
        </w:sectPr>
      </w:pPr>
    </w:p>
    <w:bookmarkStart w:id="22" w:name="page23"/>
    <w:bookmarkEnd w:id="22"/>
    <w:p>
      <w:pPr>
        <w:jc w:val="center"/>
        <w:ind w:right="-39"/>
        <w:spacing w:after="0"/>
        <w:rPr>
          <w:sz w:val="20"/>
          <w:szCs w:val="20"/>
          <w:color w:val="auto"/>
        </w:rPr>
      </w:pPr>
      <w:r>
        <w:rPr>
          <w:rFonts w:ascii="Calibri" w:cs="Calibri" w:eastAsia="Calibri" w:hAnsi="Calibri"/>
          <w:sz w:val="18"/>
          <w:szCs w:val="18"/>
          <w:b w:val="1"/>
          <w:bCs w:val="1"/>
          <w:color w:val="auto"/>
        </w:rPr>
        <w:t xml:space="preserve">Uptake of Vonoprazan-Based vs. PPI-Based Therapy for First Line Treatment of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 in Japan from 2015-2019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126365</wp:posOffset>
            </wp:positionV>
            <wp:extent cx="3248660" cy="197167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48660"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This same real-world study utlizing Japanese claims data also suggests that improved eradicaton rates have the potental to result in signifcant reductons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-related healthcare costs and healthcare resource utlizaton. The results of this study showed that vonoprazan was associated with lower healthcare costs and healthcare resource utlizaton than PPI-based therapy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Japan. Specifcally, during the 12 months following initaton of treatment for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all-cause healthcare costs and healthcare resource utlizaton were signifcantly lower for patents treated with vonoprazan-based triple therapy compared to a PPI-based triple therapy.</w:t>
      </w:r>
    </w:p>
    <w:p>
      <w:pPr>
        <w:spacing w:after="0" w:line="220"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 xml:space="preserve">Given the clinical and post-marketng experience in the Japanese market, we believe that vonoprazan-based treatment regimens have the potental not only to restore eradicaton rates to their 1990s rates in the United States and Europe but also to signifcantly reduce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-related healthcare costs and healthcare resource utlizaton.</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Current Treatment Paradigm in the United States and Europe</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ACG recently updated its clinical practce guideline to inform the evidence-based management of patents with H. pylori infecton in North America. ACG noted that substantal changes were made to these updated guidelines based on increasing rates of resistance to key antbiotcs used to treat H. pylori and new research on novel antbiotcs and potassium-compettve acid blockers, or PCABs. As such the use of PCABs have been incorporated into these guidelines. In treatment naive patents, dual therapy with a PCAB and amoxicillin is suggested (moderate quality evidence) for empiric, frst-line treatment. In patents with unknown clarithromycin susceptbility, PCAB-clarithromycin triple therapy is suggested over PPI-clarithromycin triple therapy (moderate quality evidence). Although PCAB based therapy is not specifcally mentoned as a recommendaton for treatment- experienced patents with H. pylori infecton, the guidelines emphasize that it can be considered in certain patents with persistent H. pylori infecton. Dual PCAB therapy may be considered in patents with no penicillin allergy and with unknown antbiotc susceptbility when optmized bismuth quadruple therapy or rifabutn triple therapy is not an opton or in patents with known clarithromycin or levofoxacin resistance. Triple PCAB therapy may be considered in patents with confrmed clarithromycin sensitvity.</w:t>
      </w:r>
    </w:p>
    <w:p>
      <w:pPr>
        <w:spacing w:after="0" w:line="18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The use of ant-secretory agents enhances the efect of antbiotcs in two ways. First, ant-secretory agents increase gastric pH, which in turn increases the stability of the antbiotcs. For example, amoxicillin and clarithromycin are chemically unstable at the low pH typically found in the human stomach. Second, several antbiotcs, including amoxicillin and clarithromycin, are most potent against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at the tme of maximum bacterial replicaton, which occurs at pH 6.0 to 8.0.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is in a dormant state at lower pH values, which reduces the efectveness of the antbiotcs.</w:t>
      </w:r>
    </w:p>
    <w:p>
      <w:pPr>
        <w:spacing w:after="0" w:line="17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 xml:space="preserve">The table below shows the minimum inhibitory concentraton of antbiotc required to eradicate 90%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 vitro, or MIC90. As pH increases, the amount of antbiotc required for 90% eradicaton decreases substantally.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1" w:right="379" w:bottom="1440" w:gutter="0" w:footer="0" w:header="0"/>
        </w:sectPr>
      </w:pPr>
    </w:p>
    <w:bookmarkStart w:id="23" w:name="page24"/>
    <w:bookmarkEnd w:id="23"/>
    <w:p>
      <w:pPr>
        <w:jc w:val="center"/>
        <w:spacing w:after="0"/>
        <w:rPr>
          <w:sz w:val="20"/>
          <w:szCs w:val="20"/>
          <w:color w:val="auto"/>
        </w:rPr>
      </w:pPr>
      <w:r>
        <w:rPr>
          <w:rFonts w:ascii="Calibri" w:cs="Calibri" w:eastAsia="Calibri" w:hAnsi="Calibri"/>
          <w:sz w:val="18"/>
          <w:szCs w:val="18"/>
          <w:b w:val="1"/>
          <w:bCs w:val="1"/>
          <w:i w:val="1"/>
          <w:iCs w:val="1"/>
          <w:color w:val="auto"/>
        </w:rPr>
        <w:t xml:space="preserve">H. pylori </w:t>
      </w:r>
      <w:r>
        <w:rPr>
          <w:rFonts w:ascii="Calibri" w:cs="Calibri" w:eastAsia="Calibri" w:hAnsi="Calibri"/>
          <w:sz w:val="18"/>
          <w:szCs w:val="18"/>
          <w:b w:val="1"/>
          <w:bCs w:val="1"/>
          <w:color w:val="auto"/>
        </w:rPr>
        <w:t>MIC</w:t>
      </w:r>
      <w:r>
        <w:rPr>
          <w:rFonts w:ascii="Calibri" w:cs="Calibri" w:eastAsia="Calibri" w:hAnsi="Calibri"/>
          <w:sz w:val="24"/>
          <w:szCs w:val="24"/>
          <w:b w:val="1"/>
          <w:bCs w:val="1"/>
          <w:color w:val="auto"/>
          <w:vertAlign w:val="subscript"/>
        </w:rPr>
        <w:t>90</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b w:val="1"/>
          <w:bCs w:val="1"/>
          <w:color w:val="auto"/>
        </w:rPr>
        <w:t>Values as a Functon of 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2036445</wp:posOffset>
            </wp:positionH>
            <wp:positionV relativeFrom="paragraph">
              <wp:posOffset>118110</wp:posOffset>
            </wp:positionV>
            <wp:extent cx="3077210" cy="12084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7210" cy="120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 xml:space="preserve">A triple therapy regimen (PPI, clarithromycin, and either amoxicillin or metronidazole) is the regimen most commonly used in clinical practce for the frst-line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However,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with PPI triple therapy in the 1990s have fallen to current levels of &lt;80%, primarily due to increased resistance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to clarithromycin and metronidazole. A recent meta-analysis indicates that U.S. resistance rates measured from 2012 to 2016 were 20% for clarithromycin, 29% for metronidazole, and 19% for levofoxacin. Additonally, in a U.S.-based study from 2021, 65.6% of tested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was resistant to at least one antbiotc currently used for treatment, with resistance rates of 33% for clarithromycin and approximately 30% for metronidazole and levofoxacin. These fgures represent a marked increase from 2009 to 2011 for both clarithromycin and metronidazole, for which resistance was 9% for clarithromycin, 21% for metronidazole, and 11% for levofoxacin.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resistance to amoxicillin remains low despite its use in most triple therapy regimens; resistance is generally &lt;2% among isolates in the United States and Europe. There is a similar trend of increasing resistance to key antbiotcs in Europe.</w:t>
      </w:r>
    </w:p>
    <w:p>
      <w:pPr>
        <w:spacing w:after="0" w:line="183" w:lineRule="exact"/>
        <w:rPr>
          <w:sz w:val="20"/>
          <w:szCs w:val="20"/>
          <w:color w:val="auto"/>
        </w:rPr>
      </w:pPr>
    </w:p>
    <w:p>
      <w:pPr>
        <w:ind w:right="140" w:firstLine="509"/>
        <w:spacing w:after="0" w:line="251" w:lineRule="auto"/>
        <w:rPr>
          <w:sz w:val="20"/>
          <w:szCs w:val="20"/>
          <w:color w:val="auto"/>
        </w:rPr>
      </w:pPr>
      <w:r>
        <w:rPr>
          <w:rFonts w:ascii="Calibri" w:cs="Calibri" w:eastAsia="Calibri" w:hAnsi="Calibri"/>
          <w:sz w:val="17"/>
          <w:szCs w:val="17"/>
          <w:color w:val="auto"/>
        </w:rPr>
        <w:t xml:space="preserve">Given the declining eradicaton rates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bismuth quadruple therapy is recommended as frst-line treatment; however, our U.S. market research study reported that physicians prescribe quadruple therapy to only 17% of frst-line patents. Due predominantly to consideratons of convenience and patent compliance, approximately 75% of physicians surveyed in our market research expressed a preference for convenience, or combinaton packs compared to individual botles for both dual and triple therapy. Further, geographic paterns of resistance in the United States are poorly understood and treatment is largely empiric, with susceptbility testng rarely conducted prior to frst-line treatment. Our U.S. market research study reported that only 8% and 16% of physicians conduct resistance testng prior to prescribing treatment for frst-line and second-line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respectvely.</w:t>
      </w:r>
    </w:p>
    <w:p>
      <w:pPr>
        <w:spacing w:after="0" w:line="18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 xml:space="preserve">In our U.S. market research study, physicians highlighted the need for more efectve and simpler frst-line treatment optons. For the treatment of </w:t>
      </w:r>
      <w:r>
        <w:rPr>
          <w:rFonts w:ascii="Calibri" w:cs="Calibri" w:eastAsia="Calibri" w:hAnsi="Calibri"/>
          <w:sz w:val="18"/>
          <w:szCs w:val="18"/>
          <w:i w:val="1"/>
          <w:iCs w:val="1"/>
          <w:color w:val="auto"/>
        </w:rPr>
        <w:t>H.</w:t>
      </w:r>
      <w:r>
        <w:rPr>
          <w:rFonts w:ascii="Calibri" w:cs="Calibri" w:eastAsia="Calibri" w:hAnsi="Calibri"/>
          <w:sz w:val="18"/>
          <w:szCs w:val="18"/>
          <w:color w:val="auto"/>
        </w:rPr>
        <w:t xml:space="preserve"> </w:t>
      </w:r>
      <w:r>
        <w:rPr>
          <w:rFonts w:ascii="Calibri" w:cs="Calibri" w:eastAsia="Calibri" w:hAnsi="Calibri"/>
          <w:sz w:val="18"/>
          <w:szCs w:val="18"/>
          <w:i w:val="1"/>
          <w:iCs w:val="1"/>
          <w:color w:val="auto"/>
        </w:rPr>
        <w:t xml:space="preserve">pylori </w:t>
      </w:r>
      <w:r>
        <w:rPr>
          <w:rFonts w:ascii="Calibri" w:cs="Calibri" w:eastAsia="Calibri" w:hAnsi="Calibri"/>
          <w:sz w:val="18"/>
          <w:szCs w:val="18"/>
          <w:color w:val="auto"/>
        </w:rPr>
        <w:t>infecton, surveyed physicians highlighted the need for improved eradicaton rates and more convenient dosing as key unmet needs. In fact, 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 xml:space="preserve">average, 53% and 52% reported a preference to use vonoprazan frst line in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and in patents with refractory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respectvely.</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H. pylori Phase 3 Clinical Trial in the United States and Europe – PHALCON-HP</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In April 2021, we announced that in PHALCON-HP, our pivotal Phase 3 clinical trial for the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both vonoprazan-based regimens successfully met their primary endpoints and met all secondary endpoints. The trial studied vonoprazan triple therapy and vonoprazan dual therapy compared to lansoprazole triple therapy. We believe PHALCON-HP was the largest U.S. Phase 3 registraton trial ever conducted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randomizing 992 patents with confrmed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PHALCON-HP was a randomized, multcenter, Phase 3 trial that enrolled 1,046 patents of which 992 patents with a confrmed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were randomized to one of three arms:</w:t>
      </w:r>
    </w:p>
    <w:p>
      <w:pPr>
        <w:spacing w:after="0" w:line="186" w:lineRule="exact"/>
        <w:rPr>
          <w:sz w:val="20"/>
          <w:szCs w:val="20"/>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vonoprazan dual therapy</w:t>
      </w:r>
      <w:r>
        <w:rPr>
          <w:rFonts w:ascii="Calibri" w:cs="Calibri" w:eastAsia="Calibri" w:hAnsi="Calibri"/>
          <w:sz w:val="18"/>
          <w:szCs w:val="18"/>
          <w:color w:val="auto"/>
        </w:rPr>
        <w:t>: vonoprazan 20 mg BID and amoxicillin 1 g TID for 14 days (n=324);</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vonoprazan triple therapy</w:t>
      </w:r>
      <w:r>
        <w:rPr>
          <w:rFonts w:ascii="Calibri" w:cs="Calibri" w:eastAsia="Calibri" w:hAnsi="Calibri"/>
          <w:sz w:val="18"/>
          <w:szCs w:val="18"/>
          <w:color w:val="auto"/>
        </w:rPr>
        <w:t>: vonoprazan 20 mg BID, amoxicillin 1000 mg BID and clarithromycin 500 mg BID for 14 days (n=338);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PPI triple therapy</w:t>
      </w:r>
      <w:r>
        <w:rPr>
          <w:rFonts w:ascii="Calibri" w:cs="Calibri" w:eastAsia="Calibri" w:hAnsi="Calibri"/>
          <w:sz w:val="18"/>
          <w:szCs w:val="18"/>
          <w:color w:val="auto"/>
        </w:rPr>
        <w:t>: lansoprazole 30 mg BID, amoxicillin 1000 mg BID and clarithromycin 500 mg BID for 14 days (n=330).</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The objectve of the PHALCON-HP trial was to compare eradicaton rates in all treated subjects as well as in two pre-identfed subgroups of patents: those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and those patents who did not have clarithromycin or amoxicillin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For regulatory purposes, the primary endpoint of this study was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4" w:right="339" w:bottom="1440" w:gutter="0" w:footer="0" w:header="0"/>
        </w:sectPr>
      </w:pPr>
    </w:p>
    <w:bookmarkStart w:id="24" w:name="page25"/>
    <w:bookmarkEnd w:id="24"/>
    <w:p>
      <w:pPr>
        <w:spacing w:after="0" w:line="227" w:lineRule="auto"/>
        <w:rPr>
          <w:sz w:val="20"/>
          <w:szCs w:val="20"/>
          <w:color w:val="auto"/>
        </w:rPr>
      </w:pPr>
      <w:r>
        <w:rPr>
          <w:rFonts w:ascii="Calibri" w:cs="Calibri" w:eastAsia="Calibri" w:hAnsi="Calibri"/>
          <w:sz w:val="18"/>
          <w:szCs w:val="18"/>
          <w:color w:val="auto"/>
        </w:rPr>
        <w:t xml:space="preserve">non-inferiority comparison in the non-resistant subgroup for each of vonoprazan triple therapy and vonoprazan dual therapy compared to lansoprazole triple therapy. All endpoints measured the percentage of patents with successful eradicaton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as assessed by </w:t>
      </w:r>
      <w:r>
        <w:rPr>
          <w:rFonts w:ascii="Calibri" w:cs="Calibri" w:eastAsia="Calibri" w:hAnsi="Calibri"/>
          <w:sz w:val="24"/>
          <w:szCs w:val="24"/>
          <w:color w:val="auto"/>
          <w:vertAlign w:val="superscript"/>
        </w:rPr>
        <w:t>13</w:t>
      </w:r>
      <w:r>
        <w:rPr>
          <w:rFonts w:ascii="Calibri" w:cs="Calibri" w:eastAsia="Calibri" w:hAnsi="Calibri"/>
          <w:sz w:val="18"/>
          <w:szCs w:val="18"/>
          <w:color w:val="auto"/>
        </w:rPr>
        <w:t xml:space="preserve">C-urea breath test four weeks afer completon of treatment. The primary analysis in the non-resistant populaton assessed the non-inferiority of vonoprazan dual therapy compared to lansoprazole triple therapy and vonoprazan triple therapy compared to lansoprazole triple therapy. Secondary analyses for superiority were conducted in all patents and in the subgroup of patents with clarithromycin-resistant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Further efcacy analyses were conducted using the pre-specifed per protocol populaton (n=822), which is comprised of patents who were protocol compliant as defned by FDA established criteria.</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Primary endpoint analysis</w:t>
      </w:r>
    </w:p>
    <w:p>
      <w:pPr>
        <w:spacing w:after="0" w:line="17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 xml:space="preserve">Both vonoprazan-based regimens successfully met their primary endpoints in the subset of patents with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strains that were not shown to be resistant to clarithromycin or amoxicillin. In the mITT populaton</w:t>
      </w:r>
      <w:r>
        <w:rPr>
          <w:rFonts w:ascii="Calibri" w:cs="Calibri" w:eastAsia="Calibri" w:hAnsi="Calibri"/>
          <w:sz w:val="18"/>
          <w:szCs w:val="18"/>
          <w:i w:val="1"/>
          <w:iCs w:val="1"/>
          <w:color w:val="auto"/>
        </w:rPr>
        <w:t>, H. pylori</w:t>
      </w:r>
      <w:r>
        <w:rPr>
          <w:rFonts w:ascii="Calibri" w:cs="Calibri" w:eastAsia="Calibri" w:hAnsi="Calibri"/>
          <w:sz w:val="18"/>
          <w:szCs w:val="18"/>
          <w:color w:val="auto"/>
        </w:rPr>
        <w:t xml:space="preserve"> eradicaton rates were 84.7% with vonoprazan triple therapy and 78.5% for vonoprazan dual therapy compared to 78.8% with lansoprazole triple therapy (p&lt;0.0001 and p=0.0073, respectvely, for non-inferiority).</w:t>
      </w:r>
    </w:p>
    <w:p>
      <w:pPr>
        <w:spacing w:after="0" w:line="192" w:lineRule="exact"/>
        <w:rPr>
          <w:sz w:val="20"/>
          <w:szCs w:val="20"/>
          <w:color w:val="auto"/>
        </w:rPr>
      </w:pPr>
    </w:p>
    <w:p>
      <w:pPr>
        <w:ind w:right="560" w:firstLine="509"/>
        <w:spacing w:after="0" w:line="235" w:lineRule="auto"/>
        <w:rPr>
          <w:sz w:val="20"/>
          <w:szCs w:val="20"/>
          <w:color w:val="auto"/>
        </w:rPr>
      </w:pPr>
      <w:r>
        <w:rPr>
          <w:rFonts w:ascii="Calibri" w:cs="Calibri" w:eastAsia="Calibri" w:hAnsi="Calibri"/>
          <w:sz w:val="18"/>
          <w:szCs w:val="18"/>
          <w:color w:val="auto"/>
        </w:rPr>
        <w:t xml:space="preserve">In the per protocol populaton,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rates were 90.4% with vonoprazan triple therapy and 81.2% with vonoprazan dual therapy compared to 82.1% with lansoprazole triple therapy (p&lt;0.0001 and p=0.0155, respectvely, for non-inferiority).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Secondary endpoint analysis</w:t>
      </w:r>
    </w:p>
    <w:p>
      <w:pPr>
        <w:spacing w:after="0" w:line="177" w:lineRule="exact"/>
        <w:rPr>
          <w:sz w:val="20"/>
          <w:szCs w:val="20"/>
          <w:color w:val="auto"/>
        </w:rPr>
      </w:pPr>
    </w:p>
    <w:p>
      <w:pPr>
        <w:ind w:right="540" w:firstLine="509"/>
        <w:spacing w:after="0" w:line="235" w:lineRule="auto"/>
        <w:rPr>
          <w:sz w:val="20"/>
          <w:szCs w:val="20"/>
          <w:color w:val="auto"/>
        </w:rPr>
      </w:pPr>
      <w:r>
        <w:rPr>
          <w:rFonts w:ascii="Calibri" w:cs="Calibri" w:eastAsia="Calibri" w:hAnsi="Calibri"/>
          <w:sz w:val="18"/>
          <w:szCs w:val="18"/>
          <w:color w:val="auto"/>
        </w:rPr>
        <w:t xml:space="preserve">Vonoprazan triple therapy and vonoprazan dual therapy also met all secondary endpoints, and demonstrated superior eradicaton rates versus lansoprazole triple therapy in all patents and patents with clarithromycin resistant strains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Patents with clarithromycin resistant strains comprised 20.3% of the PHALCON-HP study populaton.</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triple therapy</w:t>
      </w:r>
    </w:p>
    <w:p>
      <w:pPr>
        <w:spacing w:after="0" w:line="177"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triple therapy was superior to that of lansoprazole triple therapy among all patents in both the mITT populaton (80.8% vs. 68.5%; p=0.0003) and the per protocol populaton (85.7% vs. 70.0%; p&lt;0.0001).</w:t>
      </w:r>
    </w:p>
    <w:p>
      <w:pPr>
        <w:spacing w:after="0" w:line="177" w:lineRule="exact"/>
        <w:rPr>
          <w:sz w:val="20"/>
          <w:szCs w:val="20"/>
          <w:color w:val="auto"/>
        </w:rPr>
      </w:pPr>
    </w:p>
    <w:p>
      <w:pPr>
        <w:ind w:right="200" w:firstLine="509"/>
        <w:spacing w:after="0" w:line="258" w:lineRule="auto"/>
        <w:rPr>
          <w:sz w:val="20"/>
          <w:szCs w:val="20"/>
          <w:color w:val="auto"/>
        </w:rPr>
      </w:pPr>
      <w:r>
        <w:rPr>
          <w:rFonts w:ascii="Calibri" w:cs="Calibri" w:eastAsia="Calibri" w:hAnsi="Calibri"/>
          <w:sz w:val="17"/>
          <w:szCs w:val="17"/>
          <w:color w:val="auto"/>
        </w:rPr>
        <w:t xml:space="preserve">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rate of vonoprazan triple therapy was superior to that of lansoprazole triple therapy in the subset of patents with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strains resistant to clarithromycin in both the mITT populaton (65.8% vs. 31.9%; p&lt;0.0001) and the per protocol populaton (67.2% vs. 29.0%; p&lt;0.0001).</w:t>
      </w:r>
    </w:p>
    <w:p>
      <w:pPr>
        <w:spacing w:after="0" w:line="17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dual therapy</w:t>
      </w:r>
    </w:p>
    <w:p>
      <w:pPr>
        <w:spacing w:after="0" w:line="177"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 xml:space="preserve">The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eradicaton rate of vonoprazan dual therapy was superior to that of lansoprazole triple therapy among all patents in both the mITT populaton (77.2% vs. 68.5%; p=0.0127) and the per protocol populaton (81.1% vs. 70.0%; p=0.0027).</w:t>
      </w:r>
    </w:p>
    <w:p>
      <w:pPr>
        <w:spacing w:after="0" w:line="177" w:lineRule="exact"/>
        <w:rPr>
          <w:sz w:val="20"/>
          <w:szCs w:val="20"/>
          <w:color w:val="auto"/>
        </w:rPr>
      </w:pPr>
    </w:p>
    <w:p>
      <w:pPr>
        <w:ind w:right="260" w:firstLine="509"/>
        <w:spacing w:after="0" w:line="258" w:lineRule="auto"/>
        <w:rPr>
          <w:sz w:val="20"/>
          <w:szCs w:val="20"/>
          <w:color w:val="auto"/>
        </w:rPr>
      </w:pPr>
      <w:r>
        <w:rPr>
          <w:rFonts w:ascii="Calibri" w:cs="Calibri" w:eastAsia="Calibri" w:hAnsi="Calibri"/>
          <w:sz w:val="17"/>
          <w:szCs w:val="17"/>
          <w:color w:val="auto"/>
        </w:rPr>
        <w:t xml:space="preserve">The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eradicaton rate of vonoprazan dual therapy was superior to that of lansoprazole triple therapy in the subset of patents with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strains resistant to clarithromycin in both the mITT populaton (69.6% vs. 31.9%; p&lt;0.0001) and the per protocol populaton (79.5% vs. 29.0%; p&lt;0.0001).</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5" w:name="page26"/>
    <w:bookmarkEnd w:id="25"/>
    <w:p>
      <w:pPr>
        <w:jc w:val="center"/>
        <w:spacing w:after="0"/>
        <w:rPr>
          <w:sz w:val="20"/>
          <w:szCs w:val="20"/>
          <w:color w:val="auto"/>
        </w:rPr>
      </w:pPr>
      <w:r>
        <w:rPr>
          <w:rFonts w:ascii="Calibri" w:cs="Calibri" w:eastAsia="Calibri" w:hAnsi="Calibri"/>
          <w:sz w:val="18"/>
          <w:szCs w:val="18"/>
          <w:b w:val="1"/>
          <w:bCs w:val="1"/>
          <w:color w:val="auto"/>
        </w:rPr>
        <w:t xml:space="preserve">Results of US/EU Phase 3 Clinical Trial in </w:t>
      </w:r>
      <w:r>
        <w:rPr>
          <w:rFonts w:ascii="Calibri" w:cs="Calibri" w:eastAsia="Calibri" w:hAnsi="Calibri"/>
          <w:sz w:val="18"/>
          <w:szCs w:val="18"/>
          <w:b w:val="1"/>
          <w:bCs w:val="1"/>
          <w:i w:val="1"/>
          <w:iCs w:val="1"/>
          <w:color w:val="auto"/>
        </w:rPr>
        <w:t>H. pylori</w:t>
      </w:r>
      <w:r>
        <w:rPr>
          <w:rFonts w:ascii="Calibri" w:cs="Calibri" w:eastAsia="Calibri" w:hAnsi="Calibri"/>
          <w:sz w:val="18"/>
          <w:szCs w:val="18"/>
          <w:b w:val="1"/>
          <w:bCs w:val="1"/>
          <w:color w:val="auto"/>
        </w:rPr>
        <w:t xml:space="preserve"> Infecton</w:t>
      </w:r>
    </w:p>
    <w:p>
      <w:pPr>
        <w:spacing w:after="0" w:line="172"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Primary Endpoint Analysis –Subjects without clarithromycin or amoxicillin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126365</wp:posOffset>
            </wp:positionV>
            <wp:extent cx="5349240" cy="1920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Secondary Endpoint Analyses – All subject and subjects with clarithromycin resistant strains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126365</wp:posOffset>
            </wp:positionV>
            <wp:extent cx="5349240" cy="26485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34924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Calibri" w:cs="Calibri" w:eastAsia="Calibri" w:hAnsi="Calibri"/>
          <w:sz w:val="18"/>
          <w:szCs w:val="18"/>
          <w:color w:val="auto"/>
        </w:rPr>
        <w:t>Antbiotc resistance and declining eradicaton rates are signifcant clinical issues, and we believe that vonoprazan triple therapy and vonoprazan dual therapy have the potental to provide improvements over PPI-based therapies in addressing each of these issues. Vonoprazan dual therapy also has potental to spare the use of clarithromycin, representng an opportunity both for efectve treatment and sound antbiotc stewardship through the avoidance of an additonal antbiotc. As an alternatve to mult-antbiotc drug regimens, vonoprazan dual therapy might also help to limit the spread of resistance among other pathogenic bacteria within populatons. In additon, vonoprazan triple therapy and vonoprazan dual therapy will both be available in daily dosing blister cards inclusive of the appropriate antbiotc. We believe this convenience pack has the potental to enhance compliance in a category where full adherence to treatment regimen is ofen a challenge.</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26" w:name="page27"/>
    <w:bookmarkEnd w:id="26"/>
    <w:p>
      <w:pPr>
        <w:spacing w:after="0"/>
        <w:rPr>
          <w:sz w:val="20"/>
          <w:szCs w:val="20"/>
          <w:color w:val="auto"/>
        </w:rPr>
      </w:pPr>
      <w:r>
        <w:rPr>
          <w:rFonts w:ascii="Calibri" w:cs="Calibri" w:eastAsia="Calibri" w:hAnsi="Calibri"/>
          <w:sz w:val="18"/>
          <w:szCs w:val="18"/>
          <w:b w:val="1"/>
          <w:bCs w:val="1"/>
          <w:i w:val="1"/>
          <w:iCs w:val="1"/>
          <w:color w:val="auto"/>
        </w:rPr>
        <w:t>Convenience Packs for H. pylori</w:t>
      </w:r>
    </w:p>
    <w:p>
      <w:pPr>
        <w:spacing w:after="0" w:line="177"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In December 2023, we launched VOQUEZNA TRIPLE PAK and VOQUEZNA DUAL PAK products which became available at retail pharmacies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15240</wp:posOffset>
            </wp:positionV>
            <wp:extent cx="4551680" cy="256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5168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Convenience packs have the potental to improve patent adherence and treatment outcomes, and we believe there is a meaningful market opportunity for such a product. In the United States, PrevPac was formerly marketed as a pre-packaged convenience pack of lansoprazole, clarithromycin, and amoxicillin and achieved peak sales of $150 million. In Japan, vonoprazan is marketed both as a stand-alone medicine as well as in pre-packaged convenience packs with either clarithromycin and amoxicillin (Vonosap) or metronidazole and amoxicillin (Vonopion).</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Summary of Vonoprazan Safety Data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Safety in Clinical Studies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2024, approximately 9,400 subjects have been exposed to vonoprazan in completed and ongoing Phase 1 to 3 clinical trials. The doses studied have ranged from 1 to 120 mg with duratons up to one year.</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PHALCON-HP, both vonoprazan-based regimens were generally well tolerated with safety results comparable to patents who received lansoprazole triple therapy. The most common adverse events (≥2.0%) reported in the vonoprazan triple therapy, vonoprazan dual therapy, and lansoprazole triple therapy arms, respectvely, were diarrhea (4.0%, 5.2%, and 9.6%), dysgeusia (4.3%, 0.6%, and 6.1%), abdominal pain (2.3%, 2.6% and 2.9%), headache (2.6%, 1.4%, 1.4%), vulvovaginal candidiasis (2.3%, 1.4%, 1.2%), hypertension (2.0%, 1.1%, 0.9%), and nasopharyngits (0.3%, 2.0%, 0.9%). Overall rates of discontnuaton due to adverse events were 2.3% for vonoprazan triple therapy-treated patents, 0.9% for vonoprazan dual therapy-treated patents, and 1.2% for lansoprazole triple therapy-treated patents.</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Additonally, the safety results for vonoprazan observed in PHALCON-EE were consistent with the results observed in prior clinical studies. In the healing phase of the study, the most common adverse events (≥2%) were abdominal pain (2.1% for vonoprazan and 1.2% for lansoprazole), diarrhea (2.1% for vonoprazan and 2.5% for lansoprazole). Rates of discontnuaton due to adverse events in the healing phase were 1% for vonoprazan 20 mg and 2.2% for lansoprazole 30 mg.</w:t>
      </w:r>
    </w:p>
    <w:p>
      <w:pPr>
        <w:spacing w:after="0" w:line="179" w:lineRule="exact"/>
        <w:rPr>
          <w:sz w:val="20"/>
          <w:szCs w:val="20"/>
          <w:color w:val="auto"/>
        </w:rPr>
      </w:pPr>
    </w:p>
    <w:p>
      <w:pPr>
        <w:ind w:right="320" w:firstLine="509"/>
        <w:spacing w:after="0" w:line="249" w:lineRule="auto"/>
        <w:rPr>
          <w:sz w:val="20"/>
          <w:szCs w:val="20"/>
          <w:color w:val="auto"/>
        </w:rPr>
      </w:pPr>
      <w:r>
        <w:rPr>
          <w:rFonts w:ascii="Calibri" w:cs="Calibri" w:eastAsia="Calibri" w:hAnsi="Calibri"/>
          <w:sz w:val="17"/>
          <w:szCs w:val="17"/>
          <w:color w:val="auto"/>
        </w:rPr>
        <w:t>In the maintenance phase of the study, the most common adverse events (≥2%) were gastrits (2.7% vonoprazan 10 mg, 6.4% vonoprazan 20 mg, 2.7% lansoprazole), diarrhea (1.0% vonoprazan 10 mg, 2.7% vonoprazan 20 mg, 4.4% lansoprazole), abdominal pain (4.1% vonoprazan 10 mg, 5.4% vonoprazan 20 mg, 2.4% lansoprazole), dyspepsia (3.7% vonoprazan 10 mg, 4.1% vonoprazan 20 mg, 2.7% lansoprazole), gastroesophageal refux disease</w:t>
      </w:r>
    </w:p>
    <w:p>
      <w:pPr>
        <w:spacing w:after="0" w:line="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(2.4% vonoprazan 10 mg, 3.7% vonoprazan 20 mg, 2.0 lansoprazole), hypertension (3.0% vonoprazan 10 mg, 3.4% vonoprazan 20 mg, 2.0% lansoprazole), liver functon test (1.0% vonoprazan 10 mg, 2.0% vonoprazan 20 mg, 3.0% lansoprazole), and nausea (2.0% vonoprazan 10 mg, 1.4% vonoprazan 20 mg, 1.0% lansoprazole).</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27" w:name="page28"/>
    <w:bookmarkEnd w:id="27"/>
    <w:p>
      <w:pPr>
        <w:ind w:right="580"/>
        <w:spacing w:after="0" w:line="235" w:lineRule="auto"/>
        <w:rPr>
          <w:sz w:val="20"/>
          <w:szCs w:val="20"/>
          <w:color w:val="auto"/>
        </w:rPr>
      </w:pPr>
      <w:r>
        <w:rPr>
          <w:rFonts w:ascii="Calibri" w:cs="Calibri" w:eastAsia="Calibri" w:hAnsi="Calibri"/>
          <w:sz w:val="18"/>
          <w:szCs w:val="18"/>
          <w:color w:val="auto"/>
        </w:rPr>
        <w:t>Rates of discontnuaton due to adverse events in the maintenance phase were 0.7% for vonoprazan 10 mg, 2.7% for vonoprazan 20 mg, and 0.7% for lansoprazole.</w:t>
      </w:r>
    </w:p>
    <w:p>
      <w:pPr>
        <w:spacing w:after="0" w:line="177"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Frequency of serious adverse events, or SAEs, in the healing phase were similar between vonoprazan 20 mg and lansoprazole at 0.6%. In the maintenance phase, SAEs were reported in 4.7% of patents for vonoprazan 20 mg, 3.4% for vonoprazan 10 mg and 2.4% for lansoprazole. Further, this clinical trial was conducted during the 2020-2021 global pandemic, and coronavirus infecton was reported in 2.1% of the vonoprazan 20 mg-treated patents and 1.8% of the lansoprazole-treated patents in the healing phase whereas it was reported in 6.1% of the vonoprazan 10 mg-treated patents, 10.1% of the vonoprazan 20 mg-treated patents and 6.7% of the lansoprazole-treated patents in the maintenance phase. There were 2 deaths in the vonoprazan 20 mg-treated patents due to coronavirus infecton. None of the coronavirus infecton events reported were considered related by the investgator.</w:t>
      </w:r>
    </w:p>
    <w:p>
      <w:pPr>
        <w:spacing w:after="0" w:line="16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PHALCON-NERD-301, vonoprazan was generally well tolerated in the inital four-week double-blind, placebo-controlled phase of the trial. The overall adverse events for all vonoprazan arms were comparable to placebo and consistent with what was reported in previous studies. The most commonly reported adverse event was nausea (2.3% vonoprazan 10 mg, 3.1% vonoprazan 20 mg, 0.4% placebo) with no other events reported above 3.0% in either vonoprazan dose arm. There was a total of three SAEs reported in the four-week period of the study, one in the vonoprazan 10 mg arm and two in the vonoprazan 20 mg arm. The most common adverse events reported for the two vonoprazan doses during the 20-week extension period were upper respiratory tract infecton, sinusits, infuenza, urinary tract infecton, nasopharyngits, nausea, and gastroenterits, reported at or below 5%.</w:t>
      </w:r>
    </w:p>
    <w:p>
      <w:pPr>
        <w:spacing w:after="0" w:line="19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PHALCON-NERD-201, vonoprazan was generally well tolerated. In both phases of the trial, no adverse event was reported in more than three percent of the partcipants in a treatment group. There was a total of four SAEs in the daily dosing phase, only one of which was related to study drug, and no SAEs in the as needed phase. The safety data for all vonoprazan arms were comparable to placebo and consistent with what was reported in previous studies.</w:t>
      </w:r>
    </w:p>
    <w:p>
      <w:pPr>
        <w:spacing w:after="0" w:line="1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also conducted a Phase 1, open-label study (VONO-401) to evaluate the pharmacokinetcs, or PK, of vonoprazan in the breast milk of healthy lactatng women following 20 mg once-daily or twice-daily regimens. The study enrolled women who had been breasteeding or pumping for at least 4 weeks postpartum and temporarily discontnued breasteeding during the treatment period. PK assessments demonstrated that the excreton of vonoprazan into breast milk was negligible, with less than 0.03% of the administered dose excreted and less than 0.3% of the weight-adjusted maternal dose potentally consumed by infants. Safety evaluatons indicated that vonoprazan was well tolerated, with no signifcant safety concerns identfed. These results suggest limited infant exposure to vonoprazan through breast milk.</w:t>
      </w:r>
    </w:p>
    <w:p>
      <w:pPr>
        <w:spacing w:after="0" w:line="181" w:lineRule="exact"/>
        <w:rPr>
          <w:sz w:val="20"/>
          <w:szCs w:val="20"/>
          <w:color w:val="auto"/>
        </w:rPr>
      </w:pPr>
    </w:p>
    <w:p>
      <w:pPr>
        <w:ind w:right="60" w:firstLine="509"/>
        <w:spacing w:after="0" w:line="250" w:lineRule="auto"/>
        <w:rPr>
          <w:sz w:val="20"/>
          <w:szCs w:val="20"/>
          <w:color w:val="auto"/>
        </w:rPr>
      </w:pPr>
      <w:r>
        <w:rPr>
          <w:rFonts w:ascii="Calibri" w:cs="Calibri" w:eastAsia="Calibri" w:hAnsi="Calibri"/>
          <w:sz w:val="17"/>
          <w:szCs w:val="17"/>
          <w:color w:val="auto"/>
        </w:rPr>
        <w:t>Certain earlier generaton PCABs previously under development by other companies may have been discontnued in-part due to their hepatc safety profle. These hepatc safety concerns may be compound-specifc and not generalizable to the PCAB class. It is notable that vonoprazan is based on a pyrrole chemical structure and is chemically distnct from previously discontnued PCABs that were based on an imidazole structure. Vonoprazan has had a similar hepatc safety profle to lansoprazole across all clinical studies conducted by Takeda, in which 1.0% of subjects treated with vonoprazan 10 mg or 20 mg and 0.8% of subjects treated with lansoprazole 15 mg or 30 mg had alanine transaminase or ALT or aspartate transaminase or AST elevatons greater than three tmes the upper limit of normal or bilirubin elevatons greater than two tmes the upper limit of normal. Similarly, in the healing phase of PHALCON-EE, transient elevatons in ALT or AST greater than 3 tmes the upper limit of normal were observed in 0.4% of subjects treated with vonoprazan 20 mg and 0.2% of subjects treated with lansoprazole. In the maintenance phase, transient ALT or AST elevatons greater than three tmes the upper limit of normal were observed in 1% of subjects treated with vonoprazan 10 mg, 0.3% of subjects treated with vonoprazan 20 mg, and 2% of subjects treated with lansoprazole.</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Post-Marketng Safety in Japan and Asia</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most recent post-marketng safety report from December 2023 includes a worldwide cumulatve estmate of over 60 million patents who have received vonoprazan since its approval in late 2014. Based on the post-marketng experience, the clinically signifcant adverse reactons secton of the Japanese prescribing informaton for vonoprazan was updated to include shock, anaphylaxis, hepatc impairment, skin reactons such as toxic epidermal necrolysis, Steven-Johnson syndrome, and erythema multforme; and events of pancytopenia, agranulocytosis, leukocytopenia, and thrombocytopenia. The incidence of these reactons was considered extremely rare (less than 1 in 100,000 patents) and a causal relatonship to vonoprazan could not be ruled out. Although serious hepatc adverse events have been observed among patents exposed to vonoprazan in Japan in the post-marketng setng, these cases were typically confounded by comorbidites or other concomitant medicatons and believed to be idiosyncratc reactons. Post-marketng safety data, including the December 2023 post-marketng safety report, has been submited to the Pharmaceutcals and Medical Devices Agency. Moreover, the fnal results from the VISION trial, a fve-year randomized, open-label,</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28" w:name="page29"/>
    <w:bookmarkEnd w:id="28"/>
    <w:p>
      <w:pPr>
        <w:ind w:right="80"/>
        <w:spacing w:after="0" w:line="274" w:lineRule="auto"/>
        <w:rPr>
          <w:sz w:val="20"/>
          <w:szCs w:val="20"/>
          <w:color w:val="auto"/>
        </w:rPr>
      </w:pPr>
      <w:r>
        <w:rPr>
          <w:rFonts w:ascii="Calibri" w:cs="Calibri" w:eastAsia="Calibri" w:hAnsi="Calibri"/>
          <w:sz w:val="18"/>
          <w:szCs w:val="18"/>
          <w:color w:val="auto"/>
        </w:rPr>
        <w:t>multcenter study conducted by Takeda evaluatng the long-term efcacy and safety of vonoprazan compared with the PPI lansoprazole in patents with EE, further demonstrate that the safety profle of vonoprazan is generally comparable to lansoprazole.</w:t>
      </w:r>
    </w:p>
    <w:p>
      <w:pPr>
        <w:spacing w:after="0" w:line="15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Vonoprazan Launch in Japan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Regulatory Status</w:t>
      </w:r>
    </w:p>
    <w:p>
      <w:pPr>
        <w:spacing w:after="0" w:line="190"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Vonoprazan frst received approval in Japan on December 26, 2014, and was launched shortly thereafer in February 2015, as TAKECAB® for the following indicatons:</w:t>
      </w:r>
    </w:p>
    <w:p>
      <w:pPr>
        <w:spacing w:after="0" w:line="186"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Healing and maintenance of healing of erosive esophagits;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 xml:space="preserve">Adjunct to antbiotcs in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treatment;</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Gastric ulcer;</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Duodenal ulcer;</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Preventon of recurrence of gastric ulcer or duodenal ulcer during low-dose aspirin administraton;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Preventon of recurrence of gastric ulcer or duodenal ulcer during nonsteroidal ant-infammatory drug (NSAID) administraton.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Vonoprazan was subsequently approved in Japan in February 2016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 combinaton packs with antbiotcs (Vonosap Pack 400, Vonosap Pack 800, and Vonopion Pack), and has since been approved in numerous other countries in Asia and Latn America as well as Russia.</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Vonoprazan Commercializaton in Japan</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Vonoprazan generated peak net sales of approximately $850 million and contnues to achieve volume growth during its tenth full year on the market since its approval in 2014. Based upon sales during the 3-month period ending March 2024, vonoprazan had achieved a 34% share based on volume and a 63% market share based on sales among acid suppression therapies in 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836295</wp:posOffset>
            </wp:positionH>
            <wp:positionV relativeFrom="paragraph">
              <wp:posOffset>127000</wp:posOffset>
            </wp:positionV>
            <wp:extent cx="5795010" cy="257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50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We believe that the market dynamic for ant-secretory agents in Japan is similar to that in the United States. In both countries, the ant-secretory market is largely genericized. Ahead of the vonoprazan launch in Japan, all PPIs, other than Nexium, were available as generics. As of September 2022, generic drugs in Japan represent approximately 80% of the market by volume, compared to the United States where generics are currently approximately 90% of the market by volume. Although vonoprazan and</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6" w:right="419" w:bottom="1440" w:gutter="0" w:footer="0" w:header="0"/>
        </w:sectPr>
      </w:pPr>
    </w:p>
    <w:bookmarkStart w:id="29" w:name="page30"/>
    <w:bookmarkEnd w:id="29"/>
    <w:p>
      <w:pPr>
        <w:spacing w:after="0"/>
        <w:rPr>
          <w:sz w:val="20"/>
          <w:szCs w:val="20"/>
          <w:color w:val="auto"/>
        </w:rPr>
      </w:pPr>
      <w:r>
        <w:rPr>
          <w:rFonts w:ascii="Calibri" w:cs="Calibri" w:eastAsia="Calibri" w:hAnsi="Calibri"/>
          <w:sz w:val="18"/>
          <w:szCs w:val="18"/>
          <w:color w:val="auto"/>
        </w:rPr>
        <w:t>Dexilant are priced at a premium to generic PPIs in Japan and the United States, respectvely, both have experienced commercial success.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VOQUEZNA Commercial Opportunity and Strategy</w:t>
      </w:r>
    </w:p>
    <w:p>
      <w:pPr>
        <w:spacing w:after="0" w:line="217"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market for preventon and treatment of acid-related GI diseases in the United States and Europe is large. In the U.S., there were approximately 7.9 billion prescripton PPI doses dispensed during the 12 months ended December 31, 2024.</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Over many decades of use, multple drug classes and individual drugs have demonstrated the substantal commercial opportunity for therapies treatng acid-related GI diseases. H2RAs including Axid, Pepcid, Tagamet, and Zantac provided the frst signifcant improvement in disease management over antacids and as a class reached approximately $3.5 billion in annual sales. Afer H2RAs, PPIs emerged as the new standard of care. Prior to the introducton of generic and OTC alternatves, annual PPI class sales reached approximately $12.5 billion in the United States, and peak sales for individual brands were approximately $3.7 billion for Prilosec, $3.5 billion for Nexium, and $3.4 billion for Prevacid.</w:t>
      </w:r>
    </w:p>
    <w:p>
      <w:pPr>
        <w:spacing w:after="0" w:line="19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 xml:space="preserve">We believe our success in securing broad market access and formulary positoning comes from our diferentated profle and superiority demonstrated in our Phase 3 clinical trials in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from the PPI-based standard of care. For example, following approval of VOQUEZNA, VOQUEZNA TRIPLE PAK and VOQUEZNA DUAL PAK, we believe our interactons with payers highlight the favorable commercial coverage secured to date of these products. As of February 2025, approximately 120 million commercially covered lives in the United States have access to VOQUEZNA tablets, comprising an estmated 80% of total U.S. commercial lives. We believe our approved VOQUEZNA-based therapies have the potental to improve the standard of care for acid-related GI diseases by providing a safe and efectve treatment opton for the millions of patents not fully satsfed with their other current treatment optons.</w:t>
      </w:r>
    </w:p>
    <w:p>
      <w:pPr>
        <w:spacing w:after="0" w:line="181" w:lineRule="exact"/>
        <w:rPr>
          <w:sz w:val="20"/>
          <w:szCs w:val="20"/>
          <w:color w:val="auto"/>
        </w:rPr>
      </w:pPr>
    </w:p>
    <w:p>
      <w:pPr>
        <w:ind w:right="120" w:firstLine="509"/>
        <w:spacing w:after="0" w:line="254" w:lineRule="auto"/>
        <w:rPr>
          <w:sz w:val="20"/>
          <w:szCs w:val="20"/>
          <w:color w:val="auto"/>
        </w:rPr>
      </w:pPr>
      <w:r>
        <w:rPr>
          <w:rFonts w:ascii="Calibri" w:cs="Calibri" w:eastAsia="Calibri" w:hAnsi="Calibri"/>
          <w:sz w:val="17"/>
          <w:szCs w:val="17"/>
          <w:color w:val="auto"/>
        </w:rPr>
        <w:t>In May 2022, we conducted a U.S. market research study with 90 gastroenterologists, 90 primary care physicians and 45 advanced practce providers who treat GERD. Before seeing the vonoprazan clinical data, 82% of these clinicians strongly agreed that PPIs are the most potent class of acid suppressing agents. Afer review of vonoprazan clinical data and messages, only 34% strongly agreed that PPIs are the most potent class of acid suppressing agents.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Sales and Marketng</w:t>
      </w:r>
    </w:p>
    <w:p>
      <w:pPr>
        <w:spacing w:after="0" w:line="190"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 xml:space="preserve">We have established robust marketng, sales, and distributon capabilites to support the launch of our approved products and we are independently commercializing VOQUEZNA, VOQUEZNA TRIPLE PAK and VOQUEZNA DUAL PAK in the United States through an experienced natonal sales force. We believe we can successfully commercialize our approved products in the United States with a focused sales force targetng high prescribers of PPIs, partcularly gastroenterologists and primary care physicians. Our strategy is to target approximately 52,000 core high volume PPI prescribers in the treatment of GERD and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infecton. According to IQVIA data, of these physicians, each write on average approximately 1,200 PPI prescriptons annually. We are not aware of any ant-secretory product that has been promoted to this core group of prescribers, nor to the broader medical community, for nearly a decade. In the United States, we sell primarily to pharmaceutcal wholesale distributors, which are the principal means of distributng our products to healthcare providers.</w:t>
      </w:r>
    </w:p>
    <w:p>
      <w:pPr>
        <w:spacing w:after="0" w:line="16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also market certain products through direct-to-consumer channels, including across streaming platorms, traditonal broadcast and cable television, and consumer-facing digital channels including Facebook, Instagram, waitng room TVs in doctors’ ofces, and digital banner ads. Since launch, the campaign has reached millions of GERD suferers and is driving strong patent engagement, increasing prescripton requests, and motvatng patents to explore a treatment opton that works diferently than PPIs.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Additonal Vonoprazan Development Opportunites</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Eosinophilic Esophagits and Other Indicatons</w:t>
      </w:r>
    </w:p>
    <w:p>
      <w:pPr>
        <w:spacing w:after="0" w:line="19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 xml:space="preserve">While we are initally focused on the commercializaton of vonoprazan for the treatment of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we believe there are opportunites to expand the use of vonoprazan to other indicatons in our licensed territories. For example, we plan to expand clinical development of vonoprazan in the U.S. into EoE, the most common type of eosinophilic gastrointestnal disease. EoE is an autoimmune disease with signifcant unmet need and can result in trouble swallowing, chest pain, vomitng and impacton of food in the esophagus, a medical emergency. There are only two FDA-approved treatments for EoE. Although not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30" w:name="page31"/>
    <w:bookmarkEnd w:id="30"/>
    <w:p>
      <w:pPr>
        <w:spacing w:after="0" w:line="235" w:lineRule="auto"/>
        <w:rPr>
          <w:sz w:val="20"/>
          <w:szCs w:val="20"/>
          <w:color w:val="auto"/>
        </w:rPr>
      </w:pPr>
      <w:r>
        <w:rPr>
          <w:rFonts w:ascii="Calibri" w:cs="Calibri" w:eastAsia="Calibri" w:hAnsi="Calibri"/>
          <w:sz w:val="18"/>
          <w:szCs w:val="18"/>
          <w:color w:val="auto"/>
        </w:rPr>
        <w:t>approved for this indicaton, PPIs are ofen prescribed as a frst-line therapy for the treatment of EoE. Vonoprazan demonstrated similar efcacy to PPIs in an investgator-sponsored EoE clinical trial in Japan. In this clinical trial, 112 patents with EoE were treated with vonoprazan, or the PPI rabeprazole or esomeprazole. Of patents treated with vonoprazan, 82% had complete relief of symptoms compared to 70% for esomeprazole and 76-78% for rabeprazole. Similarly, 35% of patents treated with vonoprazan demonstrated complete remission of EoE by histology, compared to 37% for esomeprazole and 31-38% for rabeprazole. Given the limited choices of therapies for EoE and vonoprazan’s demonstrated potental, we believe EoE is an important indicaton for future study. We have obtained FDA feedback on the design of a Phase 2 study investgatng VOQUEZNA as a potental treatment for EoE, in adults and adolescents, and plan to initate the study in the frst half of 2025.</w:t>
      </w:r>
    </w:p>
    <w:p>
      <w:pPr>
        <w:spacing w:after="0" w:line="181" w:lineRule="exact"/>
        <w:rPr>
          <w:sz w:val="20"/>
          <w:szCs w:val="20"/>
          <w:color w:val="auto"/>
        </w:rPr>
      </w:pPr>
    </w:p>
    <w:p>
      <w:pPr>
        <w:ind w:right="600" w:firstLine="509"/>
        <w:spacing w:after="0" w:line="258" w:lineRule="auto"/>
        <w:rPr>
          <w:sz w:val="20"/>
          <w:szCs w:val="20"/>
          <w:color w:val="auto"/>
        </w:rPr>
      </w:pPr>
      <w:r>
        <w:rPr>
          <w:rFonts w:ascii="Calibri" w:cs="Calibri" w:eastAsia="Calibri" w:hAnsi="Calibri"/>
          <w:sz w:val="17"/>
          <w:szCs w:val="17"/>
          <w:color w:val="auto"/>
        </w:rPr>
        <w:t>In additon to EoE, Barret’s esophagus and Zollinger Ellison syndrome are severe diseases related to acid secreton where PPIs are the current standard of care. The improved acid control of vonoprazan relatve to PPIs may lead to use in these indicatons with improved results over PPIs.</w:t>
      </w:r>
    </w:p>
    <w:p>
      <w:pPr>
        <w:spacing w:after="0" w:line="15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Formulatons and Packaging</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Orally Disintegratng Tablet</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Takeda currently commercializes an orally disintegratng tablet, or ODT, formulaton for vonoprazan in Japan and we are in the process of developing our own ODT formulaton. We plan to conduct one or more Phase 1 trials to support potental approval of this alternatve formulaton. We believe that an ODT formulaton represents a meaningful commercial opportunity for patents with difculty swallowing in adults as well as will provide more desirable dosing administraton optons for children. It is estmated peak U.S. sales of the lansoprazole ODT formulaton were over $450 million.</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Over the Counter Use</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believe that vonoprazan has the ideal profle for an OTC product, including the potental for as needed symptom relief and a well-tolerated safety profle. Sales of OTC heartburn relief products in the United States are substantal, consttutng a mult-billion-dollar market. We plan to explore the economics and potental development in this market to determine the best strategy going forward.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Competton</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biopharmaceutcal industry is characterized by rapidly advancing technologies, intense competton and strong emphasis on proprietary products. We face potental competton from many sources, including major pharmaceutcal, specialty pharmaceutcal and biotechnology companies, academic insttutons and government agencies and public and private research insttutons. In the United States, VOQUEZNA, VOQUEZNA TRIPLE PAK and VOQUEZNA DUAL PAK all compete, and if approved in Europe and/or Canada will compete, with existng therapies and new therapies that may become available in the future.</w:t>
      </w:r>
    </w:p>
    <w:p>
      <w:pPr>
        <w:spacing w:after="0" w:line="193"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Some of our compettors, either alone or with their strategic partners, have substantally greater fnancial, technical and human resources and signifcantly greater experience in the discovery and development of product candidates, obtaining FDA and other regulatory approvals of treatments and commercializing those treatments. These same compettors may invent technology that competes with vonoprazan. Mergers and acquisitons in the biotechnology and pharmaceutcal industries may result in even more resources being concentrated among a smaller number of our compettors. These compettors also compete with us in recruitng and retaining qualifed scientfc and management personnel and establishing clinical trial sites and subject recruitment for clinical trials, as well as in acquiring technologies complementary to, or necessary for, our programs. Smaller or early-stage companies may also prove to be signifcant compettors, partcularly through collaboratve arrangements with large and established companies.</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commercial opportunity could be reduced or eliminated if our compettors develop and commercialize products that are more efectve, have fewer or less severe side efects, are more convenient or are less expensive than any products that we may develop. Outside the U.S., our compettors may obtain regulatory approval for, or initate commercial launch of, their products more rapidly than we may obtain approval for or launch products containing vonoprazan, which could result in our compettors establishing a strong market positon before we are able to enter the market. In additon, VOQUEZNA, VOQUEZNA TRIPLE PAK and VOQUEZNA DUAL PAK, are priced at a premium over compettve generic products in the U.S., and our ability to compete may be afected in many cases by insurers or other third-party payers seeking to encourage the use of generic products.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1" w:name="page32"/>
    <w:bookmarkEnd w:id="31"/>
    <w:p>
      <w:pPr>
        <w:ind w:right="20" w:firstLine="509"/>
        <w:spacing w:after="0" w:line="235" w:lineRule="auto"/>
        <w:rPr>
          <w:sz w:val="20"/>
          <w:szCs w:val="20"/>
          <w:color w:val="auto"/>
        </w:rPr>
      </w:pPr>
      <w:r>
        <w:rPr>
          <w:rFonts w:ascii="Calibri" w:cs="Calibri" w:eastAsia="Calibri" w:hAnsi="Calibri"/>
          <w:sz w:val="18"/>
          <w:szCs w:val="18"/>
          <w:color w:val="auto"/>
        </w:rPr>
        <w:t xml:space="preserve">We expect that,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Erosive GERD and Non-Erosive GERD, VOQUEZNA will primarily compete with generic PPIs marketed by multple pharmaceutcal companies in both the prescripton and OTC markets. In additon to generic PPI-based triple and quad therapies, we expect VOQUEZNA TRIPLE PAK and VOQUEZNA DUAL PAK will compete with Talicia, a co-formulated capsule comprising generic omeprazole, amoxicillin, and rifabutn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launched in March 2020 by RedHill Biopharma Ltd.</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are aware of three PCABs in development in U.S. as well as additonal PCABs in territories outside the U.S. If approved in our territories, these PCABs may compete with vonoprazan. In the U.S., Daewoong is seeking a partner to advance development of fexuprazan. Outside the U.S., fexuprazan is launched in fve countries and under health authority review in nine countries or regions. In the U.S., Sebela initated three tegoprazan Phase 3 studies in Erosive GERD, Non-Erosive GERD and long-term safety–with expected completon in 2025. Outside the U.S., tegoprazan is launched in 14 countries, registered but not launched in one country and under health authority review in four countries. In the U.S., Cinclus obtained FDA agreement on their linaprazan glurate pediatric plan and plans to initate two linaprazan glurate Phase 3 studies in patents with severe Erosive GERD in 2025 and two H. pylori Phase 3 dual therapy (with amoxicillin) studies in 2026. Outside the U.S., Cinclus, via their local partner, received a 2024 approval in GERD for linaprazan glurate in China--facilitatng a potental launch there in 2025. No other registraton actvites are noted for linaprazan glurate. In Europe, Cinclus agreed to a pediatric investgaton plan with the European Medicines Agency and received regulatory advice on Phase 2 and Phase 3 study designs. Lastly, there are two additonal PCABs with registratons outside the U.S.—Jiangsu Carephar’s keverprazan which launched in China and Jeil’s zastaprazan which launched in South Korea. To the best of our knowledge, none of the above compounds have demonstrated superiority to PPIs in a Phase 3 clinical trial.</w:t>
      </w:r>
    </w:p>
    <w:p>
      <w:pPr>
        <w:spacing w:after="0" w:line="185"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Additonally, we are aware of two PPIs in territories outside of the U.S. that if developed and approved in our licensed territories may compete with vonoprazan. These include Dexa Medica’s DLBS-2411, launched in the Philippines and in Phase 3 in Indonesia and Sihuan Pharmaceutcal’s anaprazole, launched in China.</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Intellectual Property</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Intellectual property, including patents, trade secrets, trademarks and copyrights, is important to our business. Our commercial success depends in part on our ability to obtain and maintain proprietary intellectual property protecton for vonoprazan, as well as for future product candidates and novel discoveries, product development technologies, and know-how. Our commercial success also depends in part on our ability to operate without infringing on the proprietary rights of others and to prevent others from infringing our proprietary rights. Our policy is to develop and maintain protecton of our proprietary positon by, among other methods, licensing or fling U.S. and foreign patents and applicatons relatng to our technology, inventons, and improvements that are important to the development and implementaton of our business.</w:t>
      </w:r>
    </w:p>
    <w:p>
      <w:pPr>
        <w:spacing w:after="0" w:line="18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Our patent portolio, comprising patents and patent applicatons exclusively licensed to us, is built with a goal of establishing broad protecton that generally includes, for the product candidate compound, claims directed to compositon of mater, pharmaceutcal compositons or formulatons, methods of synthesis, and methods of treatment using such pharmaceutcal compositons or formulatons. As of December 31, 2024, our patent portolio covering vonoprazan consists predominantly of exclusively licensed patents and patent applicatons from Takeda. Subject to the terms of the license agreement we entered into with Takeda on May 7, 2019, or the Takeda License, we have licensed from Takeda exclusive rights in the United States, Europe, and Canada to patents and patent applicatons covering the compositon of mater, formulaton, use and/or manufacture of vonoprazan. Our patent portolio comprises 11 distnct patent families protectng the technology relatng to the compound vonoprazan and its synthetc intermediates, methods of synthesizing vonoprazan and related compounds, various formulatons of vonoprazan products, as well as methods of treatng diseases with vonoprazan and related compounds. As of December 31, 2024, our portolio consists of approximately 25 issued U.S. patents, 4 pending U.S. applicatons, 16 issued European patents subsequently validated in individual European countries, 2 pending European applicatons, 6 issued Canadian patents, and 3 pending Canadian applicatons. The issued patents and pending applicatons have nominal expiraton dates ranging from 2024 to 2038 without accountng for any available patent term adjustments or extensions. The issued U.S. patent covering the compositon of mater of vonoprazan is expected to expire in August 2028, not including patent term extension. The issued U.S. patent covering the formulaton of vonoprazan is expected to expire in August 2030, not including patent term extension.</w:t>
      </w:r>
    </w:p>
    <w:p>
      <w:pPr>
        <w:spacing w:after="0" w:line="18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The term of individual patents in our portolio depends upon the legal term of patents in the countries in which they are obtained. In most countries in which we fle, including the United States, the patent term is 20 years from the earliest date of fling a non-provisional patent applicaton. In the United States, the term of a patent may be eligible for patent term adjustment, which permits patent term restoraton as compensaton for delays incurred at the United States Patent and Trademark Ofce, or USPTO, during the patent prosecuton process. In additon, for patents that cover an FDA-approved drug, the Drug Price Competton and</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2" w:name="page33"/>
    <w:bookmarkEnd w:id="32"/>
    <w:p>
      <w:pPr>
        <w:spacing w:after="0" w:line="235" w:lineRule="auto"/>
        <w:rPr>
          <w:sz w:val="20"/>
          <w:szCs w:val="20"/>
          <w:color w:val="auto"/>
        </w:rPr>
      </w:pPr>
      <w:r>
        <w:rPr>
          <w:rFonts w:ascii="Calibri" w:cs="Calibri" w:eastAsia="Calibri" w:hAnsi="Calibri"/>
          <w:sz w:val="18"/>
          <w:szCs w:val="18"/>
          <w:color w:val="auto"/>
        </w:rPr>
        <w:t>Patent Term Restoraton Act of 1984, or the Hatch-Waxman Act, permits a patent term extension of up to fve years beyond the expiraton of the patent. While the length of the patent term extension is related to the length of tme the drug is under regulatory review, patent term extension cannot extend the remaining term of a patent beyond a total of 14 years from the date of product approval, and only one patent per approved drug may be extended under the Hatch-Waxman Act. Similar provisions are available in Europe and other foreign jurisdictons to extend the term of a patent that covers an approved drug. We have applied for, and in the future, expect to apply for patent term extensions on patents covering our approved products, including vonoprazan. While we plan to seek any available patent term extension to any issued patents we may be granted in any jurisdicton where such extensions are available; however, there is no guarantee that the applicable authorites, including the FDA in the United States, will agree with our assessment of whether such extensions should be granted, and if granted, the length of such extensions.</w:t>
      </w:r>
    </w:p>
    <w:p>
      <w:pPr>
        <w:spacing w:after="0" w:line="1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patent positons of companies like ours are generally uncertain and involve complex legal and factual questons. The relevant patent laws and their interpretaton outside of the United States is also uncertain. Changes in either the patent laws or their interpretaton in the United States and other countries may diminish our ability to protect our technology or product candidates and could afect the value of such intellectual property. In partcular, our ability to stop third partes from making, using, selling, ofering to sell or importng products that infringe our intellectual property will depend in part on our success in obtaining and enforcing patent claims that cover our technology, inventons and improvements. We cannot guarantee that patents will be granted with respect to any of our licensed pending patent applicatons or with respect to any patent applicatons we may fle in the future, nor can we be sure that any patents that may be granted to us or Takeda in the future will be commercially useful in protectng our products, the methods of use or manufacture of those products. Moreover, issued patents do not guarantee the right to practce our technology in relaton to the commercializaton of our products. Issued patents only allow us to block potental compettors from practcing the claimed inventons of the issued patents.</w:t>
      </w:r>
    </w:p>
    <w:p>
      <w:pPr>
        <w:spacing w:after="0" w:line="18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Further, patents and other intellectual property rights in the pharmaceutcal and biotechnology space are evolving and involve many risks and uncertaintes. For example, third partes may have blocking patents that could be used to prevent us from commercializing vonoprazan and any future product candidates and practcing our proprietary technology, and any issued patents may be challenged, invalidated or circumvented, which could limit our ability to stop compettors from marketng related products or could limit the term of patent protecton that otherwise may exist for vonoprazan and any future product candidates. In additon, the scope of the rights granted under any issued patents may not provide us with protecton or compettve advantages against compettors with similar technology. Furthermore, our compettors may independently develop similar technologies that are outside the scope of the rights granted under any issued patents. For these reasons, we may face competton with respect to vonoprazan and any future product candidates. Moreover, because of the extensive tme required for development, testng and regulatory review of a potental product, it is possible that, before any partcular product candidate can be commercialized, any patent protecton for such product may expire or remain in force for only a short period following commercializaton, thereby reducing the commercial advantage the patent provides.</w:t>
      </w:r>
    </w:p>
    <w:p>
      <w:pPr>
        <w:spacing w:after="0" w:line="19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It is our policy to require our employees, consultants, outside scientfc collaborators, sponsored researchers and other advisors to execute confdentality agreements upon the commencement of employment or consultng relatonships with us, and for employees and consultants to enter into inventon assignment agreements with us. These agreements provide that all confdental informaton developed or made known to the individual during the course of the individual’s relatonship with us is to be kept confdental and not disclosed to third partes except in specifc circumstances. Where applicable, the agreements provide that all inventons to which the individual contributed as an inventor shall be assigned to us, and as such, will become our property. There can be no assurance, however, that these agreements will provide meaningful protecton or adequate remedies for our trade secrets in the event of unauthorized use or disclosure of such informaton.</w:t>
      </w:r>
    </w:p>
    <w:p>
      <w:pPr>
        <w:spacing w:after="0" w:line="181" w:lineRule="exact"/>
        <w:rPr>
          <w:sz w:val="20"/>
          <w:szCs w:val="20"/>
          <w:color w:val="auto"/>
        </w:rPr>
      </w:pPr>
    </w:p>
    <w:p>
      <w:pPr>
        <w:ind w:right="620" w:firstLine="509"/>
        <w:spacing w:after="0" w:line="235" w:lineRule="auto"/>
        <w:rPr>
          <w:sz w:val="20"/>
          <w:szCs w:val="20"/>
          <w:color w:val="auto"/>
        </w:rPr>
      </w:pPr>
      <w:r>
        <w:rPr>
          <w:rFonts w:ascii="Calibri" w:cs="Calibri" w:eastAsia="Calibri" w:hAnsi="Calibri"/>
          <w:sz w:val="18"/>
          <w:szCs w:val="18"/>
          <w:color w:val="auto"/>
        </w:rPr>
        <w:t>Further, we have fled for and have received trademark registratons for our company name “Phathom Pharmaceutcals” in the United States, European Union, and other foreign jurisdictons, and are pursuing trademark protecton in certain other foreign jurisdictons.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 with Takeda Pharmaceutcal Company Limited</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On May 7, 2019, we and Takeda entered into an exclusive license, or the Takeda License, pursuant to which, Takeda granted us an exclusive, sublicensable (with Takeda’s reasonable consent) license under certain patents and know how relatng to vonoprazan and owned or controlled by Takeda during the term of the Takeda License to commercialize vonoprazan products using specifed formulatons for all human therapeutc uses in the United States, Europe and Canada, and a non-exclusive license under such patents and know how to develop and manufacture such vonoprazan products anywhere in the world (subject to Takeda’s consent as to each country) for the purposes of commercializing the vonoprazan products in the United States, Europe and Canada.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33" w:name="page34"/>
    <w:bookmarkEnd w:id="33"/>
    <w:p>
      <w:pPr>
        <w:spacing w:after="0" w:line="235" w:lineRule="auto"/>
        <w:rPr>
          <w:sz w:val="20"/>
          <w:szCs w:val="20"/>
          <w:color w:val="auto"/>
        </w:rPr>
      </w:pPr>
      <w:r>
        <w:rPr>
          <w:rFonts w:ascii="Calibri" w:cs="Calibri" w:eastAsia="Calibri" w:hAnsi="Calibri"/>
          <w:sz w:val="18"/>
          <w:szCs w:val="18"/>
          <w:color w:val="auto"/>
        </w:rPr>
        <w:t>We granted Takeda a non-exclusive, royalty-free, sublicensable license under our rights in any patents and know-how that are necessary or useful to enable Takeda to develop and manufacture vonoprazan products anywhere in the world for the purposes of commercializaton outside United States, Europe and Canada. We also granted Takeda an exclusive, royalty-free license under our rights in certain patents and know-how owned or controlled by us and necessary for the exploitaton of vonoprazan products, in each case for Takeda to commercialize any vonoprazan product outside of the United States, Canada, and Europe and for purposes other than human therapeutc use.</w:t>
      </w:r>
    </w:p>
    <w:p>
      <w:pPr>
        <w:spacing w:after="0" w:line="180" w:lineRule="exact"/>
        <w:rPr>
          <w:sz w:val="20"/>
          <w:szCs w:val="20"/>
          <w:color w:val="auto"/>
        </w:rPr>
      </w:pPr>
    </w:p>
    <w:p>
      <w:pPr>
        <w:jc w:val="both"/>
        <w:ind w:right="80" w:firstLine="509"/>
        <w:spacing w:after="0" w:line="235" w:lineRule="auto"/>
        <w:rPr>
          <w:sz w:val="20"/>
          <w:szCs w:val="20"/>
          <w:color w:val="auto"/>
        </w:rPr>
      </w:pPr>
      <w:r>
        <w:rPr>
          <w:rFonts w:ascii="Calibri" w:cs="Calibri" w:eastAsia="Calibri" w:hAnsi="Calibri"/>
          <w:sz w:val="18"/>
          <w:szCs w:val="18"/>
          <w:color w:val="auto"/>
        </w:rPr>
        <w:t>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the vonoprazan products. We are required to use commercially reasonable eforts to develop and commercialize the vonoprazan products in our licensed territory.</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 We have the frst right to enforce the licensed patent rights with respect to certain infringing products in the United States, Europe and Canada.</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paid Takeda upfront consideraton consistng of a cash payment of $25 million, 1,084,000 shares of common stock and a warrant to purchase 7,588,000 shares of common stock, or the Takeda Warrant. We agreed to make milestone payments to Takeda upon achieving certain tered aggregate annual net sales of licensed products in the United States, Europe and Canada up to a total maximum milestone amount of $250 million. We also agreed to make tered royalty payments averaging in the low double digits royalty rate on aggregate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Takeda License will contnue untl the expiraton of the obligaton to pay royaltes in all countries and on all products. We may terminate the Takeda License in its entrety without cause upon six months’ prior writen notce. We and Takeda may terminate the Takeda License in the case of the other party’s insolvency, or upon prior writen notce within a specifed tme period for the other party’s material uncured breach. Takeda may terminate the Takeda License in its entrety if we challenge the licensed patents, or if we assist any third party in challenging such patents.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Manufacturing</w:t>
      </w:r>
    </w:p>
    <w:p>
      <w:pPr>
        <w:spacing w:after="0" w:line="190"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do not currently own or operate manufacturing facilites for the producton of clinical or commercial quanttes of vonoprazan. Vonoprazan is a small molecule that can be manufactured using commercially available technologies.</w:t>
      </w:r>
    </w:p>
    <w:p>
      <w:pPr>
        <w:spacing w:after="0" w:line="17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With respect to any future product candidates, we expect to contnue to rely on third-party contract manufacturers to manufacture clinical supplies and commercial quanttes of any approved products. Although we rely on contract manufacturers, we have personnel with manufacturing experience to oversee our relatonships with Sandoz, Catalent and Evonik.</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Sandoz Supply and Packaging Agreement</w:t>
      </w:r>
    </w:p>
    <w:p>
      <w:pPr>
        <w:spacing w:after="0" w:line="190" w:lineRule="exact"/>
        <w:rPr>
          <w:sz w:val="20"/>
          <w:szCs w:val="20"/>
          <w:color w:val="auto"/>
        </w:rPr>
      </w:pPr>
    </w:p>
    <w:p>
      <w:pPr>
        <w:jc w:val="both"/>
        <w:ind w:right="260" w:firstLine="509"/>
        <w:spacing w:after="0" w:line="235" w:lineRule="auto"/>
        <w:rPr>
          <w:sz w:val="20"/>
          <w:szCs w:val="20"/>
          <w:color w:val="auto"/>
        </w:rPr>
      </w:pPr>
      <w:r>
        <w:rPr>
          <w:rFonts w:ascii="Calibri" w:cs="Calibri" w:eastAsia="Calibri" w:hAnsi="Calibri"/>
          <w:sz w:val="18"/>
          <w:szCs w:val="18"/>
          <w:color w:val="auto"/>
        </w:rPr>
        <w:t>In December 2020, we entered into a Supply and Packaging Services Agreement with Sandoz GmbH, or the Sandoz Supply Agreement, pursuant to which Sandoz has agreed to supply commercial quanttes of amoxicillin capsules and clarithromycin tablets, to package these antbiotcs with vonoprazan drug product in fnished convenience packs, and to supply us with these convenience packs.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Pursuant to the Sandoz Supply Agreement, we agreed to purchase certain quanttes of convenience packs from Sandoz at an agreed upon price per pack. The price per pack is fxed for the frst two (2) years following launch of the convenience pack in the United State and may be adjusted thereafer based on Sandoz’s cost increases, subject to an annual cap. The Sandoz Supply Agreement sets forth an annual minimum number of convenience packs that we must purchase each year following launch of the convenience pack product, and if we do not meet the minimum order in a given year, we are required to pay Sandoz the amount corresponding to the shortall. Sandoz has no obligaton to supply convenience packs above a maximum number of packs above a certain percentage of our forecasts. We have agreed to purchase convenience packs, amoxicillin capsules and clarithromycin tablets, in each case intended for sale in the United States, exclusively from Sandoz during the fve-year period following launch.</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4" w:name="page35"/>
    <w:bookmarkEnd w:id="34"/>
    <w:p>
      <w:pPr>
        <w:ind w:right="20" w:firstLine="509"/>
        <w:spacing w:after="0" w:line="252" w:lineRule="auto"/>
        <w:rPr>
          <w:sz w:val="20"/>
          <w:szCs w:val="20"/>
          <w:color w:val="auto"/>
        </w:rPr>
      </w:pPr>
      <w:r>
        <w:rPr>
          <w:rFonts w:ascii="Calibri" w:cs="Calibri" w:eastAsia="Calibri" w:hAnsi="Calibri"/>
          <w:sz w:val="17"/>
          <w:szCs w:val="17"/>
          <w:color w:val="auto"/>
        </w:rPr>
        <w:t>The Sandoz Supply Agreement will contnue for fve years from launch of the convenience pack in the U.S. and may be terminated efectve at the end of the inital fve-year term upon writen notce by either party prior to the end of the third year following launch. In the absence of such notce, the Sandoz Supply Agreement will extend automatcally for an additonal three-year period, and thereafer as mutually agreed upon by the partes. The Sandoz Supply Agreement may also be terminated at any tme upon writen notce by either party for uncured material breach following writen notce of such breach.</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Catalent Commercial Supply Agreement</w:t>
      </w:r>
    </w:p>
    <w:p>
      <w:pPr>
        <w:spacing w:after="0" w:line="177"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In July 2021, we entered into a Commercial Supply Agreement, or the Tablet Supply Agreement, with Catalent Pharma Solutons, LLC, or Catalent, pursuant to which Catalent has agreed to supply us with commercial quanttes of vonoprazan fumarate tablets.</w:t>
      </w:r>
    </w:p>
    <w:p>
      <w:pPr>
        <w:spacing w:after="0" w:line="191"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Pursuant to the Tablet Supply Agreement, as amended, Catalent has agreed to supply us with, and we have agreed to purchase from Catalent, fnished vonoprazan tablets at an agreed upon price per unit. The price per unit may be adjusted annually based on increases in costs incurred by Catalent. The Tablet Supply Agreement requires us to purchase a specifed percentage of its requirements of fnished vonoprazan tablets from Catalent, which percentage is subject to adjustment following January 1, 2027.</w:t>
      </w:r>
    </w:p>
    <w:p>
      <w:pPr>
        <w:spacing w:after="0" w:line="179"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Unless terminated earlier, the term of the Tablet Supply Agreement extends for a period of fve years from the Commencement Date. The Tablet Supply Agreement will extend automatcally for additonal two year periods unless terminated by either party upon at least 24 months prior writen notce. The Tablet Supply Agreement may also be terminated at any tme upon writen notce by either party if the other party has failed to remedy a material breach of the terms of the Tablet Supply Agreement within a specifed period following receipt of writen notce of such breach.</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Evonik Commercial Supply Agreement</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August 2022, we entered into a Commercial Supply Agreement, or the API Supply Agreement, with Evonik Operatons GmbH, or Evonik, pursuant to which Evonik has agreed to supply us with commercial quanttes of vonoprazan drug substance, or API.</w:t>
      </w:r>
    </w:p>
    <w:p>
      <w:pPr>
        <w:spacing w:after="0" w:line="191" w:lineRule="exact"/>
        <w:rPr>
          <w:sz w:val="20"/>
          <w:szCs w:val="20"/>
          <w:color w:val="auto"/>
        </w:rPr>
      </w:pPr>
    </w:p>
    <w:p>
      <w:pPr>
        <w:ind w:right="160" w:firstLine="509"/>
        <w:spacing w:after="0" w:line="252" w:lineRule="auto"/>
        <w:rPr>
          <w:sz w:val="20"/>
          <w:szCs w:val="20"/>
          <w:color w:val="auto"/>
        </w:rPr>
      </w:pPr>
      <w:r>
        <w:rPr>
          <w:rFonts w:ascii="Calibri" w:cs="Calibri" w:eastAsia="Calibri" w:hAnsi="Calibri"/>
          <w:sz w:val="17"/>
          <w:szCs w:val="17"/>
          <w:color w:val="auto"/>
        </w:rPr>
        <w:t>Pursuant to the API Supply Agreement, Evonik has agreed to supply us with, and we have agreed to purchase, certain quanttes of API at an agreed upon price which varies based on the volume of product ordered. The price may also be adjusted based on actual changes in costs incurred by Evonik. Subject to pre-existng purchase obligatons to Takeda, we have agreed to purchase a percentage of our annual requirements of API from Evonik, for which the percentage of our annual API requirements is subject to adjustment based upon the price of API under the API Supply Agreement.</w:t>
      </w:r>
    </w:p>
    <w:p>
      <w:pPr>
        <w:spacing w:after="0" w:line="16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Unless terminated earlier, the API Supply Agreement has an inital period that expires in August 2027. This inital term was extended by two years from 2027 to 2029 upon Evonik's successful qualifcaton of a second manufacturing facility to produce API in December of 2024. The API Supply Agreement may be terminated efectve at the end of the inital period on at least 24-months writen notce by either party. In the absence of such notce, the API Supply Agreement will extend automatcally for additonal 2-year periods which may be terminated upon 18 months’ notce. The API Supply Agreement may also be terminated at any tme upon writen notce by either party if the other party has failed to remedy a material breach of the terms of the Supply Agreement within a specifed period following receipt of writen notce of such breach.</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Government Regulaton</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Government authorites in the United States, at the federal, state and local level, and other countries extensively regulate, among other things, the research, development, testng, manufacture, quality control, approval, labeling, packaging, storage, record-keeping, promoton, advertsing, distributon, marketng and export and import of products such as those we are developing. A new drug must be approved by the FDA through the NDA process before it may be legally marketed in the United States.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Drug Development Process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the United States, the FDA regulates drugs under the Federal Food, Drug, and Cosmetc Act, or the FDCA, and its implementng regulatons. The process of obtaining regulatory approvals and the subsequent compliance with appropriate federal, state, local and foreign statutes and regulatons require the expenditure of substantal tme and fnancial resources.</w:t>
      </w:r>
    </w:p>
    <w:p>
      <w:pPr>
        <w:spacing w:after="0" w:line="18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process required by the FDA before a drug may be marketed in the United States generally involves the following: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35" w:name="page36"/>
    <w:bookmarkEnd w:id="35"/>
    <w:p>
      <w:pPr>
        <w:ind w:left="900" w:right="18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completon of certain preclinical laboratory tests, animal studies and formulaton studies in accordance with Good Laboratory Practce, or GLP, regulatons and other applicable regulatons;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investgatonal new drug applicaton, or IND, which must become efectve before human clinical trials may begin;</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by an independent insttutonal review board, or IRB, at each clinical site before each trial may be initated;</w:t>
      </w:r>
    </w:p>
    <w:p>
      <w:pPr>
        <w:spacing w:after="0" w:line="203"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performance of adequate and well-controlled human clinical trials in accordance with Good Clinical Practce, or GCP, regulatons to establish the safety and efcacy of the proposed drug for its intended use;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submission to the FDA of an NDA;</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advisory commitee review, if applicable;</w:t>
      </w:r>
    </w:p>
    <w:p>
      <w:pPr>
        <w:spacing w:after="0" w:line="203" w:lineRule="exact"/>
        <w:rPr>
          <w:rFonts w:ascii="Times New Roman" w:cs="Times New Roman" w:eastAsia="Times New Roman" w:hAnsi="Times New Roman"/>
          <w:sz w:val="18"/>
          <w:szCs w:val="18"/>
          <w:color w:val="auto"/>
        </w:rPr>
      </w:pPr>
    </w:p>
    <w:p>
      <w:pPr>
        <w:jc w:val="both"/>
        <w:ind w:left="900" w:right="220" w:hanging="383"/>
        <w:spacing w:after="0" w:line="235" w:lineRule="auto"/>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an FDA inspecton of the manufacturing facility or facilites at which the drug is produced to assess compliance with current Good Manufacturing Practce, or cGMP, requirements to assure that the facilites, methods and controls are adequate to preserve the drug’s identty, strength, quality and purity;</w:t>
      </w:r>
    </w:p>
    <w:p>
      <w:pPr>
        <w:spacing w:after="0" w:line="18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satsfactory completon of potental FDA inspecton of selected clinical investgaton sites to assess compliance with GCPs;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Calibri" w:cs="Calibri" w:eastAsia="Calibri" w:hAnsi="Calibri"/>
          <w:sz w:val="18"/>
          <w:szCs w:val="18"/>
          <w:color w:val="auto"/>
        </w:rPr>
        <w:t>FDA review and approval of the NDA to permit commercial marketng of the product for partcular indicatons for use in the United States.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Once a pharmaceutcal candidate is identfed for development, it enters the preclinical testng stage. Preclinical tests include laboratory evaluatons of product chemistry, toxicity and formulaton, as well as animal studies. The conduct of preclinical studies is subject to federal regulatons and requirements, including GLP regulatons for certain studies. Prior to beginning the frst clinical trial with a product candidate in the United States, a sponsor must submit an IND to the FDA. The sponsor must submit the results of the preclinical tests, together with manufacturing informaton and analytcal data, to the FDA as part of the IND. An IND is a request for authorizaton from the FDA to administer an investgatonal drug product to humans. The sponsor will also include a protocol detailing, among other things, the objectves of the frst phase of the clinical trial, the parameters to be used in monitoring safety, and the efectveness criteria to be evaluated, if the frst phase lends itself to an efcacy evaluaton. Some preclinical testng may contnue even afer the IND is submited. The IND automatcally becomes efectve 30 days afer receipt by the FDA, unless the FDA, within the 30-day tme period, places the clinical trial on a clinical hold. In such a case, the IND sponsor and the FDA must resolve any outstanding concerns before the clinical trial can begin. Clinical holds also may be imposed by the FDA at any tme before or during clinical trials due to safety concerns about on-going or proposed clinical trials or non-compliance with specifc FDA requirements, and the trials may not begin or contnue untl the FDA notfes the sponsor that the hold has been lifed. Submission of an IND therefore may or may not result in FDA authorizaton to begin a clinical trial.</w:t>
      </w:r>
    </w:p>
    <w:p>
      <w:pPr>
        <w:spacing w:after="0" w:line="186"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Clinical trials involve the administraton of the investgatonal product to human subjects under the supervision of one or more qualifed investgators in accordance with GCP regulatons, which include, among other things, the requirement that all research subjects provide their informed consent in writng for their partcipaton in any clinical trial. Clinical trials are conducted under protocols detailing, among other things, the objectves of the trial, dosing procedures, subject selecton and exclusion criteria and the safety and efectveness criteria to be evaluated. Each protocol must be submited to the FDA as part of the IND as well as any subsequent protocol amendments. While the IND is actve, progress reports summarizing the results of the clinical trials and nonclinical studies performed since the last progress report, among other informaton, must be submited at least annually to the FDA and writen IND safety reports must be submited to the FDA and investgators for serious and unexpected suspected adverse events, fndings from other studies suggestng a signifcant risk to humans exposed to the drug, fndings from animal or in vitro testng suggestng a signifcant risk to humans exposed to the drug, and any clinically important increased rate of a serious suspected adverse reacton compared to that listed in the protocol or investgator brochure.</w:t>
      </w:r>
    </w:p>
    <w:p>
      <w:pPr>
        <w:spacing w:after="0" w:line="174"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Furthermore, an IRB at each insttuton partcipatng in the clinical trial must review and approve each protocol before a clinical trial commences at that insttuton and must also approve the informaton regarding the trial and the consent form that must be provided to each trial subject or his or her legal representatve, monitor the study untl completed and otherwise comply with IRB regulatons. The FDA or the sponsor may suspend a clinical trial at any tme on various grounds, including a fnding that the research</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36" w:name="page37"/>
    <w:bookmarkEnd w:id="36"/>
    <w:p>
      <w:pPr>
        <w:ind w:right="80"/>
        <w:spacing w:after="0" w:line="235" w:lineRule="auto"/>
        <w:rPr>
          <w:sz w:val="20"/>
          <w:szCs w:val="20"/>
          <w:color w:val="auto"/>
        </w:rPr>
      </w:pPr>
      <w:r>
        <w:rPr>
          <w:rFonts w:ascii="Calibri" w:cs="Calibri" w:eastAsia="Calibri" w:hAnsi="Calibri"/>
          <w:sz w:val="18"/>
          <w:szCs w:val="18"/>
          <w:color w:val="auto"/>
        </w:rPr>
        <w:t>subjects or patents are being exposed to an unacceptable health risk. Similarly, an IRB can suspend or terminate approval of a clinical trial at its insttuton if the clinical trial is not being conducted in accordance with the IRB’s requirements or if the drug has been associated with unexpected serious harm to patents. In additon, some clinical trials are overseen by an independent group of qualifed experts organized by the sponsor, known as a data safety monitoring board or commitee. Depending on its charter, this group may determine whether a trial may move forward at designated check points based on access to certain data from the trial.</w:t>
      </w:r>
    </w:p>
    <w:p>
      <w:pPr>
        <w:spacing w:after="0" w:line="17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Human clinical trials are typically conducted in three sequental phases that may overlap or be combined:</w:t>
      </w:r>
    </w:p>
    <w:p>
      <w:pPr>
        <w:spacing w:after="0" w:line="190" w:lineRule="exact"/>
        <w:rPr>
          <w:sz w:val="20"/>
          <w:szCs w:val="20"/>
          <w:color w:val="auto"/>
        </w:rPr>
      </w:pPr>
    </w:p>
    <w:p>
      <w:pPr>
        <w:ind w:left="900" w:right="360" w:hanging="383"/>
        <w:spacing w:after="0" w:line="235" w:lineRule="auto"/>
        <w:tabs>
          <w:tab w:leader="none" w:pos="90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1</w:t>
      </w:r>
      <w:r>
        <w:rPr>
          <w:rFonts w:ascii="Calibri" w:cs="Calibri" w:eastAsia="Calibri" w:hAnsi="Calibri"/>
          <w:sz w:val="18"/>
          <w:szCs w:val="18"/>
          <w:color w:val="auto"/>
        </w:rPr>
        <w:t>: The product candidate is initally introduced into healthy human volunteers or patents with the target disease or conditon. These</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studies test for safety, dosage tolerance, absorpton, metabolism, distributon and excreton and, if possible, to gain an early indicaton of its efectveness.</w:t>
      </w:r>
    </w:p>
    <w:p>
      <w:pPr>
        <w:spacing w:after="0" w:line="205"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2</w:t>
      </w:r>
      <w:r>
        <w:rPr>
          <w:rFonts w:ascii="Calibri" w:cs="Calibri" w:eastAsia="Calibri" w:hAnsi="Calibri"/>
          <w:sz w:val="18"/>
          <w:szCs w:val="18"/>
          <w:color w:val="auto"/>
        </w:rPr>
        <w:t>: The product candidate is administered to a limited patent populaton with a specifed disease or conditon to evaluate the preliminary</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efcacy, optmal dosages and dosing schedule and to identfy possible adverse side efects and safety risks.</w:t>
      </w:r>
    </w:p>
    <w:p>
      <w:pPr>
        <w:spacing w:after="0" w:line="190"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4"/>
        </w:numPr>
        <w:rPr>
          <w:rFonts w:ascii="Times New Roman" w:cs="Times New Roman" w:eastAsia="Times New Roman" w:hAnsi="Times New Roman"/>
          <w:sz w:val="18"/>
          <w:szCs w:val="18"/>
          <w:color w:val="auto"/>
        </w:rPr>
      </w:pPr>
      <w:r>
        <w:rPr>
          <w:rFonts w:ascii="Calibri" w:cs="Calibri" w:eastAsia="Calibri" w:hAnsi="Calibri"/>
          <w:sz w:val="18"/>
          <w:szCs w:val="18"/>
          <w:b w:val="1"/>
          <w:bCs w:val="1"/>
          <w:i w:val="1"/>
          <w:iCs w:val="1"/>
          <w:color w:val="auto"/>
        </w:rPr>
        <w:t>Phase 3</w:t>
      </w:r>
      <w:r>
        <w:rPr>
          <w:rFonts w:ascii="Calibri" w:cs="Calibri" w:eastAsia="Calibri" w:hAnsi="Calibri"/>
          <w:sz w:val="18"/>
          <w:szCs w:val="18"/>
          <w:color w:val="auto"/>
        </w:rPr>
        <w:t>: The product candidate is administered to an expanded patent populaton to further evaluate dosage, to provide statstcally signifcant</w:t>
      </w:r>
      <w:r>
        <w:rPr>
          <w:rFonts w:ascii="Calibri" w:cs="Calibri" w:eastAsia="Calibri" w:hAnsi="Calibri"/>
          <w:sz w:val="18"/>
          <w:szCs w:val="18"/>
          <w:b w:val="1"/>
          <w:bCs w:val="1"/>
          <w:i w:val="1"/>
          <w:iCs w:val="1"/>
          <w:color w:val="auto"/>
        </w:rPr>
        <w:t xml:space="preserve"> </w:t>
      </w:r>
      <w:r>
        <w:rPr>
          <w:rFonts w:ascii="Calibri" w:cs="Calibri" w:eastAsia="Calibri" w:hAnsi="Calibri"/>
          <w:sz w:val="18"/>
          <w:szCs w:val="18"/>
          <w:color w:val="auto"/>
        </w:rPr>
        <w:t>evidence of the product’s efectveness for its intended use(s) and to further test for safety, generally at multple geographically dispersed clinical trial sites. These clinical trials are intended to establish the overall risk-beneft rato of the product candidate and provide, if appropriate, an adequate basis for product labeling.</w:t>
      </w:r>
    </w:p>
    <w:p>
      <w:pPr>
        <w:spacing w:after="0" w:line="17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Post-approval trials, sometmes referred to as Phase 4 studies, may be conducted afer inital marketng approval. These trials are used to gain additonal experience from the treatment of patents in the intended therapeutc indicaton. In certain instances, the FDA may mandate the performance of Phase 4 clinical trials as a conditon of approval of an NDA.</w:t>
      </w:r>
    </w:p>
    <w:p>
      <w:pPr>
        <w:spacing w:after="0" w:line="192"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Concurrent with clinical trials, companies usually complete additonal animal studies and must also develop additonal informaton about the chemistry and physical characteristcs of the drug and fnalize a process for manufacturing the product in commercial quanttes in accordance with cGMP requirements. The manufacturing process must be capable of consistently producing quality batches of the product candidate and, among other things, the manufacturer must develop methods for testng the identty, strength, quality and purity of the fnal drug. In additon, appropriate packaging must be selected and tested, and stability studies must be conducted to demonstrate that the product candidate does not undergo unacceptable deterioraton over its shelf life.</w:t>
      </w:r>
    </w:p>
    <w:p>
      <w:pPr>
        <w:spacing w:after="0" w:line="181"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There are also requirements governing the reportng of ongoing clinical trials and completed trial results to public registries. Sponsors of certain clinical trials of FDA-regulated products are required to register and disclose specifed clinical trial informaton, which is publicly available at www.clinicaltrials.gov. Informaton related to the product, patent populaton, phase of investgaton, trial sites and investgators and other aspects of the clinical trial is then made public as part of the disclosure.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NDA Review and Approval Process</w:t>
      </w:r>
    </w:p>
    <w:p>
      <w:pPr>
        <w:spacing w:after="0" w:line="190"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Assuming successful completon of all required testng in accordance with all applicable regulatory requirements, the results of product development, preclinical and other non-clinical studies and clinical trials, along with descriptons of the manufacturing process, analytcal tests conducted on the chemistry of the drug, proposed labeling and other relevant informaton are submited to the FDA as part of an NDA requestng approval to market the product. The submission of an NDA is subject to the payment of substantal user fees; a waiver of such fees may be obtained under certain limited circumstances.</w:t>
      </w:r>
    </w:p>
    <w:p>
      <w:pPr>
        <w:spacing w:after="0" w:line="168"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The FDA conducts a preliminary review of all NDAs within the frst 60 days afer submission, before acceptng them for fling, to determine whether they are sufciently complete to permit substantve review. The FDA may request additonal informaton rather than accept an NDA for fling. In this event, the NDA must be resubmited with the additonal informaton. The resubmited applicaton also is subject to review before the FDA accepts it for fling. Once fled, the FDA reviews an NDA to determine, among other things, whether a product is safe and efectve for its intended use and whether its manufacturing is cGMP-compliant to assure and preserve the product’s identty, strength, quality and purity. Under current PDUFA guidelines, the FDA has a goal of ten months from the date of “fling” of a standard NDA for a new molecular entty to review and act on the submission. This review typically takes twelve months from the date the NDA is submited to FDA because the FDA has approximately two months to make a “fling” decision afer the applicaton is submited.</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7" w:name="page38"/>
    <w:bookmarkEnd w:id="37"/>
    <w:p>
      <w:pPr>
        <w:ind w:right="120" w:firstLine="509"/>
        <w:spacing w:after="0" w:line="235" w:lineRule="auto"/>
        <w:rPr>
          <w:sz w:val="20"/>
          <w:szCs w:val="20"/>
          <w:color w:val="auto"/>
        </w:rPr>
      </w:pPr>
      <w:r>
        <w:rPr>
          <w:rFonts w:ascii="Calibri" w:cs="Calibri" w:eastAsia="Calibri" w:hAnsi="Calibri"/>
          <w:sz w:val="18"/>
          <w:szCs w:val="18"/>
          <w:color w:val="auto"/>
        </w:rPr>
        <w:t>The FDA may refer an applicaton for a novel drug to an advisory commitee. An advisory commitee is a panel of independent experts, including clinicians and other scientfc experts, that reviews, evaluates and provides a recommendaton as to whether the applicaton should be approved and under what conditons. The FDA is not bound by the recommendatons of an advisory commitee, but it considers such recommendatons carefully when making decisions.</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Before approving an NDA, the FDA will inspect the facility or facilites where the product is manufactured. The FDA will not approve an applicaton unless it determines that the manufacturing processes and facilites are in compliance with cGMP requirements and adequate to assure consistent producton of the product within required specifcatons. Additonally, before approving an NDA, the FDA may inspect one or more clinical trial sites to assure compliance with GCP requirements.</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Afer the FDA evaluates an NDA, it will issue an approval leter or a Complete Response Leter. An approval leter authorizes commercial marketng of the drug with prescribing informaton for specifc indicatons. A Complete Response Leter indicates that the review cycle of the applicaton is complete and the applicaton will not be approved in its present form. A Complete Response Leter usually describes the specifc defciencies in the NDA identfed by the FDA and may require additonal clinical trials or other signifcant and tme-consuming requirements related to clinical trials, nonclinical studies or manufacturing to support the applicaton. If a Complete Response Leter is issued, the sponsor must resubmit the NDA, addressing all of the defciencies identfed in the leter, or withdraw the applicaton. Even if such data and informaton are submited, the FDA may decide that the NDA does not satsfy the criteria for approval.</w:t>
      </w:r>
    </w:p>
    <w:p>
      <w:pPr>
        <w:spacing w:after="0" w:line="19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If a product receives regulatory approval, the approval may be signifcantly limited to specifc diseases and dosages or the indicatons for use may otherwise be limited, which could restrict the commercial value of the product. In additon, the FDA may require a sponsor to conduct additonal clinical studies to further assess a drug’s safety and efectveness afer NDA approval, and may require testng and surveillance programs to monitor the safety of approved products which have been commercialized. The FDA may also place other conditons on approval including the requirement for a risk evaluaton and mitgaton strategy, or REMS, to assure the safe use of the drug, which could include medicaton guides, physician communicaton plans or elements to assure safe use, such as restricted distributon methods, patent registries and other risk minimizaton tools. If the FDA concludes a REMS is needed, the sponsor of the NDA must submit a proposed REMS. The FDA will not approve the NDA without an approved REMS, if required.</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Furthermore, the Pediatric Research Equity Act, or PREA, requires a sponsor to conduct pediatric clinical trials for most drugs, for a new actve ingredient, new indicaton, new dosage form, new dosing regimen or new route of administraton. Under PREA, original NDAs and supplements must contain a pediatric assessment unless the sponsor has received a deferral or waiver. The required assessment must evaluate the safety and efectveness of the product for the claimed indicatons in all relevant pediatric subpopulatons and support dosing and administraton for each pediatric subpopulaton for which the product is safe and efectve. The sponsor or FDA may request a deferral of pediatric clinical trials for some or all of the pediatric subpopulatons. A deferral may be granted for several reasons, including a fnding that the drug is ready for approval for use in adults before pediatric clinical trials are complete or that additonal safety or efectveness data needs to be collected before the pediatric clinical trials begin. The FDA must send a non-compliance leter to any sponsor that fails to submit the required assessment, fails to keep a deferral current or fails to submit a request for approval of a pediatric formulaton.</w:t>
      </w:r>
    </w:p>
    <w:p>
      <w:pPr>
        <w:spacing w:after="0" w:line="17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Expedited Development and Review Programs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FDA ofers a number of expedited development and review programs for qualifying product candidates. The FDA has a Fast Track designaton program that is intended to expedite or facilitate the process for reviewing new drug products that meet certain criteria. Specifcally, product candidates are eligible for Fast Track designaton if they are intended to treat a serious or life-threatening disease or conditon and demonstrate the potental to address unmet medical needs for the disease or conditon. Fast Track designaton applies to the combinaton of the product candidate and the specifc indicaton for which it is being studied. The sponsor of a Fast Track product candidate has opportunites for more frequent interactons with the applicable FDA review team during product development and, once an NDA is submited, the applicaton may be eligible for priority review. A Fast Track product candidate may also be eligible for rolling review, where the FDA may consider for review sectons of the NDA on a rolling basis before the complete applicaton is submited, if the sponsor provides a schedule for the submission of the sectons of the NDA, the FDA agrees to accept sectons of the NDA and determines that the schedule is acceptable, and the sponsor pays any required user fees upon submission of the frst secton of the NDA.</w:t>
      </w:r>
    </w:p>
    <w:p>
      <w:pPr>
        <w:spacing w:after="0" w:line="18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 product candidate intended to treat a serious or life-threatening disease or conditon may also be eligible for Breakthrough Therapy designaton to expedite its development and review. A product candidate can receive Breakthrough Therapy designaton if</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38" w:name="page39"/>
    <w:bookmarkEnd w:id="38"/>
    <w:p>
      <w:pPr>
        <w:ind w:right="260"/>
        <w:spacing w:after="0" w:line="235" w:lineRule="auto"/>
        <w:rPr>
          <w:sz w:val="20"/>
          <w:szCs w:val="20"/>
          <w:color w:val="auto"/>
        </w:rPr>
      </w:pPr>
      <w:r>
        <w:rPr>
          <w:rFonts w:ascii="Calibri" w:cs="Calibri" w:eastAsia="Calibri" w:hAnsi="Calibri"/>
          <w:sz w:val="18"/>
          <w:szCs w:val="18"/>
          <w:color w:val="auto"/>
        </w:rPr>
        <w:t>preliminary clinical evidence indicates that the product candidate, alone or in combinaton with one or more other drugs or biologics, may demonstrate substantal improvement over existng therapies on one or more clinically signifcant endpoints, such as substantal treatment efects observed early in clinical development. The designaton includes all of the Fast Track program features, as well as more intensive FDA interacton and guidance beginning as early as Phase 1 and an organizatonal commitment to expedite the development and review of the product candidate, including involvement of senior managers.</w:t>
      </w:r>
    </w:p>
    <w:p>
      <w:pPr>
        <w:spacing w:after="0" w:line="180"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Any marketng applicaton for a drug submited to the FDA for approval, including a product candidate with a Fast Track designaton or Breakthrough Therapy designaton, may also be eligible for other types of FDA programs intended to expedite development and review, such as priority review. A product candidate is eligible for priority review if it is designed to treat a serious or life-threatening disease or conditon, and if approved, would provide a signifcant improvement in safety or efectveness compared to available alternatves for such disease or conditon. The FDA will atempt to direct additonal resources to the evaluaton of an applicaton designated for priority review in an efort to facilitate the review. The FDA endeavors to review applicatons with priority review designatons within six months of the fling date as compared to ten months for review of new molecular entty NDAs under its current PDUFA review goals.</w:t>
      </w:r>
    </w:p>
    <w:p>
      <w:pPr>
        <w:spacing w:after="0" w:line="181"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In additon, depending on the design of the applicable clinical trials, a product candidate may be eligible for accelerated approval. Drug products intended to treat serious or life-threatening diseases or conditons may be eligible for accelerated approval upon a determinaton that the product candidate has an efect on a surrogate endpoint that is reasonably likely to predict clinical beneft, or on a clinical endpoint that can be measured earlier than irreversible morbidity or mortality, that is reasonably likely to predict an efect on irreversible morbidity or mortality or other clinical beneft, taking into account the severity, rarity, or prevalence of the conditon and the availability or lack of alternatve treatments. As a conditon of approval, the FDA will generally require that a sponsor of a drug receiving accelerated approval perform adequate and well-controlled confrmatory clinical trials verify and describe the antcipated efect on irreversible morbidity or mortality or other clinical beneft, and may require such confrmatory trials to be well underway prior to grantng accelerated approval. Products receiving accelerated approval may be subject to expedited withdrawal procedures if the sponsor fails to conduct the required confrmatory studies in a tmely manner, or if such studies fail to verify the predicted clinical beneft. In additon, the FDA requires as a conditon for accelerated approval pre-approval of promotonal materials, which could adversely impact the tming of the commercial launch of the product.</w:t>
      </w:r>
    </w:p>
    <w:p>
      <w:pPr>
        <w:spacing w:after="0" w:line="18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Fast Track designaton, Breakthrough Therapy designaton, accelerated approval, and priority do not change the standards for approval but may expedite the development or approval process. Even if a product qualifes for one or more of these programs, the FDA may later decide that the product no longer meets the conditons for qualifcaton or decide that the tme period for FDA review or approval will not be shortened.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Post-Approval Requirements</w:t>
      </w:r>
    </w:p>
    <w:p>
      <w:pPr>
        <w:spacing w:after="0" w:line="177"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Once an approval is granted, the FDA may withdraw the approval if compliance with regulatory standards is not maintained or if problems occur afer the product reaches the market. Later discovery of previously unknown problems with a product may result in restrictons on the product or even complete withdrawal of the product from the market. Afer approval, some types of changes to the approved product, such as adding new indicatons, certain manufacturing changes and additonal labeling claims, are subject to further FDA review and approval. Drug manufacturers and other enttes involved in the manufacture and distributon of approved drugs are required to register their establishments with the FDA and certain state agencies, and are subject to periodic unannounced inspectons by the FDA and certain state agencies for compliance with cGMP regulatons and other laws and regulatons. In additon, the FDA may impose a number of post-approval requirements as a conditon of approval of an NDA. For example, the FDA may require post-marketng testng, including Phase 4 clinical trials, and surveillance to further assess and monitor the product’s safety and efectveness afer commercializaton.</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Any drug products manufactured or distributed pursuant to FDA approvals are subject to pervasive and contnuing regulaton by the FDA, including, among other things, record-keeping requirements, reportng of adverse experiences with the drug, providing the FDA with updated safety and efcacy informaton, drug sampling and distributon requirements, complying with certain electronic records and signature requirements, and complying with FDA promoton and advertsing requirements. The FDA strictly regulates labeling, advertsing, promoton and other types of informaton on products that are placed on the market and imposes requirements and restrictons on drug manufacturers, such as those related to direct-to-consumer advertsing, the prohibiton on promotng products for uses or in patent populatons that are not described in the product’s approved labeling (known as “of-label use”), industry-sponsored scientfc and educatonal actvites, and promotonal actvites involving the Internet. Physicians may prescribe, in their independent professional medical judgment, legally available products for uses that are not described in the product’s labeling and that difer from those tested by us and approved by the FDA. Physicians may believe that such of-label uses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39" w:name="page40"/>
    <w:bookmarkEnd w:id="39"/>
    <w:p>
      <w:pPr>
        <w:jc w:val="both"/>
        <w:ind w:right="240"/>
        <w:spacing w:after="0" w:line="235" w:lineRule="auto"/>
        <w:rPr>
          <w:sz w:val="20"/>
          <w:szCs w:val="20"/>
          <w:color w:val="auto"/>
        </w:rPr>
      </w:pPr>
      <w:r>
        <w:rPr>
          <w:rFonts w:ascii="Calibri" w:cs="Calibri" w:eastAsia="Calibri" w:hAnsi="Calibri"/>
          <w:sz w:val="18"/>
          <w:szCs w:val="18"/>
          <w:color w:val="auto"/>
        </w:rPr>
        <w:t>are the best treatment for many patents in varied circumstances. The FDA does not regulate the behavior of physicians in their choice of treatments. The FDA does, however, restrict manufacturer’s communicatons on the subject of of-label use of their products. However, companies may share truthful and not misleading informaton that is otherwise consistent with a product’s FDA-approved labelling.</w:t>
      </w:r>
    </w:p>
    <w:p>
      <w:pPr>
        <w:spacing w:after="0" w:line="17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Discovery of previously unknown problems or the failure to comply with the applicable regulatory requirements may result in restrictons on the marketng of a product or withdrawal of the product from the market as well as possible civil or criminal sanctons. Failure to comply with the applicable U.S. requirements at any tme during the product development process, approval process or post-approval, may subject an applicant or manufacturer to administratve or judicial civil or criminal sanctons and adverse publicity. FDA sanctons could include refusal to approve pending applicatons, withdrawal of an approval, clinical holds on post-approval clinical trials, warning or unttled leters, product recalls, product seizures, total or partal suspension of producton or distributon, injunctons, fnes, refusals of government contracts, mandated correctve advertsing or communicatons with doctors, debarment, resttuton, disgorgement of profts, or civil or criminal penaltes.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Non-Patent Data and Market Exclusivity</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Data and market exclusivity provisions under the FDCA can delay the submission or the approval of certain marketng applicatons. The FDCA provides a fve-year period of non-patent data exclusivity within the United States to the frst applicant to obtain approval of an NDA for a new chemical entty. A drug is a NCE if the FDA has not previously approved any other new drug containing the same actve moiety, which is the molecule or ion responsible for the acton of the drug substance. During the exclusivity period, the FDA may not accept for review an abbreviated new drug applicaton, or ANDA, or an NDA submited under Secton 505(b)(2), or 505(b)(2) NDA, submited by another company for another drug based on the same actve moiety, regardless of whether the drug is intended for the same indicaton as the original innovatve drug or for another indicaton, where the applicant does not own or have a legal right of reference to all the data required for approval. However, an applicaton may be submited afer four years if it contains a certfcaton of patent invalidity or non-infringement to one of the patents listed with the FDA by the innovator NDA holder.</w:t>
      </w:r>
    </w:p>
    <w:p>
      <w:pPr>
        <w:spacing w:after="0" w:line="182"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FDCA alternatvely provides three years of non-patent market exclusivity for an NDA, or supplement to an existng NDA, if new clinical investgatons, other than bioavailability studies, that were conducted or sponsored by the applicant are deemed by the FDA to be essental to the approval of the applicaton, for example new indicatons, dosages or strengths of an existng drug. This three-year exclusivity covers only the modifcaton for which the drug received approval on the basis of the new clinical investgatons and does not prohibit the FDA from approving ANDAs or 505(b)(2) NDAs for drugs containing the actve agent for the original indicaton or conditon of use. Five-year and three-year exclusivity will not delay the submission or approval of a full NDA. However, an applicant submitng a full NDA would be required to conduct or obtain a right of reference to all of the preclinical studies and adequate and well-controlled clinical trials necessary to demonstrate safety and efectveness.</w:t>
      </w:r>
    </w:p>
    <w:p>
      <w:pPr>
        <w:spacing w:after="0" w:line="181" w:lineRule="exact"/>
        <w:rPr>
          <w:sz w:val="20"/>
          <w:szCs w:val="20"/>
          <w:color w:val="auto"/>
        </w:rPr>
      </w:pPr>
    </w:p>
    <w:p>
      <w:pPr>
        <w:ind w:right="220" w:firstLine="509"/>
        <w:spacing w:after="0" w:line="254" w:lineRule="auto"/>
        <w:rPr>
          <w:sz w:val="20"/>
          <w:szCs w:val="20"/>
          <w:color w:val="auto"/>
        </w:rPr>
      </w:pPr>
      <w:r>
        <w:rPr>
          <w:rFonts w:ascii="Calibri" w:cs="Calibri" w:eastAsia="Calibri" w:hAnsi="Calibri"/>
          <w:sz w:val="17"/>
          <w:szCs w:val="17"/>
          <w:color w:val="auto"/>
        </w:rPr>
        <w:t>Pediatric exclusivity is another type of market exclusivity available in the United States. Pediatric exclusivity provides for an additonal six months of marketng exclusivity atached to another period of non-patent regulatory exclusivity or patent term if a sponsor conducts clinical trials in children in response to a writen request from the FDA. The issuance of a writen request does not require the sponsor to undertake the described clinical trials.</w:t>
      </w:r>
    </w:p>
    <w:p>
      <w:pPr>
        <w:spacing w:after="0" w:line="178"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Additonally, under the GAIN Act, the FDA may designate a product as a QIDP. In order to receive this designaton, a drug must qualify as an antbacterial or antfungal drug for human use intended to treat serious or life-threatening infectons, including those caused by either (1) an antbacterial or antfungal resistant pathogen, including novel or emerging infectous pathogens, or (2) a so-called “qualifying pathogen” found on a list of potentally dangerous, drug-resistant organisms established and maintained by the FDA under the law. The FDA interprets QIDP designaton to apply to a specifc drug product, including a specifc dosage form of the product. A sponsor must request such designaton before submitng a marketng applicaton, and the FDA will respond to a request for QIDP designaton within 60 days of the date the FDA receives the request. The GAIN Act permits the FDA to revoke a QIDP designaton if the request for such designaton contained an untrue statement of material fact.</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benefts of QIDP designaton include potental eligibility for priority review and Fast Track designaton, and an extension by an additonal fve years of any non-patent exclusivity period awarded, such as a fve-year NCE exclusivity period awarded for a new chemical entty. This extension is in additon to any pediatric exclusivity extension that may be awarded, and the extension will be awarded only to a drug frst approved on or afer the date of enactment. The GAIN Act provisions prohibit the grant of an exclusivity extension where the applicaton is a supplement to an applicaton for which an extension is in efect or has expired, is a</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0" w:name="page41"/>
    <w:bookmarkEnd w:id="40"/>
    <w:p>
      <w:pPr>
        <w:ind w:right="20"/>
        <w:spacing w:after="0" w:line="235" w:lineRule="auto"/>
        <w:rPr>
          <w:sz w:val="20"/>
          <w:szCs w:val="20"/>
          <w:color w:val="auto"/>
        </w:rPr>
      </w:pPr>
      <w:r>
        <w:rPr>
          <w:rFonts w:ascii="Calibri" w:cs="Calibri" w:eastAsia="Calibri" w:hAnsi="Calibri"/>
          <w:sz w:val="18"/>
          <w:szCs w:val="18"/>
          <w:color w:val="auto"/>
        </w:rPr>
        <w:t>subsequent applicaton for a specifed change to an approved product, or is an applicaton for a product that does not meet a defniton of QIDP based on the uses for which it is ultmately approved.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Healthcare Fraud and Abuse Laws and Compliance Requirements</w:t>
      </w:r>
    </w:p>
    <w:p>
      <w:pPr>
        <w:spacing w:after="0" w:line="17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In additon to FDA regulaton of pharmaceutcal products, U.S. federal and state healthcare laws and regulatons restrict business practces in the pharmaceutcal industry. These laws may impact, among other things, our current and future business operatons, including our clinical research actvites, and constrain the business or fnancial arrangements and relatonships with healthcare providers and other partes. These laws include ant-kickback and false claims laws, civil monetary penaltes laws, and transparency laws regarding drug pricing and payments or other items of value provided to physicians and other healthcare providers.</w:t>
      </w:r>
    </w:p>
    <w:p>
      <w:pPr>
        <w:spacing w:after="0" w:line="19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federal Ant-Kickback Statute prohibits, among other things, individuals or enttes from knowingly and willfully ofering, paying, solicitng or receiving remuneraton, directly or indirectly, overtly or covertly, in cash or in kind to induce or in return for purchasing, leasing, ordering or arranging for or recommending the purchase, lease or order of any item or service reimbursable under Medicare, Medicaid or other federal healthcare programs. A person or entty does not need to have actual knowledge of this statute or specifc intent to violate it in order to have commited a violaton.</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federal civil and criminal false claims laws, including the civil False Claims Act, and civil monetary penaltes laws prohibit, among other things, any individual or entty from knowingly presentng, or causing to be presented, a false claim for payment to the federal government, knowingly making, using or causing to be made or used a false record or statement material to a false or fraudulent claim to the federal government, or from knowingly making a false statement to avoid, decrease or conceal an obligaton to pay money to the federal government. In additon, the government may assert that a claim including items or services resultng from a violaton of the federal Ant-Kickback Statute consttutes a false or fraudulent claim for purposes of the civil False Claims Act.</w:t>
      </w:r>
    </w:p>
    <w:p>
      <w:pPr>
        <w:spacing w:after="0" w:line="181" w:lineRule="exact"/>
        <w:rPr>
          <w:sz w:val="20"/>
          <w:szCs w:val="20"/>
          <w:color w:val="auto"/>
        </w:rPr>
      </w:pPr>
    </w:p>
    <w:p>
      <w:pPr>
        <w:ind w:right="140" w:firstLine="509"/>
        <w:spacing w:after="0" w:line="251" w:lineRule="auto"/>
        <w:rPr>
          <w:sz w:val="20"/>
          <w:szCs w:val="20"/>
          <w:color w:val="auto"/>
        </w:rPr>
      </w:pPr>
      <w:r>
        <w:rPr>
          <w:rFonts w:ascii="Calibri" w:cs="Calibri" w:eastAsia="Calibri" w:hAnsi="Calibri"/>
          <w:sz w:val="17"/>
          <w:szCs w:val="17"/>
          <w:color w:val="auto"/>
        </w:rPr>
        <w:t>The federal Health Insurance Portability and Accountability Act of 1996, or HIPAA, created additonal federal criminal statutes that prohibit, among other things, knowingly and willfully executng a scheme to defraud any healthcare beneft program, including private third-party payers and knowingly and willfully falsifying, concealing or covering up a material fact or making any materially false, fcttous or fraudulent statement in connecton with the delivery of or payment for healthcare benefts, items or services. Similar to the U.S. federal Ant-Kickback Statute, a person or entty does not need to have actual knowledge of the healthcare fraud statute implemented under HIPAA or specifc intent to violate it in order to have commited a violaton.</w:t>
      </w:r>
    </w:p>
    <w:p>
      <w:pPr>
        <w:spacing w:after="0" w:line="184"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federal Physician Payments Sunshine Act requires certain manufacturers of drugs, devices, biologics and medical supplies for which payment is available under Medicare, Medicaid or the Children’s Health Insurance Program, with specifc exceptons, to report annually to the Centers for Medicare &amp; Medicaid Services, or CMS, informaton related to payments or other transfers of value made to physicians (defned to include doctors, dentsts, optometrists, podiatrists and chiropractors), certain other non-physician practtoners (physician assistants, nurse practtoners, clinical nurse specialists, certfed registered nurse anesthetsts, anesthesiology assistants and certfed nurse midwives), and teaching hospitals, and applicable manufacturers and applicable group purchasing organizatons to report annually to CMS ownership and investment interests held by physicians and their immediate family members.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Similar state and local laws and regulatons may also restrict business practces in the pharmaceutcal industry, such as state ant-kickback and false claims laws, which may apply to business practces, including but not limited to, research, distributon, sales and marketng arrangements and claims involving healthcare items or services reimbursed by non-governmental third-party payers, including private insurers, or by patents themselves; state laws that require pharmaceutcal companies to comply with the pharmaceutcal industry’s voluntary compliance guidelines and the relevant compliance guidance promulgated by the federal government, or otherwise restrict payments that may be made to healthcare providers and other potental referral sources; state laws and regulatons that require drug manufacturers to fle reports relatng to pricing and marketng informaton or which require tracking gifs and other remuneraton and items of value provided to physicians, other healthcare providers and enttes; and state and local laws that require the registraton of pharmaceutcal sales representatves.</w:t>
      </w:r>
    </w:p>
    <w:p>
      <w:pPr>
        <w:spacing w:after="0" w:line="182" w:lineRule="exact"/>
        <w:rPr>
          <w:sz w:val="20"/>
          <w:szCs w:val="20"/>
          <w:color w:val="auto"/>
        </w:rPr>
      </w:pPr>
    </w:p>
    <w:p>
      <w:pPr>
        <w:ind w:right="200" w:firstLine="509"/>
        <w:spacing w:after="0" w:line="252" w:lineRule="auto"/>
        <w:rPr>
          <w:sz w:val="20"/>
          <w:szCs w:val="20"/>
          <w:color w:val="auto"/>
        </w:rPr>
      </w:pPr>
      <w:r>
        <w:rPr>
          <w:rFonts w:ascii="Calibri" w:cs="Calibri" w:eastAsia="Calibri" w:hAnsi="Calibri"/>
          <w:sz w:val="17"/>
          <w:szCs w:val="17"/>
          <w:color w:val="auto"/>
        </w:rPr>
        <w:t>Violaton of any of such laws or any other governmental regulatons that apply may result in signifcant criminal, civil and administratve penaltes including damages, fnes, imprisonment, disgorgement, additonal reportng requirements and oversight if we become subject to a corporate integrity agreement or similar agreement to resolve allegatons of non-compliance with these laws, contractual damages, reputatonal harm, diminished profts and future earnings, disgorgement, exclusion from partcipaton in government healthcare programs and the curtailment or restructuring of our operatons.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1" w:name="page42"/>
    <w:bookmarkEnd w:id="41"/>
    <w:p>
      <w:pPr>
        <w:spacing w:after="0"/>
        <w:rPr>
          <w:sz w:val="20"/>
          <w:szCs w:val="20"/>
          <w:color w:val="auto"/>
        </w:rPr>
      </w:pPr>
      <w:r>
        <w:rPr>
          <w:rFonts w:ascii="Calibri" w:cs="Calibri" w:eastAsia="Calibri" w:hAnsi="Calibri"/>
          <w:sz w:val="18"/>
          <w:szCs w:val="18"/>
          <w:b w:val="1"/>
          <w:bCs w:val="1"/>
          <w:i w:val="1"/>
          <w:iCs w:val="1"/>
          <w:color w:val="auto"/>
        </w:rPr>
        <w:t>U.S. Coverage and Reimbursement</w:t>
      </w:r>
    </w:p>
    <w:p>
      <w:pPr>
        <w:spacing w:after="0" w:line="177" w:lineRule="exact"/>
        <w:rPr>
          <w:sz w:val="20"/>
          <w:szCs w:val="20"/>
          <w:color w:val="auto"/>
        </w:rPr>
      </w:pPr>
    </w:p>
    <w:p>
      <w:pPr>
        <w:ind w:firstLine="509"/>
        <w:spacing w:after="0" w:line="299" w:lineRule="auto"/>
        <w:rPr>
          <w:sz w:val="20"/>
          <w:szCs w:val="20"/>
          <w:color w:val="auto"/>
        </w:rPr>
      </w:pPr>
      <w:r>
        <w:rPr>
          <w:rFonts w:ascii="MS PGothic" w:cs="MS PGothic" w:eastAsia="MS PGothic" w:hAnsi="MS PGothic"/>
          <w:sz w:val="18"/>
          <w:szCs w:val="18"/>
          <w:color w:val="auto"/>
        </w:rPr>
        <w:t>Signifcant uncertainty exists as to the coverage and reimbursement status of any product candidate for which we may seek regulatory approval. Sales in the United States will depend, in part, on the availability of sufcient coverage and adequate reimbursement from third-party payers, which include government health programs such as Medicare, Medicaid, TRICARE and the Veterans Administraton, as well as managed care organizatons and private health insurers. Coverage and reimbursement for VOQUEZNA, VOQUEZNA TRIPLE PAK and VOQUEZNA DUAL PAK and any future product candidates can be subject to challenge, reducton or denial by third-party payers.</w:t>
      </w:r>
    </w:p>
    <w:p>
      <w:pPr>
        <w:spacing w:after="0" w:line="134" w:lineRule="exact"/>
        <w:rPr>
          <w:sz w:val="20"/>
          <w:szCs w:val="20"/>
          <w:color w:val="auto"/>
        </w:rPr>
      </w:pPr>
    </w:p>
    <w:p>
      <w:pPr>
        <w:ind w:right="220" w:firstLine="509"/>
        <w:spacing w:after="0" w:line="294" w:lineRule="auto"/>
        <w:rPr>
          <w:sz w:val="20"/>
          <w:szCs w:val="20"/>
          <w:color w:val="auto"/>
        </w:rPr>
      </w:pPr>
      <w:r>
        <w:rPr>
          <w:rFonts w:ascii="MS PGothic" w:cs="MS PGothic" w:eastAsia="MS PGothic" w:hAnsi="MS PGothic"/>
          <w:sz w:val="18"/>
          <w:szCs w:val="18"/>
          <w:color w:val="auto"/>
        </w:rPr>
        <w:t>The process for determining whether a third-party payer will provide coverage for a product is typically separate from the process for setng the reimbursement rate that the payer will pay for the product. In the United States, there is no uniform policy among payers for coverage or reimbursement. Decisions regarding whether to cover a product, the extent of coverage and amount of reimbursement to be provided are made on a plan-by-plan basis. Third-party payers ofen rely upon Medicare coverage policy and payment limitatons in setng their own coverage and reimbursement policies, but also have their own methods and approval processes. Therefore, coverage and reimbursement for products can difer signifcantly from payer to payer. As a result, the coverage determinaton process is ofen a tme-consuming and costly process that can require manufacturers to provide scientfc and clinical support for the use of a product to each payer separately, with no assurance that coverage and adequate reimbursement will be applied consistently or obtained in the frst instance.</w:t>
      </w:r>
    </w:p>
    <w:p>
      <w:pPr>
        <w:spacing w:after="0" w:line="153" w:lineRule="exact"/>
        <w:rPr>
          <w:sz w:val="20"/>
          <w:szCs w:val="20"/>
          <w:color w:val="auto"/>
        </w:rPr>
      </w:pPr>
    </w:p>
    <w:p>
      <w:pPr>
        <w:ind w:firstLine="509"/>
        <w:spacing w:after="0" w:line="295" w:lineRule="auto"/>
        <w:rPr>
          <w:sz w:val="20"/>
          <w:szCs w:val="20"/>
          <w:color w:val="auto"/>
        </w:rPr>
      </w:pPr>
      <w:r>
        <w:rPr>
          <w:rFonts w:ascii="MS PGothic" w:cs="MS PGothic" w:eastAsia="MS PGothic" w:hAnsi="MS PGothic"/>
          <w:sz w:val="18"/>
          <w:szCs w:val="18"/>
          <w:color w:val="auto"/>
        </w:rPr>
        <w:t>Third-party payers are increasingly challenging the price and examining the medical necessity and cost-efectveness of medical products and services, in additon to their safety and efcacy. Adopton of price controls and cost-containment measures, and adopton of more restrictve policies in jurisdictons with existng controls and measures, could further limit sales of any product that receives approval. Third-party payers may not consider vonoprazan or any future product candidates to be medically necessary or cost-efectve compared to other available therapies, or the rebate percentages required to secure favorable coverage may not yield an adequate margin over cost or may not enable us to maintain price levels sufcient to realize an appropriate return on our investment in drug development. Additonally, decreases in third-party reimbursement for any product or a decision by a third-party payer not to cover a product could reduce physician usage and patent demand for the product.</w:t>
      </w:r>
    </w:p>
    <w:p>
      <w:pPr>
        <w:spacing w:after="0" w:line="139" w:lineRule="exact"/>
        <w:rPr>
          <w:sz w:val="20"/>
          <w:szCs w:val="20"/>
          <w:color w:val="auto"/>
        </w:rPr>
      </w:pPr>
    </w:p>
    <w:p>
      <w:pPr>
        <w:ind w:right="40" w:firstLine="509"/>
        <w:spacing w:after="0" w:line="291" w:lineRule="auto"/>
        <w:rPr>
          <w:sz w:val="20"/>
          <w:szCs w:val="20"/>
          <w:color w:val="auto"/>
        </w:rPr>
      </w:pPr>
      <w:r>
        <w:rPr>
          <w:rFonts w:ascii="MS PGothic" w:cs="MS PGothic" w:eastAsia="MS PGothic" w:hAnsi="MS PGothic"/>
          <w:sz w:val="18"/>
          <w:szCs w:val="18"/>
          <w:color w:val="auto"/>
        </w:rPr>
        <w:t>Medicaid is a joint federal and state program administered by the states for low-income and disabled benefciaries. Medicare is a federal program that is administered by the federal government covering individuals age 65 and over as well as those with certain disabilites. Under the Medicaid Drug Rebate Program, or MDRP, as a conditon of having federal funds being made available to the states for covered outpatent drugs under Medicaid, and, if applicable, Medicare Part B, pharmaceutcal manufacturers must enter into an agreement with the Secretary of Health and Human Services to pay a rebate to state Medicaid programs for each unit of covered outpatent drug dispensed to a Medicaid benefciary and paid for by the state Medicaid program. Medicaid drug rebates are based on pricing data that pharmaceutcal manufacturers report on a monthly and quarterly basis to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entty in the United States in any pricing structure, calculated to include all applicable sales and associated rebates, discounts and other price concessions. If a manufacturer becomes aware that its MDRP government price reportng submission for a prior quarter was incorrect or has changed as a result of recalculaton of the pricing data, the manufacturer must resubmit the corrected data for up to three years afer those data originally were due. If a manufacturer fails to provide informaton tmely or is found to have knowingly submited false informaton to the government, the manufacturer may be subject to civil monetary penaltes and other sanctons, including terminaton from the MDRP.</w:t>
      </w:r>
    </w:p>
    <w:p>
      <w:pPr>
        <w:spacing w:after="0" w:line="146" w:lineRule="exact"/>
        <w:rPr>
          <w:sz w:val="20"/>
          <w:szCs w:val="20"/>
          <w:color w:val="auto"/>
        </w:rPr>
      </w:pPr>
    </w:p>
    <w:p>
      <w:pPr>
        <w:ind w:right="100" w:firstLine="509"/>
        <w:spacing w:after="0" w:line="292" w:lineRule="auto"/>
        <w:rPr>
          <w:sz w:val="20"/>
          <w:szCs w:val="20"/>
          <w:color w:val="auto"/>
        </w:rPr>
      </w:pPr>
      <w:r>
        <w:rPr>
          <w:rFonts w:ascii="MS PGothic" w:cs="MS PGothic" w:eastAsia="MS PGothic" w:hAnsi="MS PGothic"/>
          <w:sz w:val="18"/>
          <w:szCs w:val="18"/>
          <w:color w:val="auto"/>
        </w:rPr>
        <w:t>Federal law requires that a manufacturer that partcipates in the MDRP also partcipate in the Public Health Service’s 340B drug pricing program, or the 340B program, in order for federal funds to be available for the manufacturer’s drugs under Medicaid and, if applicable, Medicare Part B. The 340B program is administered by the Health Resources and Services Administraton, or HRSA, and requires partcipatng manufacturers to agree to charge statutorily defned covered enttes no more than the 340B “ceiling price” for the manufacturer’s covered outpatent drugs used in an outpatent setng. These 340B covered enttes include a variety of community health clinics and other enttes that receive health services grants from the Public Health Service, as well as hospitals that serve a disproportonate share of low‑income patents. The 340B ceiling price is calculated using a statutory formula, which is based on the AMP and rebate amount for the covered outpatent drug as calculated under the MDRP. In general, products subject to Medicaid price reportng and rebate liability are also subject to the 340B ceiling price calculaton and discount requirement. Manufacturers must report 340B ceiling prices to HRSA on a quarterly basis, and HRSA publishes them to 340B covered enttes. HRSA has fnalized regulatons regarding the calculaton of the 340B ceiling price and the impositon of civil monetary penaltes on manufacturers that knowingly and intentonally overcharge covered enttes for 340B‑eligible drugs. HRSA has also</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42" w:name="page43"/>
    <w:bookmarkEnd w:id="42"/>
    <w:p>
      <w:pPr>
        <w:ind w:right="100"/>
        <w:spacing w:after="0" w:line="235" w:lineRule="auto"/>
        <w:rPr>
          <w:sz w:val="20"/>
          <w:szCs w:val="20"/>
          <w:color w:val="auto"/>
        </w:rPr>
      </w:pPr>
      <w:r>
        <w:rPr>
          <w:rFonts w:ascii="Calibri" w:cs="Calibri" w:eastAsia="Calibri" w:hAnsi="Calibri"/>
          <w:sz w:val="18"/>
          <w:szCs w:val="18"/>
          <w:color w:val="auto"/>
        </w:rPr>
        <w:t>fnalized an administratve dispute resoluton process through which 340B covered enttes may pursue claims against partcipatng manufacturers for overcharges, and through which manufacturers may pursue claims against 340B covered enttes for engaging in unlawful diversion or duplicate discountng of 340B drugs. In additon, legislaton may be introduced that, if passed, would further expand the 340B program, such as adding further covered enttes or requiring partcipatng manufacturers to agree to provide 340B discounted pricing on drugs used in an inpatent setng.</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order to be eligible to have drug products paid for with federal funds under Medicaid and, if applicable, Medicare Part B, and purchased by certain federal agencies and grantees, a manufacturer must also partcipate in the U.S. Department of Veterans Afairs,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 pharmacy program.</w:t>
      </w:r>
    </w:p>
    <w:p>
      <w:pPr>
        <w:spacing w:after="0" w:line="18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are enrolled or partcipate in the MDRP, the 340B program, the VA/FSS program, and the TRICARE retail pharmacy program, and have price reportng and payment obligatons under these and other programs. Pricing and rebate calculatons vary among products and programs. The calculatons are complex and are ofen subject to interpretaton by us, governmental or regulatory agencies, and the courts. We cannot ensure that any submissions we are required to make under these programs will not be found to be incomplete or incorrect.</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Individual states contnue to consider and have enacted legislaton to limit the growth of healthcare costs, including the cost of prescripton drugs and combinaton products. A number of states have either implemented or are considering implementaton of drug price transparency legislaton. Requirements under such laws include advance notce of planned price increases, reportng price increase amounts and factors considered by manufacturers in taking such increases, wholesale acquisiton cost disclosure to prescribers, purchasers, and state agencies, and new product notce and reportng. Such legislaton could limit the price or payment for certain drugs, and a number of states are authorized to impose civil monetary penaltes or pursue other enforcement mechanisms against manufacturers who fail to comply with drug price transparency requirements, including the untmely, inaccurate, or incomplete reportng of drug pricing informaton.</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 Healthcare Reform</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the United States, there has been, and contnues to be, several legislatve and regulatory changes and proposed changes regarding the healthcare system that could prevent or delay marketng approval of product candidates, restrict or regulate post-approval actvites, and afect the proftable sale of product candidates.</w:t>
      </w:r>
    </w:p>
    <w:p>
      <w:pPr>
        <w:spacing w:after="0" w:line="192"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Among policy makers and payers in the United States, there is signifcant interest in promotng changes in healthcare systems with the stated goals of containing healthcare costs, improving quality and/or expanding access. In the United States, the pharmaceutcal industry has been a partcular focus of these eforts and has been signifcantly afected by major legislatve initatves. In March 2010, the Patent Protecton and Afordable Care Act, or the Afordable Care Act, was passed, which substantally changed the way healthcare is fnanced by both governmental and private insurers, and signifcantly afected the pharmaceutcal industry. The Afordable Care Act increased the minimum level of Medicaid rebates payable by manufacturers of brand name drugs from 15.1% to 23.1%; required collecton of rebates for drugs paid by Medicaid managed care organizatons; required manufacturers to partcipate in a coverage gap discount program, which was replaced by a new manufacturer discount program on January 1, 2025 (as discussed below), in which manufacturers were required to ofer point-of-sale discounts of negotated prices of applicable brand drugs to eligible benefciaries during their coverage gap period, as a conditon for the manufacturer’s outpatent drugs to be covered under Medicare Part D; imposed a non-deductble annual fee on pharmaceutcal manufacturers or importers who sell certain “branded prescripton drugs” to specifed federal government programs; implemented a new methodology by which rebates owed by manufacturers under the MDRP are calculated for drugs that are inhaled, infused, instlled, implanted, or injected; expanded eligibility criteria for Medicaid programs; created a new Patent-Centered Outcomes Research Insttute to oversee, identfy priorites in, and conduct comparatve clinical efectveness research, along with funding for such research; and established a Center for Medicare and Medicaid Innovaton at the CMS to test innovatve payment and service delivery models to lower Medicare and Medicaid spending, potentally including prescripton drug spending.</w:t>
      </w:r>
    </w:p>
    <w:p>
      <w:pPr>
        <w:spacing w:after="0" w:line="2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3" w:name="page44"/>
    <w:bookmarkEnd w:id="43"/>
    <w:p>
      <w:pPr>
        <w:ind w:right="240" w:firstLine="509"/>
        <w:spacing w:after="0" w:line="235" w:lineRule="auto"/>
        <w:rPr>
          <w:sz w:val="20"/>
          <w:szCs w:val="20"/>
          <w:color w:val="auto"/>
        </w:rPr>
      </w:pPr>
      <w:r>
        <w:rPr>
          <w:rFonts w:ascii="Calibri" w:cs="Calibri" w:eastAsia="Calibri" w:hAnsi="Calibri"/>
          <w:sz w:val="18"/>
          <w:szCs w:val="18"/>
          <w:color w:val="auto"/>
        </w:rPr>
        <w:t>Since its enactment, there have been judicial and politcal challenges to certain aspects of the Afordable Care Act. On June 17, 2021, the U.S. Supreme Court dismissed the most recent judicial challenge to the Afordable Care Act without specifcally ruling on the consttutonality of the Afordable Care Act. Thus, the Afordable Care Act will remain in efect in its current form.</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other legislatve changes have been proposed and adopted since the Afordable Care Act was enacted. For example, beginning April 1, 2013, Medicare payments to providers were reduced under the sequestraton required by the Budget Control Act of 2011, which will remain in efect through 2032, unless additonal Congressional acton is taken. Additonally, on January 2, 2013, the American Taxpayer Relief Act of 2012 was signed into law, which, among other things, further reduced Medicare payments to several providers, including hospitals, imaging centers and cancer treatment centers, and increased the statute of limitatons period for the government to recover overpayments to providers from three to fve years. On March 11, 2021, the American Rescue Plan Act of 2021 was signed into law, which eliminated the statutory Medicaid drug rebate cap, beginning January 1, 2024. Previously, the rebate was capped at 100% of a drug’s AMP.</w:t>
      </w:r>
    </w:p>
    <w:p>
      <w:pPr>
        <w:spacing w:after="0" w:line="18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Moreover, there has been heightened governmental scrutny over the manner in which manufacturers set prices for their marketed products, which has resulted in several Congressional inquiries and proposed and enacted federal and state legislaton designed to, among other things, bring more transparency to product pricing, review the relatonship between pricing and manufacturer patent programs, and reform government program reimbursement methodologies for pharmaceutcal products.</w:t>
      </w:r>
    </w:p>
    <w:p>
      <w:pPr>
        <w:spacing w:after="0" w:line="19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Most signifcantly, on August 16, 2022, the Infaton Reducton Act of 2022, or IRA, was signed into law. This statute marks the most signifcant acton by Congress with respect to the pharmaceutcal industry since adopton of the Afordable Care Act in 2010. Among other things, the IRA requires manufacturers of certain drugs to engage in price negotatons with Medicare (beginning in 2026), with prices that can be negotated subject to a cap; imposes rebates under Medicare Part B and Medicare Part D to penalize price increases that outpace infaton (frst due in 2023); and replaces the Part D coverage gap discount program with a new discountng program (which began on January 1, 2025). The IRA permits the Secretary of the Department of Health and Human Services, or HHS, to implement many of these provisions through guidance, as opposed to regulaton, for the inital years. HHS has and will contnue to issue and update guidance as these programs are implemented. CMS has published the negotated prices for the inital ten drugs, which will frst be efectve in 2026, and the list of the subsequent 15 drugs that will be subject to negotaton, although the program is currently subject to legal challenges. The impact of the IRA on the pharmaceutcal industry cannot yet be fully determined, but is likely to be signifcant. Individual states in the U.S. have also become increasingly actve in implementng regulatons designed to control pharmaceutcal product pricing, including price or patent reimbursement constraints, discounts, restrictons on certain product access and marketng cost disclosure, drug price reportng and other transparency measures, and, in some cases, designed to encourage importaton from other countries and bulk purchasing. Some states have enacted legislaton creatng so-called prescripton drug afordability boards, which ultmately may atempt to impose price limits on certain drugs in these states. In additon, regional healthcare authorites and individual hospitals are increasingly using bidding procedures to determine which drugs and suppliers will be included in their healthcare programs. Furthermore, there has been increased interest by third-party payers and governmental authorites in reference pricing systems and publicaton of discounts and list prices.</w:t>
      </w:r>
    </w:p>
    <w:p>
      <w:pPr>
        <w:spacing w:after="0" w:line="189" w:lineRule="exact"/>
        <w:rPr>
          <w:sz w:val="20"/>
          <w:szCs w:val="20"/>
          <w:color w:val="auto"/>
        </w:rPr>
      </w:pPr>
    </w:p>
    <w:p>
      <w:pPr>
        <w:ind w:right="360" w:firstLine="509"/>
        <w:spacing w:after="0" w:line="235" w:lineRule="auto"/>
        <w:rPr>
          <w:sz w:val="20"/>
          <w:szCs w:val="20"/>
          <w:color w:val="auto"/>
        </w:rPr>
      </w:pPr>
      <w:r>
        <w:rPr>
          <w:rFonts w:ascii="Calibri" w:cs="Calibri" w:eastAsia="Calibri" w:hAnsi="Calibri"/>
          <w:sz w:val="18"/>
          <w:szCs w:val="18"/>
          <w:color w:val="auto"/>
        </w:rPr>
        <w:t>The likelihood of implementaton of additonal reform initatves is uncertain. Moreover, in the coming years, additonal legislatve and regulatory changes could be made to governmental health programs that could signifcantly impact pharmaceutcal companies and the success of our product candidates.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Foreign Regulaton</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order to market any product outside of the United States, we would need to comply with numerous and varying regulatory requirements of other countries and jurisdictons regarding quality, safety and efcacy and governing, among other things, clinical trials, marketng authorizaton, commercial sales and distributon of our products. Whether or not we obtain FDA approval for a product, we would need to obtain the necessary approvals by the comparable foreign regulatory authorites before we can commence clinical trials or marketng of the product in foreign countries and jurisdictons. Although many of the issues discussed above with respect to the United States apply similarly in the context of the European Union, or EU, the approval process varies between countries and jurisdictons and can involve additonal product testng and additonal administratve review periods. The tme required to obtain approval in other countries and jurisdictons might difer from and be longer than that required to obtain FDA approval. Regulatory approval in one country or jurisdicton does not ensure regulatory approval in another, but a failure or delay in obtaining regulatory approval in one country or jurisdicton may negatvely impact the regulatory process in others.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44" w:name="page45"/>
    <w:bookmarkEnd w:id="44"/>
    <w:p>
      <w:pPr>
        <w:spacing w:after="0"/>
        <w:rPr>
          <w:sz w:val="20"/>
          <w:szCs w:val="20"/>
          <w:color w:val="auto"/>
        </w:rPr>
      </w:pPr>
      <w:r>
        <w:rPr>
          <w:rFonts w:ascii="Calibri" w:cs="Calibri" w:eastAsia="Calibri" w:hAnsi="Calibri"/>
          <w:sz w:val="18"/>
          <w:szCs w:val="18"/>
          <w:b w:val="1"/>
          <w:bCs w:val="1"/>
          <w:i w:val="1"/>
          <w:iCs w:val="1"/>
          <w:color w:val="auto"/>
        </w:rPr>
        <w:t>Regulaton and Procedures Governing Marketng Authorizaton of Medicinal Products in the EU</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Non-Clinical Studies and Clinical Trials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Similarly, to the United States, the various phases of non-clinical and clinical research in the EU are subject to signifcant regulatory controls.</w:t>
      </w:r>
    </w:p>
    <w:p>
      <w:pPr>
        <w:spacing w:after="0" w:line="190"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Non-clinical studies are performed to demonstrate the health or environmental safety of new chemical or biological substances. Non-clinical (pharmaco-toxicological) studies must be conducted in compliance with the principles of good laboratory practce, or GLP, as set forth in EU Directve 2004/10/EC (unless otherwise justfed for certain partcular medicinal products, e.g., radio-pharmaceutcal precursors for radio-labeling purposes). In partcular, non-clinical studies, both in vitro and in vivo, must be planned, performed, monitored, recorded, reported and archived in accordance with the GLP principles, which defne a set of rules and criteria for a quality system for the organizatonal process and the conditons for non-clinical studies. These GLP standards refect the Organizaton for Economic Co-operaton and Development requirements.</w:t>
      </w:r>
    </w:p>
    <w:p>
      <w:pPr>
        <w:spacing w:after="0" w:line="181"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Clinical trials of medicinal products in the EU must be conducted in accordance with EU and natonal regulatons and the Internatonal Council for Harmonizaton of Technical Requirements for Pharmaceutcals for Human Use, or ICH, guidelines on good clinical practces, or GCP, as well as the applicable regulatory requirements and the ethical principles that have their origin in the Declaraton of Helsinki. If the sponsor of the clinical trial is not established within the EU, it must appoint an EU entty to act as its legal representatve. The sponsor must take out a clinical trial insurance policy, and in most EU member states, the sponsor is liable to provide ‘no fault’ compensaton to any study subject injured in the clinical trial.</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regulatory landscape related to clinical trials in the EU has been subject to recent changes. The EU Clinical Trials Regulaton, or CTR, which was adopted in April 2014 and repeals the EU Clinical Trials Directve, became applicable on January 31, 2022. Unlike directves, the CTR is directly applicable in all EU member states without the need for member states to further implement it into natonal law. The CTR notably harmonizes the assessment and supervision processes for clinical trials throughout the EU via a Clinical Trials Informaton System, which contains a centralized EU portal and database.</w:t>
      </w:r>
    </w:p>
    <w:p>
      <w:pPr>
        <w:spacing w:after="0" w:line="19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While the EU Clinical Trials Directve required a separate clinical trial applicaton, or CTA, to be submited in each member state in which the clinical trial takes place, to both the competent natonal health authority and an independent ethics commitee, much like the FDA and IRB, respectvely, the CTR introduces a centralized process and only requires the submission of a single applicaton for mult-center trials. The CTR allows sponsors to make a single submission to both the competent authority and an ethics commitee in each member state, leading to a single decision per member state. The CTA must include, among other things, a copy of the trial protocol and an investgatonal medicinal product dossier containing informaton about the manufacture and quality of the medicinal product under investgaton.</w:t>
      </w:r>
    </w:p>
    <w:p>
      <w:pPr>
        <w:spacing w:after="0" w:line="181"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assessment procedure of the CTA has been harmonized as well, including a joint assessment by all member states concerned, and a separate assessment by each member state with respect to specifc requirements related to its own territory, including ethics rules. Each member state’s decision is communicated to the sponsor via the centralized EU portal. Once the CTA is approved, clinical study development may proceed.</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CTR foresees a three-year transiton period. The extent to which ongoing and new clinical trials will be governed by the CTR varies. Clinical trials for which an applicaton was submited (i) prior to January 31, 2022 under the EU Clinical Trials Directve, or (ii) between January 31, 2022 and January 31, 2023 and for which the sponsor has opted for the applicaton of the EU Clinical Trials Directve remain governed by said Directve untl January 31, 2025. Afer this date, all clinical trials (including those which are ongoing) will become subject to the provisions of the CTR.</w:t>
      </w:r>
    </w:p>
    <w:p>
      <w:pPr>
        <w:spacing w:after="0" w:line="192" w:lineRule="exact"/>
        <w:rPr>
          <w:sz w:val="20"/>
          <w:szCs w:val="20"/>
          <w:color w:val="auto"/>
        </w:rPr>
      </w:pPr>
    </w:p>
    <w:p>
      <w:pPr>
        <w:ind w:right="640" w:firstLine="509"/>
        <w:spacing w:after="0" w:line="235" w:lineRule="auto"/>
        <w:rPr>
          <w:sz w:val="20"/>
          <w:szCs w:val="20"/>
          <w:color w:val="auto"/>
        </w:rPr>
      </w:pPr>
      <w:r>
        <w:rPr>
          <w:rFonts w:ascii="Calibri" w:cs="Calibri" w:eastAsia="Calibri" w:hAnsi="Calibri"/>
          <w:sz w:val="18"/>
          <w:szCs w:val="18"/>
          <w:color w:val="auto"/>
        </w:rPr>
        <w:t>Medicines used in clinical trials must be manufactured in accordance with Good Manufacturing Practce, or GMP. Other natonal and EU-wide regulatory requirements may also apply.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Marketng Authorizatons</w:t>
      </w:r>
    </w:p>
    <w:p>
      <w:pPr>
        <w:spacing w:after="0" w:line="177" w:lineRule="exact"/>
        <w:rPr>
          <w:sz w:val="20"/>
          <w:szCs w:val="20"/>
          <w:color w:val="auto"/>
        </w:rPr>
      </w:pPr>
    </w:p>
    <w:p>
      <w:pPr>
        <w:jc w:val="both"/>
        <w:ind w:right="140" w:firstLine="509"/>
        <w:spacing w:after="0" w:line="235" w:lineRule="auto"/>
        <w:rPr>
          <w:sz w:val="20"/>
          <w:szCs w:val="20"/>
          <w:color w:val="auto"/>
        </w:rPr>
      </w:pPr>
      <w:r>
        <w:rPr>
          <w:rFonts w:ascii="Calibri" w:cs="Calibri" w:eastAsia="Calibri" w:hAnsi="Calibri"/>
          <w:sz w:val="18"/>
          <w:szCs w:val="18"/>
          <w:color w:val="auto"/>
        </w:rPr>
        <w:t>In the EU, medicinal product candidates can only be commercialized afer obtaining a marketng authorizaton, or MA. To obtain regulatory approval of a product candidate in the EU, we must submit a MA Applicaton, or MAA. The process for doing this depends, among other things, on the nature of the medicinal product.</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color w:val="auto"/>
        </w:rPr>
        <w:t>There are two types of MAs: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45" w:name="page46"/>
    <w:bookmarkEnd w:id="45"/>
    <w:p>
      <w:pPr>
        <w:ind w:left="900" w:right="320" w:hanging="383"/>
        <w:spacing w:after="0" w:line="251" w:lineRule="auto"/>
        <w:tabs>
          <w:tab w:leader="none" w:pos="900" w:val="left"/>
        </w:tabs>
        <w:numPr>
          <w:ilvl w:val="0"/>
          <w:numId w:val="15"/>
        </w:numPr>
        <w:rPr>
          <w:rFonts w:ascii="Times New Roman" w:cs="Times New Roman" w:eastAsia="Times New Roman" w:hAnsi="Times New Roman"/>
          <w:sz w:val="17"/>
          <w:szCs w:val="17"/>
          <w:color w:val="auto"/>
        </w:rPr>
      </w:pPr>
      <w:r>
        <w:rPr>
          <w:rFonts w:ascii="Calibri" w:cs="Calibri" w:eastAsia="Calibri" w:hAnsi="Calibri"/>
          <w:sz w:val="17"/>
          <w:szCs w:val="17"/>
          <w:color w:val="auto"/>
        </w:rPr>
        <w:t>"Centralized MAs" are issued by the European Commission through the centralized procedure, based on the opinion of the Commitee for Medicinal Products for Human Use, or CHMP, of the European Medicines Agency, or EMA, and are valid throughout the EU. The centralized procedure is mandatory for certain types of products, such as (i) medicinal products derived from biotechnological processes, (ii) designated orphan medicinal products, (iii) advanced therapy medicinal products, or ATMPs, such as gene therapy, somatc cell-therapy or tssue-engineered medicines and (iv) medicinal products containing a new actve substance indicated for the treatment of certain diseases, such as HIV/AIDS, cancer, neurodegeneratve diseases, diabetes, auto-immune and other immune dysfunctons and viral diseases. The centralized procedure is optonal for any products containing a new actve substance not yet authorized in the EU, or for products that consttute a signifcant therapeutc, scientfc or technical innovaton or for which the grantng of a MA would be in the interest of public health in the EU.</w:t>
      </w:r>
    </w:p>
    <w:p>
      <w:pPr>
        <w:spacing w:after="0" w:line="180" w:lineRule="exact"/>
        <w:rPr>
          <w:rFonts w:ascii="Times New Roman" w:cs="Times New Roman" w:eastAsia="Times New Roman" w:hAnsi="Times New Roman"/>
          <w:sz w:val="17"/>
          <w:szCs w:val="17"/>
          <w:color w:val="auto"/>
        </w:rPr>
      </w:pPr>
    </w:p>
    <w:p>
      <w:pPr>
        <w:ind w:left="900" w:hanging="383"/>
        <w:spacing w:after="0" w:line="235" w:lineRule="auto"/>
        <w:tabs>
          <w:tab w:leader="none" w:pos="900" w:val="left"/>
        </w:tabs>
        <w:numPr>
          <w:ilvl w:val="0"/>
          <w:numId w:val="15"/>
        </w:numPr>
        <w:rPr>
          <w:rFonts w:ascii="Times New Roman" w:cs="Times New Roman" w:eastAsia="Times New Roman" w:hAnsi="Times New Roman"/>
          <w:sz w:val="18"/>
          <w:szCs w:val="18"/>
          <w:color w:val="auto"/>
        </w:rPr>
      </w:pPr>
      <w:r>
        <w:rPr>
          <w:rFonts w:ascii="Calibri" w:cs="Calibri" w:eastAsia="Calibri" w:hAnsi="Calibri"/>
          <w:sz w:val="18"/>
          <w:szCs w:val="18"/>
          <w:color w:val="auto"/>
        </w:rPr>
        <w:t>"Natonal MAs" are issued by the competent authorites of the EU member states, only cover their respectve territory, and are available for product candidates not falling within the mandatory scope of the centralized procedure. Where a product has already been authorized for marketng in an EU member state, this natonal MA can be recognized in another member state through the mutual recogniton procedure. If the product has not received a natonal MA in any member state at the tme of applicaton, it can be approved simultaneously in various member states through the decentralized procedure. Under the decentralized procedure an identcal dossier is submited to the competent authorites of each of the member states in which the MA is sought, one of which is selected by the applicant as the reference member state.</w:t>
      </w:r>
    </w:p>
    <w:p>
      <w:pPr>
        <w:spacing w:after="0" w:line="18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Under the above described procedures, before grantng the MA, the EMA or the competent authorites of the EU member states make an assessment of the risk-beneft balance of the product on the basis of scientfc criteria concerning its quality, safety and efcacy.</w:t>
      </w:r>
    </w:p>
    <w:p>
      <w:pPr>
        <w:spacing w:after="0" w:line="191" w:lineRule="exact"/>
        <w:rPr>
          <w:sz w:val="20"/>
          <w:szCs w:val="20"/>
          <w:color w:val="auto"/>
        </w:rPr>
      </w:pPr>
    </w:p>
    <w:p>
      <w:pPr>
        <w:ind w:right="340" w:firstLine="509"/>
        <w:spacing w:after="0" w:line="254" w:lineRule="auto"/>
        <w:rPr>
          <w:sz w:val="20"/>
          <w:szCs w:val="20"/>
          <w:color w:val="auto"/>
        </w:rPr>
      </w:pPr>
      <w:r>
        <w:rPr>
          <w:rFonts w:ascii="Calibri" w:cs="Calibri" w:eastAsia="Calibri" w:hAnsi="Calibri"/>
          <w:sz w:val="17"/>
          <w:szCs w:val="17"/>
          <w:color w:val="auto"/>
        </w:rPr>
        <w:t>MAs have an inital duraton of fve years. Afer these fve years, the authorizaton may be renewed for an unlimited period on the basis of a reevaluaton of the risk-beneft balance. Under the centralized procedure the maximum tmeframe for the evaluaton of an MAA by the EMA is 210 days, excluding clock stops. In exceptonal cases, the CHMP might perform an accelerated review of a MA in no more than 150 days (not including clock stops).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Data and marketng exclusivity</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EU also provides opportunites for market exclusivity. Upon receiving MA, innovatve medicinal products generally receive eight years of data exclusivity and an additonal two years of market exclusivity.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frst authorized in the EU. The market exclusivity period prevents a successful generic or biosimilar applicant from commercializing its product in the EU untl 10 years have elapsed from the inital MA of the reference product in the EU. The overall 10-year market exclusivity period can be extended to a maximum of eleven years if, during the frst eight years of those 10 years, the MA holder obtains an authorizaton for one or more new therapeutc indicatons which, during the scientfc evaluaton prior to their authorizaton, are held to bring a signifcant clinical beneft in comparison with existng therapies. However, there is no guarantee that a product will be considered by the EU’s regulatory authorites to be a new chemical (or biological) entty, and products may not qualify for data exclusivity.</w:t>
      </w:r>
    </w:p>
    <w:p>
      <w:pPr>
        <w:spacing w:after="0" w:line="192"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Pediatric investgaton plan</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EU, MAAs for new medicinal products have to include the results of trials conducted in the pediatric populaton, in compliance with a pediatric investgaton plan, or PIP, agreed with the EMA’s Pediatric Commitee, or PDCO. The PIP sets out the tming and measures proposed to generate data to support a pediatric indicaton of the drug for which MA is being sought. The PDCO can grant a deferral of the obligaton to implement some or all of the measures of the PIP untl there are sufcient data to demonstrate the efcacy and safety of the product in adults. Further, the obligaton to provide pediatric clinical trial data can be waived by the PDCO when these data are not needed or appropriate because the product is likely to be inefectve or unsafe in children, the disease or conditon for which the product is intended occurs only in adult populatons, or when the product does not represent a signifcant therapeutc beneft over existng treatments for pediatric patents. Once the MA is obtained in all EU member states and study results are included in the product informaton, even when negatve, the product is eligible for six months’ supplementary protecton certfcate extension (if any is in efect at the tme of approval) or, in the case of orphan pharmaceutcal products, a two-year extension of the orphan market exclusivity is granted.</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46" w:name="page47"/>
    <w:bookmarkEnd w:id="46"/>
    <w:p>
      <w:pPr>
        <w:spacing w:after="0"/>
        <w:rPr>
          <w:sz w:val="20"/>
          <w:szCs w:val="20"/>
          <w:color w:val="auto"/>
        </w:rPr>
      </w:pPr>
      <w:r>
        <w:rPr>
          <w:rFonts w:ascii="Calibri" w:cs="Calibri" w:eastAsia="Calibri" w:hAnsi="Calibri"/>
          <w:sz w:val="18"/>
          <w:szCs w:val="18"/>
          <w:i w:val="1"/>
          <w:iCs w:val="1"/>
          <w:color w:val="auto"/>
        </w:rPr>
        <w:t>Post-Approval Requirements</w:t>
      </w:r>
    </w:p>
    <w:p>
      <w:pPr>
        <w:spacing w:after="0" w:line="177"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Similar to the United States, both MA holders and manufacturers of medicinal products are subject to comprehensive regulatory oversight by the EMA, the European Commission and/or the competent regulatory authorites of the member states. The holder of a MA must establish and maintain a pharmacovigilance system and appoint an individual qualifed person for pharmacovigilance, or QPPV, who is responsible for the establishment and maintenance of that system, and oversees the safety profles of medicinal products and any emerging safety concerns. Key obligatons include expedited reportng of suspected serious adverse reactons and submission of periodic safety update reports, or PSURs.</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All new MAAs must include a risk management plan, or RMP, describing the risk management system that we will put in place and documentng measures to prevent or minimize the risks associated with the product. The regulatory authorites may also impose specifc obligatons as a conditon of the MA. Such risk-minimizaton measures or post-authorizaton obligatons may include additonal safety monitoring, more frequent submission of PSURs, or the conduct of additonal clinical trials or post-authorizaton safety studies.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advertsing and promoton of medicinal products is also subject to laws concerning promoton of medicinal products, interactons with physicians, misleading and comparatve advertsing and unfair commercial practces. All advertsing and promotonal actvites for the product must be consistent with the approved summary of product characteristcs, and therefore all of-label promoton is prohibited. Direct-to-consumer advertsing of prescripton medicines is also prohibited in the EU. Although general requirements for advertsing and promoton of medicinal products are established under EU directves, the details are governed by regulatons in each member state and can difer from one country to another.</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Failure to comply with the aforementoned EU and member state laws may result in administratve, civil or criminal penaltes. These penaltes could include delays or refusal to authorize the conduct of clinical trials, or to grant MA, product withdrawals and recalls, product seizures, suspension, withdrawal or variaton of the MA, total or partal suspension of producton, distributon, manufacturing or clinical trials, operatng restrictons, injunctons, suspension of licenses, fnes and criminal penaltes.</w:t>
      </w:r>
    </w:p>
    <w:p>
      <w:pPr>
        <w:spacing w:after="0" w:line="179" w:lineRule="exact"/>
        <w:rPr>
          <w:sz w:val="20"/>
          <w:szCs w:val="20"/>
          <w:color w:val="auto"/>
        </w:rPr>
      </w:pPr>
    </w:p>
    <w:p>
      <w:pPr>
        <w:ind w:right="540" w:firstLine="509"/>
        <w:spacing w:after="0" w:line="235" w:lineRule="auto"/>
        <w:rPr>
          <w:sz w:val="20"/>
          <w:szCs w:val="20"/>
          <w:color w:val="auto"/>
        </w:rPr>
      </w:pPr>
      <w:r>
        <w:rPr>
          <w:rFonts w:ascii="Calibri" w:cs="Calibri" w:eastAsia="Calibri" w:hAnsi="Calibri"/>
          <w:sz w:val="18"/>
          <w:szCs w:val="18"/>
          <w:color w:val="auto"/>
        </w:rPr>
        <w:t>The aforementoned EU rules are generally applicable in the European Economic Area, or EEA, which consists of the 27 EU member states plus Norway, Liechtenstein and Iceland.</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Coverage and Reimbursement</w:t>
      </w:r>
    </w:p>
    <w:p>
      <w:pPr>
        <w:spacing w:after="0" w:line="177"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Outside of the United States, the pricing of pharmaceutcal products and medical devices is subject to governmental control in many countries. In the EU, pricing and reimbursement schemes vary widely from country to country. Some countries provide that products may be marketed only afer a reimbursement price has been agreed. Some countries may require the completon of additonal studies that compare the cost efectveness of a partcular therapy to currently available therapies or so-called health technology assessments, in order to obtain reimbursement or pricing approval. Other countries may allow companies to fx their own prices for products, but monitor and control product volumes and issue guidance to physicians to limit prescriptons. Eforts to control prices and utlizaton of pharmaceutcal products and medical devices will likely contnue as countries atempt to manage healthcare expenditures. Historically, products launched in the EU do not follow price structures of the United States and generally prices tend to be signifcantly lower.</w:t>
      </w:r>
    </w:p>
    <w:p>
      <w:pPr>
        <w:spacing w:after="0" w:line="16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Data Privacy and Security Laws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a pharmaceutcal company, we are subject to federal, state and foreign data privacy, cybersecurity and data breach notfcaton laws governing the collecton, use, disclosure and protecton of health-related and other personal informaton. For example, in the U.S., HIPAA imposes privacy, security and breach reportng obligatons upon “covered enttes” (health plans, health care clearinghouses and certain health care providers), and their respectve business associates, individuals or enttes that create, receive, maintain or transmit protected health informaton, or PHI, in connecton with providing certain services for or on behalf of a covered entty. HIPAA mandates the reportng of certain breaches of protected health informaton to the HHS, to afected individuals, and if the breach is large enough, to the media. Enttes that are found to be in violaton of HIPAA as the result of a breach of unsecured personal health informaton, a complaint about privacy practces or an audit by the HHS may be subject to signifcant civil, criminal and administratve fnes and penaltes and/or additonal reportng and oversight obligatons if required to enter into a resoluton agreement and correctve acton plan with HHS to setle allegatons of HIPAA non-compliance. While HIPAA does not create a private right of acton allowing individuals to sue us in civil court for violatons of HIPAA, its standards have been used as the basis for duty of care in state civil suits such as those for negligence or recklessness in the misuse or breach of PHI.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1" w:right="379" w:bottom="1440" w:gutter="0" w:footer="0" w:header="0"/>
        </w:sectPr>
      </w:pPr>
    </w:p>
    <w:bookmarkStart w:id="47" w:name="page48"/>
    <w:bookmarkEnd w:id="47"/>
    <w:p>
      <w:pPr>
        <w:ind w:firstLine="509"/>
        <w:spacing w:after="0" w:line="235" w:lineRule="auto"/>
        <w:rPr>
          <w:sz w:val="20"/>
          <w:szCs w:val="20"/>
          <w:color w:val="auto"/>
        </w:rPr>
      </w:pPr>
      <w:r>
        <w:rPr>
          <w:rFonts w:ascii="Calibri" w:cs="Calibri" w:eastAsia="Calibri" w:hAnsi="Calibri"/>
          <w:sz w:val="18"/>
          <w:szCs w:val="18"/>
          <w:color w:val="auto"/>
        </w:rPr>
        <w:t>Even when HIPAA does not apply, according to the Federal Trade Commission or the FTC, failing to take appropriate steps to keep consumers’ personal informaton secure may consttute unfair acts or practces in or afectng commerce in violaton of Secton 5(a) of the Federal Trade Commission Act. The FTC expects a company’s cybersecurity measures to be reasonable and appropriate in light of the sensitvity and volume of consumer informaton it holds, the size and complexity of its business, and the cost of available tools to improve security and reduce vulnerabilites. Individually identfable health informaton is considered sensitve data that merits stronger safeguards. In additon, certain other federal, state laws, such as the California Consumer Privacy Act, as amended by the California Privacy Rights Act, or collectvely, the CCPA and similar state laws in other U.S. states govern the privacy and security of personal informaton, including health-related informaton in certain circumstances, some of which are more stringent than HIPAA and many of which difer from each other in signifcant ways and may not have the same efect, thus complicatng compliance eforts.</w:t>
      </w:r>
    </w:p>
    <w:p>
      <w:pPr>
        <w:spacing w:after="0" w:line="182" w:lineRule="exact"/>
        <w:rPr>
          <w:sz w:val="20"/>
          <w:szCs w:val="20"/>
          <w:color w:val="auto"/>
        </w:rPr>
      </w:pPr>
    </w:p>
    <w:p>
      <w:pPr>
        <w:ind w:right="40" w:firstLine="549"/>
        <w:spacing w:after="0" w:line="235" w:lineRule="auto"/>
        <w:rPr>
          <w:sz w:val="20"/>
          <w:szCs w:val="20"/>
          <w:color w:val="auto"/>
        </w:rPr>
      </w:pPr>
      <w:r>
        <w:rPr>
          <w:rFonts w:ascii="Calibri" w:cs="Calibri" w:eastAsia="Calibri" w:hAnsi="Calibri"/>
          <w:sz w:val="18"/>
          <w:szCs w:val="18"/>
          <w:color w:val="auto"/>
        </w:rPr>
        <w:t>We are also subject to the European Union General Data Protecton Regulaton, or the EU GDPR, and to the United Kingdom General Data Protecton Regulaton and Data Protecton Act 2018, or collectvely, the UK GDPR (the EU GDPR and UK GDPR together referred to as the “GDPR”), which imposes comprehensive data privacy compliance obligatons in relaton to our collecton, processing, sharing, disclosure, transfer and other use of data relatng to an identfable living individual or “personal data”, including a principle of accountability and the obligaton to demonstrate compliance through policies, procedures, training and audit. Failure to comply with applicable data privacy and security laws can result in the impositon of signifcant civil and/or criminal penaltes and private litgaton. Privacy and security laws, regulatons, and other obligatons are constantly evolving, may confict with each other to complicate compliance eforts, and can result in investgatons, proceedings, or actons that lead to signifcant civil and/or criminal penaltes and restrictons on data processing.</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Human Capital</w:t>
      </w:r>
    </w:p>
    <w:p>
      <w:pPr>
        <w:spacing w:after="0" w:line="19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As of December 31, 2024, we had 427 full-tme employees, some of whom hold a Ph.D., M.D. or other advanced degree in their feld. Our number of employees contnued to increase substantally in 2024 in support of our commercializaton of VOQUEZNA, VOQUEZNA TRIPLE PAK and VOQUEZNA DUAL PAK. None of our employees are represented by labor unions or covered by collectve bargaining agreements. We consider our relatonship with our employees to be good.</w:t>
      </w:r>
    </w:p>
    <w:p>
      <w:pPr>
        <w:spacing w:after="0" w:line="179"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Our human capital resources objectves include, as applicable, identfying, recruitng, retaining, incentvizing and developing our existng and new employees, advisors and consultants. We maintain equity and cash incentve plans for, and ofer a comprehensive beneft package to, every employee to atract, retain and reward personnel. The purpose of our cash and equity compensaton plans is to increase stockholder value and the success of our company by motvatng our employees to perform to the best of their abilites and achieve our objectves.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Corporate Informaton</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were originally incorporated under the laws of the state of Delaware on January 9, 2018 under the name North Bridge IV, Inc. On March 13, 2019, we changed our name to Phathom Pharmaceutcals, Inc. and merged YamadaCo IIA, Inc., a Delaware corporaton, or YamadaCo, with and into our company, with Phathom Pharmaceutcals, Inc. as the surviving entty, or the Merger. Our principal executve ofces are located at 100 Campus Drive, Suite 102, Florham Park, New Jersey 07932, and our telephone number is (877) 742-8466.</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Available Informaton</w:t>
      </w:r>
    </w:p>
    <w:p>
      <w:pPr>
        <w:spacing w:after="0" w:line="177" w:lineRule="exact"/>
        <w:rPr>
          <w:sz w:val="20"/>
          <w:szCs w:val="20"/>
          <w:color w:val="auto"/>
        </w:rPr>
      </w:pPr>
    </w:p>
    <w:p>
      <w:pPr>
        <w:jc w:val="both"/>
        <w:ind w:right="260" w:firstLine="509"/>
        <w:spacing w:after="0" w:line="235" w:lineRule="auto"/>
        <w:rPr>
          <w:sz w:val="20"/>
          <w:szCs w:val="20"/>
          <w:color w:val="auto"/>
        </w:rPr>
      </w:pPr>
      <w:r>
        <w:rPr>
          <w:rFonts w:ascii="Calibri" w:cs="Calibri" w:eastAsia="Calibri" w:hAnsi="Calibri"/>
          <w:sz w:val="18"/>
          <w:szCs w:val="18"/>
          <w:color w:val="auto"/>
        </w:rPr>
        <w:t>Our internet address is www.phathompharma.com. Our investor relatons website is located at htps://investors.phathompharma.com. We make available free of charge on our investor relatons website under “Financials and Filings” our annual reports on Form 10-K, quarterly reports on Form 10-Q, current reports on Form 8-K, our directors’ and ofcers’ Secton 16 reports and any amendments to those reports as soon as reasonably practcable afer fling or furnishing such materials to the SEC. They are also available for free on the SEC’s website at www.sec.gov.</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use our investor relatons website as a means of disclosing material non-public informaton and for complying with our disclosure obligatons under Regulaton FD. Investors should monitor such website, in additon to following our press releases, SEC flings and public conference calls and webcasts. Informaton relatng to our corporate governance is also included on our investor relatons website. The informaton in or accessible through the SEC and our website are not incorporated into, and are not considered part of, this fling.</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48" w:name="page49"/>
    <w:bookmarkEnd w:id="48"/>
    <w:p>
      <w:pPr>
        <w:spacing w:after="0"/>
        <w:tabs>
          <w:tab w:leader="none" w:pos="940" w:val="left"/>
        </w:tabs>
        <w:rPr>
          <w:sz w:val="20"/>
          <w:szCs w:val="20"/>
          <w:color w:val="auto"/>
        </w:rPr>
      </w:pPr>
      <w:r>
        <w:rPr>
          <w:rFonts w:ascii="Calibri" w:cs="Calibri" w:eastAsia="Calibri" w:hAnsi="Calibri"/>
          <w:sz w:val="18"/>
          <w:szCs w:val="18"/>
          <w:b w:val="1"/>
          <w:bCs w:val="1"/>
          <w:color w:val="auto"/>
        </w:rPr>
        <w:t>Item 1A.</w:t>
      </w:r>
      <w:r>
        <w:rPr>
          <w:sz w:val="20"/>
          <w:szCs w:val="20"/>
          <w:color w:val="auto"/>
        </w:rPr>
        <w:tab/>
      </w:r>
      <w:r>
        <w:rPr>
          <w:rFonts w:ascii="Calibri" w:cs="Calibri" w:eastAsia="Calibri" w:hAnsi="Calibri"/>
          <w:sz w:val="17"/>
          <w:szCs w:val="17"/>
          <w:b w:val="1"/>
          <w:bCs w:val="1"/>
          <w:color w:val="auto"/>
        </w:rPr>
        <w:t>Risk Factors</w:t>
      </w:r>
    </w:p>
    <w:p>
      <w:pPr>
        <w:spacing w:after="0" w:line="177" w:lineRule="exact"/>
        <w:rPr>
          <w:sz w:val="20"/>
          <w:szCs w:val="20"/>
          <w:color w:val="auto"/>
        </w:rPr>
      </w:pPr>
    </w:p>
    <w:p>
      <w:pPr>
        <w:spacing w:after="0" w:line="235" w:lineRule="auto"/>
        <w:rPr>
          <w:sz w:val="20"/>
          <w:szCs w:val="20"/>
          <w:color w:val="auto"/>
        </w:rPr>
      </w:pPr>
      <w:r>
        <w:rPr>
          <w:rFonts w:ascii="Calibri" w:cs="Calibri" w:eastAsia="Calibri" w:hAnsi="Calibri"/>
          <w:sz w:val="18"/>
          <w:szCs w:val="18"/>
          <w:i w:val="1"/>
          <w:iCs w:val="1"/>
          <w:color w:val="auto"/>
        </w:rPr>
        <w:t>You should carefully consider the following risk factors, together with the other informaton contained in this annual report on Form 10-K, including our fnancial statements and the related notes and “Management’s Discussion and Analysis of Financial Conditon and Results of Operatons,” before making a decision to purchase or sell shares of our common stock. We cannot assure you that any of the events discussed in the risk factors below will not occur. These risks could have a material and adverse impact on our business, results of operatons, fnancial conditon and growth prospects. If that were to happen, the trading price of our common stock could decline. Additonal risks and uncertaintes not presently known to us or that we currently deem immaterial also may impair our business operatons or fnancial conditon. In this secton, we frst provide a summary of the more principal risks and uncertaintes we face and then provide a full set of risk factors and discuss them in greater detail.</w:t>
      </w:r>
    </w:p>
    <w:p>
      <w:pPr>
        <w:spacing w:after="0" w:line="177" w:lineRule="exact"/>
        <w:rPr>
          <w:sz w:val="20"/>
          <w:szCs w:val="20"/>
          <w:color w:val="auto"/>
        </w:rPr>
      </w:pPr>
    </w:p>
    <w:p>
      <w:pPr>
        <w:jc w:val="center"/>
        <w:ind w:right="20"/>
        <w:spacing w:after="0"/>
        <w:rPr>
          <w:sz w:val="20"/>
          <w:szCs w:val="20"/>
          <w:color w:val="auto"/>
        </w:rPr>
      </w:pPr>
      <w:r>
        <w:rPr>
          <w:rFonts w:ascii="Calibri" w:cs="Calibri" w:eastAsia="Calibri" w:hAnsi="Calibri"/>
          <w:sz w:val="18"/>
          <w:szCs w:val="18"/>
          <w:b w:val="1"/>
          <w:bCs w:val="1"/>
          <w:color w:val="auto"/>
        </w:rPr>
        <w:t>SUMMARY RISKS FACTORS</w:t>
      </w:r>
    </w:p>
    <w:p>
      <w:pPr>
        <w:spacing w:after="0" w:line="204" w:lineRule="exact"/>
        <w:rPr>
          <w:sz w:val="20"/>
          <w:szCs w:val="20"/>
          <w:color w:val="auto"/>
        </w:rPr>
      </w:pPr>
    </w:p>
    <w:p>
      <w:pPr>
        <w:ind w:left="900" w:right="18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have a limited operatng history, have incurred signifcant operatng losses since our incepton and expect to incur signifcant losses for the foreseeable future;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never become proftable or, if we achieve proftability, we may not be able to sustain it;</w:t>
      </w:r>
    </w:p>
    <w:p>
      <w:pPr>
        <w:spacing w:after="0" w:line="190"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16"/>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require additonal fnancing to achieve our goals, and a failure to obtain this necessary capital when needed on acceptable terms, or at all, could force us to delay, limit, reduce or terminate our commercializaton actvites, product development programs, or other operatons;</w:t>
      </w:r>
    </w:p>
    <w:p>
      <w:pPr>
        <w:spacing w:after="0" w:line="188" w:lineRule="exact"/>
        <w:rPr>
          <w:rFonts w:ascii="Times New Roman" w:cs="Times New Roman" w:eastAsia="Times New Roman" w:hAnsi="Times New Roman"/>
          <w:sz w:val="17"/>
          <w:szCs w:val="17"/>
          <w:color w:val="auto"/>
        </w:rPr>
      </w:pPr>
    </w:p>
    <w:p>
      <w:pPr>
        <w:ind w:left="900" w:right="20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Revenue Interest Financing Agreement could limit cash fow available for our operatons and expose us to risks that could adversely afect our business, fnancial conditon and results of operatons;</w:t>
      </w:r>
    </w:p>
    <w:p>
      <w:pPr>
        <w:spacing w:after="0" w:line="190" w:lineRule="exact"/>
        <w:rPr>
          <w:rFonts w:ascii="Times New Roman" w:cs="Times New Roman" w:eastAsia="Times New Roman" w:hAnsi="Times New Roman"/>
          <w:sz w:val="18"/>
          <w:szCs w:val="18"/>
          <w:color w:val="auto"/>
        </w:rPr>
      </w:pPr>
    </w:p>
    <w:p>
      <w:pPr>
        <w:ind w:left="900" w:right="36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currently depend entrely on the success of VOQUEZNA, VOQUEZNA TRIPLE PAK and VOQEUZNA DUAL PAK, which were launched in the fourth quarter of 2023. If we are unable to successfully commercialize these products, our business will be materially harmed;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Vonoprazan may not have favorable results in our future clinical trials, or receive additonal regulatory approvals on a tmely basis, if at all;</w:t>
      </w:r>
    </w:p>
    <w:p>
      <w:pPr>
        <w:spacing w:after="0" w:line="203"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VOQUEZNA, VOQUEZNA TRIPLE PAK and VOQUEZNA DUAL PAK, and any future product candidates are subject to extensive regulaton and compliance obligatons, which is costly and tme consuming, and such regulaton may cause unantcipated delays or prevent the receipt of the required approvals to commercialize additonal product candidates;</w:t>
      </w:r>
    </w:p>
    <w:p>
      <w:pPr>
        <w:spacing w:after="0" w:line="191" w:lineRule="exact"/>
        <w:rPr>
          <w:rFonts w:ascii="Times New Roman" w:cs="Times New Roman" w:eastAsia="Times New Roman" w:hAnsi="Times New Roman"/>
          <w:sz w:val="18"/>
          <w:szCs w:val="18"/>
          <w:color w:val="auto"/>
        </w:rPr>
      </w:pPr>
    </w:p>
    <w:p>
      <w:pPr>
        <w:ind w:left="900" w:right="240" w:hanging="383"/>
        <w:spacing w:after="0" w:line="254" w:lineRule="auto"/>
        <w:tabs>
          <w:tab w:leader="none" w:pos="900" w:val="left"/>
        </w:tabs>
        <w:numPr>
          <w:ilvl w:val="0"/>
          <w:numId w:val="16"/>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may not be successful in our eforts to expand our pipeline by identfying additonal indicatons and formulatons for which to investgate vonoprazan in the future. We may expend our limited resources to pursue a partcular indicaton or formulaton for vonoprazan and fail to capitalize on product candidates, indicatons or formulatons that may be more proftable or for which there is a greater likelihood of success;</w:t>
      </w:r>
    </w:p>
    <w:p>
      <w:pPr>
        <w:spacing w:after="0" w:line="178" w:lineRule="exact"/>
        <w:rPr>
          <w:rFonts w:ascii="Times New Roman" w:cs="Times New Roman" w:eastAsia="Times New Roman" w:hAnsi="Times New Roman"/>
          <w:sz w:val="17"/>
          <w:szCs w:val="17"/>
          <w:color w:val="auto"/>
        </w:rPr>
      </w:pPr>
    </w:p>
    <w:p>
      <w:pPr>
        <w:ind w:left="900" w:right="60" w:hanging="383"/>
        <w:spacing w:after="0" w:line="258" w:lineRule="auto"/>
        <w:tabs>
          <w:tab w:leader="none" w:pos="900" w:val="left"/>
        </w:tabs>
        <w:numPr>
          <w:ilvl w:val="0"/>
          <w:numId w:val="16"/>
        </w:numPr>
        <w:rPr>
          <w:rFonts w:ascii="Times New Roman" w:cs="Times New Roman" w:eastAsia="Times New Roman" w:hAnsi="Times New Roman"/>
          <w:sz w:val="17"/>
          <w:szCs w:val="17"/>
          <w:color w:val="auto"/>
        </w:rPr>
      </w:pPr>
      <w:r>
        <w:rPr>
          <w:rFonts w:ascii="Calibri" w:cs="Calibri" w:eastAsia="Calibri" w:hAnsi="Calibri"/>
          <w:sz w:val="17"/>
          <w:szCs w:val="17"/>
          <w:color w:val="auto"/>
        </w:rPr>
        <w:t>We currently have limited experience as a company in commercializing products. We may lack the necessary expertse, personnel and resources to successfully commercialize any of our product candidates that have received or may receive regulatory approval, including VOQUEZNA;</w:t>
      </w:r>
    </w:p>
    <w:p>
      <w:pPr>
        <w:spacing w:after="0" w:line="188" w:lineRule="exact"/>
        <w:rPr>
          <w:rFonts w:ascii="Times New Roman" w:cs="Times New Roman" w:eastAsia="Times New Roman" w:hAnsi="Times New Roman"/>
          <w:sz w:val="17"/>
          <w:szCs w:val="17"/>
          <w:color w:val="auto"/>
        </w:rPr>
      </w:pPr>
    </w:p>
    <w:p>
      <w:pPr>
        <w:ind w:left="900" w:right="2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third partes to conduct our preclinical and clinical trials and perform other tasks for us. If these third partes do not successfully carry out their contractual dutes, meet expected deadlines or comply with regulatory requirements, we may not be able to obtain additonal regulatory approvals for or commercialize vonoprazan and our business could be harmed;</w:t>
      </w:r>
    </w:p>
    <w:p>
      <w:pPr>
        <w:spacing w:after="0" w:line="191"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currently engage third-party manufacturers for all of our clinical and commercial supplies. The loss of any of these suppliers, or any future single source suppliers, could harm our business;</w:t>
      </w:r>
    </w:p>
    <w:p>
      <w:pPr>
        <w:spacing w:after="0" w:line="190"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1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49" w:name="page50"/>
    <w:bookmarkEnd w:id="49"/>
    <w:p>
      <w:pPr>
        <w:ind w:left="900" w:right="8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the scope of any patent protecton or non-patent regulatory exclusivity we obtain is not sufciently broad, or if we lose or fail to obtain any of our patent protecton or non-patent regulatory exclusivity, our ability to prevent our compettors from commercializing similar or identcal product candidates would be adversely afected;</w:t>
      </w:r>
    </w:p>
    <w:p>
      <w:pPr>
        <w:spacing w:after="0" w:line="191"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successful commercializaton of VOQUEZNA, VOQUEZNA TRIPLE PAK and VOQUEZNA DUAL PAK will depend in part on the extent to which governmental authorites and health insurers establish coverage, adequate reimbursement levels and favorable pricing policies. Failure to obtain or maintain coverage and adequate reimbursement for our products could limit our ability to market those products successfully and decrease our ability to generate revenue;</w:t>
      </w:r>
    </w:p>
    <w:p>
      <w:pPr>
        <w:spacing w:after="0" w:line="192" w:lineRule="exact"/>
        <w:rPr>
          <w:rFonts w:ascii="Times New Roman" w:cs="Times New Roman" w:eastAsia="Times New Roman" w:hAnsi="Times New Roman"/>
          <w:sz w:val="18"/>
          <w:szCs w:val="18"/>
          <w:color w:val="auto"/>
        </w:rPr>
      </w:pPr>
    </w:p>
    <w:p>
      <w:pPr>
        <w:ind w:left="900" w:right="14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If we fail to comply with reportng and payment obligatons for VOQUEZNA, VOQUEZNA TRIPLE PAK and VOQUEZNA DUAL PAK under the Medicaid Drug Rebate Program or other governmental pricing programs, we could be subject to additonal reimbursement requirements, penaltes, sanctons and fnes, which could have a material adverse efect on our business, fnancial conditon, results of operatons and growth prospects;</w:t>
      </w:r>
    </w:p>
    <w:p>
      <w:pPr>
        <w:spacing w:after="0" w:line="205" w:lineRule="exact"/>
        <w:rPr>
          <w:rFonts w:ascii="Times New Roman" w:cs="Times New Roman" w:eastAsia="Times New Roman" w:hAnsi="Times New Roman"/>
          <w:sz w:val="18"/>
          <w:szCs w:val="18"/>
          <w:color w:val="auto"/>
        </w:rPr>
      </w:pPr>
    </w:p>
    <w:p>
      <w:pPr>
        <w:ind w:left="900" w:right="12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subject to various foreign, federal, and state healthcare and privacy laws and regulatons, and our failure to comply with these laws and regulatons could harm our results of operatons and fnancial conditon;</w:t>
      </w:r>
    </w:p>
    <w:p>
      <w:pPr>
        <w:spacing w:after="0" w:line="190" w:lineRule="exact"/>
        <w:rPr>
          <w:rFonts w:ascii="Times New Roman" w:cs="Times New Roman" w:eastAsia="Times New Roman" w:hAnsi="Times New Roman"/>
          <w:sz w:val="18"/>
          <w:szCs w:val="18"/>
          <w:color w:val="auto"/>
        </w:rPr>
      </w:pPr>
    </w:p>
    <w:p>
      <w:pPr>
        <w:ind w:left="900" w:right="900" w:hanging="383"/>
        <w:spacing w:after="0" w:line="235" w:lineRule="auto"/>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are highly dependent on the services of our key executves and personnel, and if we are not able to retain these members of our management or recruit additonal management, clinical and commercial personnel, our business will sufer;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trading price of our securites is likely to be volatle, and purchasers of our securites could incur substantal losses.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Limited Operatng History, Financial Positon and Capital Requirements</w:t>
      </w:r>
    </w:p>
    <w:p>
      <w:pPr>
        <w:spacing w:after="0" w:line="177"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We have a limited operatng history as a commercial company, which may make it difcult to evaluate the success of our business to date and to assess our future viability.</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Biopharmaceutcal product development is a highly speculatve undertaking and involves a substantal degree of risk.</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received our frst regulatory approvals in 2022, and prior to our commercializaton of VOQUEZNA, VOQUEZNA TRIPLE PAK and VOQUEZNA DUAL PAK in the fourth quarter of 2023, we had not manufactured products on a commercial scale, or arranged for a third party to do so on our behalf or conducted sales and marketng actvites necessary for successful commercializaton. Consequently, predictons about our future success or viability may not be as accurate as they could be if we had a longer history of successfully developing and commercializing products. We expect our fnancial conditon and operatng results to contnue to fuctuate from quarter to quarter and year to year due to a variety of factors, many of which are beyond our control. We have transitoned from a company with solely a clinical development focus to a company also undertaking commercial actvites. We may encounter unforeseen expenses, difcultes, complicatons and delays, and may not be successful in such a transiton.</w:t>
      </w:r>
    </w:p>
    <w:p>
      <w:pPr>
        <w:spacing w:after="0" w:line="18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have incurred signifcant operatng losses since incepton and antcipate that we will contnue to incur substantal operatng losses for the foreseeable future and may never achieve or maintain proftability.</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Since our incepton, we have incurred signifcant operatng losses. Our net loss was $334.3 million and $201.6 million for the years ended December 31, 2024 and 2023, respectvely. As of December 31, 2024, we had an accumulated defcit of $1.3 billion. We expect to contnue to incur expenses and operatng losses for the foreseeable future. It could be several years, if ever, before VOQUEZNA, VOQUEZNA TRIPLE PAK and VOQUEZNA DUAL PAK or other product candidates, if approved, generate signifcant revenues to ofset these expenses and operatng losses. As a result, we are uncertain when or if we will achieve proftability and, if so, whether we will be able to sustain it. The net losses we incur may fuctuate signifcantly from quarter to quarter and year to year. We expect to contnue to incur losses for the foreseeable future, and we antcipate these losses will contnue as we:</w:t>
      </w:r>
    </w:p>
    <w:p>
      <w:pPr>
        <w:spacing w:after="0" w:line="208" w:lineRule="exact"/>
        <w:rPr>
          <w:sz w:val="20"/>
          <w:szCs w:val="20"/>
          <w:color w:val="auto"/>
        </w:rPr>
      </w:pPr>
    </w:p>
    <w:p>
      <w:pPr>
        <w:ind w:left="900" w:right="100" w:hanging="383"/>
        <w:spacing w:after="0" w:line="235" w:lineRule="auto"/>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initate, contnue, or complete planned or ongoing clinical trials for VOQUEZNA, vonoprazan or any future product candidates, including related support actvites;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required milestone and royalty payments under license agreements by which we acquired rights to vonoprazan;</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required royalty payments under the Revenue Interest Financing Agreement, or RIFA, entered into in May 2022, as amended;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50" w:name="page51"/>
    <w:bookmarkEnd w:id="50"/>
    <w:p>
      <w:pPr>
        <w:ind w:left="900" w:right="340" w:hanging="383"/>
        <w:spacing w:after="0" w:line="235" w:lineRule="auto"/>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make required payments under the Loan and Security Agreement with Hercules Capital, Inc., or Loan Agreement, entered into in September 2021, as amended;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build a portolio of product candidates through the acquisiton or in-license of additonal product candidates or technologies;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pursue regulatory approvals for new indicatons for vonoprazan and future product candidates that successfully complete clinical trials;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incur additonal legal, accountng and other expenses in connecton with operatng as a public company.</w:t>
      </w:r>
    </w:p>
    <w:p>
      <w:pPr>
        <w:spacing w:after="0" w:line="177"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To become and remain proftable, we must successfully commercialize one or more product candidates with signifcant market potental. This will require us to be successful in manufacturing, marketng and selling our currently approved products, partcularly VOQUEZNA, and any future product candidates for which we may obtain marketng approval and satsfying any post-marketng requirements. We are only in the early stages of many of these actvites and, in some cases, have not yet commenced certain of these actvites.</w:t>
      </w:r>
    </w:p>
    <w:p>
      <w:pPr>
        <w:spacing w:after="0" w:line="179"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failure to become and remain proftable would depress the value of our company and could impair our ability to raise capital, expand our business, contnue our product development eforts, diversify our product candidate pipeline or even contnue our operatons. A decline in the value of our company could also cause you to lose all or part of your investment.</w:t>
      </w:r>
    </w:p>
    <w:p>
      <w:pPr>
        <w:spacing w:after="0" w:line="192"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We may require substantal additonal fnancing to achieve our goals, and a failure to obtain this necessary capital when needed on acceptable terms, or at all, could force us to delay, limit, reduce or terminate our product development programs, commercializaton eforts or other operatons.</w:t>
      </w:r>
    </w:p>
    <w:p>
      <w:pPr>
        <w:spacing w:after="0" w:line="177" w:lineRule="exact"/>
        <w:rPr>
          <w:sz w:val="20"/>
          <w:szCs w:val="20"/>
          <w:color w:val="auto"/>
        </w:rPr>
      </w:pPr>
    </w:p>
    <w:p>
      <w:pPr>
        <w:ind w:right="120" w:firstLine="509"/>
        <w:spacing w:after="0" w:line="250" w:lineRule="auto"/>
        <w:rPr>
          <w:sz w:val="20"/>
          <w:szCs w:val="20"/>
          <w:color w:val="auto"/>
        </w:rPr>
      </w:pPr>
      <w:r>
        <w:rPr>
          <w:rFonts w:ascii="Calibri" w:cs="Calibri" w:eastAsia="Calibri" w:hAnsi="Calibri"/>
          <w:sz w:val="17"/>
          <w:szCs w:val="17"/>
          <w:color w:val="auto"/>
        </w:rPr>
        <w:t>The development and commercializaton of biopharmaceutcal product candidates is capital-intensive. We expect our expenses to increase in connecton with our ongoing actvites, partcularly as we contnue to achieve product sales for VOQUEZNA and our other approved products and progress our current and planned development programs. In additon, we are required to make milestone and royalty payments to Takeda, from whom we have in-licensed the rights to develop and commercialize vonoprazan in the United States, Europe, and Canada pursuant to the Takeda License. Furthermore, if and to the extent we seek to acquire or in-license additonal product candidates in the future, we may be required to make signifcant upfront payments, milestone payments, and/or royalty payments. If we obtain additonal regulatory approvals for vonoprazan or regulatory approval for any future product candidates, we also expect to incur signifcant additonal commercializaton expenses related to product manufacturing, marketng, sales and distributon. Because the outcome of any clinical trial is highly uncertain, we cannot reasonably estmate the actual amounts necessary to successfully complete the development and commercializaton of vonoprazan for additonal populatons, such as patents with EoE, or other product candidates. Accordingly, we will need to obtain substantal additonal funding in connecton with our contnuing operatons. If we are unable to raise capital when needed or on atractve terms, we could be forced to delay, reduce or eliminate our research and development programs or any future commercializaton eforts.</w:t>
      </w:r>
    </w:p>
    <w:p>
      <w:pPr>
        <w:spacing w:after="0" w:line="174" w:lineRule="exact"/>
        <w:rPr>
          <w:sz w:val="20"/>
          <w:szCs w:val="20"/>
          <w:color w:val="auto"/>
        </w:rPr>
      </w:pPr>
    </w:p>
    <w:p>
      <w:pPr>
        <w:ind w:firstLine="509"/>
        <w:spacing w:after="0" w:line="237" w:lineRule="auto"/>
        <w:rPr>
          <w:sz w:val="20"/>
          <w:szCs w:val="20"/>
          <w:color w:val="auto"/>
        </w:rPr>
      </w:pPr>
      <w:r>
        <w:rPr>
          <w:rFonts w:ascii="Calibri" w:cs="Calibri" w:eastAsia="Calibri" w:hAnsi="Calibri"/>
          <w:sz w:val="18"/>
          <w:szCs w:val="18"/>
          <w:color w:val="auto"/>
        </w:rPr>
        <w:t>We believe that our existng cash and cash equivalents together with the drawdown of the remaining $100 million under our Loan Agreement, with Hercules Capital, or Hercules, are sufcient to fund operatons for at least the next 12 months and along with antcipated product revenues and we believe will be sufcient to enable us to reach cashfow positvity</w:t>
      </w:r>
      <w:r>
        <w:rPr>
          <w:rFonts w:ascii="Times New Roman" w:cs="Times New Roman" w:eastAsia="Times New Roman" w:hAnsi="Times New Roman"/>
          <w:sz w:val="18"/>
          <w:szCs w:val="18"/>
          <w:color w:val="auto"/>
        </w:rPr>
        <w:t>.</w:t>
      </w:r>
      <w:r>
        <w:rPr>
          <w:rFonts w:ascii="Calibri" w:cs="Calibri" w:eastAsia="Calibri" w:hAnsi="Calibri"/>
          <w:sz w:val="18"/>
          <w:szCs w:val="18"/>
          <w:color w:val="auto"/>
        </w:rPr>
        <w:t xml:space="preserve"> In partcular, we expect that these funds will allow us to fnance the ongoing launch of VOQUEZNA, VOQUEZNA TRIPLE PAK and VOQUEZNA DUAL PAK, and any other clinical actvites. We have based these estmates on assumptons that may prove to be wrong, and we could use our capital resources sooner than we currently expect. Our operatng plans and other demands on our cash resources may change as a result of many factors currently unknown to us, and we may need to seek additonal funds sooner than planned, through public or private equity or debt fnancings or other capital sources, including potentally collaboratons, licenses and other similar arrangements. In additon, we may seek additonal capital due to favorable market conditons or strategic consideratons even if we believe we have sufcient funds for our current or future operatng plans. Atemptng to secure additonal fnancing may divert our management from our day-to-day actvites, which may adversely afect our ability to develop vonoprazan or any future product candidates.</w:t>
      </w:r>
    </w:p>
    <w:p>
      <w:pPr>
        <w:spacing w:after="0" w:line="18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capital requirements will depend on many factors, including:</w:t>
      </w:r>
    </w:p>
    <w:p>
      <w:pPr>
        <w:spacing w:after="0" w:line="190" w:lineRule="exact"/>
        <w:rPr>
          <w:sz w:val="20"/>
          <w:szCs w:val="20"/>
          <w:color w:val="auto"/>
        </w:rPr>
      </w:pPr>
    </w:p>
    <w:p>
      <w:pPr>
        <w:ind w:left="900" w:right="280" w:hanging="383"/>
        <w:spacing w:after="0" w:line="235" w:lineRule="auto"/>
        <w:tabs>
          <w:tab w:leader="none" w:pos="900" w:val="left"/>
        </w:tabs>
        <w:numPr>
          <w:ilvl w:val="0"/>
          <w:numId w:val="2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sales and marketng actvites in support of the commercial launch of VOQUEZNA, VOQUEZNA TRIPLE PAK, and VOQUEZNA DUAL PAK, or any future product candidate;</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51" w:name="page52"/>
    <w:bookmarkEnd w:id="51"/>
    <w:p>
      <w:pPr>
        <w:ind w:left="900" w:right="20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190" w:lineRule="exact"/>
        <w:rPr>
          <w:rFonts w:ascii="Times New Roman" w:cs="Times New Roman" w:eastAsia="Times New Roman" w:hAnsi="Times New Roman"/>
          <w:sz w:val="18"/>
          <w:szCs w:val="18"/>
          <w:color w:val="auto"/>
        </w:rPr>
      </w:pPr>
    </w:p>
    <w:p>
      <w:pPr>
        <w:ind w:left="900" w:right="58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manufacturing for vonoprazan or any future product candidates, including commercial scale manufacturing if any product candidate is approved;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tming and outcome of regulatory review of future vonoprazan applicatons or such applicatons for any future product candidates;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obtaining, maintaining and enforcing our patents and other intellectual property rights;</w:t>
      </w:r>
    </w:p>
    <w:p>
      <w:pPr>
        <w:spacing w:after="0" w:line="190" w:lineRule="exact"/>
        <w:rPr>
          <w:rFonts w:ascii="Times New Roman" w:cs="Times New Roman" w:eastAsia="Times New Roman" w:hAnsi="Times New Roman"/>
          <w:sz w:val="18"/>
          <w:szCs w:val="18"/>
          <w:color w:val="auto"/>
        </w:rPr>
      </w:pPr>
    </w:p>
    <w:p>
      <w:pPr>
        <w:ind w:left="900" w:right="38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eforts to enhance operatonal systems and hire additonal personnel to satsfy our obligatons as a public company, including enhanced internal controls over fnancial reportng;</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hiring additonal personnel and consultants as our business grows partcularly commercial personnel;</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must make to Takeda and any future licensors;</w:t>
      </w:r>
    </w:p>
    <w:p>
      <w:pPr>
        <w:spacing w:after="0" w:line="190"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achieve sufcient market acceptance, coverage and adequate reimbursement from third-party payers and adequate market share and revenue for any approved products;</w:t>
      </w:r>
    </w:p>
    <w:p>
      <w:pPr>
        <w:spacing w:after="0" w:line="190" w:lineRule="exact"/>
        <w:rPr>
          <w:rFonts w:ascii="Times New Roman" w:cs="Times New Roman" w:eastAsia="Times New Roman" w:hAnsi="Times New Roman"/>
          <w:sz w:val="18"/>
          <w:szCs w:val="18"/>
          <w:color w:val="auto"/>
        </w:rPr>
      </w:pPr>
    </w:p>
    <w:p>
      <w:pPr>
        <w:ind w:left="900" w:right="280" w:hanging="383"/>
        <w:spacing w:after="0" w:line="235" w:lineRule="auto"/>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willingness to pay out-of-pocket for any approved products in the absence of coverage and/or adequate reimbursement from third-party payers;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establishing and maintaining collaboratons, licenses and other similar arrangements;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any products or technologies that we may in-license or acquire.</w:t>
      </w:r>
    </w:p>
    <w:p>
      <w:pPr>
        <w:spacing w:after="0" w:line="177"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Conductng clinical trials and preclinical studies is a tme consuming, expensive, and uncertain process that takes years to complete, and we may never generate the necessary data or results required to obtain regulatory approval of future product candidates. In additon, VOQUEZNA, VOQUEZNA TRIPLE PAK and VOQUEZNA DUAL PAK, or any future product candidate, may not achieve commercial success. Our commercial revenues will, for the foreseeable future, be derived exclusively from sales of products containing vonoprazan in the United States.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Accordingly, we will need to contnue to rely on additonal fnancing to achieve our business objectves. Adequate additonal fnancing may not be available to us on acceptable terms, or at all. In additon, we may seek additonal capital due to favorable market conditons or strategic consideratons, even if we believe we have sufcient funds for our current or future operatng plans.</w:t>
      </w:r>
    </w:p>
    <w:p>
      <w:pPr>
        <w:spacing w:after="0" w:line="178"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b w:val="1"/>
          <w:bCs w:val="1"/>
          <w:i w:val="1"/>
          <w:iCs w:val="1"/>
          <w:color w:val="auto"/>
        </w:rPr>
        <w:t>Raising additonal capital may cause diluton to our stockholders, restrict our operatons or require us to relinquish rights to our technologies or product candidates.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Untl such tme, if ever, as we can generate substantal product revenues, we expect to fnance our cash needs through equity oferings, our Loan Agreement with Hercules, our Revenue Interest Financing Agreement, other debt fnancings, or other capital sources, including potental collaboratons, licenses and other similar arrangements. To the extent that we raise additonal capital through the sale of equity or convertble debt securites, your ownership interest will be diluted, and the terms of these securites may include liquidaton or other preferences that adversely afect your rights as a common stockholder. Our Loan Agreement and our Revenue Interest Financing Agreement include, and any future debt fnancing and preferred equity fnancing, if available, may involve agreements that include covenants limitng or restrictng our ability to take specifc actons such as incurring additonal debt, making capital expenditures or declaring dividends. For example, our Loan Agreement with Hercules contains minimum cash and performance fnancial covenants.</w:t>
      </w:r>
    </w:p>
    <w:p>
      <w:pPr>
        <w:spacing w:after="0" w:line="19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If we raise funds through future collaboratons, licenses and other similar arrangements, we may have to relinquish valuable rights to our future revenue streams, research programs or product candidates or grant licenses on terms that may not be favorable to us and/or that may reduce the value of our common stock.</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52" w:name="page53"/>
    <w:bookmarkEnd w:id="52"/>
    <w:p>
      <w:pPr>
        <w:spacing w:after="0"/>
        <w:rPr>
          <w:sz w:val="20"/>
          <w:szCs w:val="20"/>
          <w:color w:val="auto"/>
        </w:rPr>
      </w:pPr>
      <w:r>
        <w:rPr>
          <w:rFonts w:ascii="Calibri" w:cs="Calibri" w:eastAsia="Calibri" w:hAnsi="Calibri"/>
          <w:sz w:val="18"/>
          <w:szCs w:val="18"/>
          <w:b w:val="1"/>
          <w:bCs w:val="1"/>
          <w:color w:val="auto"/>
        </w:rPr>
        <w:t>Risks Related to Commercializaton of VOQUEZNA, VOQUEZNA TRIPLE PAK, VOQUEZNA DUAL PAK and Any Future Product Candidates</w:t>
      </w:r>
    </w:p>
    <w:p>
      <w:pPr>
        <w:spacing w:after="0" w:line="177"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The commercial success of our current products or any future product candidates will depend upon the degree of market acceptance of such product candidates by physicians, patents, healthcare payers and others in the medical community.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VOQUEZNA, VOQUEZNA TRIPLE PAK, VOQUEZNA DUAL PAK, and any future product candidates, if approved, may not be commercially successful. The commercial success of our current products or any future product candidates will depend signifcantly on the broad adopton and use of such product by physicians and patents for approved indicatons. The degree of market acceptance of our current products or any future products, if approved, will depend on a number of factors, including:</w:t>
      </w:r>
    </w:p>
    <w:p>
      <w:pPr>
        <w:spacing w:after="0" w:line="120"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demonstraton of clinical efcacy and safety compared to other more-established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indicatons for which our current or any future product candidates are approved;</w:t>
      </w:r>
    </w:p>
    <w:p>
      <w:pPr>
        <w:spacing w:after="0" w:line="122" w:lineRule="exact"/>
        <w:rPr>
          <w:rFonts w:ascii="Times New Roman" w:cs="Times New Roman" w:eastAsia="Times New Roman" w:hAnsi="Times New Roman"/>
          <w:sz w:val="18"/>
          <w:szCs w:val="18"/>
          <w:color w:val="auto"/>
        </w:rPr>
      </w:pPr>
    </w:p>
    <w:p>
      <w:pPr>
        <w:ind w:left="1020" w:right="340" w:hanging="50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limitaton of our targeted patent populaton and other limitatons or warnings contained in any FDA-approved labeling or comparable approved labeling;</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acceptance of a new drug for the relevant indicaton by healthcare providers and their patents;</w:t>
      </w:r>
    </w:p>
    <w:p>
      <w:pPr>
        <w:spacing w:after="0" w:line="122" w:lineRule="exact"/>
        <w:rPr>
          <w:rFonts w:ascii="Times New Roman" w:cs="Times New Roman" w:eastAsia="Times New Roman" w:hAnsi="Times New Roman"/>
          <w:sz w:val="18"/>
          <w:szCs w:val="18"/>
          <w:color w:val="auto"/>
        </w:rPr>
      </w:pPr>
    </w:p>
    <w:p>
      <w:pPr>
        <w:ind w:left="1020" w:right="80" w:hanging="50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pricing and cost-efectveness of our products, as well as the cost of treatment with our products in relaton to alternatve treatments and therapies;</w:t>
      </w:r>
    </w:p>
    <w:p>
      <w:pPr>
        <w:spacing w:after="0" w:line="123" w:lineRule="exact"/>
        <w:rPr>
          <w:rFonts w:ascii="Times New Roman" w:cs="Times New Roman" w:eastAsia="Times New Roman" w:hAnsi="Times New Roman"/>
          <w:sz w:val="18"/>
          <w:szCs w:val="18"/>
          <w:color w:val="auto"/>
        </w:rPr>
      </w:pPr>
    </w:p>
    <w:p>
      <w:pPr>
        <w:ind w:left="1020" w:right="540" w:hanging="50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obtain and maintain sufcient third-party coverage and adequate reimbursement from government healthcare programs, including Medicare and Medicaid, private health insurers and other third-party payers;</w:t>
      </w:r>
    </w:p>
    <w:p>
      <w:pPr>
        <w:spacing w:after="0" w:line="123"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willingness of patents to pay all, or a porton of, out-of-pocket costs associated with our products in the absence of sufcient third-party coverage or adequate reimbursement;</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restrictons on the use of our products, and the prevalence and severity of any adverse efects;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potental product liability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of market introducton of our products as well as compettve drugs;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efectveness of our or any of our potental future collaborators’ sales and marketng strategies;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unfavorable publicity relatng to the product.</w:t>
      </w:r>
    </w:p>
    <w:p>
      <w:pPr>
        <w:spacing w:after="0" w:line="190" w:lineRule="exact"/>
        <w:rPr>
          <w:sz w:val="20"/>
          <w:szCs w:val="20"/>
          <w:color w:val="auto"/>
        </w:rPr>
      </w:pPr>
    </w:p>
    <w:p>
      <w:pPr>
        <w:ind w:right="160" w:firstLine="509"/>
        <w:spacing w:after="0" w:line="254" w:lineRule="auto"/>
        <w:rPr>
          <w:sz w:val="20"/>
          <w:szCs w:val="20"/>
          <w:color w:val="auto"/>
        </w:rPr>
      </w:pPr>
      <w:r>
        <w:rPr>
          <w:rFonts w:ascii="Calibri" w:cs="Calibri" w:eastAsia="Calibri" w:hAnsi="Calibri"/>
          <w:sz w:val="17"/>
          <w:szCs w:val="17"/>
          <w:color w:val="auto"/>
        </w:rPr>
        <w:t>If our current products or any future product candidates, if approved, does not achieve an adequate level of acceptance by physicians, hospitals, healthcare payers or patents, we may not generate sufcient revenue from that product and may not become or remain proftable. Our eforts to educate the medical community and third-party payers regarding the benefts of our products may require signifcant resources and may never be successful.</w:t>
      </w:r>
    </w:p>
    <w:p>
      <w:pPr>
        <w:spacing w:after="0" w:line="165"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Takeda has the right to develop and commercialize vonoprazan outside of the United States, Europe, and Canada and has received marketng approval for vonoprazan in numerous countries in Asia and Latn America as well as in Russia. We have litle or no control over Takeda’s commercializaton actvites with respect to vonoprazan outside of our licensed territories even though those actvites could impact our ability to successfully commercialize vonoprazan. For example, Takeda can make statements or use promotonal materials with respect to vonoprazan outside of our licensed territories that are inconsistent with our positoning of the product in the United States, Europe, and Canada, and could sell vonoprazan in foreign countries at prices that are dramatcally lower than the prices we would charge in our licensed territories. These actvites and decisions, while occurring outside of our licensed territories, could harm our commercializaton strategy. In additon, product recalls or safety issues with vonoprazan outside our licensed territories could result in serious damage to the brand and impair our ability to successfully market our products containing vonoprazan in our licensed territories.</w:t>
      </w:r>
    </w:p>
    <w:p>
      <w:pPr>
        <w:spacing w:after="0" w:line="167" w:lineRule="exact"/>
        <w:rPr>
          <w:sz w:val="20"/>
          <w:szCs w:val="20"/>
          <w:color w:val="auto"/>
        </w:rPr>
      </w:pPr>
    </w:p>
    <w:p>
      <w:pPr>
        <w:ind w:right="80"/>
        <w:spacing w:after="0" w:line="235" w:lineRule="auto"/>
        <w:rPr>
          <w:sz w:val="20"/>
          <w:szCs w:val="20"/>
          <w:color w:val="auto"/>
        </w:rPr>
      </w:pPr>
      <w:r>
        <w:rPr>
          <w:rFonts w:ascii="Calibri" w:cs="Calibri" w:eastAsia="Calibri" w:hAnsi="Calibri"/>
          <w:sz w:val="18"/>
          <w:szCs w:val="18"/>
          <w:b w:val="1"/>
          <w:bCs w:val="1"/>
          <w:i w:val="1"/>
          <w:iCs w:val="1"/>
          <w:color w:val="auto"/>
        </w:rPr>
        <w:t>We may lack the necessary expertse, personnel and resources to successfully commercialize VOQUEZNA, VOQUEZNA TRIPLE PAK, VOQUEZNA DUAL PAK, and any future product candidates that may receive regulatory approval, on our own or together with collaborators.</w:t>
      </w:r>
    </w:p>
    <w:p>
      <w:pPr>
        <w:spacing w:after="0" w:line="191" w:lineRule="exact"/>
        <w:rPr>
          <w:sz w:val="20"/>
          <w:szCs w:val="20"/>
          <w:color w:val="auto"/>
        </w:rPr>
      </w:pPr>
    </w:p>
    <w:p>
      <w:pPr>
        <w:ind w:right="200" w:firstLine="549"/>
        <w:spacing w:after="0" w:line="235" w:lineRule="auto"/>
        <w:rPr>
          <w:sz w:val="20"/>
          <w:szCs w:val="20"/>
          <w:color w:val="auto"/>
        </w:rPr>
      </w:pPr>
      <w:r>
        <w:rPr>
          <w:rFonts w:ascii="Calibri" w:cs="Calibri" w:eastAsia="Calibri" w:hAnsi="Calibri"/>
          <w:sz w:val="18"/>
          <w:szCs w:val="18"/>
          <w:color w:val="auto"/>
        </w:rPr>
        <w:t>Untl 2023, our operatons were primarily limited to organizing and stafng our company, business planning, raising capital, acquiring the rights to, and undertaking clinical trials of, vonoprazan. Although we started developing marketng and distributon</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1" w:right="379" w:bottom="1440" w:gutter="0" w:footer="0" w:header="0"/>
        </w:sectPr>
      </w:pPr>
    </w:p>
    <w:bookmarkStart w:id="53" w:name="page54"/>
    <w:bookmarkEnd w:id="53"/>
    <w:p>
      <w:pPr>
        <w:ind w:right="140"/>
        <w:spacing w:after="0" w:line="235" w:lineRule="auto"/>
        <w:rPr>
          <w:sz w:val="20"/>
          <w:szCs w:val="20"/>
          <w:color w:val="auto"/>
        </w:rPr>
      </w:pPr>
      <w:r>
        <w:rPr>
          <w:rFonts w:ascii="Calibri" w:cs="Calibri" w:eastAsia="Calibri" w:hAnsi="Calibri"/>
          <w:sz w:val="18"/>
          <w:szCs w:val="18"/>
          <w:color w:val="auto"/>
        </w:rPr>
        <w:t>capabilites in 2021 in advance of the planned commercializaton of VOQUEZNA, VOQUEZNA TRIPLE PAK and VOQUEZNA DUAL PAK, due to approval and launch delays, we did not hire our feld force untl late 2023. The success of the commercializaton of our approved products in the United States and any of our future product candidates that may be approved by the FDA will depend on such marketng, sales and distributon capabilites. Factors that may afect our ability to commercialize our approved products and future product candidates successfully on our own include obtaining access to or persuading adequate numbers of physicians to prescribe our products. Building and maintaining a sales and marketng organizaton has required, and will contnue to require, signifcant investment, and is tme-consuming. Our sales and marketng organizaton may prove not to be efectve. If we are unable to maintain efectve sales and marketng capabilites for our approved products including VOQUEZNA, or to fnd suitable partners for such commercializaton, we may have difcultes generatng revenue from them.</w:t>
      </w:r>
    </w:p>
    <w:p>
      <w:pPr>
        <w:spacing w:after="0" w:line="182" w:lineRule="exact"/>
        <w:rPr>
          <w:sz w:val="20"/>
          <w:szCs w:val="20"/>
          <w:color w:val="auto"/>
        </w:rPr>
      </w:pPr>
    </w:p>
    <w:p>
      <w:pPr>
        <w:ind w:right="740"/>
        <w:spacing w:after="0" w:line="235" w:lineRule="auto"/>
        <w:rPr>
          <w:sz w:val="20"/>
          <w:szCs w:val="20"/>
          <w:color w:val="auto"/>
        </w:rPr>
      </w:pPr>
      <w:r>
        <w:rPr>
          <w:rFonts w:ascii="Calibri" w:cs="Calibri" w:eastAsia="Calibri" w:hAnsi="Calibri"/>
          <w:sz w:val="18"/>
          <w:szCs w:val="18"/>
          <w:b w:val="1"/>
          <w:bCs w:val="1"/>
          <w:i w:val="1"/>
          <w:iCs w:val="1"/>
          <w:color w:val="auto"/>
        </w:rPr>
        <w:t>Following receipt of regulatory approval, we are subject to ongoing regulatory obligatons and contnued regulatory review, which may result in signifcant additonal expense.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With respect to VOQUEZNA, VOQUEZNA TRIPLE PAK, VOQUEZNA DUAL PAK, and any future product candidates, the FDA, EMA or other comparable regulatory authority may impose signifcant restrictons on a product’s indicated uses or marketng or impose ongoing requirements for potentally costly and tme-consuming post-approval studies, post-market surveillance or clinical trials to monitor the safety and efcacy of the product. The FDA and comparable regulatory authorites may also require a risk evaluaton and mitgaton strategy, or REMS, or similar risk management measures as a conditon of approval of any future product candidates, which could include requirements for a medicaton guide, physician communicaton plans or additonal elements to ensure safe use, such as restricted distributon methods, patent registries and other risk minimizaton tools. In additon, for our approved products or future products that obtain approval, partcularly following commercial launch of any such products, the manufacturing processes, labeling, packaging, distributon, adverse event reportng, storage, advertsing, promoton, import, export and recordkeeping for our products will be subject to extensive and ongoing regulatory requirements. These requirements include submissions of safety and other post-marketng informaton and reports, registraton, as well as contnued compliance with cGMPs and similar requirements and GCP requirements for any clinical trials that we conduct. Later discovery of previously unknown problems with our products, including adverse events of unantcipated severity or frequency, or with our third-party manufacturers or manufacturing processes, or failure to comply with regulatory requirements, may result in, among other things:</w:t>
      </w:r>
    </w:p>
    <w:p>
      <w:pPr>
        <w:spacing w:after="0" w:line="132" w:lineRule="exact"/>
        <w:rPr>
          <w:sz w:val="20"/>
          <w:szCs w:val="20"/>
          <w:color w:val="auto"/>
        </w:rPr>
      </w:pPr>
    </w:p>
    <w:p>
      <w:pPr>
        <w:ind w:left="1020" w:right="20" w:hanging="50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the marketng or manufacturing of our products, withdrawal of the product from the market or voluntary or mandatory product recalls;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product distributon or use, or requirements to conduct post-marketng studies or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fnes, resttutons, disgorgement of profts or revenues, warning leters, unttled leters or holds on clinical trials;</w:t>
      </w:r>
    </w:p>
    <w:p>
      <w:pPr>
        <w:spacing w:after="0" w:line="122"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refusal by the FDA or comparable foreign regulatory authority to approve pending applicatons or supplements to approved applicatons fled by us or suspension or revocaton of approvals;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seizure or detenton, or refusal to permit the import or export of our products;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injunctons or the impositon of civil or criminal penaltes.</w:t>
      </w:r>
    </w:p>
    <w:p>
      <w:pPr>
        <w:spacing w:after="0" w:line="190" w:lineRule="exact"/>
        <w:rPr>
          <w:sz w:val="20"/>
          <w:szCs w:val="20"/>
          <w:color w:val="auto"/>
        </w:rPr>
      </w:pPr>
    </w:p>
    <w:p>
      <w:pPr>
        <w:ind w:right="640" w:firstLine="509"/>
        <w:spacing w:after="0" w:line="258" w:lineRule="auto"/>
        <w:rPr>
          <w:sz w:val="20"/>
          <w:szCs w:val="20"/>
          <w:color w:val="auto"/>
        </w:rPr>
      </w:pPr>
      <w:r>
        <w:rPr>
          <w:rFonts w:ascii="Calibri" w:cs="Calibri" w:eastAsia="Calibri" w:hAnsi="Calibri"/>
          <w:sz w:val="17"/>
          <w:szCs w:val="17"/>
          <w:color w:val="auto"/>
        </w:rPr>
        <w:t>The occurrence of any event or penalty described above may inhibit our ability to commercialize our current products and any future product candidates and generate revenue and could require us to expend signifcant tme and resources in response and could generate negatve publicity.</w:t>
      </w:r>
    </w:p>
    <w:p>
      <w:pPr>
        <w:spacing w:after="0" w:line="16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FDA’s and other regulatory authorites’ policies may change, and additonal government regulatons may be enacted that could prevent, limit or delay regulatory approval of any future product candidates or additonal indicatons for our current products. If we are slow or unable to adapt to changes in existng requirements or the adopton of new requirements or policies, or if we are not able to maintain regulatory compliance, we may lose any marketng approvals that we may have obtained, may be subject to enforcement acton, and we may not achieve or sustain proftability.</w:t>
      </w:r>
    </w:p>
    <w:p>
      <w:pPr>
        <w:spacing w:after="0" w:line="179"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Additonally, the EU pharmaceutcal legislaton is currently undergoing a complete review process, in the context of the Pharmaceutcal Strategy for Europe initatve, launched by the European Commission in November 2020. The European Commission's proposal for revision of several legislatve instruments related to medicinal products (potentally reducing the duraton of regulatory data protecton, revising the eligibility for expedited pathways, etc.) was published on April 26, 2023. The proposed revisions remain to be agreed and adopted by the European Parliament and European Council and the proposals may therefore be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4" w:name="page55"/>
    <w:bookmarkEnd w:id="54"/>
    <w:p>
      <w:pPr>
        <w:spacing w:after="0" w:line="235" w:lineRule="auto"/>
        <w:rPr>
          <w:sz w:val="20"/>
          <w:szCs w:val="20"/>
          <w:color w:val="auto"/>
        </w:rPr>
      </w:pPr>
      <w:r>
        <w:rPr>
          <w:rFonts w:ascii="Calibri" w:cs="Calibri" w:eastAsia="Calibri" w:hAnsi="Calibri"/>
          <w:sz w:val="18"/>
          <w:szCs w:val="18"/>
          <w:color w:val="auto"/>
        </w:rPr>
        <w:t>substantally revised before adopton, which is not antcipated before early 2026. The revisions may however have a signifcant impact on the pharmaceutcal industry.</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The FDA and other regulatory agencies actvely enforce the laws and regulatons prohibitng the promoton of of-label uses. If we are found or alleged to have improperly promoted of-label uses, we may become subject to signifcant liability.</w:t>
      </w:r>
    </w:p>
    <w:p>
      <w:pPr>
        <w:spacing w:after="0" w:line="177" w:lineRule="exact"/>
        <w:rPr>
          <w:sz w:val="20"/>
          <w:szCs w:val="20"/>
          <w:color w:val="auto"/>
        </w:rPr>
      </w:pPr>
    </w:p>
    <w:p>
      <w:pPr>
        <w:ind w:firstLine="509"/>
        <w:spacing w:after="0" w:line="236" w:lineRule="auto"/>
        <w:rPr>
          <w:sz w:val="20"/>
          <w:szCs w:val="20"/>
          <w:color w:val="auto"/>
        </w:rPr>
      </w:pPr>
      <w:r>
        <w:rPr>
          <w:rFonts w:ascii="Calibri" w:cs="Calibri" w:eastAsia="Calibri" w:hAnsi="Calibri"/>
          <w:sz w:val="18"/>
          <w:szCs w:val="18"/>
          <w:color w:val="auto"/>
        </w:rPr>
        <w:t xml:space="preserve">The FDA and other regulatory agencies strictly regulate the promotonal claims that may be made about prescripton products such as our currently approved products, and any additonal product candidates containing vonoprazan and any future product candidates, if approved. In partcular, a product may not be promoted for uses that are not approved by the FDA or such other regulatory agencies as refected in the product’s approved labeling. For example, the FDA has approved VOQUEZNA for the treatment for healing and maintenance of healing of all grades of erosive esophagits and relief of heartburn associated with erosive esophagits in adults, for the relief of heartburn associated with Non-Erosive GERD in adults and, in combinaton with either amoxicillin, or amoxicillin and clarithromycin,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and we are not currently permited to promote this product for any other uses unless and untl such uses are approved by the FDA. For any product for which we have obtained a marketng approval, however, physicians may nevertheless prescribe it to their patents in a manner that is inconsistent with the approved label. If we are found to have promoted such of-label uses, we may become subject to signifcant liability. The federal government has levied large civil and criminal fnes against companies for alleged improper promoton and has enjoined several companies from engaging in of-label promoton. The FDA has also requested that companies enter into consent decrees or permanent injunctons under which specifed promotonal conduct is changed or curtailed. If we cannot successfully manage the promoton of our current products or any product candidates, we could become subject to signifcant liability, which would materially adversely afect our business and fnancial conditon.</w:t>
      </w:r>
    </w:p>
    <w:p>
      <w:pPr>
        <w:spacing w:after="0" w:line="202" w:lineRule="exact"/>
        <w:rPr>
          <w:sz w:val="20"/>
          <w:szCs w:val="20"/>
          <w:color w:val="auto"/>
        </w:rPr>
      </w:pPr>
    </w:p>
    <w:p>
      <w:pPr>
        <w:ind w:right="120"/>
        <w:spacing w:after="0" w:line="254" w:lineRule="auto"/>
        <w:rPr>
          <w:sz w:val="20"/>
          <w:szCs w:val="20"/>
          <w:color w:val="auto"/>
        </w:rPr>
      </w:pPr>
      <w:r>
        <w:rPr>
          <w:rFonts w:ascii="Calibri" w:cs="Calibri" w:eastAsia="Calibri" w:hAnsi="Calibri"/>
          <w:sz w:val="17"/>
          <w:szCs w:val="17"/>
          <w:b w:val="1"/>
          <w:bCs w:val="1"/>
          <w:i w:val="1"/>
          <w:iCs w:val="1"/>
          <w:color w:val="auto"/>
        </w:rPr>
        <w:t>The successful commercializaton of our current products or any future product candidate, will depend in part on the extent to which governmental authorites and health insurers establish coverage, adequate reimbursement levels and favorable pricing policies. Failure to obtain or maintain coverage and adequate reimbursement for our products could limit our ability to market those products and decrease our ability to generate revenue.</w:t>
      </w:r>
    </w:p>
    <w:p>
      <w:pPr>
        <w:spacing w:after="0" w:line="165" w:lineRule="exact"/>
        <w:rPr>
          <w:sz w:val="20"/>
          <w:szCs w:val="20"/>
          <w:color w:val="auto"/>
        </w:rPr>
      </w:pPr>
    </w:p>
    <w:p>
      <w:pPr>
        <w:ind w:right="300" w:firstLine="509"/>
        <w:spacing w:after="0" w:line="251" w:lineRule="auto"/>
        <w:rPr>
          <w:sz w:val="20"/>
          <w:szCs w:val="20"/>
          <w:color w:val="auto"/>
        </w:rPr>
      </w:pPr>
      <w:r>
        <w:rPr>
          <w:rFonts w:ascii="Calibri" w:cs="Calibri" w:eastAsia="Calibri" w:hAnsi="Calibri"/>
          <w:sz w:val="17"/>
          <w:szCs w:val="17"/>
          <w:color w:val="auto"/>
        </w:rPr>
        <w:t>The availability of coverage and the adequacy of reimbursement by governmental healthcare programs, such as Medicare and Medicaid, private health insurers and other third-party payers are essental for most patents to be able to aford prescripton medicatons such as VOQUEZNA, VOQUEZNA TRIPLE PAK, VOQUEZNA DUAL PAK or any future product candidates that may be approved. Our ability to achieve coverage and acceptable levels of reimbursement for our products by third-party payers will have an efect on our ability to successfully commercialize those products. Even if we obtain coverage for a given product by a third-party payer, the resultng reimbursement payment rates may not be adequate or may require co-payments that patents fnd unacceptably high. We cannot be sure that coverage and reimbursement in the United States, the European Union, or elsewhere will be available for any product that we may develop, and any reimbursement that may become available may be decreased or eliminated in the future.</w:t>
      </w:r>
    </w:p>
    <w:p>
      <w:pPr>
        <w:spacing w:after="0" w:line="16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Third-party payers increasingly are challenging prices charged for pharmaceutcal products and services, and many third-party payers may refuse to provide coverage and reimbursement for partcular drugs when an equivalent generic drug or a less expensive therapy is available. It is possible that a third-party payer may consider our products as substtutable and only ofer to reimburse patents for the less expensive product. Even if we are successful in demonstratng improved efcacy or improved convenience of administraton with our products, pricing of existng drugs may limit the amount we will be able to charge for our products. These payers may deny or revoke the reimbursement status of a given product or establish prices for new or existng marketed products at levels that are too low to enable us to realize an appropriate return on our investment in product development. If reimbursement is not available or is available only at limited levels, we may not be able to successfully commercialize our products and may not be able to obtain a satsfactory fnancial return on products that we may develop.</w:t>
      </w:r>
    </w:p>
    <w:p>
      <w:pPr>
        <w:spacing w:after="0" w:line="196"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There is signifcant uncertainty related to third-party payer coverage and reimbursement of newly approved products. In the United States, third-party payers, including private and governmental payers, such as the Medicare and Medicaid programs, play an important role in determining the extent to which new drugs will be covered. Some third-party payers may require pre-approval of coverage for new or innovatve devices or drug therapies before they will reimburse healthcare providers who use such therapies. It is difcult to predict at this tme what third-party payers will decide with respect to the coverage and reimbursement for our products.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Obtaining and maintaining reimbursement status is tme consuming, costly and uncertain. The Medicare and Medicaid programs increasingly are used as models for how private payers and other governmental payers develop their coverage and</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5" w:name="page56"/>
    <w:bookmarkEnd w:id="55"/>
    <w:p>
      <w:pPr>
        <w:ind w:right="20"/>
        <w:spacing w:after="0" w:line="299" w:lineRule="auto"/>
        <w:rPr>
          <w:sz w:val="20"/>
          <w:szCs w:val="20"/>
          <w:color w:val="auto"/>
        </w:rPr>
      </w:pPr>
      <w:r>
        <w:rPr>
          <w:rFonts w:ascii="MS PGothic" w:cs="MS PGothic" w:eastAsia="MS PGothic" w:hAnsi="MS PGothic"/>
          <w:sz w:val="18"/>
          <w:szCs w:val="18"/>
          <w:color w:val="auto"/>
        </w:rPr>
        <w:t>reimbursement policies for drugs. However, no uniform policy for coverage and reimbursement for products exists among third-party payers in the United States. Therefore, coverage and reimbursement for products can difer signifcantly from payer to payer. As a result, the coverage determinaton process will require us to provide scientfc and clinical support for the use of our products to each payer separately, with no assurance that coverage and adequate reimbursement will be applied consistently or obtained in the frst instance. Furthermore, rules and regulatons regarding reimbursement change frequently, in some cases at short notce, and we believe that changes in these rules and regulatons are likely.</w:t>
      </w:r>
    </w:p>
    <w:p>
      <w:pPr>
        <w:spacing w:after="0" w:line="134" w:lineRule="exact"/>
        <w:rPr>
          <w:sz w:val="20"/>
          <w:szCs w:val="20"/>
          <w:color w:val="auto"/>
        </w:rPr>
      </w:pPr>
    </w:p>
    <w:p>
      <w:pPr>
        <w:ind w:right="20" w:firstLine="509"/>
        <w:spacing w:after="0" w:line="295" w:lineRule="auto"/>
        <w:rPr>
          <w:sz w:val="20"/>
          <w:szCs w:val="20"/>
          <w:color w:val="auto"/>
        </w:rPr>
      </w:pPr>
      <w:r>
        <w:rPr>
          <w:rFonts w:ascii="MS PGothic" w:cs="MS PGothic" w:eastAsia="MS PGothic" w:hAnsi="MS PGothic"/>
          <w:sz w:val="18"/>
          <w:szCs w:val="18"/>
          <w:color w:val="auto"/>
        </w:rPr>
        <w:t>Outside the United States, internatonal operatons are generally subject to extensive governmental price controls and other market regulatons, and we believe the increasing emphasis on cost-containment initatves in Europe and other countries has and will contnue to put pressure on the pricing and usage of our products. In many countries, the prices of medical products are subject to varying price control mechanisms as part of natonal health systems. Other countries allow companies to fx their own prices for medical products but monitor and control company profts. Additonal foreign price controls or other changes in pricing regulaton could restrict the amount that we are able to charge for our products. Accordingly, in markets outside the United States, the reimbursement for our products may be reduced compared with the United States and may be insufcient to generate commercially reasonable revenue and profts.</w:t>
      </w:r>
    </w:p>
    <w:p>
      <w:pPr>
        <w:spacing w:after="0" w:line="139" w:lineRule="exact"/>
        <w:rPr>
          <w:sz w:val="20"/>
          <w:szCs w:val="20"/>
          <w:color w:val="auto"/>
        </w:rPr>
      </w:pPr>
    </w:p>
    <w:p>
      <w:pPr>
        <w:ind w:firstLine="509"/>
        <w:spacing w:after="0" w:line="297" w:lineRule="auto"/>
        <w:rPr>
          <w:sz w:val="20"/>
          <w:szCs w:val="20"/>
          <w:color w:val="auto"/>
        </w:rPr>
      </w:pPr>
      <w:r>
        <w:rPr>
          <w:rFonts w:ascii="MS PGothic" w:cs="MS PGothic" w:eastAsia="MS PGothic" w:hAnsi="MS PGothic"/>
          <w:sz w:val="18"/>
          <w:szCs w:val="18"/>
          <w:color w:val="auto"/>
        </w:rPr>
        <w:t>Moreover, increasing eforts by governmental and third-party payers in the United States and abroad to cap or reduce healthcare costs may cause such organizatons to limit both coverage and the level of reimbursement for newly approved products and, as a result, they may not cover or provide adequate payment for our products. We expect to experience pricing pressures in connecton with the sale of any of our products due to the trend toward managed healthcare, the increasing infuence of health maintenance organizatons and additonal legislatve changes. The downward pressure on healthcare costs in general, partcularly prescripton drugs and surgical procedures and other treatments, has become very intense. As a result, increasingly high barriers are being erected to the entry of new products.</w:t>
      </w:r>
    </w:p>
    <w:p>
      <w:pPr>
        <w:spacing w:after="0" w:line="148" w:lineRule="exact"/>
        <w:rPr>
          <w:sz w:val="20"/>
          <w:szCs w:val="20"/>
          <w:color w:val="auto"/>
        </w:rPr>
      </w:pPr>
    </w:p>
    <w:p>
      <w:pPr>
        <w:jc w:val="both"/>
        <w:ind w:right="40"/>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reportng and payment obligatons under the Medicaid Drug Rebate Program or other governmental pricing programs, we could be subject to additonal reimbursement requirements, penaltes, sanctons and fnes, which could have a material adverse efect on our business, fnancial conditon, results of operatons and growth prospects.</w:t>
      </w:r>
    </w:p>
    <w:p>
      <w:pPr>
        <w:spacing w:after="0" w:line="178" w:lineRule="exact"/>
        <w:rPr>
          <w:sz w:val="20"/>
          <w:szCs w:val="20"/>
          <w:color w:val="auto"/>
        </w:rPr>
      </w:pPr>
    </w:p>
    <w:p>
      <w:pPr>
        <w:ind w:right="560" w:firstLine="509"/>
        <w:spacing w:after="0" w:line="334" w:lineRule="auto"/>
        <w:rPr>
          <w:sz w:val="20"/>
          <w:szCs w:val="20"/>
          <w:color w:val="auto"/>
        </w:rPr>
      </w:pPr>
      <w:r>
        <w:rPr>
          <w:rFonts w:ascii="MS PGothic" w:cs="MS PGothic" w:eastAsia="MS PGothic" w:hAnsi="MS PGothic"/>
          <w:sz w:val="18"/>
          <w:szCs w:val="18"/>
          <w:color w:val="auto"/>
        </w:rPr>
        <w:t>We partcipate in various governmental programs, such as the Medicaid Drug Rebate Program, that impose extensive drug price reportng and payment obligatons on pharmaceutcal manufacturers.</w:t>
      </w:r>
    </w:p>
    <w:p>
      <w:pPr>
        <w:spacing w:after="0" w:line="107" w:lineRule="exact"/>
        <w:rPr>
          <w:sz w:val="20"/>
          <w:szCs w:val="20"/>
          <w:color w:val="auto"/>
        </w:rPr>
      </w:pPr>
    </w:p>
    <w:p>
      <w:pPr>
        <w:ind w:firstLine="509"/>
        <w:spacing w:after="0" w:line="310" w:lineRule="auto"/>
        <w:rPr>
          <w:sz w:val="20"/>
          <w:szCs w:val="20"/>
          <w:color w:val="auto"/>
        </w:rPr>
      </w:pPr>
      <w:r>
        <w:rPr>
          <w:rFonts w:ascii="MS PGothic" w:cs="MS PGothic" w:eastAsia="MS PGothic" w:hAnsi="MS PGothic"/>
          <w:sz w:val="17"/>
          <w:szCs w:val="17"/>
          <w:color w:val="auto"/>
        </w:rPr>
        <w:t>Medicaid is a joint federal and state program that is administered by the states for low-income and disabled benefciaries. Medicare is a federal program that is administered by the federal government covering individuals age 65 and over as well as those with certain disabilites. Under the Medicaid Drug Rebate Program, or MDRP, as a conditon of having federal funds being made available to the states for covered outpatent drugs under Medicaid and, if applicable, Medicare Part B, pharmaceutcal manufacturers must enter into an agreement with the Secretary of Health and Human Services to pay a rebate to state Medicaid programs for each unit of covered outpatent drug dispensed to a Medicaid benefciary and paid for by the state Medicaid program. Medicaid drug rebates are based on pricing data that pharmaceutcal manufacturers report on a monthly and quarterly basis to the U.S. Centers for Medicare &amp; Medicaid Services, or CMS, which is the federal agency that administers the MDRP and Medicare programs. For the MDRP, these data include the average manufacturer price, or AMP, for each drug and, in the case of innovator products, the Best Price, or BP, which represents the lowest price available from the manufacturer to any entty in the United States in any pricing structure, calculated to include all applicable sales and associated rebates, discounts and other price concessions. If a manufacturer becomes aware that its MDRP government price reportng submission for a prior quarter was incorrect or has changed as a result of recalculaton of the pricing data, the manufacturer must resubmit the corrected data for up to three years afer those data originally were due. If a manufacturer fails to provide informaton tmely or is found to have knowingly submited false informaton to the government, the manufacturer may be subject to civil monetary penaltes and other sanctons, including terminaton from the MDRP.</w:t>
      </w:r>
    </w:p>
    <w:p>
      <w:pPr>
        <w:spacing w:after="0" w:line="142" w:lineRule="exact"/>
        <w:rPr>
          <w:sz w:val="20"/>
          <w:szCs w:val="20"/>
          <w:color w:val="auto"/>
        </w:rPr>
      </w:pPr>
    </w:p>
    <w:p>
      <w:pPr>
        <w:ind w:right="40" w:firstLine="509"/>
        <w:spacing w:after="0" w:line="315" w:lineRule="auto"/>
        <w:rPr>
          <w:sz w:val="20"/>
          <w:szCs w:val="20"/>
          <w:color w:val="auto"/>
        </w:rPr>
      </w:pPr>
      <w:r>
        <w:rPr>
          <w:rFonts w:ascii="MS PGothic" w:cs="MS PGothic" w:eastAsia="MS PGothic" w:hAnsi="MS PGothic"/>
          <w:sz w:val="17"/>
          <w:szCs w:val="17"/>
          <w:color w:val="auto"/>
        </w:rPr>
        <w:t>Federal law requires that any company that partcipates in the MDRP also partcipate in the Public Health Service’s 340B drug pricing program, or the 340B program, in order for federal funds to be available for the manufacturer’s drugs under Medicaid and, if applicable, Medicare Part B. The 340B program is administered by the Health Resources and Services Administraton, or HRSA, and requires partcipatng manufacturers to agree to charge statutorily defned covered enttes no more than the 340B “ceiling price” for the manufacturer’s covered drugs used in an outpatent setng. These 340B covered enttes include a variety of community health clinics and other enttes that receive health services grants from the Public Health Service, as well as hospitals that serve a disproportonate share of low‑income patents. The 340B ceiling price is calculated using a statutory formula, which is based on the AMP and rebate amount for the covered outpatent drug as calculated under the MDRP. In general, products subject to Medicaid</w:t>
      </w:r>
    </w:p>
    <w:p>
      <w:pPr>
        <w:spacing w:after="0" w:line="1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56" w:name="page57"/>
    <w:bookmarkEnd w:id="56"/>
    <w:p>
      <w:pPr>
        <w:ind w:right="160"/>
        <w:spacing w:after="0" w:line="315" w:lineRule="auto"/>
        <w:rPr>
          <w:sz w:val="20"/>
          <w:szCs w:val="20"/>
          <w:color w:val="auto"/>
        </w:rPr>
      </w:pPr>
      <w:r>
        <w:rPr>
          <w:rFonts w:ascii="MS PGothic" w:cs="MS PGothic" w:eastAsia="MS PGothic" w:hAnsi="MS PGothic"/>
          <w:sz w:val="17"/>
          <w:szCs w:val="17"/>
          <w:color w:val="auto"/>
        </w:rPr>
        <w:t>price reportng and rebate liability are also subject to the 340B ceiling price calculaton and discount requirement. Manufacturers must report 340B ceiling prices to HRSA on a quarterly basis, and HRSA publishes them to 340B covered enttes. HRSA has fnalized regulatons regarding the calculaton of the 340B ceiling price and the impositon of civil monetary penaltes on manufacturers that knowingly and intentonally overcharge covered enttes for 340B‑eligible drugs. HRSA has also fnalized an administratve dispute resoluton process through which 340B covered enttes may pursue claims against partcipatng manufacturers for overcharges, and through which manufacturers may pursue claims against 340B covered enttes for engaging in unlawful diversion or duplicate discountng of 340B drugs. In additon, legislaton may be introduced that, if passed, would further expand the 340B program, such as adding further covered enttes or requiring partcipatng manufacturers to agree to provide 340B discounted pricing on drugs used in an inpatent setng.</w:t>
      </w:r>
    </w:p>
    <w:p>
      <w:pPr>
        <w:spacing w:after="0" w:line="126" w:lineRule="exact"/>
        <w:rPr>
          <w:sz w:val="20"/>
          <w:szCs w:val="20"/>
          <w:color w:val="auto"/>
        </w:rPr>
      </w:pPr>
    </w:p>
    <w:p>
      <w:pPr>
        <w:ind w:firstLine="509"/>
        <w:spacing w:after="0" w:line="294" w:lineRule="auto"/>
        <w:rPr>
          <w:sz w:val="20"/>
          <w:szCs w:val="20"/>
          <w:color w:val="auto"/>
        </w:rPr>
      </w:pPr>
      <w:r>
        <w:rPr>
          <w:rFonts w:ascii="MS PGothic" w:cs="MS PGothic" w:eastAsia="MS PGothic" w:hAnsi="MS PGothic"/>
          <w:sz w:val="18"/>
          <w:szCs w:val="18"/>
          <w:color w:val="auto"/>
        </w:rPr>
        <w:t>In order to be eligible to have drug products paid for with federal funds under Medicaid and, if applicable, Medicare Part B, and purchased by certain federal agencies and grantees, a manufacturer must also partcipate in the U.S. Department of Veterans Afairs, or VA, Federal Supply Schedule, or FSS, pricing program. Under the VA/FSS program, a manufacturer must report the Non-Federal Average Manufacturer Price, or Non-FAMP, for its covered drugs to the VA and charge certain federal agencies no more than the Federal Ceiling Price, which is calculated based on Non-FAMP using a statutory formula. These federal agencies are the VA, the U.S. Department of Defense, the U.S. Coast Guard, and the U.S. Public Health Service (including the Indian Health Service). The manufacturer must also pay rebates on products purchased by military personnel and dependents through the TRICARE retail pharmacy program. If a manufacturer partcipatng in the FSS program fails to provide tmely informaton or is found to have knowingly submited false informaton, the manufacturer may be subject to civil monetary penaltes.</w:t>
      </w:r>
    </w:p>
    <w:p>
      <w:pPr>
        <w:spacing w:after="0" w:line="140" w:lineRule="exact"/>
        <w:rPr>
          <w:sz w:val="20"/>
          <w:szCs w:val="20"/>
          <w:color w:val="auto"/>
        </w:rPr>
      </w:pPr>
    </w:p>
    <w:p>
      <w:pPr>
        <w:ind w:right="40" w:firstLine="509"/>
        <w:spacing w:after="0" w:line="293" w:lineRule="auto"/>
        <w:rPr>
          <w:sz w:val="20"/>
          <w:szCs w:val="20"/>
          <w:color w:val="auto"/>
        </w:rPr>
      </w:pPr>
      <w:r>
        <w:rPr>
          <w:rFonts w:ascii="MS PGothic" w:cs="MS PGothic" w:eastAsia="MS PGothic" w:hAnsi="MS PGothic"/>
          <w:sz w:val="18"/>
          <w:szCs w:val="18"/>
          <w:color w:val="auto"/>
        </w:rPr>
        <w:t>Individual states contnue to consider and have enacted legislaton to limit the growth of healthcare costs, including the cost of prescripton drugs and combinaton products. A number of states have either implemented or are considering implementaton of drug price transparency legislaton that may prevent or limit our ability to take price increases at certain rates or frequencies. Requirements under such laws include advance notce of planned price increases, reportng price increase amounts and factors considered by manufacturers in taking such increases, wholesale acquisiton cost disclosure to prescribers, purchasers, and state agencies, and new product notce and reportng. Such legislaton could limit the price or payment for certain drugs, and a number of states are authorized to impose civil monetary penaltes or pursue other enforcement mechanisms against manufacturers who fail to comply with drug price transparency requirements, including the untmely, inaccurate, or incomplete reportng of drug pricing informaton. If we are found to have violated state law requirements, we may become subject to penaltes or other enforcement mechanisms, which could have a material adverse efect on our business.</w:t>
      </w:r>
    </w:p>
    <w:p>
      <w:pPr>
        <w:spacing w:after="0" w:line="155" w:lineRule="exact"/>
        <w:rPr>
          <w:sz w:val="20"/>
          <w:szCs w:val="20"/>
          <w:color w:val="auto"/>
        </w:rPr>
      </w:pPr>
    </w:p>
    <w:p>
      <w:pPr>
        <w:ind w:right="20" w:firstLine="509"/>
        <w:spacing w:after="0" w:line="293" w:lineRule="auto"/>
        <w:rPr>
          <w:sz w:val="20"/>
          <w:szCs w:val="20"/>
          <w:color w:val="auto"/>
        </w:rPr>
      </w:pPr>
      <w:r>
        <w:rPr>
          <w:rFonts w:ascii="MS PGothic" w:cs="MS PGothic" w:eastAsia="MS PGothic" w:hAnsi="MS PGothic"/>
          <w:sz w:val="18"/>
          <w:szCs w:val="18"/>
          <w:color w:val="auto"/>
        </w:rPr>
        <w:t>Pricing and rebate calculatons vary across products and programs, are complex, and are ofen subject to interpretaton by pharmaceutcal manufacturers, governmental or regulatory agencies, and the courts, which can change and evolve over tme. Such pricing calculatons and reportng, along with any necessary restatements and recalculatons, could increase costs for complying with the laws and regulatons governing the MDRP and other governmental programs, and under the MDRP could result in an overage or underage in Medicaid rebate liability for past quarters. Price recalculatons under the MDRP also may afect the ceiling price at which manufacturers are required to ofer products under the 340B program. Civil monetary penaltes can be applied if we are found to have knowingly submited any false price or product informaton to the government, if we fail to submit the required price data on a tmely basis, or if we are found to have charged 340B covered enttes more than the statutorily mandated ceiling price. CMS could also terminate our Medicaid drug rebate agreement, in which case federal payments may not be available under Medicaid for our covered outpatent drugs. We cannot assure you that our submissions will not be found to be incomplete or incorrect.</w:t>
      </w:r>
    </w:p>
    <w:p>
      <w:pPr>
        <w:spacing w:after="0" w:line="142" w:lineRule="exact"/>
        <w:rPr>
          <w:sz w:val="20"/>
          <w:szCs w:val="20"/>
          <w:color w:val="auto"/>
        </w:rPr>
      </w:pPr>
    </w:p>
    <w:p>
      <w:pPr>
        <w:ind w:right="360"/>
        <w:spacing w:after="0" w:line="235" w:lineRule="auto"/>
        <w:rPr>
          <w:sz w:val="20"/>
          <w:szCs w:val="20"/>
          <w:color w:val="auto"/>
        </w:rPr>
      </w:pPr>
      <w:r>
        <w:rPr>
          <w:rFonts w:ascii="Calibri" w:cs="Calibri" w:eastAsia="Calibri" w:hAnsi="Calibri"/>
          <w:sz w:val="18"/>
          <w:szCs w:val="18"/>
          <w:b w:val="1"/>
          <w:bCs w:val="1"/>
          <w:i w:val="1"/>
          <w:iCs w:val="1"/>
          <w:color w:val="auto"/>
        </w:rPr>
        <w:t>We face signifcant competton, and if our compettors develop technologies or product candidates more rapidly than we do or their technologies are more efectve, our ability to develop and successfully commercialize products may be adversely afected.</w:t>
      </w:r>
    </w:p>
    <w:p>
      <w:pPr>
        <w:spacing w:after="0" w:line="177" w:lineRule="exact"/>
        <w:rPr>
          <w:sz w:val="20"/>
          <w:szCs w:val="20"/>
          <w:color w:val="auto"/>
        </w:rPr>
      </w:pPr>
    </w:p>
    <w:p>
      <w:pPr>
        <w:ind w:right="20" w:firstLine="509"/>
        <w:spacing w:after="0" w:line="293" w:lineRule="auto"/>
        <w:rPr>
          <w:sz w:val="20"/>
          <w:szCs w:val="20"/>
          <w:color w:val="auto"/>
        </w:rPr>
      </w:pPr>
      <w:r>
        <w:rPr>
          <w:rFonts w:ascii="MS PGothic" w:cs="MS PGothic" w:eastAsia="MS PGothic" w:hAnsi="MS PGothic"/>
          <w:sz w:val="18"/>
          <w:szCs w:val="18"/>
          <w:color w:val="auto"/>
        </w:rPr>
        <w:t>The biotechnology and pharmaceutcal industries are characterized by rapidly advancing technologies, intense competton and a strong emphasis on proprietary and novel products and product candidates. Our compettors have developed, are developing or may develop products, product candidates and processes compettve with VOQUEZNA. Any product candidates that we successfully develop and commercialize will compete with existng therapies and new therapies that may become available in the future. We believe that a signifcant number of products are currently under development, and may become commercially available in the future, for the treatment of GI diseases for which we may atempt to develop vonoprazan or any future product candidates. Our compettors include larger and beter funded pharmaceutcal, biopharmaceutcal, biotechnological and therapeutcs companies. Moreover, we may also compete with universites and other research insttutons who may be actve in the indicatons we are targetng and could be in direct competton with us. We also compete with these organizatons to recruit management, scientsts and clinical development personnel, which could negatvely afect our level of expertse and our ability to execute our business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7" w:name="page58"/>
    <w:bookmarkEnd w:id="57"/>
    <w:p>
      <w:pPr>
        <w:ind w:right="120"/>
        <w:spacing w:after="0" w:line="235" w:lineRule="auto"/>
        <w:rPr>
          <w:sz w:val="20"/>
          <w:szCs w:val="20"/>
          <w:color w:val="auto"/>
        </w:rPr>
      </w:pPr>
      <w:r>
        <w:rPr>
          <w:rFonts w:ascii="Calibri" w:cs="Calibri" w:eastAsia="Calibri" w:hAnsi="Calibri"/>
          <w:sz w:val="18"/>
          <w:szCs w:val="18"/>
          <w:color w:val="auto"/>
        </w:rPr>
        <w:t>We will also face competton in establishing clinical trial sites, enrolling patents for clinical trials and in identfying and in-licensing new product candidates. Smaller or early-stage companies may also prove to be signifcant compettors, partcularly through collaboratve arrangements with large and established companies.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 xml:space="preserve">We expect that,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healing and maintenance of all grades of erosive esophagits and relief of heartburn associated with erosive esophagits and treatment of heartburn associated with Non-Erosive GERD, VOQUEZNA will primarily compete with generic PPIs marketed by multple pharmaceutcal companies in both the prescripton and OTC markets. In additon to generic PPI-based triple and quad therapies, we expect VOQUEZNA TRIPLE PAK and VOQUEZNA DUAL PAK will compete with Talicia, a co-formulated capsule comprising generic omeprazole, amoxicillin, and rifabutn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launched in March 2020 by RedHill Biopharma Ltd.</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 xml:space="preserve">We are aware of three PCABs in development in U.S. as well as additonal PCABs in territories outside the U.S. If approved in our territories, these PCABs may compete with vonoprazan. In the U.S., Daewoong is seeking a partner to advance development of fexuprazan. Outside the U.S., fexuprazan is launched in fve countries and under health authority review in nine countries or regions. In the U.S., Sebela initated three tegoprazan Phase 3 studies in Erosive GERD, Non-Erosive GERD and long-term safety–with expected completon in 2025. Outside the U.S., tegoprazan is launched in 14 countries, registered but not launched in one country and under health authority review in four countries. In the U.S., Cinclus obtained FDA agreement on their linaprazan glurate pediatric plan and plans to initate two linaprazan glurate Phase 3 studies in patents with severe Erosive GERD in 2025 and two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Phase 3 dual therapy (with amoxicillin) studies in 2026. Outside the U.S., Cinclus, via their local partner, received a 2024 approval in GERD for linaprazan glurate in China--facilitatng a potental launch in 2025. No other registraton actvites are noted for linaprazan glurate. In Europe, Cinclus agreed to a pediatric investgaton plan with the European Medicines Agency and received regulatory advice on Phase 2 and Phase 3 study designs. Lastly, there are two additonal PCABs with registratons outside the U.S.—Jiangsu Carephar’s keverprazan which launched in China and Jeil’s zastaprazan which launched in South Korea. To the best of our knowledge, none of the above compounds have demonstrated superiority to PPIs in a Phase 3 clinical trial.</w:t>
      </w:r>
    </w:p>
    <w:p>
      <w:pPr>
        <w:spacing w:after="0" w:line="198"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Additonally, we are aware of two PPIs in territories outside of the U.S. that if developed and approved in our licensed territories may compete with vonoprazan. These include Dexa Medica’s DLBS-2411, launched in the Philippines and in Phase 3 in Indonesia and Sihuan Pharmaceutcal’s anaprazole, launched in China.</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July 2012, the Food and Drug Administraton Safety and Innovaton Act was passed, which included the Generatng Antbiotc Incentves Now Act, or GAIN Act. The GAIN Act is intended to provide incentves for the development of new, qualifed infectous disease products. In December 2016, the 21st Century Cures Act was passed, providing additonal support for the development of new infectous disease products. These incentves may result in more competton in the market for new antbiotcs and may cause pharmaceutcal and biotechnology companies with more resources than we have to shif their eforts towards the development of product candidates that could be compettve with vonoprazan or any future product candidates.</w:t>
      </w:r>
    </w:p>
    <w:p>
      <w:pPr>
        <w:spacing w:after="0" w:line="18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Many of our compettors have signifcantly greater fnancial, technical, manufacturing, marketng, sales and supply resources or experience than we do. We will face competton for our current products and any future product candidates based on many diferent factors, including the safety and efectveness of our products, the ease with which our products can be administered and the extent to which patents accept relatvely new routes of administraton, the scope of regulatory approvals for these products, the availability and cost of manufacturing, marketng and sales capabilites, price, reimbursement coverage and patent positon. Competng products could present superior treatment alternatves, including by being more efectve, safer, more convenient, less expensive or marketed and sold more efectvely than any products we may develop. Compettve products may make any products we develop obsolete or noncompettve before we recover the expense of developing and commercializing our current products or any future product candidates. If we are unable to compete efectvely, our opportunity to generate revenue from the sale of our products we may develop, if approved, could be adversely afected.</w:t>
      </w:r>
    </w:p>
    <w:p>
      <w:pPr>
        <w:spacing w:after="0" w:line="19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If the market opportunites for VOQUEZNA, VOQUEZNA TRIPLE PAK, VOQUEZNA DUAL PAK, or any future product candidates are smaller than we believe they are, our revenue may be adversely afected, and our business may sufer.</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precise incidence and prevalence for all the conditons we aim to address with our current products or any future product candidates are unknown. Our projectons of both the number of people who have these diseases, as well as the subset of people with these diseases who have the potental to beneft from treatment of our current products or any future product candidates, are based on our beliefs and estmates. These estmates have been derived from a variety of sources, including the scientfc literature, surveys of clinics or market research, and may prove to be incorrect. Further, new trials may change the estmated incidence or prevalence of these diseases. The total addressable market across indicatons for our current products and any future product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8" w:name="page59"/>
    <w:bookmarkEnd w:id="58"/>
    <w:p>
      <w:pPr>
        <w:ind w:right="140"/>
        <w:spacing w:after="0" w:line="235" w:lineRule="auto"/>
        <w:rPr>
          <w:sz w:val="20"/>
          <w:szCs w:val="20"/>
          <w:color w:val="auto"/>
        </w:rPr>
      </w:pPr>
      <w:r>
        <w:rPr>
          <w:rFonts w:ascii="Calibri" w:cs="Calibri" w:eastAsia="Calibri" w:hAnsi="Calibri"/>
          <w:sz w:val="18"/>
          <w:szCs w:val="18"/>
          <w:color w:val="auto"/>
        </w:rPr>
        <w:t>candidates will ultmately depend upon, among other things, the diagnosis criteria included in the fnal label for each of product and any future product candidates approved for sale for these indicatons, the availability of alternatve treatments and the safety, convenience, cost and efcacy of our current products and any future product candidates relatve to such alternatve treatments, acceptance by the medical community and patent access, drug pricing and reimbursement. The number of patents in the United States and other major markets and elsewhere may turn out to be lower than expected, patents may not be otherwise amenable to treatment with our products or new patents may become increasingly difcult to identfy or gain access to, all of which would adversely afect our results of operatons and our business.</w:t>
      </w:r>
    </w:p>
    <w:p>
      <w:pPr>
        <w:spacing w:after="0" w:line="181" w:lineRule="exact"/>
        <w:rPr>
          <w:sz w:val="20"/>
          <w:szCs w:val="20"/>
          <w:color w:val="auto"/>
        </w:rPr>
      </w:pPr>
    </w:p>
    <w:p>
      <w:pPr>
        <w:jc w:val="both"/>
        <w:ind w:right="380"/>
        <w:spacing w:after="0" w:line="235" w:lineRule="auto"/>
        <w:rPr>
          <w:sz w:val="20"/>
          <w:szCs w:val="20"/>
          <w:color w:val="auto"/>
        </w:rPr>
      </w:pPr>
      <w:r>
        <w:rPr>
          <w:rFonts w:ascii="Calibri" w:cs="Calibri" w:eastAsia="Calibri" w:hAnsi="Calibri"/>
          <w:sz w:val="18"/>
          <w:szCs w:val="18"/>
          <w:b w:val="1"/>
          <w:bCs w:val="1"/>
          <w:i w:val="1"/>
          <w:iCs w:val="1"/>
          <w:color w:val="auto"/>
        </w:rPr>
        <w:t>We have only recently built out our marketng, sales and distributon infrastructure. If our eforts in developing and maintaining sales, marketng and distributon capabilites are unsuccessful, or if we fail to achieve adequate pricing or reimbursement, we will not be successful in commercializing our current products or any future product candidates.</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have only recently expanded our marketng, sales and distributon capabilites in advance of the launch of VOQUEZNA, VOQUEZNA TRIPLE PAK and VOQUEZNA DUAL PAK. This expansion greatly increased our expenses and was very tme consuming for management. We currently market, sell and distribute VOQUEZNA, VOQUEZNA TRIPLE PAK and VOQUEZNA DUAL PAK through our own sales and marketng organizaton. Our current sales force may not be sufcient in size and may not have adequate expertse in the medical markets we intend to target. Any defciency in our sales, marketng and distributon capabilites or delay in the future development of such capabilites would adversely impact the commercializaton of our products. To the extent that in the future we enter into any collaboraton agreements with respect to marketng, sales or distributon for our current products and any future product candidates our product revenue may be lower than if we directly marketed or sold any approved products. In additon, we plan on entering into collaboraton agreements with respect to marketng, sales and distributon of our products in Europe and Canada. Any revenue we receive in these markets will depend in whole or in part upon the eforts of these third-party collaborators, which may not be successful and are generally not within our control.</w:t>
      </w:r>
    </w:p>
    <w:p>
      <w:pPr>
        <w:spacing w:after="0" w:line="188" w:lineRule="exact"/>
        <w:rPr>
          <w:sz w:val="20"/>
          <w:szCs w:val="20"/>
          <w:color w:val="auto"/>
        </w:rPr>
      </w:pPr>
    </w:p>
    <w:p>
      <w:pPr>
        <w:ind w:right="40" w:firstLine="549"/>
        <w:spacing w:after="0" w:line="235" w:lineRule="auto"/>
        <w:rPr>
          <w:sz w:val="20"/>
          <w:szCs w:val="20"/>
          <w:color w:val="auto"/>
        </w:rPr>
      </w:pPr>
      <w:r>
        <w:rPr>
          <w:rFonts w:ascii="Calibri" w:cs="Calibri" w:eastAsia="Calibri" w:hAnsi="Calibri"/>
          <w:sz w:val="18"/>
          <w:szCs w:val="18"/>
          <w:color w:val="auto"/>
        </w:rPr>
        <w:t>If we are unable to enter into these arrangements on acceptable terms or at all, we may not be able to successfully commercialize any approved products. If we are not successful in commercializing any approved products, either on our own or through collaboratons with one or more third partes, our future product revenue will sufer, and we may incur signifcant additonal losses.</w:t>
      </w:r>
    </w:p>
    <w:p>
      <w:pPr>
        <w:spacing w:after="0" w:line="178" w:lineRule="exact"/>
        <w:rPr>
          <w:sz w:val="20"/>
          <w:szCs w:val="20"/>
          <w:color w:val="auto"/>
        </w:rPr>
      </w:pPr>
    </w:p>
    <w:p>
      <w:pPr>
        <w:ind w:right="520"/>
        <w:spacing w:after="0" w:line="235" w:lineRule="auto"/>
        <w:rPr>
          <w:sz w:val="20"/>
          <w:szCs w:val="20"/>
          <w:color w:val="auto"/>
        </w:rPr>
      </w:pPr>
      <w:r>
        <w:rPr>
          <w:rFonts w:ascii="Calibri" w:cs="Calibri" w:eastAsia="Calibri" w:hAnsi="Calibri"/>
          <w:sz w:val="18"/>
          <w:szCs w:val="18"/>
          <w:b w:val="1"/>
          <w:bCs w:val="1"/>
          <w:i w:val="1"/>
          <w:iCs w:val="1"/>
          <w:color w:val="auto"/>
        </w:rPr>
        <w:t>Our future growth may depend, in part, on our ability to operate in foreign markets, partcularly Europe and Canada, where we would be subject to additonal regulatory burdens and other risks and uncertaintes.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future growth may depend, in part, on our ability to develop and commercialize our current products and any future product candidates in foreign markets, partcularly Europe and Canada. We are not permited to market or promote vonoprazan and any future product candidates before we receive regulatory approval from applicable regulatory authorites in foreign markets, and we may never receive such regulatory approvals for vonoprazan or any future product candidates. To obtain separate regulatory approval in any other countries we must comply with numerous and varying regulatory requirements regarding safety and efcacy and governing, among other things, clinical trials, commercial sales, pricing and distributon of vonoprazan and any future product candidates. If we obtain regulatory approval of our current products and any future product candidates and ultmately commercialize our products in foreign markets, we would be subject to additonal risks and uncertaintes, including:</w:t>
      </w:r>
    </w:p>
    <w:p>
      <w:pPr>
        <w:spacing w:after="0" w:line="123"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diferent regulatory requirements for approval of drugs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reduced protecton for intellectual property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existence of additonal third-party patent rights of potental relevance to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unexpected changes in tarifs, trade barriers and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economic weakness, including infaton, public health emergencies or politcal instability in partcular foreign economies and markets;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tax, employment, immigraton and labor laws for employees living or traveling internatonally;</w:t>
      </w:r>
    </w:p>
    <w:p>
      <w:pPr>
        <w:spacing w:after="0" w:line="122" w:lineRule="exact"/>
        <w:rPr>
          <w:rFonts w:ascii="Times New Roman" w:cs="Times New Roman" w:eastAsia="Times New Roman" w:hAnsi="Times New Roman"/>
          <w:sz w:val="18"/>
          <w:szCs w:val="18"/>
          <w:color w:val="auto"/>
        </w:rPr>
      </w:pPr>
    </w:p>
    <w:p>
      <w:pPr>
        <w:ind w:left="1020" w:right="400" w:hanging="503"/>
        <w:spacing w:after="0" w:line="235" w:lineRule="auto"/>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currency fuctuatons, which could result in increased operatng expenses and reduced revenues, and other obligatons incident to doing business in another country;</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reimbursement, pricing and insurance regimes;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workforce uncertainty in countries where labor unrest is common;</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59" w:name="page60"/>
    <w:bookmarkEnd w:id="59"/>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producton shortages resultng from any events afectng raw material supply or manufacturing capabilites internatonally; and</w:t>
      </w:r>
    </w:p>
    <w:p>
      <w:pPr>
        <w:spacing w:after="0" w:line="122"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25"/>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business interruptons resultng from geopolitcal actons, including war and terrorism, or natural disasters including earthquakes, typhoons, foods and fres.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the Development and Regulatory Approval of Product Candidates</w:t>
      </w:r>
    </w:p>
    <w:p>
      <w:pPr>
        <w:spacing w:after="0" w:line="217"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We depend entrely on the success of VOQUEZNA and other products containing vonoprazan. If we do not successfully commercialize VOQUEZNA in its approved indicatons, or we experience signifcant delays in doing so, we may never become proftable.</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expect that a substantal porton of our eforts and expenses over the next few years will be devoted to the commercializaton of vonoprazan and the development and regulatory approval of vonoprazan for additonal indicatons. We cannot be certain that we will be able to submit or obtain approval for any additonal NDA or NDA supplement, or sNDA, for vonoprazan within the tmeframes we expect, that any NDAs or sNDAs we submit will be accepted by the FDA for fling in a tmely manner or at all, or that any of our product candidates will receive regulatory approval or will be successfully commercialized even if they receive regulatory approval.</w:t>
      </w:r>
    </w:p>
    <w:p>
      <w:pPr>
        <w:spacing w:after="0" w:line="180" w:lineRule="exact"/>
        <w:rPr>
          <w:sz w:val="20"/>
          <w:szCs w:val="20"/>
          <w:color w:val="auto"/>
        </w:rPr>
      </w:pPr>
    </w:p>
    <w:p>
      <w:pPr>
        <w:ind w:firstLine="549"/>
        <w:spacing w:after="0" w:line="235" w:lineRule="auto"/>
        <w:rPr>
          <w:sz w:val="20"/>
          <w:szCs w:val="20"/>
          <w:color w:val="auto"/>
        </w:rPr>
      </w:pPr>
      <w:r>
        <w:rPr>
          <w:rFonts w:ascii="Calibri" w:cs="Calibri" w:eastAsia="Calibri" w:hAnsi="Calibri"/>
          <w:sz w:val="18"/>
          <w:szCs w:val="18"/>
          <w:color w:val="auto"/>
        </w:rPr>
        <w:t>The testng, manufacturing, safety, efcacy, labeling, approval, sale, marketng and distributon of our product candidates are, and will remain, subject to comprehensive regulaton by the FDA and similar foreign regulatory authorites. Before obtaining regulatory approvals for the commercial sale of any product candidate, we must demonstrate through preclinical studies and clinical trials that the product candidate is safe and efectve for use in each target indicaton. Drug development is a long, expensive and uncertain process, and delay or failure can occur at any stage of any of our clinical trials. Failure to obtain regulatory approval for additonal indicatons for vonoprazan or future product candidates in the United States will prevent us from commercializing and marketng vonoprazan for these indicatons or our product candidates. The success of vonoprazan for future indicatons and our product candidates will depend on several additonal factors, including:</w:t>
      </w:r>
    </w:p>
    <w:p>
      <w:pPr>
        <w:spacing w:after="0" w:line="204" w:lineRule="exact"/>
        <w:rPr>
          <w:sz w:val="20"/>
          <w:szCs w:val="20"/>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completng clinical trials that demonstrate their efcacy and safety;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receiving marketng approvals from applicable regulatory authorites;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completng any post-marketng studies required by applicable regulatory authorites;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adequate commercial manufacturing capabilites;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maintaining successful commercial sales, marketng and distributon operatons;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prevalence and severity of adverse events experienced with vonoprazan and our future product candidates;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acceptance of VOQUEZNA and our future product candidates by patents, the medical community and third-party payers;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contnued acceptable safety profle following approval;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obtaining and maintaining healthcare coverage and adequate reimbursement for VOQUEZNA and our future product candidates;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competng efectvely with other therapies, including with respect to the sales and marketng of our product candidates, if approved;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6"/>
        </w:numPr>
        <w:rPr>
          <w:rFonts w:ascii="Times New Roman" w:cs="Times New Roman" w:eastAsia="Times New Roman" w:hAnsi="Times New Roman"/>
          <w:sz w:val="18"/>
          <w:szCs w:val="18"/>
          <w:color w:val="auto"/>
        </w:rPr>
      </w:pPr>
      <w:r>
        <w:rPr>
          <w:rFonts w:ascii="Calibri" w:cs="Calibri" w:eastAsia="Calibri" w:hAnsi="Calibri"/>
          <w:sz w:val="18"/>
          <w:szCs w:val="18"/>
          <w:color w:val="auto"/>
        </w:rPr>
        <w:t>qualifying for, maintaining, enforcing and defending our intellectual property rights and claims.</w:t>
      </w:r>
    </w:p>
    <w:p>
      <w:pPr>
        <w:spacing w:after="0" w:line="177" w:lineRule="exact"/>
        <w:rPr>
          <w:sz w:val="20"/>
          <w:szCs w:val="20"/>
          <w:color w:val="auto"/>
        </w:rPr>
      </w:pPr>
    </w:p>
    <w:p>
      <w:pPr>
        <w:ind w:firstLine="549"/>
        <w:spacing w:after="0" w:line="235" w:lineRule="auto"/>
        <w:rPr>
          <w:sz w:val="20"/>
          <w:szCs w:val="20"/>
          <w:color w:val="auto"/>
        </w:rPr>
      </w:pPr>
      <w:r>
        <w:rPr>
          <w:rFonts w:ascii="Calibri" w:cs="Calibri" w:eastAsia="Calibri" w:hAnsi="Calibri"/>
          <w:sz w:val="18"/>
          <w:szCs w:val="18"/>
          <w:color w:val="auto"/>
        </w:rPr>
        <w:t>Many of these factors are beyond our control, including the tme needed to adequately complete clinical testng, the regulatory submission process, potental threats to our intellectual property rights and changes in the compettve landscape. It is possible that no new indicatons for vonoprazan and no future product candidates will ever obtain regulatory approval even if we expend substantal tme and resources seeking such approval. If we do not achieve one or more of these factors in a tmely manner or at all, we could experience signifcant delays or an inability to successfully complete clinical trials, obtain regulatory approval or, if</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73" w:right="419" w:bottom="1440" w:gutter="0" w:footer="0" w:header="0"/>
        </w:sectPr>
      </w:pPr>
    </w:p>
    <w:bookmarkStart w:id="60" w:name="page61"/>
    <w:bookmarkEnd w:id="60"/>
    <w:p>
      <w:pPr>
        <w:ind w:right="140"/>
        <w:spacing w:after="0" w:line="235" w:lineRule="auto"/>
        <w:rPr>
          <w:sz w:val="20"/>
          <w:szCs w:val="20"/>
          <w:color w:val="auto"/>
        </w:rPr>
      </w:pPr>
      <w:r>
        <w:rPr>
          <w:rFonts w:ascii="Calibri" w:cs="Calibri" w:eastAsia="Calibri" w:hAnsi="Calibri"/>
          <w:sz w:val="18"/>
          <w:szCs w:val="18"/>
          <w:color w:val="auto"/>
        </w:rPr>
        <w:t>approved, commercialize additonal vonoprazan indicatons or any other product candidates, which would materially harm our business, fnancial conditon and results of operatons.</w:t>
      </w:r>
    </w:p>
    <w:p>
      <w:pPr>
        <w:spacing w:after="0" w:line="177"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Clinical drug development involves a lengthy and expensive process with an uncertain outcome, and the results of preclinical studies and early clinical trials are not necessarily predictve of future results.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Clinical drug development is expensive and can take many years to complete, and its outcome is inherently uncertain. Even if we believe the results of our clinical trials are positve, obtaining regulatory approval may not occur on a tmely basis, if at all. The results from clinical trials or preclinical studies of a product candidate may not predict the results of later clinical trials of the product candidate, and interim results of a clinical trial are not necessarily indicatve of fnal results. Product candidates in later stages of clinical trials may fail to show the desired safety and efcacy characteristcs despite having progressed through preclinical studies and inital clinical trials. A number of companies in the pharmaceutcal and biotechnology industries have sufered signifcant setbacks in clinical development even afer the product candidate achieved promising results in earlier clinical trials. The results of our trials may not be comparable to those achieved previously, whether as a result of diferences in trial design, patent populaton or otherwise.</w:t>
      </w:r>
    </w:p>
    <w:p>
      <w:pPr>
        <w:spacing w:after="0" w:line="195"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 xml:space="preserve">For example, in our Phase 3 clinical trial for the treatment of </w:t>
      </w:r>
      <w:r>
        <w:rPr>
          <w:rFonts w:ascii="Calibri" w:cs="Calibri" w:eastAsia="Calibri" w:hAnsi="Calibri"/>
          <w:sz w:val="18"/>
          <w:szCs w:val="18"/>
          <w:i w:val="1"/>
          <w:iCs w:val="1"/>
          <w:color w:val="auto"/>
        </w:rPr>
        <w:t>H. pylor</w:t>
      </w:r>
      <w:r>
        <w:rPr>
          <w:rFonts w:ascii="Calibri" w:cs="Calibri" w:eastAsia="Calibri" w:hAnsi="Calibri"/>
          <w:sz w:val="18"/>
          <w:szCs w:val="18"/>
          <w:color w:val="auto"/>
        </w:rPr>
        <w:t>i infecton, the vonoprazan dual therapy arm was not double-blinded because patents in this arm were administered amoxicillin three tmes daily, versus twice daily for the triple therapy regimens. Both triple therapy regimens were double-blinded. The inability to double-blind the dual therapy arm may impact how regulatory agencies or healthcare payers interpret such results. For example, the EMA has noted that it expects additonal analyses of treatment compliance and drop-out rates in the dual therapy arm because it will not be double-blinded.</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Further, in July 2019, we received scientfc advice from the EMA on our Phase 3 clinical trial of vonoprazan in the healing and maintenance of healing of Erosive GERD. For the healing phase of the study, the EMA recommended that we include an endoscopy to assess healing at Week 4 in additon to the planned endoscopies at Week 2 and Week 8 because the summary of product characteristcs for lansoprazole suggests four weeks of treatment to assess healing in Erosive GERD. We decided not to incorporate this change into the study design given the additonal burden on study subjects to return for a third endoscopy in an eight-week period. This decision may impact the future summary of product characteristcs for vonoprazan or may cause the EMA to require us to conduct additonal clinical trials for vonoprazan to support marketng approval.</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Takeda, a third party over which we have no control, has the right to develop and commercialize vonoprazan outside of the United States, Europe, and Canada. Takeda has marketng approval for vonoprazan in certain countries in Asia and Latn America, and Takeda has ongoing clinical trials of vonoprazan in certain indicatons that we are also pursuing. If such ongoing trials fail to meet their primary endpoints, have serious adverse events or encounter other problems, the development potental of vonoprazan could be materially and adversely afected. In additon, if serious adverse events or other problems occur with patents using vonoprazan marketed outside of our licensed territories, or if the results of ongoing or future clinical trials of vonoprazan conducted by Takeda or others generate negatve results or results that confict with the results of our clinical trials, the FDA or other regulatory authorites may delay, limit, or deny approval of vonoprazan for additonal indicatons, require us to conduct additonal clinical trials as a conditon to marketng approval, withdraw their approval of our products containing vonoprazan or otherwise restrict our ability to market and sell our products containing vonoprazan, if approved. In additon, treatng physicians may be less willing to prescribe vonoprazan due to concerns over such trial results or adverse events, which would limit our ability to commercialize our vonoprazan products.</w:t>
      </w:r>
    </w:p>
    <w:p>
      <w:pPr>
        <w:spacing w:after="0" w:line="197" w:lineRule="exact"/>
        <w:rPr>
          <w:sz w:val="20"/>
          <w:szCs w:val="20"/>
          <w:color w:val="auto"/>
        </w:rPr>
      </w:pPr>
    </w:p>
    <w:p>
      <w:pPr>
        <w:ind w:right="40" w:firstLine="509"/>
        <w:spacing w:after="0" w:line="250" w:lineRule="auto"/>
        <w:rPr>
          <w:sz w:val="20"/>
          <w:szCs w:val="20"/>
          <w:color w:val="auto"/>
        </w:rPr>
      </w:pPr>
      <w:r>
        <w:rPr>
          <w:rFonts w:ascii="Calibri" w:cs="Calibri" w:eastAsia="Calibri" w:hAnsi="Calibri"/>
          <w:sz w:val="17"/>
          <w:szCs w:val="17"/>
          <w:color w:val="auto"/>
        </w:rPr>
        <w:t>In additon, the FDA’s and other regulatory authorites’ policies with respect to clinical trials may change and additonal government regulatons may be enacted. For instance, the regulatory landscape related to clinical trials in the EU recently evolved. The EU Clinical Trials Regulaton, or CTR, which was adopted in April 2014 and repeals the EU Clinical Trials Directve, became applicable on January 31, 2022. While the EU Clinical Trials Directve required a separate clinical trial applicaton, or CTA, to be submited in each member state in which the clinical trial takes place, to both the competent natonal health authority and an independent ethics commitee, the CTR introduces a centralized process and only requires the submission of a single applicaton for mult-center trials. The CTR allows sponsors to make a single submission to both the competent authority and an ethics commitee in each member state, leading to a single decision per member state. The assessment procedure of the CTA has been harmonized as well, including a joint assessment by all member states concerned, and a separate assessment by each member state with respect to specifc requirements related to its own territory, including ethics rules. Each member state’s decision is communicated to the sponsor via the centralized EU portal. Once the CTA is approved, clinical study development may proceed. The CTR foresees a three-year transiton period. The extent to which ongoing and new clinical trials will be governed by the CTR varies. Clinical trials for which an applicaton was submited (i) prior to January 31, 2022 under the EU Clinical Trials Directve, or (ii) between January 31, 2022 and</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61" w:name="page62"/>
    <w:bookmarkEnd w:id="61"/>
    <w:p>
      <w:pPr>
        <w:ind w:right="240"/>
        <w:spacing w:after="0" w:line="235" w:lineRule="auto"/>
        <w:rPr>
          <w:sz w:val="20"/>
          <w:szCs w:val="20"/>
          <w:color w:val="auto"/>
        </w:rPr>
      </w:pPr>
      <w:r>
        <w:rPr>
          <w:rFonts w:ascii="Calibri" w:cs="Calibri" w:eastAsia="Calibri" w:hAnsi="Calibri"/>
          <w:sz w:val="18"/>
          <w:szCs w:val="18"/>
          <w:color w:val="auto"/>
        </w:rPr>
        <w:t>January 31, 2023 and for which the sponsor has opted for the applicaton of the EU Clinical Trials Directve remain governed by said Directve untl January 31, 2025. Afer this date, all clinical trials (including those which are ongoing) will become subject to the provisions of the CTR. Compliance with the CTR requirements by us and our third-party service providers, such as CROs, may impact our developments plans.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It is currently unclear to what extent the United Kingdom, or UK, will seek to align its regulatons with the EU. The UK regulatory framework in relaton to clinical trials is derived from existng EU legislaton (as implemented into UK law, through secondary legislaton). A decision by the UK not to closely align its regulatons with the new approach that has been adopted in the EU may have an efect on the cost of conductng clinical trials in the UK as opposed to other countries.</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the foregoing reasons, our ongoing and future clinical trials and our eforts to obtain additonal regulatory approvals for vonoprazan may not be successful. Further, any safety concerns observed in any one of our ongoing or future clinical trials for the targeted indicatons could limit the prospects for additonal regulatory approvals of vonoprazan or any future product candidates in those and other indicatons, which could have a material adverse efect on our business, fnancial conditon and results of operatons.</w:t>
      </w:r>
    </w:p>
    <w:p>
      <w:pPr>
        <w:spacing w:after="0" w:line="192" w:lineRule="exact"/>
        <w:rPr>
          <w:sz w:val="20"/>
          <w:szCs w:val="20"/>
          <w:color w:val="auto"/>
        </w:rPr>
      </w:pPr>
    </w:p>
    <w:p>
      <w:pPr>
        <w:ind w:right="700"/>
        <w:spacing w:after="0" w:line="235" w:lineRule="auto"/>
        <w:rPr>
          <w:sz w:val="20"/>
          <w:szCs w:val="20"/>
          <w:color w:val="auto"/>
        </w:rPr>
      </w:pPr>
      <w:r>
        <w:rPr>
          <w:rFonts w:ascii="Calibri" w:cs="Calibri" w:eastAsia="Calibri" w:hAnsi="Calibri"/>
          <w:sz w:val="18"/>
          <w:szCs w:val="18"/>
          <w:b w:val="1"/>
          <w:bCs w:val="1"/>
          <w:i w:val="1"/>
          <w:iCs w:val="1"/>
          <w:color w:val="auto"/>
        </w:rPr>
        <w:t>Any difcultes or delays in the commencement or completon, or terminaton or suspension, of our ongoing or future clinical trials could result in increased costs to us, delay or limit our ability to generate revenue and adversely afect our commercial prospects.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Before obtaining marketng approvals from regulatory authorites for the sale of vonoprazan for additonal indicatons or approval of any future product candidates, we must conduct extensive clinical trials to demonstrate the safety and efcacy of vonoprazan in such new indicaton or of any future product candidates in humans. We do not know whether any ongoing studies will be completed on schedule, if at all, or if any future clinical trials will begin on tme. The commencement and completon of clinical trials can be delayed for a number of reasons, including delays related to:</w:t>
      </w:r>
    </w:p>
    <w:p>
      <w:pPr>
        <w:spacing w:after="0" w:line="125" w:lineRule="exact"/>
        <w:rPr>
          <w:sz w:val="20"/>
          <w:szCs w:val="20"/>
          <w:color w:val="auto"/>
        </w:rPr>
      </w:pPr>
    </w:p>
    <w:p>
      <w:pPr>
        <w:ind w:left="1020" w:right="22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FDA, EMA or comparable foreign regulatory authorites disagreeing as to the design or implementaton of our clinical trials and reaching consensus among the FDA and EMA over the design of the same clinical trial;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failure or delay in obtaining regulatory authorizatons to commence a trial;</w:t>
      </w:r>
    </w:p>
    <w:p>
      <w:pPr>
        <w:spacing w:after="0" w:line="122"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failure or delay in reaching an agreement with contract research organizatons, or CROs, and clinical trial sites, the terms of which can be subject to extensive negotaton and may vary signifcantly among diferent CROs and trial sites;</w:t>
      </w:r>
    </w:p>
    <w:p>
      <w:pPr>
        <w:spacing w:after="0" w:line="123"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insttutonal review boards, or IRBs, or other reviewing bodies refusing to approve, suspending or terminatng the trial at an investgatonal site, precluding enrollment of additonal subjects, or withdrawing their approval of the trial;</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to clinical trial protocols;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clinical sites deviatng from trial protocols or dropping out of a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manufacturing or obtaining sufcient quanttes of vonoprazan and any future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inability to obtain and deliver sufcient quanttes of vonoprazan and any future product candidates to clinical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failing to enroll or remain in our trials at the rate we expect, or failing to return for post- treatment follow-up;</w:t>
      </w:r>
    </w:p>
    <w:p>
      <w:pPr>
        <w:spacing w:after="0" w:line="122"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choosing an alternatve treatment for the indicaton for which we are developing vonoprazan and any future product candidates, or partcipatng in competng clinical trials;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lack of adequate funding to contnue the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subjects experiencing severe or unexpected drug-related adverse efects;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occurrence of serious adverse events in trials of the same class of agents conducted by other companies;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selecton of clinical endpoints that require prolonged periods of clinical observaton or analysis of the resultng data;</w:t>
      </w:r>
    </w:p>
    <w:p>
      <w:pPr>
        <w:spacing w:after="0" w:line="122" w:lineRule="exact"/>
        <w:rPr>
          <w:rFonts w:ascii="Times New Roman" w:cs="Times New Roman" w:eastAsia="Times New Roman" w:hAnsi="Times New Roman"/>
          <w:sz w:val="18"/>
          <w:szCs w:val="18"/>
          <w:color w:val="auto"/>
        </w:rPr>
      </w:pPr>
    </w:p>
    <w:p>
      <w:pPr>
        <w:ind w:left="1020" w:right="20" w:hanging="503"/>
        <w:spacing w:after="0" w:line="235" w:lineRule="auto"/>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facility manufacturing vonoprazan or any future product candidates or any of their components being ordered by the FDA or comparable foreign regulatory authorites to temporarily or permanently shut down due to violatons of current good manufacturing, or cGMP, regulatons or other applicable requirements, or infectons or cross-contaminatons of product candidates in the manufacturing process;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changes to our manufacturing process that may be necessary or desired;</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62" w:name="page63"/>
    <w:bookmarkEnd w:id="62"/>
    <w:p>
      <w:pPr>
        <w:ind w:left="1020" w:right="18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clinical investgators losing the licenses or permits necessary to perform our clinical trials, not performing our clinical trials on our antcipated schedule or consistent with the clinical trial protocol, good clinical practces, or GCP, or other regulatory requirements;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contractors not performing data collecton or analysis in a tmely or accurate manner; or</w:t>
      </w:r>
    </w:p>
    <w:p>
      <w:pPr>
        <w:spacing w:after="0" w:line="122" w:lineRule="exact"/>
        <w:rPr>
          <w:rFonts w:ascii="Times New Roman" w:cs="Times New Roman" w:eastAsia="Times New Roman" w:hAnsi="Times New Roman"/>
          <w:sz w:val="18"/>
          <w:szCs w:val="18"/>
          <w:color w:val="auto"/>
        </w:rPr>
      </w:pPr>
    </w:p>
    <w:p>
      <w:pPr>
        <w:jc w:val="both"/>
        <w:ind w:left="1020" w:right="40" w:hanging="503"/>
        <w:spacing w:after="0" w:line="235" w:lineRule="auto"/>
        <w:tabs>
          <w:tab w:leader="none" w:pos="102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third-party contractors becoming debarred or suspended or otherwise penalized by the FDA or other government or regulatory authorites for violatons of regulatory requirements, in which case we may need to fnd a substtute contractor, and we may not be able to use some or all of the data produced by such contractors in support of our marketng applicatons.</w:t>
      </w:r>
    </w:p>
    <w:p>
      <w:pPr>
        <w:spacing w:after="0" w:line="192"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could also encounter delays if a clinical trial is suspended or terminated by us, by the IRBs of the insttutons in which such trials are being conducted or by the FDA or comparable foreign regulatory authorites. The FDA or comparable foreign regulatory authorites may impose a suspension or terminaton due to a number of factors, including failure to conduct the clinical trial in accordance with regulatory requirements or our clinical protocols, inspecton of the clinical trial operatons or trial site by the FDA or comparable foreign regulatory authorites, unforeseen safety issues or adverse side efects, failure to demonstrate a beneft from using a drug, changes in governmental regulatons or administratve actons or lack of adequate funding to contnue the clinical trial. In additon, changes in regulatory requirements and policies may occur, and we may need to amend clinical trial protocols to comply with these changes. Amendments may require us to resubmit our clinical trial protocols to IRBs for reexaminaton, which may impact the costs, tming, or successful completon of a clinical trial.</w:t>
      </w:r>
    </w:p>
    <w:p>
      <w:pPr>
        <w:spacing w:after="0" w:line="1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Further, conductng clinical trials in foreign countries, as we have done for vonoprazan and may do for any future product candidates, presents additonal risks that may delay completon of our clinical trials. These risks include the failure of enrolled patents in foreign countries to adhere to clinical protocol as a result of diferences in healthcare services or cultural customs, managing additonal administratve burdens associated with foreign regulatory schemes, as well as politcal and economic risks relevant to such foreign countries.</w:t>
      </w:r>
    </w:p>
    <w:p>
      <w:pPr>
        <w:spacing w:after="0" w:line="17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If we experience delays in the completon of, or terminaton of, any clinical trial of vonoprazan or any future product candidates, the commercial prospects of vonoprazan and any future product candidates will be harmed, and our ability to generate product revenues from any of these product candidates will be delayed. Moreover, any delays in completng our clinical trials will increase our costs, slow down our product candidate development and approval process and jeopardize our ability to commence product sales and generate revenues.</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additon, many of the factors that cause, or lead to, terminaton or suspension of, or a delay in the commencement or completon of, clinical trials may also ultmately lead to the denial of regulatory approval of a product candidate. We may make formulaton or manufacturing changes to vonoprazan or any future product candidates, in which case we may need to conduct additonal preclinical studies to bridge our modifed product candidates to earlier versions. Any delays to our clinical trials that occur as a result could shorten any period during which we may have the exclusive right to commercialize vonoprazan or any future product candidates and our compettors may be able to bring products to market before we do, and the commercial viability of vonoprazan and any future product candidates could be signifcantly reduced. Any of these occurrences may harm our business, fnancial conditon, and prospects signifcantly.</w:t>
      </w:r>
    </w:p>
    <w:p>
      <w:pPr>
        <w:spacing w:after="0" w:line="181"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We may fnd it difcult to enroll patents in our clinical trials. If we encounter difcultes enrolling patents in our clinical trials, our clinical development actvites could be delayed or otherwise adversely afected.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may not be able to initate or contnue clinical trials for vonoprazan or any future product candidates if we are unable to identfy and enroll a sufcient number of eligible patents to partcipate in these trials as required by the FDA or similar regulatory authorites outside the United States. Subject enrollment, a signifcant factor in the tming of clinical trials, is afected by many factors including the size and nature of the patent populaton, the proximity of patents to clinical sites, the eligibility and exclusion criteria for the trial, the design of the clinical trial, the risk that enrolled patents will not complete a clinical trial, our ability to recruit clinical trial investgators with the appropriate competencies and experience, competng clinical trials and clinicians’ and patents’ perceptons as to the potental advantages and risks of the product candidate being studied in relaton to other available therapies, including any new drugs that may be approved for the indicatons we are investgatng as well as any drugs under development. We will be required to identfy and enroll a sufcient number of patents for each of our clinical trials. Potental patents for any planned clinical trials may not be adequately diagnosed or identfed with the diseases which we are targetng or may not meet the entry criteria for such trials. We also may encounter difcultes in identfying and enrolling patents with a stage of disease appropriate for our clinical trials and monitoring such patents adequately during and afer treatment. We may not be able to initate or contnue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8" w:right="359" w:bottom="1440" w:gutter="0" w:footer="0" w:header="0"/>
        </w:sectPr>
      </w:pPr>
    </w:p>
    <w:bookmarkStart w:id="63" w:name="page64"/>
    <w:bookmarkEnd w:id="63"/>
    <w:p>
      <w:pPr>
        <w:ind w:right="240"/>
        <w:spacing w:after="0" w:line="235" w:lineRule="auto"/>
        <w:rPr>
          <w:sz w:val="20"/>
          <w:szCs w:val="20"/>
          <w:color w:val="auto"/>
        </w:rPr>
      </w:pPr>
      <w:r>
        <w:rPr>
          <w:rFonts w:ascii="Calibri" w:cs="Calibri" w:eastAsia="Calibri" w:hAnsi="Calibri"/>
          <w:sz w:val="18"/>
          <w:szCs w:val="18"/>
          <w:color w:val="auto"/>
        </w:rPr>
        <w:t>clinical trials if we are unable to locate a sufcient number of eligible patents to partcipate in the clinical trials required by the FDA or comparable foreign regulatory authorites.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tming of our clinical trials depends, in part, on the speed at which we can recruit patents to partcipate in our trials, as well as completon of required follow-up periods. The eligibility criteria of our clinical trials further limits the pool of available trial partcipants. If patents are unwilling to partcipate in our trials for any reason, including the existence of concurrent clinical trials for similar patent or the availability of approved therapies, or we otherwise have difculty enrolling a sufcient number of patents, the tmeline for recruitng patents, conductng trials and obtaining regulatory approval of vonoprazan and any future product candidates may be delayed. Our inability to enroll a sufcient number of patents for any of our future clinical trials would result in signifcant delays or may require us to abandon one or more clinical trials altogether.</w:t>
      </w:r>
    </w:p>
    <w:p>
      <w:pPr>
        <w:spacing w:after="0" w:line="181"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assumptons used in determining expected clinical trial tmelines may not be correct, and we may experience delays in enrollment, which would result in the delay of completon of such trials beyond our expected tmelines.</w:t>
      </w:r>
    </w:p>
    <w:p>
      <w:pPr>
        <w:spacing w:after="0" w:line="191" w:lineRule="exact"/>
        <w:rPr>
          <w:sz w:val="20"/>
          <w:szCs w:val="20"/>
          <w:color w:val="auto"/>
        </w:rPr>
      </w:pPr>
    </w:p>
    <w:p>
      <w:pPr>
        <w:jc w:val="both"/>
        <w:ind w:right="240"/>
        <w:spacing w:after="0" w:line="235" w:lineRule="auto"/>
        <w:rPr>
          <w:sz w:val="20"/>
          <w:szCs w:val="20"/>
          <w:color w:val="auto"/>
        </w:rPr>
      </w:pPr>
      <w:r>
        <w:rPr>
          <w:rFonts w:ascii="Calibri" w:cs="Calibri" w:eastAsia="Calibri" w:hAnsi="Calibri"/>
          <w:sz w:val="18"/>
          <w:szCs w:val="18"/>
          <w:b w:val="1"/>
          <w:bCs w:val="1"/>
          <w:i w:val="1"/>
          <w:iCs w:val="1"/>
          <w:color w:val="auto"/>
        </w:rPr>
        <w:t>Use of products or product candidates containing vonoprazan or any future product candidates could be associated with side efects, adverse events or other propertes or safety risks, which could delay or preclude approval, cause us to suspend or discontnue clinical trials, abandon a product candidate, limit the commercial profle of an approved label or result in other signifcant negatve consequences that could severely harm our business, prospects, operatng results and fnancial conditon.</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As is the case with pharmaceutcals generally, it is likely that there may be side efects and adverse events associated with VOQUEZNA’s or vonoprazan’s or any future product candidates’ use. Results of our ongoing or future clinical trials could reveal a high and unacceptable severity and prevalence of side efects or unexpected characteristcs. Undesirable side efects caused by vonoprazan and any future product candidates could cause us or regulatory authorites to interrupt, delay or halt clinical trials and could result in a more restrictve label or the delay or denial of regulatory approval by the FDA or comparable foreign regulatory authorites. The drug-related side efects could afect patent recruitment or the ability of enrolled patents to complete the trial or result in potental product liability claims. Any of these occurrences may harm our business, fnancial conditon, and prospects signifcantly.</w:t>
      </w:r>
    </w:p>
    <w:p>
      <w:pPr>
        <w:spacing w:after="0" w:line="181" w:lineRule="exact"/>
        <w:rPr>
          <w:sz w:val="20"/>
          <w:szCs w:val="20"/>
          <w:color w:val="auto"/>
        </w:rPr>
      </w:pPr>
    </w:p>
    <w:p>
      <w:pPr>
        <w:ind w:right="240" w:firstLine="509"/>
        <w:spacing w:after="0" w:line="252" w:lineRule="auto"/>
        <w:rPr>
          <w:sz w:val="20"/>
          <w:szCs w:val="20"/>
          <w:color w:val="auto"/>
        </w:rPr>
      </w:pPr>
      <w:r>
        <w:rPr>
          <w:rFonts w:ascii="Calibri" w:cs="Calibri" w:eastAsia="Calibri" w:hAnsi="Calibri"/>
          <w:sz w:val="17"/>
          <w:szCs w:val="17"/>
          <w:color w:val="auto"/>
        </w:rPr>
        <w:t>Moreover, if vonoprazan or any other future product candidates are associated with undesirable side efects in clinical trials or have characteristcs that are unexpected, we may elect to abandon their development or limit their development to more narrow uses or subpopulatons in which the undesirable side efects or other characteristcs are less prevalent, less severe or more acceptable from a risk-beneft perspectve, which may limit the commercial expectatons for the product candidate, if approved. We may also be required to modify our study plans based on fndings in our clinical trials.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It is possible that as we contnue to test vonoprazan and any future product candidates in our clinical trials, or as the use of VOQUEZNA and any future product candidates becomes more widespread following any regulatory approval, illnesses, injuries, discomforts and other adverse events that were observed in earlier trials, as well as conditons that did not occur or went undetected in previous trials, will be reported by patents. If any such side efects become known later in development or upon approval, such fndings may harm our business, fnancial conditon and prospects signifcantly. Further, if a serious safety issue is identfed in connecton with use of vonoprazan commercially or in third-party clinical trials in Asia or elsewhere, such issues may adversely afect the development potental of vonoprazan or result in regulatory authorites restrictng our ability to develop vonoprazan for additonal indicatons.</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If any of our products that receives marketng approval, including VOQUEZNA, is discovered to cause undesirable side efects, a number of potentally signifcant negatve consequences could result, including:</w:t>
      </w:r>
    </w:p>
    <w:p>
      <w:pPr>
        <w:spacing w:after="0" w:line="118"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withdrawal, suspension or limitaton by regulatory authorites of approvals of such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seizure of the product by regulatory authorites;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recall of the product or changes to the manner in which it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restrictons on the marketng of the product or the manufacturing process for any component thereof;</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requirement by regulatory authorites of additonal warnings on the label, such as a “black box” warning or contraindicatons;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requirement that we implement a REMS or create a medicaton guide outlining the risks of such side efects for distributon to patents;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64" w:name="page65"/>
    <w:bookmarkEnd w:id="64"/>
    <w:p>
      <w:pPr>
        <w:ind w:left="1020" w:right="400" w:hanging="503"/>
        <w:spacing w:after="0" w:line="235" w:lineRule="auto"/>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commitment to expensive additonal safety studies prior to approval or post-marketng studies required by regulatory authorites of such product;</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product may become less compettve;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initaton of regulatory investgatons and government enforcement actons;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initaton of legal acton against us to hold us liable for harm caused to patents;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18"/>
          <w:szCs w:val="18"/>
          <w:color w:val="auto"/>
        </w:rPr>
        <w:t>harm to our reputaton and resultng harm to physician or patent acceptance of our products.</w:t>
      </w:r>
    </w:p>
    <w:p>
      <w:pPr>
        <w:spacing w:after="0" w:line="190" w:lineRule="exact"/>
        <w:rPr>
          <w:sz w:val="20"/>
          <w:szCs w:val="20"/>
          <w:color w:val="auto"/>
        </w:rPr>
      </w:pPr>
    </w:p>
    <w:p>
      <w:pPr>
        <w:ind w:right="200" w:firstLine="549"/>
        <w:spacing w:after="0" w:line="235" w:lineRule="auto"/>
        <w:rPr>
          <w:sz w:val="20"/>
          <w:szCs w:val="20"/>
          <w:color w:val="auto"/>
        </w:rPr>
      </w:pPr>
      <w:r>
        <w:rPr>
          <w:rFonts w:ascii="Calibri" w:cs="Calibri" w:eastAsia="Calibri" w:hAnsi="Calibri"/>
          <w:sz w:val="18"/>
          <w:szCs w:val="18"/>
          <w:color w:val="auto"/>
        </w:rPr>
        <w:t>Any of these events could prevent us from achieving or maintaining market acceptance of the partcular product candidate, if approved, and could signifcantly harm our business, fnancial conditon, and results of operatons.</w:t>
      </w:r>
    </w:p>
    <w:p>
      <w:pPr>
        <w:spacing w:after="0" w:line="177" w:lineRule="exact"/>
        <w:rPr>
          <w:sz w:val="20"/>
          <w:szCs w:val="20"/>
          <w:color w:val="auto"/>
        </w:rPr>
      </w:pPr>
    </w:p>
    <w:p>
      <w:pPr>
        <w:ind w:right="580"/>
        <w:spacing w:after="0" w:line="235" w:lineRule="auto"/>
        <w:rPr>
          <w:sz w:val="20"/>
          <w:szCs w:val="20"/>
          <w:color w:val="auto"/>
        </w:rPr>
      </w:pPr>
      <w:r>
        <w:rPr>
          <w:rFonts w:ascii="Calibri" w:cs="Calibri" w:eastAsia="Calibri" w:hAnsi="Calibri"/>
          <w:sz w:val="18"/>
          <w:szCs w:val="18"/>
          <w:b w:val="1"/>
          <w:bCs w:val="1"/>
          <w:i w:val="1"/>
          <w:iCs w:val="1"/>
          <w:color w:val="auto"/>
        </w:rPr>
        <w:t>Our current products and any future product candidates are subject to extensive regulaton and compliance obligatons that are costly and tme consuming, and such regulaton may cause unantcipated delays or prevent the receipt of the required approvals to commercialize vonoprazan for additonal indicatons or any future product candidates.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clinical development, manufacturing, labeling, storage, record-keeping, advertsing, promoton, import, export, marketng and distributon of our current approved products, including VOQUEZNA, and any future product candidates are subject to extensive regulaton by the FDA in the United States and by comparable foreign regulatory authorites in other foreign markets. In the United States, we are not permited to market vonoprazan for additonal indicatons or any future product candidates untl we receive the necessary regulatory approval from the FDA and in the EU, we are not permited to market any of our approved products or any future product candidates untl we receive a marketng authorizaton from the European Commission or competent authorites of the EU member states. The process of obtaining regulatory approval is expensive, ofen takes many years following the commencement of clinical trials and can vary substantally based upon the type, complexity and novelty of the product candidates involved, as well as the target indicatons and patent populaton. The ability of the FDA and foreign regulatory authorites to review and approve new products can be afected by a variety of factors, including government budget and funding levels and the ability to hire and retain key personnel. In additon, approval policies or regulatons may change, and the FDA and EMA and comparable regulatory authorites have substantal discreton in the drug approval process, including the ability to delay, limit or deny approval of a product candidate for many reasons. Despite the tme and expense invested in clinical development of product candidates, regulatory approval is never guaranteed.</w:t>
      </w:r>
    </w:p>
    <w:p>
      <w:pPr>
        <w:spacing w:after="0" w:line="19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Prior to obtaining approval to commercialize a product candidate in the United States or internatonally, we must demonstrate with substantal evidence from adequate and well-controlled clinical trials, and to the satsfacton of the FDA or comparable foreign regulatory authorites, that such product candidates are safe and efectve for their intended uses. Results from nonclinical studies and clinical trials can be interpreted in diferent ways. Even if we believe the nonclinical or clinical data for additonal regulatory approvals for vonoprazan or for any future product candidates are promising, such data may not be sufcient to support approval by the FDA and comparable foreign regulatory authorites. The FDA or comparable foreign regulatory authorites, as the case may be, may also require us to conduct additonal preclinical studies or clinical trials for vonoprazan or any future product candidates either prior to or post- approval, or may object to elements of our clinical development program.</w:t>
      </w:r>
    </w:p>
    <w:p>
      <w:pPr>
        <w:spacing w:after="0" w:line="181" w:lineRule="exact"/>
        <w:rPr>
          <w:sz w:val="20"/>
          <w:szCs w:val="20"/>
          <w:color w:val="auto"/>
        </w:rPr>
      </w:pPr>
    </w:p>
    <w:p>
      <w:pPr>
        <w:ind w:right="660" w:firstLine="509"/>
        <w:spacing w:after="0" w:line="235" w:lineRule="auto"/>
        <w:rPr>
          <w:sz w:val="20"/>
          <w:szCs w:val="20"/>
          <w:color w:val="auto"/>
        </w:rPr>
      </w:pPr>
      <w:r>
        <w:rPr>
          <w:rFonts w:ascii="Calibri" w:cs="Calibri" w:eastAsia="Calibri" w:hAnsi="Calibri"/>
          <w:sz w:val="18"/>
          <w:szCs w:val="18"/>
          <w:color w:val="auto"/>
        </w:rPr>
        <w:t>The FDA, EMA or other comparable foreign regulatory authorites can delay, limit or deny approval of a product candidate for many reasons, including:</w:t>
      </w:r>
    </w:p>
    <w:p>
      <w:pPr>
        <w:spacing w:after="0" w:line="118"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with the design or implementaton of our clinical trials;</w:t>
      </w:r>
    </w:p>
    <w:p>
      <w:pPr>
        <w:spacing w:after="0" w:line="122"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negatve or ambiguous results from our clinical trials or results may not meet the level of statstcal signifcance required by the FDA, EMA, or other comparable foreign regulatory agencies for approval;</w:t>
      </w:r>
    </w:p>
    <w:p>
      <w:pPr>
        <w:spacing w:after="0" w:line="123" w:lineRule="exact"/>
        <w:rPr>
          <w:rFonts w:ascii="Times New Roman" w:cs="Times New Roman" w:eastAsia="Times New Roman" w:hAnsi="Times New Roman"/>
          <w:sz w:val="18"/>
          <w:szCs w:val="18"/>
          <w:color w:val="auto"/>
        </w:rPr>
      </w:pPr>
    </w:p>
    <w:p>
      <w:pPr>
        <w:ind w:left="1020" w:right="46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serious and unexpected drug-related side efects may be experienced by partcipants in our clinical trials or in clinical trials conducted by Takeda or others outside of our licensed territories, or by patents using vonoprazan or drugs similar to vonoprazan;</w:t>
      </w:r>
    </w:p>
    <w:p>
      <w:pPr>
        <w:spacing w:after="0" w:line="123"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populaton studied in the clinical trial may not be sufciently broad or representatve to assure safety in the full populaton for which we seek approval;</w:t>
      </w:r>
    </w:p>
    <w:p>
      <w:pPr>
        <w:spacing w:after="0" w:line="123"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accept clinical data from trials which are conducted at clinical facilites or in countries where the standard of care is potentally diferent from that of the United States;</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78" w:right="379" w:bottom="1440" w:gutter="0" w:footer="0" w:header="0"/>
        </w:sectPr>
      </w:pPr>
    </w:p>
    <w:bookmarkStart w:id="65" w:name="page66"/>
    <w:bookmarkEnd w:id="65"/>
    <w:p>
      <w:pPr>
        <w:ind w:left="1020" w:right="640" w:hanging="503"/>
        <w:spacing w:after="0" w:line="235" w:lineRule="auto"/>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be unable to demonstrate to the satsfacton of such authorites that a product candidate is safe and efectve for its proposed indicaton and that a product candidate’s clinical and other benefts outweigh its safety risks;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with our interpretaton of data from preclinical studies or clinical trials;</w:t>
      </w:r>
    </w:p>
    <w:p>
      <w:pPr>
        <w:spacing w:after="0" w:line="122"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agree that the data collected from clinical trials of vonoprazan, including data collected from clinical trials conducted by Takeda and independent investgators outside of our licensed territories, and any future product candidates are acceptable or sufcient to support the submission of an NDA, sNDA or other submission or to obtain regulatory approval, and such authorites may impose requirements for additonal preclinical studies or clinical trials;</w:t>
      </w:r>
    </w:p>
    <w:p>
      <w:pPr>
        <w:spacing w:after="0" w:line="12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disagree regarding the formulaton, labeling and/or the specifcatons of vonoprazan and any future product candidates;</w:t>
      </w:r>
    </w:p>
    <w:p>
      <w:pPr>
        <w:spacing w:after="0" w:line="122" w:lineRule="exact"/>
        <w:rPr>
          <w:rFonts w:ascii="Times New Roman" w:cs="Times New Roman" w:eastAsia="Times New Roman" w:hAnsi="Times New Roman"/>
          <w:sz w:val="18"/>
          <w:szCs w:val="18"/>
          <w:color w:val="auto"/>
        </w:rPr>
      </w:pPr>
    </w:p>
    <w:p>
      <w:pPr>
        <w:ind w:left="1020" w:right="800" w:hanging="503"/>
        <w:spacing w:after="0" w:line="235" w:lineRule="auto"/>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approval may be granted only for indicatons that are signifcantly more limited than what we apply for and/or with other signifcant restrictons on distributon and use;</w:t>
      </w:r>
    </w:p>
    <w:p>
      <w:pPr>
        <w:spacing w:after="0" w:line="123" w:lineRule="exact"/>
        <w:rPr>
          <w:rFonts w:ascii="Times New Roman" w:cs="Times New Roman" w:eastAsia="Times New Roman" w:hAnsi="Times New Roman"/>
          <w:sz w:val="18"/>
          <w:szCs w:val="18"/>
          <w:color w:val="auto"/>
        </w:rPr>
      </w:pPr>
    </w:p>
    <w:p>
      <w:pPr>
        <w:ind w:left="1020" w:right="640" w:hanging="503"/>
        <w:spacing w:after="0" w:line="235" w:lineRule="auto"/>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fnd defciencies in the manufacturing processes or facilites of Evonik, Catalent, Sandoz, or any future third-party manufacturers with which we contract for clinical and commercial supplies;</w:t>
      </w:r>
    </w:p>
    <w:p>
      <w:pPr>
        <w:spacing w:after="0" w:line="123" w:lineRule="exact"/>
        <w:rPr>
          <w:rFonts w:ascii="Times New Roman" w:cs="Times New Roman" w:eastAsia="Times New Roman" w:hAnsi="Times New Roman"/>
          <w:sz w:val="18"/>
          <w:szCs w:val="18"/>
          <w:color w:val="auto"/>
        </w:rPr>
      </w:pPr>
    </w:p>
    <w:p>
      <w:pPr>
        <w:ind w:left="1020" w:right="300" w:hanging="503"/>
        <w:spacing w:after="0" w:line="235" w:lineRule="auto"/>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regulatons of such authorites may signifcantly change in a manner rendering our or any of our potental future collaborators’ clinical data insufcient for approval; or</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such authorites may not accept a submission due to, among other reasons, the content or formatng of the submission.</w:t>
      </w:r>
    </w:p>
    <w:p>
      <w:pPr>
        <w:spacing w:after="0" w:line="19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With respect to foreign markets, approval procedures vary among countries and, in additon to the foregoing risks, may involve additonal product testng, administratve review periods and agreements with pricing authorites. In additon, events raising questons about the safety of certain marketed pharmaceutcals may result in increased cautousness by the FDA, EMA, and other comparable foreign regulatory authorites in reviewing new drugs based on safety, efcacy, or other regulatory consideratons and may result in signifcant delays in obtaining regulatory approvals. Any delay in obtaining, or inability to obtain, applicable regulatory approvals would prevent us or any of our potental future collaborators from commercializing vonoprazan and any future product candidates.</w:t>
      </w:r>
    </w:p>
    <w:p>
      <w:pPr>
        <w:spacing w:after="0" w:line="181"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Of the large number of drugs in development, only a small percentage successfully complete the FDA, EMA or foreign regulatory approval processes and are commercialized. The lengthy approval process as well as the unpredictability of future clinical trial results may result in our failing to obtain additonal regulatory approvals to market vonoprazan and any future product candidates, which would signifcantly harm our business, fnancial conditon, results of operatons and prospects.</w:t>
      </w:r>
    </w:p>
    <w:p>
      <w:pPr>
        <w:spacing w:after="0" w:line="179"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With respect to our approvals in the U.S., the FDA has granted approvals, and may grant future approvals, with the requirement that we perform additonal costly clinical trials, including pediatric trials. Foreign regulatory authorites may also make their approvals contngent on similar requirements. The FDA or other comparable foreign regulatory authority also may approve a product candidate for a more limited indicaton or patent populaton than we originally requested, and the FDA or other comparable foreign regulatory authority may not approve the labeling that we believe is necessary or desirable for the successful commercializaton of a product. Any delay in obtaining, or inability to obtain, additonal regulatory approvals would delay or prevent commercializaton of that indicaton or product candidate and would materially adversely impact our business and prospects.</w:t>
      </w:r>
    </w:p>
    <w:p>
      <w:pPr>
        <w:spacing w:after="0" w:line="194" w:lineRule="exact"/>
        <w:rPr>
          <w:sz w:val="20"/>
          <w:szCs w:val="20"/>
          <w:color w:val="auto"/>
        </w:rPr>
      </w:pPr>
    </w:p>
    <w:p>
      <w:pPr>
        <w:jc w:val="both"/>
        <w:ind w:right="500"/>
        <w:spacing w:after="0" w:line="235" w:lineRule="auto"/>
        <w:rPr>
          <w:sz w:val="20"/>
          <w:szCs w:val="20"/>
          <w:color w:val="auto"/>
        </w:rPr>
      </w:pPr>
      <w:r>
        <w:rPr>
          <w:rFonts w:ascii="Calibri" w:cs="Calibri" w:eastAsia="Calibri" w:hAnsi="Calibri"/>
          <w:sz w:val="18"/>
          <w:szCs w:val="18"/>
          <w:b w:val="1"/>
          <w:bCs w:val="1"/>
          <w:i w:val="1"/>
          <w:iCs w:val="1"/>
          <w:color w:val="auto"/>
        </w:rPr>
        <w:t>We may not be successful in our eforts to expand our pipeline by identfying and successfully developing vonoprazan for additonal indicatons and formulatons. We may expend our limited resources to pursue a partcular indicaton or formulaton for vonoprazan and fail to capitalize on product candidates, indicatons or formulatons that may be more proftable or for which there is a greater likelihood of success.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Because we have limited fnancial and managerial resources, we focus on specifc indicatons and formulatons for VOQUEZNA. As a result, we may fail to generate additonal clinical development opportunites for vonoprazan for a number of reasons, including, vonoprazan may in certain indicatons, on further study, be shown to have harmful side efects, limited to no efcacy, or other characteristcs that suggest it is unlikely to receive marketng approval and achieve market acceptance in such additonal indicatons.</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For example, we believe the rapid onset of acid suppression observed in clinical studies of vonoprazan may enable as needed use for the management of heartburn symptoms associated with Non-Erosive GERD. However, no proton pump inhibitor has received approval from the FDA for this dosing regimen. We may be incorrect in our belief regarding the potental of vonoprazan as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66" w:name="page67"/>
    <w:bookmarkEnd w:id="66"/>
    <w:p>
      <w:pPr>
        <w:ind w:right="380"/>
        <w:spacing w:after="0" w:line="235" w:lineRule="auto"/>
        <w:rPr>
          <w:sz w:val="20"/>
          <w:szCs w:val="20"/>
          <w:color w:val="auto"/>
        </w:rPr>
      </w:pPr>
      <w:r>
        <w:rPr>
          <w:rFonts w:ascii="Calibri" w:cs="Calibri" w:eastAsia="Calibri" w:hAnsi="Calibri"/>
          <w:sz w:val="18"/>
          <w:szCs w:val="18"/>
          <w:color w:val="auto"/>
        </w:rPr>
        <w:t>an as needed treatment for Non-Erosive GERD and any potental clinical trial we conduct studying as needed dosing of vonoprazan in Non-Erosive GERD patents may not succeed including as a result of our design and enrollment criteria.</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Furthermore, research programs to identfy additonal indicatons for vonoprazan require substantal technical, fnancial and human resources. We may also pursue additonal formulatons and packaging for vonoprazan, such as orally disintegratng tablets and other oral dosage forms for patents with difculty swallowing, and an intravenous formulaton for in-hospital applicatons. However, we may not successfully develop these additonal formulatons for chemistry-related, stability-related or other reasons. If we do not accurately evaluate the commercial potental or target market for vonoprazan or any future product candidates, we may relinquish valuable rights to that product candidate through future collaboratons, licenses and other similar arrangements in cases in which it would have been more advantageous for us to retain sole development and commercializaton rights to such product candidate.</w:t>
      </w:r>
    </w:p>
    <w:p>
      <w:pPr>
        <w:spacing w:after="0" w:line="181"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Additonally, we may pursue additonal in-licenses or acquisitons of development-stage assets or programs, which entails additonal risk to us. Identfying, selectng and acquiring promising product candidates requires substantal technical, fnancial and human resources expertse. Eforts to do so may not result in the actual acquisiton or license of a partcular product candidate, potentally resultng in a diversion of our management’s tme and the expenditure of our resources with no resultng beneft.</w:t>
      </w:r>
    </w:p>
    <w:p>
      <w:pPr>
        <w:spacing w:after="0" w:line="19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We enrolled patents in Europe in our Erosive GERD and H. pylori trials. Additonally, we may conduct future clinical trials outside of the United States. However, the FDA and other comparable foreign regulatory authorites may not accept data from such trials, in which case our development plans will be delayed, which could materially harm our business.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enrolled patents in Europe in our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trials, and we may conduct one or more of our future clinical trials outside the United States. Although the FDA may accept data from clinical trials conducted outside the United States and not subject to an investgatonal new drug applicaton, or IND, acceptance of this data is subject to certain conditons imposed by the FDA. For example, regardless of whether the applicable clinical trials were conducted under an IND, where data from foreign clinical trials are intended to serve as the sole basis for marketng approval in the United States, the FDA will not approve the applicaton on the basis of foreign data alone unless those data are applicable to the United States populaton and United States medical practce; the trials were performed by clinical investgators of recognized competence; and the data are considered valid without the need for an on-site inspecton by the FDA or, if the FDA considers such an inspecton to be necessary, the FDA is able to validate the data through an on-site inspecton or other appropriate means. Similar requirements may apply in foreign jurisdictons.</w:t>
      </w:r>
    </w:p>
    <w:p>
      <w:pPr>
        <w:spacing w:after="0" w:line="18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For trials that are conducted only at sites outside of the United States and not subject to an IND, the FDA requires the clinical trial to have been conducted in accordance with GCP and the FDA must be able to validate the data from the clinical trial through an on-site inspecton if it deems such inspecton necessary. For such trials not subject to an IND, the FDA generally does not provide advance comment on the clinical protocols for the trials, and therefore there is an additonal potental risk that the FDA could determine that the trial design or protocol for a non-United States clinical trial was inadequate, which could require us to conduct additonal clinical trials. In additon, such foreign trials would be subject to the applicable local laws of the foreign regulatory agency and legal requirements where the trials are conducted. There can be no assurance the FDA will accept data from clinical trials conducted outside of the United States. If the FDA or comparable regulatory authority does not accept data from our clinical trials of vonoprazan and any future product candidates, it would likely result in the need for additonal clinical trials, which would be costly and tme consuming and delay or permanently halt our development of vonoprazan for additonal indicatons and any future product candidates.</w:t>
      </w:r>
    </w:p>
    <w:p>
      <w:pPr>
        <w:spacing w:after="0" w:line="19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Conductng clinical trials outside the United States also exposes us to additonal risks, including risks associated with:</w:t>
      </w:r>
    </w:p>
    <w:p>
      <w:pPr>
        <w:spacing w:after="0" w:line="11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foreign regulatory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foreign exchange fuctuatons;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compliance with foreign manufacturing, customs, shipment and storage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cultural diferences in medical practce and clinical research;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diminished protecton of intellectual property in some countries.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67" w:name="page68"/>
    <w:bookmarkEnd w:id="67"/>
    <w:p>
      <w:pPr>
        <w:ind w:right="480"/>
        <w:spacing w:after="0" w:line="235" w:lineRule="auto"/>
        <w:rPr>
          <w:sz w:val="20"/>
          <w:szCs w:val="20"/>
          <w:color w:val="auto"/>
        </w:rPr>
      </w:pPr>
      <w:r>
        <w:rPr>
          <w:rFonts w:ascii="Calibri" w:cs="Calibri" w:eastAsia="Calibri" w:hAnsi="Calibri"/>
          <w:sz w:val="18"/>
          <w:szCs w:val="18"/>
          <w:b w:val="1"/>
          <w:bCs w:val="1"/>
          <w:i w:val="1"/>
          <w:iCs w:val="1"/>
          <w:color w:val="auto"/>
        </w:rPr>
        <w:t>Interim, top-line and preliminary data from clinical trials that we or others announce or publish from tme to tme may change as more patent data become available and are subject to audit and verifcaton procedures that could result in material changes in the fnal data.</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From tme to tme, we or others, such as Takeda, may publicly disclose preliminary or top-line data from clinical trials that are based on a preliminary analysis of then-available data, and the results and related fndings and conclusions are subject to change following a more comprehensive review of the data related to the partcular study or trial. We also make assumptons, estmatons, calculatons and conclusions as part of our analyses of data, and we may not have received or had the opportunity to fully and carefully evaluate all data. As a result, the top-line or preliminary results that we or others report may difer from future results of the same clinical trials, or diferent conclusions or consideratons may qualify such results, once additonal data have been received and fully evaluated. Top-line and preliminary data also remain subject to audit and verifcaton procedures that may result in the fnal data being materially diferent from the preliminary data previously published. As a result, top-line and preliminary data should be viewed with cauton untl the fnal data are available.</w:t>
      </w:r>
    </w:p>
    <w:p>
      <w:pPr>
        <w:spacing w:after="0" w:line="1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From tme to tme, we or others may also disclose interim data from clinical trials. Interim data from clinical trials are subject to the risk that one or more of the clinical outcomes may materially change as patent enrollment contnues and more patent data become available. Adverse diferences between preliminary, top-line or interim data and fnal data could signifcantly harm our business prospects.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Further, others, including regulatory agencies, may not accept or agree with our assumptons, estmates, calculatons, conclusions or analyses or may interpret or weigh the importance of data diferently, which could impact the value of the partcular program, the approvability or commercializaton of the partcular product candidate or product and our company in general. In additon, the informaton we choose to publicly disclose regarding a partcular study or clinical trial is based on what is typically extensive informaton, and you or others may not agree with what we determine is the material or otherwise appropriate informaton to include in our disclosure, and any informaton we determine not to disclose may ultmately be deemed signifcant with respect to future decisions, conclusions, views, actvites or otherwise regarding a partcular drug, drug candidate or our business. If the top-line data that we report difer from actual results, or if others, including regulatory authorites, disagree with the conclusions reached, our ability to obtain approval for, and commercialize, vonoprazan and any future product candidates may be harmed, which could harm our business, operatng results, prospects, or fnancial conditon.</w:t>
      </w:r>
    </w:p>
    <w:p>
      <w:pPr>
        <w:spacing w:after="0" w:line="183"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Disruptons at the FDA and other government agencies caused by funding shortages, stafng limitatons or global health concerns could hinder their ability to hire and retain key leadership and other personnel, or otherwise prevent new products and services from being developed or commercialized in a tmely manner, which could negatvely impact our business.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ability of the FDA and other government agencies to review and approve new products can be afected by a variety of factors, including government budget and funding levels, statutory, regulatory and policy changes, a government agency’s ability to hire and retain key personnel and accept the payment of user fees, and other events that may otherwise afect the government agency’s ability to perform routne functons. Average review tmes at the FDA and other government agencies have fuctuated in recent years as a result. In additon, government funding of other government agencies that fund research and development actvites is subject to the politcal process, which is inherently fuid and unpredictable. Disruptons at the FDA and other agencies, such as the EMA, may also slow the tme necessary for new drugs and or modifcatons to approved drugs or to be reviewed and/or approved by necessary government agencies, which would adversely afect our business. For example, in recent years, the United States government has shut down several tmes and certain regulatory agencies, such as the FDA, have had to furlough critcal FDA employees and stop critcal actvites.</w:t>
      </w:r>
    </w:p>
    <w:p>
      <w:pPr>
        <w:spacing w:after="0" w:line="196" w:lineRule="exact"/>
        <w:rPr>
          <w:sz w:val="20"/>
          <w:szCs w:val="20"/>
          <w:color w:val="auto"/>
        </w:rPr>
      </w:pPr>
    </w:p>
    <w:p>
      <w:pPr>
        <w:ind w:firstLine="509"/>
        <w:spacing w:after="0" w:line="252" w:lineRule="auto"/>
        <w:rPr>
          <w:sz w:val="20"/>
          <w:szCs w:val="20"/>
          <w:color w:val="auto"/>
        </w:rPr>
      </w:pPr>
      <w:r>
        <w:rPr>
          <w:rFonts w:ascii="Calibri" w:cs="Calibri" w:eastAsia="Calibri" w:hAnsi="Calibri"/>
          <w:sz w:val="17"/>
          <w:szCs w:val="17"/>
          <w:color w:val="auto"/>
        </w:rPr>
        <w:t>Separately, in response to the COVID-19 pandemic, the FDA postponed most inspectons of domestc and foreign manufacturing facilites at various points. If a prolonged government shutdown occurs, or if funding shortages, stafng limitatons or renewed global health concerns hinder or prevent the FDA or other regulatory authorites from conductng their regular inspectons, reviews, or other regulatory actvites, it could signifcantly impact the ability of the FDA or other regulatory authorites to tmely review and process our regulatory submissions, which could have a material adverse efect on our business.</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68" w:name="page69"/>
    <w:bookmarkEnd w:id="68"/>
    <w:p>
      <w:pPr>
        <w:spacing w:after="0"/>
        <w:rPr>
          <w:sz w:val="20"/>
          <w:szCs w:val="20"/>
          <w:color w:val="auto"/>
        </w:rPr>
      </w:pPr>
      <w:r>
        <w:rPr>
          <w:rFonts w:ascii="Calibri" w:cs="Calibri" w:eastAsia="Calibri" w:hAnsi="Calibri"/>
          <w:sz w:val="18"/>
          <w:szCs w:val="18"/>
          <w:b w:val="1"/>
          <w:bCs w:val="1"/>
          <w:color w:val="auto"/>
        </w:rPr>
        <w:t>Risks Related to Our Reliance on Third Partes</w:t>
      </w:r>
    </w:p>
    <w:p>
      <w:pPr>
        <w:spacing w:after="0" w:line="177"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b w:val="1"/>
          <w:bCs w:val="1"/>
          <w:i w:val="1"/>
          <w:iCs w:val="1"/>
          <w:color w:val="auto"/>
        </w:rPr>
        <w:t>We rely on the Takeda License to provide us rights to develop and commercialize vonoprazan in the United States, Europe, and Canada. If the license agreement is terminated, we would lose our rights to develop and commercialize vonoprazan.</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Pursuant to the Takeda License, we have secured an exclusive license from Takeda to commercialize vonoprazan products using specifed formulatons for all human therapeutc uses in the United States, Europe, and Canada, and a non-exclusive license to develop and manufacture vonoprazan products anywhere in the world (subject to Takeda’s consent as to each country) for the purposes of commercializing the vonoprazan products in the United States, Europe, and Canada.</w:t>
      </w:r>
    </w:p>
    <w:p>
      <w:pPr>
        <w:spacing w:after="0" w:line="19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Takeda License will contnue untl the expiraton of the obligaton to pay royaltes in all countries and on all products, unless terminated earlier. We may terminate the Takeda License in its entrety without cause upon prior writen notce. We and Takeda may terminate the Takeda License in the case of the other party’s insolvency or for the other party’s material uncured breach. Takeda may terminate the Takeda License in its entrety if we challenge the licensed patents, or if we assist any third party in challenging such patents. In additon, if any of the commercial milestones or other cash payments become due under the terms of the Takeda License, we may not have sufcient funds available to meet our obligatons, which would allow Takeda to terminate the Takeda License. If the license agreement is terminated, we would lose our rights to develop and commercialize products containing vonoprazan, which in turn would have a material adverse efect on our business, operatng results and prospects.</w:t>
      </w:r>
    </w:p>
    <w:p>
      <w:pPr>
        <w:spacing w:after="0" w:line="181" w:lineRule="exact"/>
        <w:rPr>
          <w:sz w:val="20"/>
          <w:szCs w:val="20"/>
          <w:color w:val="auto"/>
        </w:rPr>
      </w:pPr>
    </w:p>
    <w:p>
      <w:pPr>
        <w:jc w:val="both"/>
        <w:ind w:right="240"/>
        <w:spacing w:after="0" w:line="235" w:lineRule="auto"/>
        <w:rPr>
          <w:sz w:val="20"/>
          <w:szCs w:val="20"/>
          <w:color w:val="auto"/>
        </w:rPr>
      </w:pPr>
      <w:r>
        <w:rPr>
          <w:rFonts w:ascii="Calibri" w:cs="Calibri" w:eastAsia="Calibri" w:hAnsi="Calibri"/>
          <w:sz w:val="18"/>
          <w:szCs w:val="18"/>
          <w:b w:val="1"/>
          <w:bCs w:val="1"/>
          <w:i w:val="1"/>
          <w:iCs w:val="1"/>
          <w:color w:val="auto"/>
        </w:rPr>
        <w:t>We rely on third partes to conduct our clinical trials. Any failure by a third party to conduct the clinical trials according to GCPs and other requirements and in a tmely manner may delay or prevent our ability to seek or obtain additonal regulatory approvals for vonoprazan and regulatory approvals for any future product candidates.</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are dependent on third partes to conduct our preclinical and clinical trials. Specifcally, we have used and relied on, and intend to contnue to use and rely on, medical insttutons, clinical investgators, CROs and consultants to conduct our clinical trials in accordance with our clinical protocols and regulatory requirements. These CROs, investgators and other third partes will play a signifcant role in the conduct and tming of these trials and subsequent collecton and analysis of data. While we have agreements governing the actvites of our third-party contractors, we have limited infuence over their actual performance. Nevertheless, we are responsible for ensuring that each of our clinical trials is conducted in accordance with the applicable protocol and legal, regulatory and scientfc standards, and our reliance on the CROs and other third partes does not relieve us of our regulatory responsibilites. We and our CROs are required to comply with GCP requirements, which are regulatons and guidelines enforced by the FDA and comparable foreign regulatory authorites for vonoprazan and any future product candidates that reach clinical development. Regulatory authorites enforce these GCPs through periodic inspectons of trial sponsors, principal investgators and trial sites. If we or any of our CROs or trial sites fail to comply with applicable GCPs, the clinical data generated in our clinical trials may be deemed unreliable, and the FDA or comparable foreign regulatory authorites may require us to perform additonal clinical trials before approving our marketng applicatons. In additon, our clinical trials must be conducted with product produced under cGMP or similar regulatons. Our failure to comply with these regulatons may require us to repeat clinical trials, which would delay the regulatory approval process.</w:t>
      </w:r>
    </w:p>
    <w:p>
      <w:pPr>
        <w:spacing w:after="0" w:line="18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CROs, investgators or other third partes may not devote adequate tme and resources to such trials or perform as contractually required. If any of these third partes fail to meet expected deadlines, adhere to our clinical protocols or meet regulatory requirements, or otherwise performs in a substandard manner, our clinical trials may be extended, delayed, or terminated. In additon, many of the third partes with whom we contract may also have relatonships with other commercial enttes, including our compettors, for whom they may also be conductng clinical trials or other drug development actvites that could harm our compettve positon. In additon, principal investgators for our clinical trials may serve as scientfc advisors or consultants to us from tme to tme and may receive cash or equity compensaton in connecton with such services. If these relatonships and any related compensaton result in perceived or actual conficts of interest, or the FDA or comparable regulatory authority concludes that the fnancial relatonship may have afected the interpretaton of the study, the integrity of the data generated at the applicable clinical trial site may be questoned and the utlity of the clinical trial itself may be jeopardized, which could result in the delay or rejecton of any NDA, sNDA or similar marketng applicaton we submit by the FDA or by comparable regulatory authority. Any such delay or rejecton could prevent us from commercializing vonoprazan for additonal indicatons and any future product candidates.</w:t>
      </w:r>
    </w:p>
    <w:p>
      <w:pPr>
        <w:spacing w:after="0" w:line="185" w:lineRule="exact"/>
        <w:rPr>
          <w:sz w:val="20"/>
          <w:szCs w:val="20"/>
          <w:color w:val="auto"/>
        </w:rPr>
      </w:pPr>
    </w:p>
    <w:p>
      <w:pPr>
        <w:jc w:val="both"/>
        <w:ind w:right="20" w:firstLine="509"/>
        <w:spacing w:after="0" w:line="235" w:lineRule="auto"/>
        <w:rPr>
          <w:sz w:val="20"/>
          <w:szCs w:val="20"/>
          <w:color w:val="auto"/>
        </w:rPr>
      </w:pPr>
      <w:r>
        <w:rPr>
          <w:rFonts w:ascii="Calibri" w:cs="Calibri" w:eastAsia="Calibri" w:hAnsi="Calibri"/>
          <w:sz w:val="18"/>
          <w:szCs w:val="18"/>
          <w:color w:val="auto"/>
        </w:rPr>
        <w:t>If any of our relatonships with these third partes terminate, we may not be able to enter into arrangements with alternatve third partes or do so on commercially reasonable terms. Switching or adding additonal CROs, investgators and other third partes involves additonal cost and requires management tme and focus. In additon, there is a natural transiton period when a new CRO</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69" w:name="page70"/>
    <w:bookmarkEnd w:id="69"/>
    <w:p>
      <w:pPr>
        <w:ind w:right="120"/>
        <w:spacing w:after="0" w:line="235" w:lineRule="auto"/>
        <w:rPr>
          <w:sz w:val="20"/>
          <w:szCs w:val="20"/>
          <w:color w:val="auto"/>
        </w:rPr>
      </w:pPr>
      <w:r>
        <w:rPr>
          <w:rFonts w:ascii="Calibri" w:cs="Calibri" w:eastAsia="Calibri" w:hAnsi="Calibri"/>
          <w:sz w:val="18"/>
          <w:szCs w:val="18"/>
          <w:color w:val="auto"/>
        </w:rPr>
        <w:t>commences work. As a result, delays occur, which can materially impact our ability to meet our desired clinical development tmelines. Though we carefully manage our relatonships with our CROs, investgators and other third partes, we may encounter challenges or delays in the future and these delays or challenges may have a material adverse impact on our business, fnancial conditon and prospects.</w:t>
      </w:r>
    </w:p>
    <w:p>
      <w:pPr>
        <w:spacing w:after="0" w:line="178"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We currently rely on, and expect to rely on for the foreseeable future, Evonik and Catalent for the manufacture of vonoprazan drug substance and drug product for clinical development and commercial sale, and we expect to rely on Sandoz for commercial supplies of VOQUEZNA TRIPLE PAK and VOQUEZNA DUAL PAK and the amoxicillin and clarithromycin in those products. This reliance on third partes increases the risk that we will not have sufcient quanttes of fnished product which could delay, prevent or impair our development or commercializaton eforts.</w:t>
      </w:r>
    </w:p>
    <w:p>
      <w:pPr>
        <w:spacing w:after="0" w:line="179"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do not own or operate manufacturing facilites and have no plans to build our own clinical or commercial scale manufacturing capabilites. We have entered into an agreement with Catalent for the supply of fnished drug product, an agreement with Evonik for the supply of drug substance, and an agreement with Sandoz for commercial supply of amoxicillin, clarithromycin and fnished convenience packs containing VOQUEZNA and one or both of those antbiotcs. As a result, we currently rely, and expect to contnue to rely, on third partes for the manufacture of vonoprazan and supply of related raw materials for clinical development and commercial sale. If Catalent, Evonik or Sandoz fails to fulfll its obligatons under its respectve supply agreement, or if any of the vonoprazan drug product or drug substance supplied by Catalent or Evonik cannot be utlized due to quality or cGMP or similar concerns, adverse fndings during regulatory inspectons or other reasons, our development plans and commercializaton of vonoprazan, if approved, could be signifcantly delayed or otherwise adversely afected. The facilites used by Catalent and Evonik to manufacture vonoprazan and by Sandoz to manufacture amoxicillin and clarithromycin and to package the antbiotcs and vonoprazan must be approved by the FDA and foreign regulatory authority pursuant to inspectons that may be conducted afer we submit marketng authorizatons to the FDA and comparable foreign regulatory authorites. We do not control the manufacturing process of, and are completely dependent on, Catalent, Evonik and Sandoz for compliance with applicable cGMP or similar requirements. If Catalent, Evonik, Sandoz, or any other third-party manufacturer we contract with in the future, cannot successfully manufacture material that conforms to our specifcatons and the strict regulatory requirements of the FDA or others, including requirements related to the manufacturing of high potency compounds, they will not be able to secure and/or maintain regulatory approval for their manufacturing facilites. In additon, we have no control over Catalent’s, Evonik’s, Sandoz’s, or any other third-party manufacturer’s ability to maintain adequate quality control, quality assurance and qualifed personnel. If the FDA or a comparable foreign regulatory authority does not approve of facilites of the third-party manufacturer for the manufacture of vonoprazan or if it withdraws any such approval in the future, we may need to fnd alternatve manufacturing facilites, which would signifcantly impact our ability to contnue to develop, obtain additonal regulatory approvals for or contnue to market our current products.</w:t>
      </w:r>
    </w:p>
    <w:p>
      <w:pPr>
        <w:spacing w:after="0" w:line="200" w:lineRule="exact"/>
        <w:rPr>
          <w:sz w:val="20"/>
          <w:szCs w:val="20"/>
          <w:color w:val="auto"/>
        </w:rPr>
      </w:pPr>
    </w:p>
    <w:p>
      <w:pPr>
        <w:spacing w:after="0" w:line="20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Our failure, or Catalent’s, Evonik’s, Sandoz’s or any other third-party manufacturer’s failure, to comply with applicable regulatons could result in sanctons being imposed on us, including clinical holds, fnes, injunctons, civil penaltes, delays, suspension or withdrawal of approvals, seizures or recalls of product candidates or products, operatng restrictons and criminal prosecutons, any of which could signifcantly and adversely afect supplies of our products.</w:t>
      </w:r>
    </w:p>
    <w:p>
      <w:pPr>
        <w:spacing w:after="0" w:line="179"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or Catalent’s, Evonik’s or Sandoz’s failure, or the failure of any future third-party manufacturer, to execute on our manufacturing requirements, to do so on commercially reasonable terms and comply with cGMP or similar foreign requirements, could adversely afect our business in a number of ways, including:</w:t>
      </w:r>
    </w:p>
    <w:p>
      <w:pPr>
        <w:spacing w:after="0" w:line="119"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initate and contnue clinical trials of vonoprazan or any future product candidates;</w:t>
      </w:r>
    </w:p>
    <w:p>
      <w:pPr>
        <w:spacing w:after="0" w:line="122" w:lineRule="exact"/>
        <w:rPr>
          <w:rFonts w:ascii="Times New Roman" w:cs="Times New Roman" w:eastAsia="Times New Roman" w:hAnsi="Times New Roman"/>
          <w:sz w:val="18"/>
          <w:szCs w:val="18"/>
          <w:color w:val="auto"/>
        </w:rPr>
      </w:pPr>
    </w:p>
    <w:p>
      <w:pPr>
        <w:ind w:left="1020" w:right="380" w:hanging="503"/>
        <w:spacing w:after="0" w:line="235" w:lineRule="auto"/>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delay in submitng regulatory applicatons, or receiving marketng approvals for new indicatons for vonoprazan or for any future product candidates;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subjectng third-party manufacturing facilites or our manufacturing facilites to additonal inspectons by regulatory authorites;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requirements to cease development or to recall batches of our current products and any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meet commercial demands for our current products or any future product candidates.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Reliance on third-party manufacturers entails additonal risks, including:</w:t>
      </w:r>
    </w:p>
    <w:p>
      <w:pPr>
        <w:spacing w:after="0" w:line="118" w:lineRule="exact"/>
        <w:rPr>
          <w:sz w:val="20"/>
          <w:szCs w:val="20"/>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of third-party manufacturers to comply with regulatory requirements and maintain quality assurance;</w:t>
      </w:r>
    </w:p>
    <w:p>
      <w:pPr>
        <w:spacing w:after="0" w:line="22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70" w:name="page71"/>
    <w:bookmarkEnd w:id="70"/>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breach of the manufacturing agreement by the third party;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manufacture our product according to our specifcatons;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failure to manufacture our product according to our schedule or at all;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misappropriaton of our proprietary informaton, including our trade secrets and know-how;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terminaton or nonrenewal of the agreement by the third party at a tme that is costly or inconvenient for us.</w:t>
      </w:r>
    </w:p>
    <w:p>
      <w:pPr>
        <w:spacing w:after="0" w:line="19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Our current products, including VOQUEZNA, and any product candidates that we may develop, may compete with other product candidates and products for access to manufacturing facilites. Moreover, there may be a limited number of manufacturers that operate under cGMP or similar regulatons and that might be capable of manufacturing for us.</w:t>
      </w:r>
    </w:p>
    <w:p>
      <w:pPr>
        <w:spacing w:after="0" w:line="178"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Any performance failure on the part of Catalent, Evonik, Sandoz or any future manufacturers could delay clinical development or additonal marketng approvals, and any related remedial measures may be costly or tme consuming to implement. We do not currently have arrangements in place for redundant supply or a second source for all required raw materials used in the manufacture of our current products. If Catalent, Evonik, or Sandoz cannot perform as agreed, we may be required to replace them and we may be unable to replace them on a tmely basis or at all. Further, Catalent, Evonik, Sandoz and any other third-party manufacturers we may use may experience manufacturing or shipping difcultes due to resource constraints or as a result of natural disasters, labor disputes, unstable politcal environments, or public health emergencies or ongoing hostlites in the Ukraine and the Middle East. If Catalent, Evonik, Sandoz or other third-party manufacturers were to encounter any manufacturing or shipping difcultes or delays due to these factors, our ability to provide vonoprazan to patents in clinical trials, or to provide product for treatment of patents if approved, would be jeopardized.</w:t>
      </w:r>
    </w:p>
    <w:p>
      <w:pPr>
        <w:spacing w:after="0" w:line="167" w:lineRule="exact"/>
        <w:rPr>
          <w:sz w:val="20"/>
          <w:szCs w:val="20"/>
          <w:color w:val="auto"/>
        </w:rPr>
      </w:pPr>
    </w:p>
    <w:p>
      <w:pPr>
        <w:ind w:right="520" w:firstLine="509"/>
        <w:spacing w:after="0" w:line="235" w:lineRule="auto"/>
        <w:rPr>
          <w:sz w:val="20"/>
          <w:szCs w:val="20"/>
          <w:color w:val="auto"/>
        </w:rPr>
      </w:pPr>
      <w:r>
        <w:rPr>
          <w:rFonts w:ascii="Calibri" w:cs="Calibri" w:eastAsia="Calibri" w:hAnsi="Calibri"/>
          <w:sz w:val="18"/>
          <w:szCs w:val="18"/>
          <w:color w:val="auto"/>
        </w:rPr>
        <w:t>Our current and antcipated future dependence upon others for the manufacture of our current products or any future product candidates or products may adversely afect our future proft margins and our ability to commercialize any products that receive marketng approval on a tmely and compettve basis.</w:t>
      </w:r>
    </w:p>
    <w:p>
      <w:pPr>
        <w:spacing w:after="0" w:line="192" w:lineRule="exact"/>
        <w:rPr>
          <w:sz w:val="20"/>
          <w:szCs w:val="20"/>
          <w:color w:val="auto"/>
        </w:rPr>
      </w:pPr>
    </w:p>
    <w:p>
      <w:pPr>
        <w:ind w:right="780"/>
        <w:spacing w:after="0" w:line="235" w:lineRule="auto"/>
        <w:rPr>
          <w:sz w:val="20"/>
          <w:szCs w:val="20"/>
          <w:color w:val="auto"/>
        </w:rPr>
      </w:pPr>
      <w:r>
        <w:rPr>
          <w:rFonts w:ascii="Calibri" w:cs="Calibri" w:eastAsia="Calibri" w:hAnsi="Calibri"/>
          <w:sz w:val="18"/>
          <w:szCs w:val="18"/>
          <w:b w:val="1"/>
          <w:bCs w:val="1"/>
          <w:i w:val="1"/>
          <w:iCs w:val="1"/>
          <w:color w:val="auto"/>
        </w:rPr>
        <w:t>Our reliance on third partes, including Sandoz, Catalent and Evonik, requires us to share our trade secrets, which increases the possibility that a compettor will discover them or that our trade secrets will be misappropriated or disclosed.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we rely, and expect to contnue to rely, on Sandoz, Catalent and Evonik to manufacture our current approved products and to perform quality testng, we must, at tmes, share our proprietary technology and confdental informaton, including trade secrets, with them. We seek to protect our proprietary technology, in part, by entering into confdentality agreements, consultng agreements or other similar agreements with our advisors, employees and consultants prior to beginning research or disclosing proprietary informaton. These agreements typically limit the rights of the third partes to use or disclose our confdental informaton. Despite the contractual provisions employed when working with third partes, the need to share trade secrets and other confdental informaton increases the risk that such trade secrets become known by our compettors, are intentonally or inadvertently incorporated into the technology of others or are disclosed or used in violaton of these agreements. Given that our proprietary positon is based, in part, on our know-how and trade secrets and despite our eforts to protect our trade secrets, a compettor’s discovery of our proprietary technology and confdental informaton or other unauthorized use or disclosure would impair our compettve positon and may have a material adverse efect on our business, fnancial conditon, results of operatons and prospects.</w:t>
      </w:r>
    </w:p>
    <w:p>
      <w:pPr>
        <w:spacing w:after="0" w:line="184"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The loss of, or signifcant reducton in business from, one or more of our major customers could signifcantly reduce our revenue, earnings or other operatng results.</w:t>
      </w:r>
    </w:p>
    <w:p>
      <w:pPr>
        <w:spacing w:after="0" w:line="19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sell our products primarily to established wholesale distributors and retailers in the pharmaceutcal industry. A signifcant porton of our revenue is derived from a relatvely small number of these customers. Three of our customers combined provided approximately 69% of our product sales during the year ended December 31, 2024, with each of these individual customers ranging from 22% to 25% of our product sales. The loss of any of these customers, or any of our other large customers, or reductons in business from them, could have a material adverse efect on our business, fnancial conditon, results of operatons, and cash fow. There can be no assurance that revenue from any customer will contnue at their historical levels. Further, as of December 31, 2024, three customers accounted for 81% of our accounts receivable balance, with each of these individual customers ranging from 25% to 31% of the accounts receivable balance. As a result, we are exposed to credit risk from these customers and if any of these customers were to fail to pay us in a tmely manner, our cash fows could be materially harmed.</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71" w:name="page72"/>
    <w:bookmarkEnd w:id="71"/>
    <w:p>
      <w:pPr>
        <w:ind w:right="100"/>
        <w:spacing w:after="0" w:line="235" w:lineRule="auto"/>
        <w:rPr>
          <w:sz w:val="20"/>
          <w:szCs w:val="20"/>
          <w:color w:val="auto"/>
        </w:rPr>
      </w:pPr>
      <w:r>
        <w:rPr>
          <w:rFonts w:ascii="Calibri" w:cs="Calibri" w:eastAsia="Calibri" w:hAnsi="Calibri"/>
          <w:sz w:val="18"/>
          <w:szCs w:val="18"/>
          <w:b w:val="1"/>
          <w:bCs w:val="1"/>
          <w:i w:val="1"/>
          <w:iCs w:val="1"/>
          <w:color w:val="auto"/>
        </w:rPr>
        <w:t>We may seek to enter into collaboratons, licenses and other similar arrangements and may not be successful in doing so, and even if we are, we may not realize the benefts of such relatonships.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may seek to enter into collaboratons, joint ventures, licenses and other similar arrangements for the development or commercializaton of our current products or any future product candidates due to, for example, capital costs required to develop or commercialize our current products or any future product candidates, or manufacturing constraints. We may not be successful in our eforts to establish such collaboratons because, among other reasons, third partes may not view our current products or future product candidates as having the requisite potental to demonstrate safety and efcacy or signifcant commercial opportunity. In additon, we face signifcant competton in seeking appropriate strategic partners, and the negotaton process can be tme consuming and complex. Further, any future collaboraton agreements may restrict us from entering into additonal agreements with potental collaborators. Following a strategic transacton or license, we may not achieve an economic beneft that justfes such transacton.</w:t>
      </w:r>
    </w:p>
    <w:p>
      <w:pPr>
        <w:spacing w:after="0" w:line="181"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Even if we are successful in our eforts to establish such collaboratons, the terms that we agree upon may not be favorable to us, and we may not be able to maintain such collaboratons if, for example, development or approval of a product candidate is delayed, the safety of a product candidate is questoned or sales of an approved product candidate are unsatsfactory.</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any potental future collaboratons may be terminable by our strategic partners, and we may not be able adequately to protect our rights under these agreements. Furthermore, strategic partners may negotate for certain rights to control decisions regarding the development and commercializaton of vonoprazan and any future product candidates and may not conduct those actvites in the same manner as we do. Any terminaton of collaboratons we enter into in the future, or any delay in entering into collaboratons, could delay or impair the further development and commercializaton of vonoprazan or the development and commercializaton of any future product candidates and reduce their compettveness if they reach the market, which could have a material adverse efect on our business, fnancial conditon and results of operatons.</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Business Operatons and Industry</w:t>
      </w:r>
    </w:p>
    <w:p>
      <w:pPr>
        <w:spacing w:after="0" w:line="17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b w:val="1"/>
          <w:bCs w:val="1"/>
          <w:i w:val="1"/>
          <w:iCs w:val="1"/>
          <w:color w:val="auto"/>
        </w:rPr>
        <w:t>Our operatng results may fuctuate signifcantly, which makes our future operatng results difcult to predict and could cause our operatng results to fall below expectatons or any guidance we may provide.</w:t>
      </w:r>
    </w:p>
    <w:p>
      <w:pPr>
        <w:spacing w:after="0" w:line="191"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Our quarterly and annual operatng results may fuctuate signifcantly, which makes it difcult for us to predict our future operatng results. These fuctuatons may occur due to a variety of factors, many of which are outside of our control, including, but not limited to:</w:t>
      </w:r>
    </w:p>
    <w:p>
      <w:pPr>
        <w:spacing w:after="0" w:line="123" w:lineRule="exact"/>
        <w:rPr>
          <w:sz w:val="20"/>
          <w:szCs w:val="20"/>
          <w:color w:val="auto"/>
        </w:rPr>
      </w:pPr>
    </w:p>
    <w:p>
      <w:pPr>
        <w:ind w:left="1020" w:right="12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cost of, and level of investment in, research, development, regulatory approval and commercializaton actvites relatng to our current products, or any future product candidates, which may change from tme to tme;</w:t>
      </w:r>
    </w:p>
    <w:p>
      <w:pPr>
        <w:spacing w:after="0" w:line="123"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coverage and reimbursement policies with respect to our current products, or any future product candidates, and potental future drugs that compete with such products, if approved;</w:t>
      </w:r>
    </w:p>
    <w:p>
      <w:pPr>
        <w:spacing w:after="0" w:line="123"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 of manufacturing of our current products or any future product candidates, which may vary depending on the quantty of producton and the terms of our agreements with Catalent, Evonik, Sandoz and any future third-party manufacturers;</w:t>
      </w:r>
    </w:p>
    <w:p>
      <w:pPr>
        <w:spacing w:after="0" w:line="123" w:lineRule="exact"/>
        <w:rPr>
          <w:rFonts w:ascii="Times New Roman" w:cs="Times New Roman" w:eastAsia="Times New Roman" w:hAnsi="Times New Roman"/>
          <w:sz w:val="18"/>
          <w:szCs w:val="18"/>
          <w:color w:val="auto"/>
        </w:rPr>
      </w:pPr>
    </w:p>
    <w:p>
      <w:pPr>
        <w:ind w:left="1020" w:right="16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business interruptons resultng from geopolitcal actons, including war, such as the ongoing hostlites in the Ukraine or the Middle East, and terrorism, or natural disasters such as earthquakes, typhoons, foods and fres or public health emergencies or pandemics;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will be required to pay to Takeda pursuant to the Takeda License;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expenditures that we may incur to acquire, develop or commercialize additonal product candidates and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level of demand for any approved products, which may vary signifcantly;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future accountng pronouncements or changes in our accountng policies; and</w:t>
      </w:r>
    </w:p>
    <w:p>
      <w:pPr>
        <w:spacing w:after="0" w:line="122"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3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success or failure of additonal clinical trials for vonoprazan or preclinical studies or clinical trials for any future product candidates or competng product candidates, or any other change in the compettve landscape of our industry, including consolidaton among our compettors or partners.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2" w:name="page73"/>
    <w:bookmarkEnd w:id="72"/>
    <w:p>
      <w:pPr>
        <w:ind w:right="60" w:firstLine="509"/>
        <w:spacing w:after="0" w:line="235" w:lineRule="auto"/>
        <w:rPr>
          <w:sz w:val="20"/>
          <w:szCs w:val="20"/>
          <w:color w:val="auto"/>
        </w:rPr>
      </w:pPr>
      <w:r>
        <w:rPr>
          <w:rFonts w:ascii="Calibri" w:cs="Calibri" w:eastAsia="Calibri" w:hAnsi="Calibri"/>
          <w:sz w:val="18"/>
          <w:szCs w:val="18"/>
          <w:color w:val="auto"/>
        </w:rPr>
        <w:t>The cumulatve efects of these factors could result in large fuctuatons and unpredictability in our quarterly and annual operatng results. As a result, comparing our operatng results on a period-to-period basis may not be meaningful. Investors should not rely on our past results as an indicaton of our future performance.</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This variability and unpredictability could also result in our failing to meet the expectatons of industry or fnancial analysts or investors for any period. If our revenue or operatng results fall below the expectatons of analysts or investors or below any forecasts we may provide to the market, or if the forecasts we provide to the market are below the expectatons of analysts or investors, the price of our common stock could decline substantally. Such a stock price decline could occur even when we have met any previously publicly stated revenue or earnings guidance we may provide.</w:t>
      </w:r>
    </w:p>
    <w:p>
      <w:pPr>
        <w:spacing w:after="0" w:line="17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Our indebtedness may limit our fexibility in operatng our business and adversely afect our fnancial health and compettve positon, and all of our obligatons under our indebtedness are secured by substantally all of our assets, excluding our intellectual property and certain other assets. If we default on these obligatons, our lenders could foreclose on our assets.</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September 2021, we entered into, and in December 2023 we increased the amounts available under and extended the maturity date of, a Loan Agreement with Hercules. We borrowed $100 million at the incepton of the Loan Agreement, $40 million in December 2023, $10 million in March 2024, $25 million in June 2024, and $25 million in December 2024 and may be eligible to borrow up to an additonal $100 million. All obligatons under the Loan Agreement are secured by a frst priority lien on substantally all of our assets, including intellectual property and certain other assets. As a result, if we default on any of our obligatons under the Loan Agreement, Hercules could foreclose on its security interest and liquidate some or all of the collateral, which would harm our business, fnancial conditon and results of operatons and could require us to reduce or cease operatons.</w:t>
      </w:r>
    </w:p>
    <w:p>
      <w:pPr>
        <w:spacing w:after="0" w:line="181"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In order to service our current indebtedness and any additonal indebtedness we may incur in the future, we need to generate cash from our operatng actvites or other fnancings. Our ability to generate cash is subject, in part, to our ability to successfully execute our business strategy, as well as general economic, fnancial, compettve, regulatory and other factors beyond our control. Our business may not be able to generate sufcient cash fow from operatons, and future borrowings or other fnancings may not be available to us in an amount sufcient to enable us to service our indebtedness and fund our other liquidity needs. To the extent we are required to use cash from operatons or the proceeds of any future fnancing to service our indebtedness instead of funding working capital or other general corporate purposes, we will be less able to plan for, or react to, changes in our business, industry and in the economy generally. This could place us at a compettve disadvantage compared to our compettors that have less indebtedness.</w:t>
      </w:r>
    </w:p>
    <w:p>
      <w:pPr>
        <w:spacing w:after="0" w:line="16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Loan Agreement contains customary afrmatve and negatve covenants that limit our ability to engage in certain transactons that may be in our long-term best interest. The afrmatve covenants include, among others, covenants requiring us to maintain certain levels of cash subject to a control agreement in favor of Hercules, and commencing on September 30, 2024, certain levels of trailing three-month net product revenue from the sale of VOQUEZNA and other products containing vonoprazan, deliver certain fnancial reports, maintain insurance coverage and satsfy certain requirements regarding our operatng accounts. The negatve covenants include, among others, limitatons on our ability to incur additonal indebtedness and liens, merge with other companies or consummate certain changes of control, acquire other companies, engage in new lines of business, make certain investments, pay dividends, transfer or dispose of assets, amend certain material agreements or enter into various specifed transactons.</w:t>
      </w:r>
    </w:p>
    <w:p>
      <w:pPr>
        <w:spacing w:after="0" w:line="195"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While we believe we are currently in compliance with the covenants contained in the Loan Agreement, we may breach these covenants in the future. Our ability to comply with these covenants may be afected by events and factors beyond our control. In the event that we breach one or more covenants, the lenders may choose to declare an event of default and require that we immediately repay all amounts outstanding under the applicable agreement, terminate any commitment to extend further credit and foreclose on the collateral. The occurrence of any of these events could have a material adverse efect on our business, fnancial conditon and results of operatons.</w:t>
      </w:r>
    </w:p>
    <w:p>
      <w:pPr>
        <w:spacing w:after="0" w:line="180"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Our Revenue Interest Financing Agreement could limit cash fow available for our operatons and expose us to risks that could adversely afect our business, fnancial conditon and results of operatons.</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May 2022, we entered into a Revenue Interest Financing Agreement with the Inital Investors pursuant to which we can receive up to $260 million in funding from the Inital Investors, and in October 2022, we entered into the Joinder Agreement under which we can receive up to $40 million from the Additonal Investor, bringing the total funding available under the Revenue Interest Financing Agreement to up to $300 million. Under the terms of the Revenue Interest Financing Agreement and Joinder Agreement,</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3" w:name="page74"/>
    <w:bookmarkEnd w:id="73"/>
    <w:p>
      <w:pPr>
        <w:jc w:val="both"/>
        <w:ind w:right="120"/>
        <w:spacing w:after="0" w:line="252" w:lineRule="auto"/>
        <w:rPr>
          <w:sz w:val="20"/>
          <w:szCs w:val="20"/>
          <w:color w:val="auto"/>
        </w:rPr>
      </w:pPr>
      <w:r>
        <w:rPr>
          <w:rFonts w:ascii="Calibri" w:cs="Calibri" w:eastAsia="Calibri" w:hAnsi="Calibri"/>
          <w:sz w:val="17"/>
          <w:szCs w:val="17"/>
          <w:color w:val="auto"/>
        </w:rPr>
        <w:t>we received $100 million at the inital closing and received an additonal $175 million in November 2023 following FDA approval of vonoprazan in its Erosive GERD indicaton. In additon, we were eligible for $25 million in additonal funding for achievement of a sales milestone. On December 23, 2024, CO Finance LVS XXXVII LLC agreed to assign and transfer to OC III LVS LX LP all of its rights, ttle and interest as an Additonal Investor and in connecton therewith, OC III LVS LX LP executed a Joinder Agreement. As of December 31, 2024, no additonal funding is available under the Revenue Interest Financing Agreement.</w:t>
      </w:r>
    </w:p>
    <w:p>
      <w:pPr>
        <w:spacing w:after="0" w:line="16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investors are enttled to receive a 10% royalty on net sales of products containing vonoprazan. The royalty rate is subject to a step-down on net sales exceeding certain annual thresholds and when we received FDA approval for vonoprazan for an indicaton relatng to the treatment of heartburn associated with Non-Erosive GERD, which occurred on July 17, 2024. The investors’ right to receive royaltes on net sales will terminate when the investors have aggregate payments equal to 200% of the Investment Amount.</w:t>
      </w:r>
    </w:p>
    <w:p>
      <w:pPr>
        <w:spacing w:after="0" w:line="179"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9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Pursuant to the Revenue Interest Financing Agreement, we also agreed to specifed afrmatve and negatve covenants, including covenants to use commercially reasonable eforts to promote products containing vonoprazan in the United States and covenants requiring us to maintain certain levels of cash. The Revenue Interest Financing Agreement also contains representatons and warrantes, other covenants, indemnifcaton obligatons, and other provisions customary for transactons of this nature. In the event of an event of default under the Revenue Interest Financing Agreement, the investors may be enttled to foreclose on the pledged collateral which includes the applicable royalty under the Revenue Interest Financing Agreement from net sales of VOQUEZNA and other products containing vonoprazan.</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future growth and ability to compete depends on retaining our key personnel and recruitng additonal qualifed personnel.</w:t>
      </w:r>
    </w:p>
    <w:p>
      <w:pPr>
        <w:spacing w:after="0" w:line="177"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are highly dependent on the management, commercial, development, clinical, and fnancial experience of our senior management. Although we have entered into employment agreements with our executve ofcers, each of them may terminate their employment with us at any tme. We do not maintain “key person” insurance for any of our executves or employees. This lack of insurance means that we may not have adequate compensaton for the loss of the services of these individuals. Competton for qualifed personnel in the biopharmaceutcal feld is intense, and our future success depends upon our ability to atract, retain and motvate highly skilled commercial, scientfc, technical and managerial employees. We face competton for personnel from other biopharmaceutcal companies and other organizatons. If our recruitment and retenton eforts are unsuccessful in the future, it may be difcult for us to implement business strategy, which could harm our business. In additon, we rely on consultants and advisors, including scientfc and clinical advisors, to assist us in formulatng and implementng our development and commercializaton strategy. Our consultants and advisors may be employed by employers other than us and may have commitments under consultng or advisory contracts with other enttes that may limit their availability to us. If we are unable to contnue to atract, retain and motvate necessary personnel to accomplish our business objectves, we may experience constraints that will signifcantly impede achievement of our commercial and development objectves, our ability to raise additonal capital and our ability to implement our business strategy.</w:t>
      </w:r>
    </w:p>
    <w:p>
      <w:pPr>
        <w:spacing w:after="0" w:line="18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b w:val="1"/>
          <w:bCs w:val="1"/>
          <w:i w:val="1"/>
          <w:iCs w:val="1"/>
          <w:color w:val="auto"/>
        </w:rPr>
        <w:t>We have substantally increased the size of our organizaton over the past year, and we may encounter difcultes in managing our growth and expanding our operatons successfully.</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number of employees contnued to increase substantally in 2024 in support of our commercializaton of VOQUEZNA, VOQUEZNA TRIPLE PAK and VOQUEZNA DUAL PAK. This expansion of our operatons has resulted in a signifcant increase in our commercial organizaton, which may divert our management and business development resources from our clinical development group. To manage our recent growth and antcipated future growth, we must contnue to implement and improve our managerial, operatonal and fnancial systems, and contnue to recruit and train additonal qualifed personnel. Due to our limited fnancial resources and the limited experience of our management team in managing a company with such antcipated growth, we may not be able to efectvely manage the expansion of our operatons or recruit and train additonal qualifed personnel. Any inability to manage growth could delay the executon of our business plans or disrupt our operatons.</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4" w:name="page75"/>
    <w:bookmarkEnd w:id="74"/>
    <w:p>
      <w:pPr>
        <w:ind w:right="340"/>
        <w:spacing w:after="0" w:line="235" w:lineRule="auto"/>
        <w:rPr>
          <w:sz w:val="20"/>
          <w:szCs w:val="20"/>
          <w:color w:val="auto"/>
        </w:rPr>
      </w:pPr>
      <w:r>
        <w:rPr>
          <w:rFonts w:ascii="Calibri" w:cs="Calibri" w:eastAsia="Calibri" w:hAnsi="Calibri"/>
          <w:sz w:val="18"/>
          <w:szCs w:val="18"/>
          <w:b w:val="1"/>
          <w:bCs w:val="1"/>
          <w:i w:val="1"/>
          <w:iCs w:val="1"/>
          <w:color w:val="auto"/>
        </w:rPr>
        <w:t>We are subject to various foreign, federal, and state healthcare laws and regulatons, and our failure to comply with these laws and regulatons could harm our results of operatons and fnancial conditon.</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Our business operatons and current and future arrangements with investgators, healthcare professionals, consultants, third-party payers, patent organizatons and customers expose us to broadly applicable foreign, federal and state fraud and abuse and other healthcare laws and regulatons. These laws may constrain the business or fnancial arrangements and relatonships through which we conduct our operatons, including how we research, market, sell and distribute any products for which we obtain marketng approval. Such laws include, but are not limited to:</w:t>
      </w:r>
    </w:p>
    <w:p>
      <w:pPr>
        <w:spacing w:after="0" w:line="125" w:lineRule="exact"/>
        <w:rPr>
          <w:sz w:val="20"/>
          <w:szCs w:val="20"/>
          <w:color w:val="auto"/>
        </w:rPr>
      </w:pPr>
    </w:p>
    <w:p>
      <w:pPr>
        <w:ind w:left="1020" w:hanging="503"/>
        <w:spacing w:after="0" w:line="235" w:lineRule="auto"/>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Ant-Kickback Statute, which prohibits, among other things, persons or enttes from knowingly and willfully solicitng, ofering, receiving or providing any remuneraton (including any kickback, bribe or certain rebates), directly or indirectly, overtly or covertly, in cash or in kind, to induce or reward, or in return for, either the referral of an individual for, or the purchase, lease, or order, or arranging for or recommending the purchase, lease, or order of any good, facility, item or service, for which payment may be made, in whole or in part, under any U.S. federal healthcare program, such as Medicare and Medicaid. A person or entty does not need to have actual knowledge of the federal Ant-Kickback Statute or specifc intent to violate it in order to have commited a violaton;</w:t>
      </w:r>
    </w:p>
    <w:p>
      <w:pPr>
        <w:spacing w:after="0" w:line="126" w:lineRule="exact"/>
        <w:rPr>
          <w:rFonts w:ascii="Times New Roman" w:cs="Times New Roman" w:eastAsia="Times New Roman" w:hAnsi="Times New Roman"/>
          <w:sz w:val="18"/>
          <w:szCs w:val="18"/>
          <w:color w:val="auto"/>
        </w:rPr>
      </w:pPr>
    </w:p>
    <w:p>
      <w:pPr>
        <w:ind w:left="1020" w:right="20" w:hanging="503"/>
        <w:spacing w:after="0" w:line="235" w:lineRule="auto"/>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civil and criminal federal false claims laws, including the civil False Claims Act, which can be enforced through civil whistleblower or qui tam actons, and civil monetary penaltes laws, which prohibit, among other things, individuals or enttes from knowingly presentng, or causing to be presented, to the federal government, claims for payment or approval that are false or fraudulent, knowingly making, using or causing to be made or used, a false record or statement material to a false or fraudulent claim, or from knowingly making or causing to be made a false statement to avoid, decrease or conceal an obligaton to pay money to the U.S. federal government. In additon, the government may assert that a claim including items or services resultng from a violaton of the federal Ant-Kickback Statute consttutes a false or fraudulent claim for purposes of the False Claims Act;</w:t>
      </w:r>
    </w:p>
    <w:p>
      <w:pPr>
        <w:spacing w:after="0" w:line="127" w:lineRule="exact"/>
        <w:rPr>
          <w:rFonts w:ascii="Times New Roman" w:cs="Times New Roman" w:eastAsia="Times New Roman" w:hAnsi="Times New Roman"/>
          <w:sz w:val="18"/>
          <w:szCs w:val="18"/>
          <w:color w:val="auto"/>
        </w:rPr>
      </w:pPr>
    </w:p>
    <w:p>
      <w:pPr>
        <w:ind w:left="1020" w:right="20" w:hanging="503"/>
        <w:spacing w:after="0" w:line="235" w:lineRule="auto"/>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Health Insurance Portability and Accountability Act of 1996, or HIPAA, which imposes criminal and civil liability for, among other things, knowingly and willfully executng, or atemptng to execute, a scheme to defraud any healthcare beneft program, or knowingly and willfully falsifying, concealing or covering up a material fact or making any materially false statement, in connecton with the delivery of, or payment for, healthcare benefts, items or services. Similar to the U.S. federal Ant-Kickback Statute, a person or entty does not need to have actual knowledge of the healthcare fraud statute implemented under HIPAA or specifc intent to violate it in order to have commited a violaton;</w:t>
      </w:r>
    </w:p>
    <w:p>
      <w:pPr>
        <w:spacing w:after="0" w:line="126"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 federal Physician Payments Sunshine Act, which requires certain manufacturers of drugs, devices, biologics and medical supplies for which payment is available under Medicare, Medicaid or the Children’s Health Insurance Program (with certain exceptons) to report annually to CMS, informaton related to certain payments and other “transfers of value” made to physicians (defned to include doctors, dentsts, optometrists, podiatrists and chiropractors) , certain non-physician practtoners (physician assistants, nurse practtoners, clinical nurse specialists, certfed registered nurse anesthetsts, anesthesiology assistants and certfed nurse midwives)and teaching hospitals, as well as ownership and investment interests held by the physicians described above and their immediate family members; and</w:t>
      </w:r>
    </w:p>
    <w:p>
      <w:pPr>
        <w:spacing w:after="0" w:line="126" w:lineRule="exact"/>
        <w:rPr>
          <w:rFonts w:ascii="Times New Roman" w:cs="Times New Roman" w:eastAsia="Times New Roman" w:hAnsi="Times New Roman"/>
          <w:sz w:val="18"/>
          <w:szCs w:val="18"/>
          <w:color w:val="auto"/>
        </w:rPr>
      </w:pPr>
    </w:p>
    <w:p>
      <w:pPr>
        <w:ind w:left="1020" w:right="100" w:hanging="503"/>
        <w:spacing w:after="0" w:line="235" w:lineRule="auto"/>
        <w:tabs>
          <w:tab w:leader="none" w:pos="1020" w:val="left"/>
        </w:tabs>
        <w:numPr>
          <w:ilvl w:val="0"/>
          <w:numId w:val="3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analogous state and foreign laws and regulatons, such as state ant-kickback and false claims laws, which may apply to our business practces, including but not limited to, research, distributon, sales and marketng arrangements and claims involving healthcare items or services reimbursed by non-governmental third-party payers, including private insurers, or by the patents themselves; state laws that require pharmaceutcal companies to comply with the pharmaceutcal industry’s voluntary compliance guidelines and the relevant compliance guidance promulgated by the federal government, or otherwise restrict payments that may be made to healthcare providers and other potental referral sources; and state laws and regulatons that require drug manufacturers to fle reports relatng to pricing and marketng informaton or which require tracking gifs and other remuneraton and items of value provided to physicians, other healthcare providers and enttes.</w:t>
      </w:r>
    </w:p>
    <w:p>
      <w:pPr>
        <w:spacing w:after="0" w:line="182"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may also be subject to additonal regulaton in the conduct of our business. For example, we may be subject to the U.S. Foreign Corrupt Practces Act of 1977, as amended, which prohibits, among other things, U.S. companies and their employees and agents from authorizing, promising, ofering, or providing, directly or indirectly, corrupt or improper payments or anything else of</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5" w:name="page76"/>
    <w:bookmarkEnd w:id="75"/>
    <w:p>
      <w:pPr>
        <w:ind w:right="260"/>
        <w:spacing w:after="0" w:line="235" w:lineRule="auto"/>
        <w:rPr>
          <w:sz w:val="20"/>
          <w:szCs w:val="20"/>
          <w:color w:val="auto"/>
        </w:rPr>
      </w:pPr>
      <w:r>
        <w:rPr>
          <w:rFonts w:ascii="Calibri" w:cs="Calibri" w:eastAsia="Calibri" w:hAnsi="Calibri"/>
          <w:sz w:val="18"/>
          <w:szCs w:val="18"/>
          <w:color w:val="auto"/>
        </w:rPr>
        <w:t>value to foreign government ofcials, employees of public internatonal organizatons and foreign government owned or afliated enttes, candidates for foreign politcal ofce, and foreign politcal partes or ofcials thereof.</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Ensuring that our internal operatons and business arrangements with third partes comply with applicable healthcare laws and regulatons could involve substantal costs. It is possible that governmental authorites will conclude that our business practces do not comply with current or future statutes, regulatons, agency guidance or case law involving applicable fraud and abuse or other healthcare laws and regulatons. If our operatons are found to be in violaton of any of the laws described above or any other governmental laws and regulatons that may apply to us, we may be subject to signifcant penaltes, including civil, criminal and administratve penaltes, damages, fnes, exclusion from U.S. government funded healthcare programs, such as Medicare and Medicaid, or similar programs in other countries or jurisdictons, disgorgement, imprisonment, contractual damages, reputatonal harm, additonal reportng requirements and oversight if we become subject to a corporate integrity agreement or similar agreement to resolve allegatons of non-compliance with these laws, diminished profts and the curtailment or restructuring of our operatons. Further, defending against any such actons can be costly, tme consuming and may require signifcant fnancial and personnel resources. Therefore, even if we are successful in defending against any such actons that may be brought against us, our business may be impaired. If any of the physicians or other providers or enttes with whom we expect to do business are found not to be in compliance with applicable laws, they may be subject to signifcant criminal, civil or administratve sanctons, including exclusion from government funded healthcare programs and imprisonment. If any of the above occur, it could adversely afect our ability to operate our business and our results of operatons.</w:t>
      </w:r>
    </w:p>
    <w:p>
      <w:pPr>
        <w:spacing w:after="0" w:line="186"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Enacted and future legislaton and healthcare reform measures may increase the difculty and cost for us to commercialize vonoprazan and any future product candidates and may afect the prices we may set.</w:t>
      </w:r>
    </w:p>
    <w:p>
      <w:pPr>
        <w:spacing w:after="0" w:line="191" w:lineRule="exact"/>
        <w:rPr>
          <w:sz w:val="20"/>
          <w:szCs w:val="20"/>
          <w:color w:val="auto"/>
        </w:rPr>
      </w:pPr>
    </w:p>
    <w:p>
      <w:pPr>
        <w:ind w:right="80" w:firstLine="509"/>
        <w:spacing w:after="0" w:line="252" w:lineRule="auto"/>
        <w:rPr>
          <w:sz w:val="20"/>
          <w:szCs w:val="20"/>
          <w:color w:val="auto"/>
        </w:rPr>
      </w:pPr>
      <w:r>
        <w:rPr>
          <w:rFonts w:ascii="Calibri" w:cs="Calibri" w:eastAsia="Calibri" w:hAnsi="Calibri"/>
          <w:sz w:val="17"/>
          <w:szCs w:val="17"/>
          <w:color w:val="auto"/>
        </w:rPr>
        <w:t>In the United States and some foreign jurisdictons, there have been, and we expect there will contnue to be, a number of legislatve and regulatory changes and proposed changes to the healthcare system, including cost-containment measures, that may reduce or limit coverage and reimbursement for newly approved drugs and afect our ability to proftably sell any product candidates for which we obtain marketng approval. In partcular, there have been and contnue to be a number of initatves at the U.S. federal and state levels that seek to reduce healthcare costs and improve the quality of healthcare.</w:t>
      </w:r>
    </w:p>
    <w:p>
      <w:pPr>
        <w:spacing w:after="0" w:line="168" w:lineRule="exact"/>
        <w:rPr>
          <w:sz w:val="20"/>
          <w:szCs w:val="20"/>
          <w:color w:val="auto"/>
        </w:rPr>
      </w:pPr>
    </w:p>
    <w:p>
      <w:pPr>
        <w:ind w:right="400" w:firstLine="509"/>
        <w:spacing w:after="0" w:line="235" w:lineRule="auto"/>
        <w:rPr>
          <w:sz w:val="20"/>
          <w:szCs w:val="20"/>
          <w:color w:val="auto"/>
        </w:rPr>
      </w:pPr>
      <w:r>
        <w:rPr>
          <w:rFonts w:ascii="Calibri" w:cs="Calibri" w:eastAsia="Calibri" w:hAnsi="Calibri"/>
          <w:sz w:val="18"/>
          <w:szCs w:val="18"/>
          <w:color w:val="auto"/>
        </w:rPr>
        <w:t>For example, in March 2010, the Patent Protecton and Afordable Care Act, the Afordable Care Act, was enacted in the United States, which substantally changed the way healthcare is fnanced by both governmental and private insurers, and signifcantly afected the pharmaceutcal industry. Among other things, the Afordable Care Act includes:</w:t>
      </w:r>
    </w:p>
    <w:p>
      <w:pPr>
        <w:spacing w:after="0" w:line="124" w:lineRule="exact"/>
        <w:rPr>
          <w:sz w:val="20"/>
          <w:szCs w:val="20"/>
          <w:color w:val="auto"/>
        </w:rPr>
      </w:pPr>
    </w:p>
    <w:p>
      <w:pPr>
        <w:ind w:left="1020" w:right="240" w:hanging="503"/>
        <w:spacing w:after="0" w:line="235" w:lineRule="auto"/>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annual, nondeductble fee on any entty that manufactures or imports specifed branded prescripton drugs and biologic agents, which is apportoned among these enttes according to their market share in certain government healthcare programs;</w:t>
      </w:r>
    </w:p>
    <w:p>
      <w:pPr>
        <w:spacing w:after="0" w:line="123" w:lineRule="exact"/>
        <w:rPr>
          <w:rFonts w:ascii="Times New Roman" w:cs="Times New Roman" w:eastAsia="Times New Roman" w:hAnsi="Times New Roman"/>
          <w:sz w:val="18"/>
          <w:szCs w:val="18"/>
          <w:color w:val="auto"/>
        </w:rPr>
      </w:pPr>
    </w:p>
    <w:p>
      <w:pPr>
        <w:ind w:left="1020" w:right="180" w:hanging="503"/>
        <w:spacing w:after="0" w:line="235" w:lineRule="auto"/>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Medicare Part D coverage gap discount program, which was replaced by a new manufacturer discount program on January 1, 2025 (as discussed below), in which manufacturers were required to ofer point-of-sale discounts of negotated prices of applicable brand drugs to eligible benefciaries during their coverage gap period, as a conditon for the manufacturer’s outpatent drugs to be covered under Medicare Part D;</w:t>
      </w:r>
    </w:p>
    <w:p>
      <w:pPr>
        <w:spacing w:after="0" w:line="124"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increase in the statutory minimum rebates a manufacturer must pay under the Medicaid Drug Rebate Program to 23.1% and 13.0% of the AMP for branded and generic drugs, respectvely;</w:t>
      </w:r>
    </w:p>
    <w:p>
      <w:pPr>
        <w:spacing w:after="0" w:line="123" w:lineRule="exact"/>
        <w:rPr>
          <w:rFonts w:ascii="Times New Roman" w:cs="Times New Roman" w:eastAsia="Times New Roman" w:hAnsi="Times New Roman"/>
          <w:sz w:val="18"/>
          <w:szCs w:val="18"/>
          <w:color w:val="auto"/>
        </w:rPr>
      </w:pPr>
    </w:p>
    <w:p>
      <w:pPr>
        <w:ind w:left="1020" w:right="140" w:hanging="503"/>
        <w:spacing w:after="0" w:line="235" w:lineRule="auto"/>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methodology by which rebates owed by manufacturers under the Medicaid Drug Rebate Program are calculated for drugs that are inhaled, infused, instlled, implanted or injected;</w:t>
      </w:r>
    </w:p>
    <w:p>
      <w:pPr>
        <w:spacing w:after="0" w:line="123" w:lineRule="exact"/>
        <w:rPr>
          <w:rFonts w:ascii="Times New Roman" w:cs="Times New Roman" w:eastAsia="Times New Roman" w:hAnsi="Times New Roman"/>
          <w:sz w:val="18"/>
          <w:szCs w:val="18"/>
          <w:color w:val="auto"/>
        </w:rPr>
      </w:pPr>
    </w:p>
    <w:p>
      <w:pPr>
        <w:ind w:left="1020" w:right="220" w:hanging="503"/>
        <w:spacing w:after="0" w:line="235" w:lineRule="auto"/>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extension of a manufacturers’ Medicaid rebate liability to covered drugs dispensed to individuals who are enrolled in Medicaid managed care organizatons;</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expansion of the enttes eligible for discounts under the 340B drug pharmaceutcal pricing program;</w:t>
      </w:r>
    </w:p>
    <w:p>
      <w:pPr>
        <w:spacing w:after="0" w:line="122"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new Patent-Centered Outcomes Research Insttute to oversee, identfy priorites in and conduct comparatve clinical efectveness research, along with funding for such research; and</w:t>
      </w:r>
    </w:p>
    <w:p>
      <w:pPr>
        <w:spacing w:after="0" w:line="123" w:lineRule="exact"/>
        <w:rPr>
          <w:rFonts w:ascii="Times New Roman" w:cs="Times New Roman" w:eastAsia="Times New Roman" w:hAnsi="Times New Roman"/>
          <w:sz w:val="18"/>
          <w:szCs w:val="18"/>
          <w:color w:val="auto"/>
        </w:rPr>
      </w:pPr>
    </w:p>
    <w:p>
      <w:pPr>
        <w:ind w:left="1020" w:right="380" w:hanging="503"/>
        <w:spacing w:after="0" w:line="235" w:lineRule="auto"/>
        <w:tabs>
          <w:tab w:leader="none" w:pos="1020" w:val="left"/>
        </w:tabs>
        <w:numPr>
          <w:ilvl w:val="0"/>
          <w:numId w:val="3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of a Center for Medicare Innovaton at CMS to test innovatve payment and service delivery models to lower Medicare and Medicaid spending, potentally including prescripton drug spending.</w:t>
      </w: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76" w:name="page77"/>
    <w:bookmarkEnd w:id="76"/>
    <w:p>
      <w:pPr>
        <w:ind w:right="240" w:firstLine="509"/>
        <w:spacing w:after="0" w:line="235" w:lineRule="auto"/>
        <w:rPr>
          <w:sz w:val="20"/>
          <w:szCs w:val="20"/>
          <w:color w:val="auto"/>
        </w:rPr>
      </w:pPr>
      <w:r>
        <w:rPr>
          <w:rFonts w:ascii="Calibri" w:cs="Calibri" w:eastAsia="Calibri" w:hAnsi="Calibri"/>
          <w:sz w:val="18"/>
          <w:szCs w:val="18"/>
          <w:color w:val="auto"/>
        </w:rPr>
        <w:t>Since its enactment, there have been judicial and politcal challenges to certain aspects of the Afordable Care Act. On June 17, 2021, the U.S. Supreme Court dismissed the most recent judicial challenge to the Afordable Care Act without specifcally ruling on the consttutonality of the Afordable Care Act. Thus, the Afordable Care Act will remain in efect in its current form.</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other legislatve changes have been proposed and adopted since the Afordable Care Act was enacted. For example, beginning April 1, 2013, Medicare payments to providers were reduced under the sequestraton required by the Budget Control Act of 2011, which will remain in efect through 2032, unless additonal Congressional acton is taken. Additonally, on January 2, 2013, the American Taxpayer Relief Act of 2012 was signed into law, which, among other things, further reduced Medicare payments to several providers, including hospitals, imaging centers and cancer treatment centers, and increased the statute of limitatons period for the government to recover overpayments to providers from three to fve years. On March 11, 2021, the American Rescue Plan Act of 2021 was signed into law, which eliminated the statutory Medicaid drug rebate cap, beginning January 1, 2024. Previously, the rebate was capped at 100% of a drug’s AMP.</w:t>
      </w:r>
    </w:p>
    <w:p>
      <w:pPr>
        <w:spacing w:after="0" w:line="181"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Further, there has been heightened governmental scrutny in the United States of pharmaceutcal pricing practces in light of the rising cost of prescripton drugs. At the federal level, such scrutny has resulted in several recent congressional inquiries and proposed and enacted federal and state legislaton designed to, among other things, bring more transparency to product pricing, review the relatonship between pricing and manufacturer patent programs, and reform government program reimbursement methodologies for products.</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Most signifcantly, on August 16, 2022, the Infaton Reducton Act of 2022, or IRA, was signed into law. This statute marks the most signifcant acton by Congress with respect to the pharmaceutcal industry since adopton of the Afordable Care Act in 2010. Among other things, the IRA requires manufacturers of certain drugs to engage in price negotatons with Medicare (beginning in 2026), with prices that can be negotated subject to a cap; imposes rebates under Medicare Part B and Medicare Part D to penalize price increases that outpace infaton (frst due in 2023); and replaces the Part D coverage gap discount program with a new discountng program (which began on January 1, 2025). The IRA permits the Secretary of the Department of Health and Human Services, or HHS, to implement many of these provisions through guidance, as opposed to regulaton, for the inital years HHS has and will contnue to issue and update guidance as these programs are implemented. CMS has published the negotated prices for the inital ten drugs, which will frst be efectve in 2026, and the list of the subsequent 15 drugs that will be subject to negotaton, although program is currently subject to legal challenges. The impact of the IRA on the pharmaceutcal industry cannot yet be fully determined, but is likely to be signifcant. The likelihood of implementaton of these and other reform initatves is uncertain. In the coming years, additonal legislatve and regulatory changes could be made to governmental health programs that could signifcantly impact pharmaceutcal companies and the success of our product candidates.</w:t>
      </w:r>
    </w:p>
    <w:p>
      <w:pPr>
        <w:spacing w:after="0" w:line="185"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At the state level, legislatures have increasingly passed legislaton and implemented regulatons designed to control pharmaceutcal and biological product pricing, including price or patent reimbursement constraints, discounts, restrictons on certain product access and marketng cost disclosure, drug price reportng and other transparency measures, and, in some cases, designed to encourage importaton from other countries and bulk purchasing. Some states have enacted legislaton creatng so-called prescripton drug afordability boards, which ultmately may atempt to impose price limits on certain drugs in these states. In additon, regional healthcare authorites and individual hospitals are increasingly using bidding procedures to determine what pharmaceutcal products and which suppliers will be included in their prescripton drug and other healthcare programs. Furthermore, there has been increased interest by third party payers and governmental authorites in reference pricing systems and publicaton of discounts and list prices. These reforms could reduce the ultmate demand for vonoprazan and any future product candidates, if approved, or put pressure on our product pricing, which could negatvely afect our business, results of operatons, fnancial conditon and prospects.</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expect that these healthcare reform measures that may be adopted in the future may result in more rigorous coverage criteria, new payment methodologies and additonal downward pressure on the price that we receive for any approved product. Any reducton in reimbursement from Medicare or other government programs may result in a similar reducton in payments from private payers. The implementaton of cost containment measures or other healthcare reforms may prevent us from being able to generate revenue, atain proftability or commercialize vonoprazan and any future product candidates, if approved.</w:t>
      </w:r>
    </w:p>
    <w:p>
      <w:pPr>
        <w:spacing w:after="0" w:line="193"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i w:val="1"/>
          <w:iCs w:val="1"/>
          <w:color w:val="auto"/>
        </w:rPr>
        <w:t>We and any of our third-party manufacturers or suppliers may use potent chemical agents and hazardous materials, and any claims relatng to improper handling, storage or disposal of these materials could be tme consuming or costly.</w:t>
      </w:r>
    </w:p>
    <w:p>
      <w:pPr>
        <w:spacing w:after="0" w:line="177"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We and any of our third-party manufacturers or suppliers will use biological materials, potent chemical agents and may use hazardous materials, including chemicals and biological agents and compounds that could be dangerous to human health and safety</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77" w:name="page78"/>
    <w:bookmarkEnd w:id="77"/>
    <w:p>
      <w:pPr>
        <w:ind w:right="20"/>
        <w:spacing w:after="0" w:line="235" w:lineRule="auto"/>
        <w:rPr>
          <w:sz w:val="20"/>
          <w:szCs w:val="20"/>
          <w:color w:val="auto"/>
        </w:rPr>
      </w:pPr>
      <w:r>
        <w:rPr>
          <w:rFonts w:ascii="Calibri" w:cs="Calibri" w:eastAsia="Calibri" w:hAnsi="Calibri"/>
          <w:sz w:val="18"/>
          <w:szCs w:val="18"/>
          <w:color w:val="auto"/>
        </w:rPr>
        <w:t>of the environment. Our operatons and the operatons of our third-party manufacturers and suppliers also produce hazardous waste products. Federal, state and local laws and regulatons govern the use, generaton, manufacture, storage, handling and disposal of these materials and wastes. Compliance with applicable environmental laws and regulatons may be expensive, and current or future environmental laws and regulatons may impair our product development eforts. In additon, we cannot eliminate the risk of accidental injury or contaminaton from these materials or wastes. We do not carry specifc biological or hazardous waste insurance coverage, and our property, casualty and general liability insurance policies specifcally exclude coverage for damages and fnes arising from biological or hazardous waste exposure or contaminaton. In the event of contaminaton or injury, we could be held liable for damages or be penalized with fnes in an amount exceeding our resources, and our clinical trials or regulatory approvals could be suspended.</w:t>
      </w:r>
    </w:p>
    <w:p>
      <w:pPr>
        <w:spacing w:after="0" w:line="181"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Although we maintain workers’ compensaton insurance for certain costs and expenses we may incur due to injuries to our employees resultng from the use of hazardous materials or other work- related injuries, this insurance may not provide adequate coverage against potental liabilites. We do not maintain insurance for toxic tort claims that may be asserted against us in connecton with our storage or disposal of biologic, hazardous or radioactve materials.</w:t>
      </w:r>
    </w:p>
    <w:p>
      <w:pPr>
        <w:spacing w:after="0" w:line="179"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additon, we may incur substantal costs in order to comply with current or future environmental, health and safety laws and regulatons, which have tended to become more stringent over tme. These current or future laws and regulatons may impair our research, development or producton eforts. Failure to comply with these laws and regulatons also may result in substantal fnes, penaltes or other sanctons or liabilites, which could materially adversely afect our business, fnancial conditon, results of operatons and prospects.</w:t>
      </w:r>
    </w:p>
    <w:p>
      <w:pPr>
        <w:spacing w:after="0" w:line="192"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U.S. legislaton, sanctons, trade restrictons and other foreign regulatory requirements could adversely impact the supply of material from foreign CROs and CMOs to us or our ability to secure government commitments to purchase potental therapies.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currently and may in the future rely on foreign CROs and CMOs, such as Evonik based in Germany and Sandoz based in Austria. Such foreign CROs and CMOs may be subject to U.S. legislaton, sanctons, trade restrictons and other foreign regulatory requirements which could increase the cost or reduce the supply of material available to us, delay the procurement or supply of such material or have an adverse efect on our ability to secure signifcant commitments from governments to purchase potental therapies. For example, members of the U.S. Congress have introduced bills aimed at commercial supply of pharmaceutcal products and the Trump Administraton has announced tarifs on certain industries, such as steel and aluminum imports, and the intent to impose additonal tarifs for other industries or countries. If these bills become law, or similar laws are passed, or if sanctons applicable to our commercial supply chain are imposed, they would have the potental to severely increase our costs or we may be required to shif manufacturing to other third partes which could be costly and cause supply disruptons which could adversely impact our operatons.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product liability lawsuits are brought against us, we may incur substantal liabilites and may be required to limit commercializaton of our products.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exposed to potental product liability risks that are inherent in the development, manufacturing, marketng, and use of pharmaceutcal products. The current and future use of product candidates by us in clinical trials, and the sale of VOQUEZNA, VOQUEZNA TRIPLE PAK, VOQUEZNA DUAL PAK, and any other approved products in the future, may expose us to liability claims. These claims might be made by patents that use the product, healthcare providers, pharmaceutcal companies, or others selling such products. Any claims against us, regardless of their merit, could be difcult and costly to defend or setle, and could compromise the market acceptance of our product candidates or any prospects for the commercializaton of our products and, if approved, product candidates.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Although the clinical trial process is designed to identfy and assess potental side efects, it is always possible that a drug, even afer regulatory approval, may exhibit unforeseen side efects. If any of our product candidates were to cause adverse side efects during clinical trials or afer approval of the product candidate, we may be exposed to substantal liabilites. Physicians and patents may not comply with any warnings that identfy known potental adverse efects and patents who should not use our product candidates.</w:t>
      </w:r>
    </w:p>
    <w:p>
      <w:pPr>
        <w:spacing w:after="0" w:line="179" w:lineRule="exact"/>
        <w:rPr>
          <w:sz w:val="20"/>
          <w:szCs w:val="20"/>
          <w:color w:val="auto"/>
        </w:rPr>
      </w:pPr>
    </w:p>
    <w:p>
      <w:pPr>
        <w:jc w:val="both"/>
        <w:ind w:right="360" w:firstLine="509"/>
        <w:spacing w:after="0" w:line="235" w:lineRule="auto"/>
        <w:rPr>
          <w:sz w:val="20"/>
          <w:szCs w:val="20"/>
          <w:color w:val="auto"/>
        </w:rPr>
      </w:pPr>
      <w:r>
        <w:rPr>
          <w:rFonts w:ascii="Calibri" w:cs="Calibri" w:eastAsia="Calibri" w:hAnsi="Calibri"/>
          <w:sz w:val="18"/>
          <w:szCs w:val="18"/>
          <w:color w:val="auto"/>
        </w:rPr>
        <w:t>If we cannot successfully defend ourselves against product liability claims, we may incur substantal liabilites or be required to limit or cease the commercializaton of our products. Even a successful defense would require signifcant fnancial and management resources. Regardless of the merits or eventual outcome, liability claims may result in:</w:t>
      </w:r>
    </w:p>
    <w:p>
      <w:pPr>
        <w:spacing w:after="0" w:line="119"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Calibri" w:cs="Calibri" w:eastAsia="Calibri" w:hAnsi="Calibri"/>
          <w:sz w:val="18"/>
          <w:szCs w:val="18"/>
          <w:color w:val="auto"/>
        </w:rPr>
        <w:t>decreased demand for our products;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78" w:name="page79"/>
    <w:bookmarkEnd w:id="78"/>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injury to our reputaton and signifcant negatve media atenton;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withdrawal of clinical trial partcipants;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to defend the related litgaton;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diversion of management’s tme and our resources;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substantal monetary awards to trial partcipants or patents;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product recalls, withdrawals or labeling, marketng or promotonal restrictons;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signifcant negatve fnancial impact;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inability to commercialize our current products and any future product candidates;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decline in our stock price.</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Although we maintain product liability insurance, any claim that may be brought against us could result in a court judgment or setlement in an amount that is not covered, in whole or in part, by our insurance or that is in excess of the limits of our insurance coverage. Our insurance policies also have various exclusions and deductbles, and we may be subject to a product liability claim for which we have no coverage. We will have to pay any amounts awarded by a court or negotated in a setlement that exceed our coverage limitatons or that are not covered by our insurance, and we may not have, or be able to obtain, sufcient capital to pay such amounts in which case our business operatons could be impaired. Moreover, in the future, we may not be able to maintain insurance coverage at a reasonable cost or in sufcient amounts to protect us against losses.</w:t>
      </w:r>
    </w:p>
    <w:p>
      <w:pPr>
        <w:spacing w:after="0" w:line="181" w:lineRule="exact"/>
        <w:rPr>
          <w:sz w:val="20"/>
          <w:szCs w:val="20"/>
          <w:color w:val="auto"/>
        </w:rPr>
      </w:pPr>
    </w:p>
    <w:p>
      <w:pPr>
        <w:ind w:right="340"/>
        <w:spacing w:after="0" w:line="258" w:lineRule="auto"/>
        <w:rPr>
          <w:sz w:val="20"/>
          <w:szCs w:val="20"/>
          <w:color w:val="auto"/>
        </w:rPr>
      </w:pPr>
      <w:r>
        <w:rPr>
          <w:rFonts w:ascii="Calibri" w:cs="Calibri" w:eastAsia="Calibri" w:hAnsi="Calibri"/>
          <w:sz w:val="17"/>
          <w:szCs w:val="17"/>
          <w:b w:val="1"/>
          <w:bCs w:val="1"/>
          <w:i w:val="1"/>
          <w:iCs w:val="1"/>
          <w:color w:val="auto"/>
        </w:rPr>
        <w:t>We and others, including any of our potental future collaborators, will be required to report to regulatory authorites if any of our approved products cause or contribute to adverse medical events, and any failure to do so would result in sanctons that would materially harm our business.</w:t>
      </w:r>
    </w:p>
    <w:p>
      <w:pPr>
        <w:spacing w:after="0" w:line="161"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The FDA and foreign regulatory authorites will require that we and Takeda (with respect to products containing vonoprazan) and any of our potental future collaborators, report certain informaton about adverse medical events for our approved products if those products may have caused or contributed to those adverse events. The tming of our obligaton to report would be triggered by the date we become aware of the adverse event as well as the nature of the event. We, Takeda and any of our potental future collaborators or CROs may fail to report adverse events within the prescribed tmeframe. If we, Takeda or any of our potental future collaborators or CROs fail to comply with such reportng obligatons, the FDA or a foreign regulatory authority could take acton, including criminal prosecuton, the impositon of civil monetary penaltes, seizure of our products or delay in approval of future products.</w:t>
      </w:r>
    </w:p>
    <w:p>
      <w:pPr>
        <w:spacing w:after="0" w:line="183"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Compliance with applicable data protecton, privacy and security laws, regulatons, standards and other requirements involves signifcant expenditure and resources, and any actual or perceived failures by us, our partners or vendors to comply could adversely afect our business, results of operatons, and fnancial conditon.</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global data protecton landscape is rapidly evolving, and we are or may become subject to numerous federal, state and foreign laws, regulatons, standards and other requirements governing the collecton, use, disclosure, retenton, security and other processing of personal data, such as informaton that we may collect in connecton with our marketng actvites in the U.S. and clinical trials in the U.S. and abroad. Implementaton standards and enforcement practces are likely to remain uncertain for the foreseeable future, and we cannot yet determine the impact future laws, regulatons, standards, or percepton of their requirements may have on our business. This evoluton may create uncertainty in our business, afect our ability to operate in certain jurisdictons or to collect, store, transfer, use, share and otherwise process personal informaton, necessitate the acceptance of more onerous obligatons in our contracts, result in liability or impose additonal costs on us. The cost of compliance with these laws, regulatons and standards is high and is likely to increase in the future. Any failure or perceived failure by us to comply with federal, state or foreign laws, regulatons or standards, our internal policies and procedures or our contracts relatng to privacy, security or our processing of personal informaton could result in negatve publicity, government investgatons and enforcement actons, claims by third partes, material penaltes, signifcant legal liability, changes in how we operate and damage to our reputaton, any of which could have a material adverse efect on our operatons, fnancial performance and business.</w:t>
      </w:r>
    </w:p>
    <w:p>
      <w:pPr>
        <w:spacing w:after="0" w:line="185"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our operatons and business grow, we may become subject to or afected by new or additonal data protecton, privacy and security laws, regulatons, standards and other requirements, and face increased scrutny or atenton from regulatory authorites. In the U.S., HIPAA imposes, among other things, certain standards relatng to the privacy, security, transmission and breach reportng</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3" w:right="359" w:bottom="1440" w:gutter="0" w:footer="0" w:header="0"/>
        </w:sectPr>
      </w:pPr>
    </w:p>
    <w:bookmarkStart w:id="79" w:name="page80"/>
    <w:bookmarkEnd w:id="79"/>
    <w:p>
      <w:pPr>
        <w:ind w:right="40"/>
        <w:spacing w:after="0" w:line="235" w:lineRule="auto"/>
        <w:rPr>
          <w:sz w:val="20"/>
          <w:szCs w:val="20"/>
          <w:color w:val="auto"/>
        </w:rPr>
      </w:pPr>
      <w:r>
        <w:rPr>
          <w:rFonts w:ascii="Calibri" w:cs="Calibri" w:eastAsia="Calibri" w:hAnsi="Calibri"/>
          <w:sz w:val="18"/>
          <w:szCs w:val="18"/>
          <w:color w:val="auto"/>
        </w:rPr>
        <w:t>of individually identfable health informaton. While we are not a covered entty under HIPAA, we interact with healthcare providers regulated by HIPAA as covered enttes. Certain states have also adopted comprehensive and health-specifc privacy and security laws and regulatons, some of which may be more stringent than HIPAA. Such laws and regulatons will be subject to interpretaton by various courts and other governmental authorites, thus creatng potentally complex compliance issues for us and our future customers and strategic partners. For example, the CCPA requires covered businesses that process the personal informaton of California residents to, among other things: (i) provide certain disclosures to California residents regarding the business’s collecton, use, and disclosure of their personal informaton; (ii) receive and respond to requests from California residents to access, delete, and correct their personal informaton, or to opt out of certain disclosures of their personal informaton; and (iii) enter into specifc contractual provisions with service providers that process California resident personal informaton on the business’s behalf. Similar laws have passed in other states, and are contnuing to be proposed at the state and federal level, refectng a trend toward more stringent regulaton in the United States of the collecton, use, disclosure and other processing of personal informaton. The enactment of such laws creates the potental for a patchwork of overlapping, but diferent and potentally confictng, requirements that may make compliance challenging. In the event that we become subject to HIPAA, the CCPA and similar state privacy laws, compliance will likely involve signifcant expenditure and resources, and any failure or perceived failure to comply with the requirements of these laws could adversely afect our business, results of operatons and fnancial conditon.</w:t>
      </w:r>
    </w:p>
    <w:p>
      <w:pPr>
        <w:spacing w:after="0" w:line="186"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Furthermore, the FTC and many state Atorneys General contnue to enforce federal and state consumer protecton laws against in relaton to a variety of data privacy and security issues, such as promises made in privacy policies or failures to appropriately protect informaton about individuals, as unfair or deceptve acts or practces in or afectng commerce in violaton of Secton 5(a) of the Federal Trade Commission Act or similar state laws. The FTC expects a company’s cybersecurity measures to be reasonable and appropriate in light of the sensitvity and volume of consumer informaton it holds, the size and complexity of its business, and the cost of available tools to improve security and reduce vulnerabilites.</w:t>
      </w:r>
    </w:p>
    <w:p>
      <w:pPr>
        <w:spacing w:after="0" w:line="18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Given our past sponsorship of clinical trials at sites in Europe, we are also subject to GDPR which impose comprehensive data privacy compliance obligatons in relaton to processing the personal data of individuals within the EEA and UK. Companies that must comply with the GDPR face increased compliance obligatons and risk, including more robust regulatory enforcement of data protecton requirements and potental fnes for noncompliance of up to €20 million / GBP 17.5 million or up to 4% of the annual global revenues of the noncompliant company, whichever is greater.</w:t>
      </w:r>
    </w:p>
    <w:p>
      <w:pPr>
        <w:spacing w:after="0" w:line="192"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In additon, the GDPR increases the scrutny of transfers of personal data from the EEA and UK to the United States and other jurisdictons that the European Commission does not recognize as having “adequate” data protecton laws. Case law from the Court of Justce of the European Union, or CJEU, states that reliance on the standard contractual clauses – a standard form of contract approved by the European Commission as an adequate personal data transfer mechanism – alone may not necessarily be sufcient in all circumstances and that transfers must be assessed on a case-by-case basis. On July 10, 2023, the European Commission adopted its Adequacy Decision in relaton to the new EU-US Data Privacy Framework, or DPF, rendering the DPF efectve as an EU GDPR transfer mechanism to U.S. enttes self-certfed under the DPF. On October 12, 2023, the UK Extension to the DPF came into efect (as approved by the UK Government), as a data transfer mechanism from the UK to U.S. enttes self-certfed under the DPF. We expect the existng legal complexity and uncertainty regarding internatonal personal data transfers to contnue. In partcular, we expect the DPF Adequacy Decision to be challenged and internatonal transfers to the United States and to other jurisdictons more generally to contnue to be subject to enhanced scrutny by regulators. As the regulatory guidance and enforcement landscape in relaton to data transfers contnue to develop, we could sufer additonal costs, complaints and/or regulatory investgatons or fnes, we may have to stop using certain tools and vendors and make other operatonal changes, we have had to and will have to implement revised standard contractual clauses for existng customer and vendor arrangements within required tme frames, and/or if we are otherwise unable to transfer personal data between and among countries and regions in which we operate, it could afect the manner in which we provide our services, the geographical locaton or segregaton of our relevant systems and operatons, and could adversely afect our fnancial results.</w:t>
      </w:r>
    </w:p>
    <w:p>
      <w:pPr>
        <w:spacing w:after="0" w:line="173" w:lineRule="exact"/>
        <w:rPr>
          <w:sz w:val="20"/>
          <w:szCs w:val="20"/>
          <w:color w:val="auto"/>
        </w:rPr>
      </w:pPr>
    </w:p>
    <w:p>
      <w:pPr>
        <w:ind w:right="340"/>
        <w:spacing w:after="0" w:line="235" w:lineRule="auto"/>
        <w:rPr>
          <w:sz w:val="20"/>
          <w:szCs w:val="20"/>
          <w:color w:val="auto"/>
        </w:rPr>
      </w:pPr>
      <w:r>
        <w:rPr>
          <w:rFonts w:ascii="Calibri" w:cs="Calibri" w:eastAsia="Calibri" w:hAnsi="Calibri"/>
          <w:sz w:val="18"/>
          <w:szCs w:val="18"/>
          <w:b w:val="1"/>
          <w:bCs w:val="1"/>
          <w:i w:val="1"/>
          <w:iCs w:val="1"/>
          <w:color w:val="auto"/>
        </w:rPr>
        <w:t>Our internal informaton systems, or those of any of our CROs, contract manufacturers, service providers, other contractors or consultants or potental future collaborators, may fail or sufer cybersecurity incidents or breaches, which could result in a material disrupton of our product development programs.</w:t>
      </w:r>
    </w:p>
    <w:p>
      <w:pPr>
        <w:spacing w:after="0" w:line="17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United States federal and various state and foreign governments have adopted or proposed requirements regarding the collecton, distributon, use, security, and storage of personally identfable informaton and other data relatng to individuals, and federal and state consumer protecton laws are being applied to enforce regulatons related to the online collecton, use, and disseminaton of data. Despite the implementaton of cybersecurity measures, our internal informaton systems and those of our current and any future CROs, contract manufacturers, and other service providers, contractors, consultants and collaborators are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0" w:name="page81"/>
    <w:bookmarkEnd w:id="80"/>
    <w:p>
      <w:pPr>
        <w:ind w:right="40"/>
        <w:spacing w:after="0" w:line="235" w:lineRule="auto"/>
        <w:rPr>
          <w:sz w:val="20"/>
          <w:szCs w:val="20"/>
          <w:color w:val="auto"/>
        </w:rPr>
      </w:pPr>
      <w:r>
        <w:rPr>
          <w:rFonts w:ascii="Calibri" w:cs="Calibri" w:eastAsia="Calibri" w:hAnsi="Calibri"/>
          <w:sz w:val="18"/>
          <w:szCs w:val="18"/>
          <w:color w:val="auto"/>
        </w:rPr>
        <w:t>vulnerable to numerous and evolving cybersecurity risks that threaten the confdentality, integrity and availability of our informaton systems and confdental informaton, including from diverse threat actors, such as state-sponsored organizatons, opportunistc hackers and hacktvists, as well as through diverse atack vectors, such as social engineering/phishing, malware (including ransomware), malfeasance by insiders, human or technological error, and as a result of malicious code embedded in open-source sofware, or misconfguratons, 'bugs' or other vulnerabilites in commercial sofware that is integrated into our (or our suppliers’ or service providers’) IT systems, products or services, alongside damage from natural disasters, terrorism, war and telecommunicaton and electrical failures. Atacks upon informaton technology systems are increasing in their frequency, levels of persistence, sophistcaton and intensity, and are being conducted by sophistcated and organized groups and individuals with a wide range of motves, expertse, technique and tools – including artfcial intelligence – to circumvent security controls, evade detecton and remove forensic evidence. For example, on February 22, 2024, UnitedHealth Group, or UHG, disclosed that a suspected naton-state associated cyber security threat actor had gained access to some of the informaton technology systems at Change Healthcare, one of UHG’s afliates that provides numerous services to the healthcare industry such as payment systems, claims submission, benefts verifcaton, and prior authorizaton. This breach, among other things, disrupted the processing of transactons under our patent co-pay assistance card program, and the ability of certain pharmacies to fll prescriptons, including prescriptons for VOQUEZNA for a period of tme. As a result, we were forced to make alternatve arrangements in order to facilitate processing of patent co-pay assistance card program transactons. While the Change Healthcare-related disrupton were limited in tme, a similar incident in the future with Change Healthcare or other service providers could have a material adverse efect on our business and fnancial conditon.</w:t>
      </w:r>
    </w:p>
    <w:p>
      <w:pPr>
        <w:spacing w:after="0" w:line="18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also face increased cybersecurity risks due to our reliance on internet technology and the increased number of our employees (and employees of our vendors, contractors and other organizatons with whom we have formed strategic relatonships) who are working remotely, which may create additonal opportunites for threat actors to exploit vulnerabilites. Furthermore, because the techniques used to obtain unauthorized access to, or to sabotage, systems change frequently and ofen are not recognized untl launched against a target, we may be unable to antcipate these techniques or implement adequate preventatve measures. We may also experience cybersecurity incidents or data breaches that may remain undetected for an extended period. If such an event were to occur and cause interruptons in our operatons, result in the unauthorized access to, disclosure, loss, processing or other compromise of, personal informaton or individually identfable health informaton (violatng certain privacy laws such as GDPR) or confdental informaton, or jeopardize the confdentality, integrity, or availability of our informaton systems or any informaton residing therein, it could result in a material disrupton of our development programs and our business operatons, whether due to a loss of our trade secrets or other similar disruptons. Some of the federal, state and foreign government requirements include obligatons of companies to notfy individuals of certain cybersecurity breaches involving partcular personal informaton, which could result from breaches experienced by us or by our vendors, contractors, or organizatons with which we have formed strategic relatonships. Even though we may have contractual protectons with such vendors, contractors, or other organizatons, notfcatons and follow-up actons related to a cybersecurity breach could impact our reputaton, cause us to incur signifcant costs, including legal expenses, harm customer confdence, hurt our expansion into new markets, cause us to incur remediaton costs, or cause us to lose existng customers. For example, the loss of clinical trial data from completed or future clinical trials could result in delays in our regulatory approval eforts and signifcantly increase our costs to recover or reproduce the data. We also rely on third partes to manufacture vonoprazan and any future product candidates, and similar events relatng to their computer systems could also have a material adverse efect on our business. There can no assurance that our cybersecurity risk management program and processes, including our policies, controls or procedures, will be fully implemented, complied with or efectve in protectng our informaton systems and personal or confdental informaton. To the extent that any disrupton or cybersecurity incident were to jeopardize the confdentality, integrity, or availability of our informaton systems, or result in a loss of, or damage to, our data or applicatons, or inappropriate disclosure of confdental or proprietary informaton, we could incur liability, the further development and commercializaton of vonoprazan and any future product candidates could be delayed, and we could be subject to signifcant fnes, penaltes or liabilites for any noncompliance to certain privacy and cybersecurity laws. Further, our insurance coverage may not be sufcient to cover the fnancial, legal, business or reputatonal losses that may result from an interrupton or breach of our systems.</w:t>
      </w:r>
    </w:p>
    <w:p>
      <w:pPr>
        <w:spacing w:after="0" w:line="388" w:lineRule="exact"/>
        <w:rPr>
          <w:sz w:val="20"/>
          <w:szCs w:val="20"/>
          <w:color w:val="auto"/>
        </w:rPr>
      </w:pPr>
    </w:p>
    <w:p>
      <w:pPr>
        <w:ind w:right="620"/>
        <w:spacing w:after="0" w:line="235" w:lineRule="auto"/>
        <w:rPr>
          <w:sz w:val="20"/>
          <w:szCs w:val="20"/>
          <w:color w:val="auto"/>
        </w:rPr>
      </w:pPr>
      <w:r>
        <w:rPr>
          <w:rFonts w:ascii="Calibri" w:cs="Calibri" w:eastAsia="Calibri" w:hAnsi="Calibri"/>
          <w:sz w:val="18"/>
          <w:szCs w:val="18"/>
          <w:b w:val="1"/>
          <w:bCs w:val="1"/>
          <w:i w:val="1"/>
          <w:iCs w:val="1"/>
          <w:color w:val="auto"/>
        </w:rPr>
        <w:t>Our employees and independent contractors, including principal investgators, CROs, consultants and vendors, may engage in misconduct or other improper actvites, including noncompliance with regulatory standards and requirements.</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exposed to the risk that our employees and independent contractors, including principal investgators, CROs, consultants and vendors may engage in misconduct or other illegal actvity. Misconduct by these partes could include intentonal, reckless and/or negligent conduct or other unauthorized actvites that violate: (i) the laws and regulatons of the FDA and other similar regulatory bodies, including those laws that require the reportng of true, complete and accurate informaton to such</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1" w:name="page82"/>
    <w:bookmarkEnd w:id="81"/>
    <w:p>
      <w:pPr>
        <w:spacing w:after="0" w:line="235" w:lineRule="auto"/>
        <w:rPr>
          <w:sz w:val="20"/>
          <w:szCs w:val="20"/>
          <w:color w:val="auto"/>
        </w:rPr>
      </w:pPr>
      <w:r>
        <w:rPr>
          <w:rFonts w:ascii="Calibri" w:cs="Calibri" w:eastAsia="Calibri" w:hAnsi="Calibri"/>
          <w:sz w:val="18"/>
          <w:szCs w:val="18"/>
          <w:color w:val="auto"/>
        </w:rPr>
        <w:t>regulatory bodies, (ii) manufacturing standards, including cGMP and similar requirements, or (iii) federal and state healthcare, security, fraud and abuse laws, data privacy and cybersecurity laws, and other similar non-U.S. laws that require the true, complete and accurate reportng of fnancial informaton or data. Actvites subject to these laws also involve the improper use or misrepresentaton of informaton obtained in the course of clinical trials, the creaton of fraudulent data in our preclinical studies or clinical trials, or illegal misappropriaton of product, which could result in regulatory sanctons and cause serious harm to our reputaton. It is not always possible to identfy and deter misconduct by employees and other third partes, and the precautons we take to detect and prevent this actvity may not be efectve in controlling unknown or unmanaged risks or losses or in protectng us from governmental investgatons or other actons or lawsuits stemming from a failure to be in compliance with such laws or regulatons. In additon, we are subject to the risk that a person or government could allege such fraud or other misconduct, even if none occurred. If any such actons are insttuted against us, and we are not successful in defending ourselves or assertng our rights, those actons could have a signifcant impact on our business and fnancial results, including, without limitaton, the impositon of signifcant civil, criminal and administratve penaltes, damages, monetary fnes, disgorgement, possible exclusion from partcipaton in Medicare, Medicaid and other U.S. federal healthcare programs or healthcare programs in other jurisdictons, integrity oversight and reportng obligatons to resolve allegatons of non-compliance, imprisonment, contractual damages, reputatonal harm, diminished profts and future earnings, and curtailment of our operatons, any of which could adversely afect our ability to operate our business and our results of operatons.</w:t>
      </w:r>
    </w:p>
    <w:p>
      <w:pPr>
        <w:spacing w:after="0" w:line="186"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We are subject to U.S. and certain foreign export and import controls, sanctons, embargoes, ant-corrupton laws and ant-money laundering laws and regulatons. Compliance with these legal standards could impair our ability to compete in domestc and internatonal markets. We could face criminal liability and other serious consequences for violatons, which could harm our business.</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are subject to export control and import laws and regulatons, including the U.S. Export Administraton Regulatons, U.S. Customs regulatons, and various economic and trade sanctons regulatons administered by the U.S. Treasury Department’s Ofce of Foreign Assets Controls, and ant-corrupton and ant-money laundering laws and regulatons, including the U.S. Foreign Corrupt Practces Act of 1977, as amended, the U.S. domestc bribery statute contained in 18 U.S.C. § 201, the U.S. Travel Act, the USA PATRIOT Act, and other state and natonal ant-bribery and ant-money laundering laws in the countries in which we conduct actvites. Ant-corrupton laws are interpreted broadly and prohibit companies and their employees, agents, clinical research organizatons, contractors and other collaborators and partners from authorizing, promising, ofering, providing, solicitng or receiving, directly or indirectly, improper payments or anything else of value to recipients in the public or private sector. We have engaged, and may engage in the future, third partes for clinical trials outside of the United States, and may engage third partes to sell our products abroad once we enter a commercializaton phase, and/or to obtain necessary permits, licenses, patent registratons and other regulatory approvals. We have direct or indirect interactons with ofcials and employees of government agencies or government-afliated hospitals, universites and other organizatons. We can be held liable for the corrupt or other illegal actvites of our employees, agents, clinical research organizatons, contractors and other collaborators and partners, even if we do not explicitly authorize or have actual knowledge of such actvites. Any violatons of the laws and regulatons described above may result in substantal civil and criminal fnes and penaltes, imprisonment, the loss of export or import privileges, debarment, tax reassessments, breach of contract and fraud litgaton, reputatonal harm and other consequences.</w:t>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engage in strategic transactons that could impact our liquidity, increase our expenses and present signifcant distractons to our management.</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From tme to tme, we may consider strategic transactons, such as acquisitons of companies, asset purchases and out-licensing or in-licensing of intellectual property, products or technologies, similar to our approach in in-licensing and acquiring our current product candidates. Any future transactons could increase our near and long-term expenditures, result in potentally dilutve issuances of our equity securites, including our common stock, or the incurrence of debt, contngent liabilites, amortzaton expenses or acquired in-process research and development expenses, any of which could afect our fnancial conditon, liquidity and results of operatons. Additonal potental transactons that we may consider in the future include a variety of business arrangements, including spin-ofs, strategic partnerships, joint ventures, restructurings, divesttures, business combinatons and investments. Future acquisitons may also require us to obtain additonal fnancing, which may not be available on favorable terms or at all. These transactons may never be successful and may require signifcant tme and atenton of management. In additon, the integraton of any business that we may acquire in the future may disrupt our existng business and may be a complex, risky and costly endeavor for which we may never realize the full benefts of the acquisiton. Accordingly, although we may not undertake or successfully complete any additonal transactons of the nature described above, any additonal transactons that we do complete could have a material adverse efect on our business, results of operatons, fnancial conditon and prospects.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2" w:name="page83"/>
    <w:bookmarkEnd w:id="82"/>
    <w:p>
      <w:pPr>
        <w:spacing w:after="0"/>
        <w:rPr>
          <w:sz w:val="20"/>
          <w:szCs w:val="20"/>
          <w:color w:val="auto"/>
        </w:rPr>
      </w:pPr>
      <w:r>
        <w:rPr>
          <w:rFonts w:ascii="Calibri" w:cs="Calibri" w:eastAsia="Calibri" w:hAnsi="Calibri"/>
          <w:sz w:val="18"/>
          <w:szCs w:val="18"/>
          <w:b w:val="1"/>
          <w:bCs w:val="1"/>
          <w:color w:val="auto"/>
        </w:rPr>
        <w:t>Risks Related to Our Intellectual Property</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success depends on our ability to protect our intellectual property and our proprietary technologies.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commercial success depends in part on our ability to obtain and maintain patent protecton and trade secret protecton for our current products containing vonoprazan and any future product candidates, proprietary technologies and their uses as well as our ability to operate without infringing upon the proprietary rights of others. If we are unable to protect our intellectual property rights or if our intellectual property rights are inadequate for our technology or vonoprazan or any future product candidates, our compettve positon could be harmed. We generally seek to protect our proprietary positon by fling patent applicatons in the United States and abroad related to vonoprazan or any future product candidates, proprietary technologies and their uses that are important to our business. We do not own any issued patents at this tme. We currently own a pending patent applicaton. We also seek to protect our proprietary positon by acquiring or in-licensing relevant issued patents or pending patent applicatons from third partes. We have in-licensed from Takeda a number of United States, European, and Canadian patents and patent applicatons relatng to the compound vonoprazan as well as the use and manufacture of vonoprazan products.</w:t>
      </w:r>
    </w:p>
    <w:p>
      <w:pPr>
        <w:spacing w:after="0" w:line="19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Pending patent applicatons cannot be enforced against third partes practcing the technology claimed in such applicatons unless, and untl, patents issue from such applicatons, and then only to the extent the issued claims cover the technology. There can be no assurance that our future patent applicatons or the patent applicatons of our current and future licensors will result in patents being issued or that issued patents will aford sufcient protecton against compettors with similar technology, nor can there be any assurance that the patents if issued will not be infringed, designed around or invalidated by third partes.</w:t>
      </w:r>
    </w:p>
    <w:p>
      <w:pPr>
        <w:spacing w:after="0" w:line="180"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Even issued patents may later be found invalid or unenforceable or may be modifed or revoked in proceedings insttuted by third partes before various patent ofces or in courts. The degree of future protecton for our proprietary rights is uncertain. Only limited protecton may be available and may not adequately protect our rights or permit us to gain or keep any compettve advantage. These uncertaintes and/or limitatons in our ability to properly protect the intellectual property rights relatng to vonoprazan and any future product candidates could have a material adverse efect on our fnancial conditon and results of operatons.</w:t>
      </w:r>
    </w:p>
    <w:p>
      <w:pPr>
        <w:spacing w:after="0" w:line="18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cannot be certain that the claims in our licensor’s U.S. pending patent applicatons, corresponding internatonal patent applicatons and patent applicatons in certain foreign countries will be considered patentable by the United States Patent and Trademark Ofce, or USPTO, courts in the United States or by the patent ofces and courts in foreign countries, nor can we be certain that the claims in our licensor’s issued patents will not be found invalid or unenforceable if challenged.</w:t>
      </w:r>
    </w:p>
    <w:p>
      <w:pPr>
        <w:spacing w:after="0" w:line="192" w:lineRule="exact"/>
        <w:rPr>
          <w:sz w:val="20"/>
          <w:szCs w:val="20"/>
          <w:color w:val="auto"/>
        </w:rPr>
      </w:pPr>
    </w:p>
    <w:p>
      <w:pPr>
        <w:ind w:right="240" w:firstLine="509"/>
        <w:spacing w:after="0" w:line="235" w:lineRule="auto"/>
        <w:rPr>
          <w:sz w:val="20"/>
          <w:szCs w:val="20"/>
          <w:color w:val="auto"/>
        </w:rPr>
      </w:pPr>
      <w:r>
        <w:rPr>
          <w:rFonts w:ascii="Calibri" w:cs="Calibri" w:eastAsia="Calibri" w:hAnsi="Calibri"/>
          <w:sz w:val="18"/>
          <w:szCs w:val="18"/>
          <w:color w:val="auto"/>
        </w:rPr>
        <w:t>The patent applicaton process is subject to numerous risks and uncertaintes, and there can be no assurance that we or any of our potental future collaborators will be successful in protectng vonoprazan and any future product candidates by obtaining and defending patents. These risks and uncertaintes include the following:</w:t>
      </w:r>
    </w:p>
    <w:p>
      <w:pPr>
        <w:spacing w:after="0" w:line="192" w:lineRule="exact"/>
        <w:rPr>
          <w:sz w:val="20"/>
          <w:szCs w:val="20"/>
          <w:color w:val="auto"/>
        </w:rPr>
      </w:pPr>
    </w:p>
    <w:p>
      <w:pPr>
        <w:jc w:val="both"/>
        <w:ind w:left="900" w:right="6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USPTO and various foreign governmental patent agencies require compliance with a number of procedural, documentary, fee payment and other provisions during the patent process, the noncompliance with which can result in abandonment or lapse of a patent or patent applicaton, and partal or complete loss of patent rights in the relevant jurisdicton;</w:t>
      </w:r>
    </w:p>
    <w:p>
      <w:pPr>
        <w:spacing w:after="0" w:line="186"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 applicatons may not result in any patents being issued;</w:t>
      </w:r>
    </w:p>
    <w:p>
      <w:pPr>
        <w:spacing w:after="0" w:line="203" w:lineRule="exact"/>
        <w:rPr>
          <w:rFonts w:ascii="Times New Roman" w:cs="Times New Roman" w:eastAsia="Times New Roman" w:hAnsi="Times New Roman"/>
          <w:sz w:val="18"/>
          <w:szCs w:val="18"/>
          <w:color w:val="auto"/>
        </w:rPr>
      </w:pPr>
    </w:p>
    <w:p>
      <w:pPr>
        <w:ind w:left="900" w:right="66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may be challenged, invalidated, modifed, revoked, circumvented, found to be unenforceable or otherwise may not provide any compettve advantage;</w:t>
      </w:r>
    </w:p>
    <w:p>
      <w:pPr>
        <w:spacing w:after="0" w:line="190" w:lineRule="exact"/>
        <w:rPr>
          <w:rFonts w:ascii="Times New Roman" w:cs="Times New Roman" w:eastAsia="Times New Roman" w:hAnsi="Times New Roman"/>
          <w:sz w:val="18"/>
          <w:szCs w:val="18"/>
          <w:color w:val="auto"/>
        </w:rPr>
      </w:pPr>
    </w:p>
    <w:p>
      <w:pPr>
        <w:ind w:left="900" w:right="18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many of whom have substantally greater resources than we do and many of whom have made signifcant investments in competng technologies, may seek or may have already obtained patents that will limit, interfere with or block our ability to make, use and sell vonoprazan and any future product candidates;</w:t>
      </w:r>
    </w:p>
    <w:p>
      <w:pPr>
        <w:spacing w:after="0" w:line="191" w:lineRule="exact"/>
        <w:rPr>
          <w:rFonts w:ascii="Times New Roman" w:cs="Times New Roman" w:eastAsia="Times New Roman" w:hAnsi="Times New Roman"/>
          <w:sz w:val="18"/>
          <w:szCs w:val="18"/>
          <w:color w:val="auto"/>
        </w:rPr>
      </w:pPr>
    </w:p>
    <w:p>
      <w:pPr>
        <w:ind w:left="900" w:right="26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there may be signifcant pressure on the U.S. government and internatonal governmental bodies to limit the scope of patent protecton both inside and outside the United States for disease treatments that prove successful, as a mater of public policy regarding worldwide health concerns; and</w:t>
      </w:r>
    </w:p>
    <w:p>
      <w:pPr>
        <w:spacing w:after="0" w:line="205" w:lineRule="exact"/>
        <w:rPr>
          <w:rFonts w:ascii="Times New Roman" w:cs="Times New Roman" w:eastAsia="Times New Roman" w:hAnsi="Times New Roman"/>
          <w:sz w:val="18"/>
          <w:szCs w:val="18"/>
          <w:color w:val="auto"/>
        </w:rPr>
      </w:pPr>
    </w:p>
    <w:p>
      <w:pPr>
        <w:ind w:left="900" w:right="440" w:hanging="383"/>
        <w:spacing w:after="0" w:line="235" w:lineRule="auto"/>
        <w:tabs>
          <w:tab w:leader="none" w:pos="900" w:val="left"/>
        </w:tabs>
        <w:numPr>
          <w:ilvl w:val="0"/>
          <w:numId w:val="42"/>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countries other than the United States may have patent laws less favorable to patentees than those upheld by U.S. courts, allowing foreign compettors a beter opportunity to create, develop and market competng products.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83" w:name="page84"/>
    <w:bookmarkEnd w:id="83"/>
    <w:p>
      <w:pPr>
        <w:ind w:firstLine="509"/>
        <w:spacing w:after="0" w:line="235" w:lineRule="auto"/>
        <w:rPr>
          <w:sz w:val="20"/>
          <w:szCs w:val="20"/>
          <w:color w:val="auto"/>
        </w:rPr>
      </w:pPr>
      <w:r>
        <w:rPr>
          <w:rFonts w:ascii="Calibri" w:cs="Calibri" w:eastAsia="Calibri" w:hAnsi="Calibri"/>
          <w:sz w:val="18"/>
          <w:szCs w:val="18"/>
          <w:color w:val="auto"/>
        </w:rPr>
        <w:t>The patent prosecuton process is also expensive and tme consuming, and we and our licensor may not be able to fle and prosecute all necessary or desirable patent applicatons at a reasonable cost or in a tmely manner or in all jurisdictons where protecton may be commercially advantageous. It is also possible that we and our licensor will fail to identfy patentable aspects of our research and development output before it is too late to obtain patent protecton. Moreover, in some circumstances such as under the Takeda License, we do not have the right to control the preparaton, fling and prosecuton of patent applicatons, or to maintain the patents, directed to technology that we license from third partes. We may also require the cooperaton of our licensors in order to enforce the licensed patent rights, and such cooperaton may not be provided. Therefore, these patents and applicatons may not be prosecuted and enforced in a manner consistent with the best interests of our business.</w:t>
      </w:r>
    </w:p>
    <w:p>
      <w:pPr>
        <w:spacing w:after="0" w:line="18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cannot be certain that patent prosecuton and maintenance actvites by our licensors have been or will be conducted in compliance with applicable laws and regulatons, which may afect the validity and enforceability of such patents or any patents that may issue from such applicatons. If they fail to do so, this could cause us to lose rights in any applicable intellectual property that we in-license, and as a result our ability to develop and commercialize products or product candidates may be adversely afected and we may be unable to prevent compettors from making, using and selling competng products.</w:t>
      </w:r>
    </w:p>
    <w:p>
      <w:pPr>
        <w:spacing w:after="0" w:line="18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additon, although we enter into non-disclosure and confdentality agreements with partes who have access to patentable aspects of our research and development output, such as our employees, outside scientfc collaborators, CROs, third-party manufacturers, consultants, advisors and other third partes, any of these partes may breach such agreements and disclose such output before a patent applicaton is fled, thereby jeopardizing our ability to seek patent protecton.</w:t>
      </w:r>
    </w:p>
    <w:p>
      <w:pPr>
        <w:spacing w:after="0" w:line="192" w:lineRule="exact"/>
        <w:rPr>
          <w:sz w:val="20"/>
          <w:szCs w:val="20"/>
          <w:color w:val="auto"/>
        </w:rPr>
      </w:pPr>
    </w:p>
    <w:p>
      <w:pPr>
        <w:jc w:val="both"/>
        <w:ind w:right="260"/>
        <w:spacing w:after="0" w:line="235" w:lineRule="auto"/>
        <w:rPr>
          <w:sz w:val="20"/>
          <w:szCs w:val="20"/>
          <w:color w:val="auto"/>
        </w:rPr>
      </w:pPr>
      <w:r>
        <w:rPr>
          <w:rFonts w:ascii="Calibri" w:cs="Calibri" w:eastAsia="Calibri" w:hAnsi="Calibri"/>
          <w:sz w:val="18"/>
          <w:szCs w:val="18"/>
          <w:b w:val="1"/>
          <w:bCs w:val="1"/>
          <w:i w:val="1"/>
          <w:iCs w:val="1"/>
          <w:color w:val="auto"/>
        </w:rPr>
        <w:t>If we fail to comply with our obligatons in the agreements under which we license intellectual property rights from third partes, including our rights in vonoprazan licensed from Takeda, or otherwise experience disruptons to our business relatonships with our licensors, we could lose license rights that are important to our business.</w:t>
      </w:r>
    </w:p>
    <w:p>
      <w:pPr>
        <w:spacing w:after="0" w:line="178" w:lineRule="exact"/>
        <w:rPr>
          <w:sz w:val="20"/>
          <w:szCs w:val="20"/>
          <w:color w:val="auto"/>
        </w:rPr>
      </w:pPr>
    </w:p>
    <w:p>
      <w:pPr>
        <w:ind w:right="80" w:firstLine="509"/>
        <w:spacing w:after="0" w:line="250" w:lineRule="auto"/>
        <w:rPr>
          <w:sz w:val="20"/>
          <w:szCs w:val="20"/>
          <w:color w:val="auto"/>
        </w:rPr>
      </w:pPr>
      <w:r>
        <w:rPr>
          <w:rFonts w:ascii="Calibri" w:cs="Calibri" w:eastAsia="Calibri" w:hAnsi="Calibri"/>
          <w:sz w:val="17"/>
          <w:szCs w:val="17"/>
          <w:color w:val="auto"/>
        </w:rPr>
        <w:t>We are a party to the Takeda License under which we are granted rights to intellectual property that are important to our business and we may enter into additonal license agreements in the future with other third partes. The Takeda License imposes, and we expect that any future license agreements where we in-license intellectual property, will impose on us, various development, regulatory and/or commercial diligence obligatons, payment of milestones and/or royaltes and other obligatons. If we fail to comply with our obligatons under these agreements, or we are subject to bankruptcy-related proceedings, the licensor may have the right to terminate the license, in which event we would not be able to market products covered by the license. Additonally, if a future license agreement includes a sublicense from a third party who is not the original licensor of the intellectual property at issue, then we must rely on our direct licensor to comply with its obligatons under the primary license agreements under which such licensor obtained rights in the applicable intellectual property, where we may have no relatonship with the original licensor of such rights. If such a licensor fails to comply with its obligatons under its upstream license agreement, the original third-party licensor may have the right to terminate the original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contnue to develop and commercialize vonoprazan and any future product candidates incorporatng the relevant intellectual property.</w:t>
      </w:r>
    </w:p>
    <w:p>
      <w:pPr>
        <w:spacing w:after="0" w:line="174" w:lineRule="exact"/>
        <w:rPr>
          <w:sz w:val="20"/>
          <w:szCs w:val="20"/>
          <w:color w:val="auto"/>
        </w:rPr>
      </w:pPr>
    </w:p>
    <w:p>
      <w:pPr>
        <w:ind w:right="20" w:firstLine="509"/>
        <w:spacing w:after="0" w:line="251" w:lineRule="auto"/>
        <w:rPr>
          <w:sz w:val="20"/>
          <w:szCs w:val="20"/>
          <w:color w:val="auto"/>
        </w:rPr>
      </w:pPr>
      <w:r>
        <w:rPr>
          <w:rFonts w:ascii="Calibri" w:cs="Calibri" w:eastAsia="Calibri" w:hAnsi="Calibri"/>
          <w:sz w:val="17"/>
          <w:szCs w:val="17"/>
          <w:color w:val="auto"/>
        </w:rPr>
        <w:t>We may need to obtain further licenses from third partes to advance our research or allow commercializaton of vonoprazan and any future product candidates, and we cannot provide any assurances that third-party patents do not exist which might be enforced against vonoprazan and any future product candidates in the absence of such a license. We may fail to obtain any of these licenses on commercially reasonable terms, if at all. Even if we are able to obtain a license, it may be non-exclusive, thereby giving our compettors access to the same technologies licensed to us. In that event, we may be required to expend signifcant tme and resources to develop or license replacement technology. If we are unable to do so, we may be unable to develop or commercialize the afected product candidates, which could materially harm our business and the third partes owning such intellectual property rights could seek either an injuncton prohibitng our sales, or, with respect to our sales, an obligaton on our part to pay royaltes and/or other forms of compensaton.</w:t>
      </w:r>
    </w:p>
    <w:p>
      <w:pPr>
        <w:spacing w:after="0" w:line="18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Licensing of intellectual property is of critcal importance to our business and involves complex legal, business and scientfc issues. Disputes may arise between us and our licensors regarding intellectual property subject to a license agreement, including:</w:t>
      </w:r>
    </w:p>
    <w:p>
      <w:pPr>
        <w:spacing w:after="0" w:line="186"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scope of rights granted under the license agreement and other interpretaton-related issues;</w:t>
      </w:r>
    </w:p>
    <w:p>
      <w:pPr>
        <w:spacing w:after="0" w:line="22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4" w:name="page85"/>
    <w:bookmarkEnd w:id="84"/>
    <w:p>
      <w:pPr>
        <w:ind w:left="90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whether and the extent to which our technology and processes infringe on intellectual property of the licensor that is not subject to the licensing agreement;</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right to sublicense patents and other rights to third partes;</w:t>
      </w:r>
    </w:p>
    <w:p>
      <w:pPr>
        <w:spacing w:after="0" w:line="190"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diligence obligatons with respect to the use of the licensed technology in relaton to our development and commercializaton of vonoprazan and any future product candidates, and what actvites satsfy those diligence obligatons;</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right to transfer or assign the license; and</w:t>
      </w:r>
    </w:p>
    <w:p>
      <w:pPr>
        <w:spacing w:after="0" w:line="190" w:lineRule="exact"/>
        <w:rPr>
          <w:rFonts w:ascii="Times New Roman" w:cs="Times New Roman" w:eastAsia="Times New Roman" w:hAnsi="Times New Roman"/>
          <w:sz w:val="18"/>
          <w:szCs w:val="18"/>
          <w:color w:val="auto"/>
        </w:rPr>
      </w:pPr>
    </w:p>
    <w:p>
      <w:pPr>
        <w:ind w:left="900" w:right="480" w:hanging="383"/>
        <w:spacing w:after="0" w:line="235" w:lineRule="auto"/>
        <w:tabs>
          <w:tab w:leader="none" w:pos="900" w:val="left"/>
        </w:tabs>
        <w:numPr>
          <w:ilvl w:val="0"/>
          <w:numId w:val="44"/>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ownership of inventons and know-how resultng from the joint creaton or use of intellectual property by our licensors and us and our partners.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If disputes over intellectual property that we have licensed prevent or impair our ability to maintain our current licensing arrangements on acceptable terms, we may not be able to successfully develop and commercialize the afected product candidates, which would have a material adverse efect on our business.</w:t>
      </w:r>
    </w:p>
    <w:p>
      <w:pPr>
        <w:spacing w:after="0" w:line="192"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additon, certain of our agreements may limit or delay our ability to consummate certain transactons, may impact the value of those transactons, or may limit our ability to pursue certain actvites. For example, if we choose to sublicense or assign to any third partes our rights under our existng license agreement with Takeda with respect to any licensed product, we may be required to wait for a certain period or untl the occurrence of certain funding or development milestones.</w:t>
      </w:r>
    </w:p>
    <w:p>
      <w:pPr>
        <w:spacing w:after="0" w:line="179" w:lineRule="exact"/>
        <w:rPr>
          <w:sz w:val="20"/>
          <w:szCs w:val="20"/>
          <w:color w:val="auto"/>
        </w:rPr>
      </w:pPr>
    </w:p>
    <w:p>
      <w:pPr>
        <w:spacing w:after="0" w:line="235" w:lineRule="auto"/>
        <w:rPr>
          <w:sz w:val="20"/>
          <w:szCs w:val="20"/>
          <w:color w:val="auto"/>
        </w:rPr>
      </w:pPr>
      <w:r>
        <w:rPr>
          <w:rFonts w:ascii="Calibri" w:cs="Calibri" w:eastAsia="Calibri" w:hAnsi="Calibri"/>
          <w:sz w:val="18"/>
          <w:szCs w:val="18"/>
          <w:b w:val="1"/>
          <w:bCs w:val="1"/>
          <w:i w:val="1"/>
          <w:iCs w:val="1"/>
          <w:color w:val="auto"/>
        </w:rPr>
        <w:t>If the scope of any patent protecton or non-patent regulatory exclusivity we obtain is not sufciently broad, or if we lose or fail to obtain any of our patent protecton or non-patent regulatory exclusivity, our ability to prevent our compettors from commercializing similar or identcal product candidates would be adversely afected.</w:t>
      </w:r>
    </w:p>
    <w:p>
      <w:pPr>
        <w:spacing w:after="0" w:line="178"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The patent positon of biopharmaceutcal companies generally is highly uncertain, involves complex legal and factual questons, and has been the subject of much litgaton in recent years. As a result, the issuance, scope, validity, enforceability and commercial value of our patent rights are highly uncertain. Our in-licensed pending and future patent applicatons may not result in patents being issued which protect vonoprazan or any future product candidates or which efectvely prevent others from commercializing compettve product candidates.</w:t>
      </w:r>
    </w:p>
    <w:p>
      <w:pPr>
        <w:spacing w:after="0" w:line="19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Moreover, the coverage claimed in a patent applicaton can be signifcantly reduced before the patent is issued, and its scope can be reinterpreted afer issuance. Even if patent applicatons we own in the future or license currently issue as patents, they may not issue in a form that will provide us with any meaningful protecton, prevent compettors or other third partes from competng with us, or otherwise provide us with any compettve advantage. Any future patents that we own or license, now or in the future, may be challenged or circumvented by third partes or may be narrowed or invalidated as a result of challenges by third partes. Consequently, we do not know whether vonoprazan or any future product candidates will be protectable or remain protected by valid and enforceable patents. Our compettors or other third partes may be able to circumvent our future patents or the patents of our current and future licensors by developing similar or alternatve technologies or products in a non-infringing manner which could materially adversely afect our business, fnancial conditon, results of operatons and prospects.</w:t>
      </w:r>
    </w:p>
    <w:p>
      <w:pPr>
        <w:spacing w:after="0" w:line="182" w:lineRule="exact"/>
        <w:rPr>
          <w:sz w:val="20"/>
          <w:szCs w:val="20"/>
          <w:color w:val="auto"/>
        </w:rPr>
      </w:pPr>
    </w:p>
    <w:p>
      <w:pPr>
        <w:ind w:firstLine="749"/>
        <w:spacing w:after="0" w:line="235" w:lineRule="auto"/>
        <w:rPr>
          <w:sz w:val="20"/>
          <w:szCs w:val="20"/>
          <w:color w:val="auto"/>
        </w:rPr>
      </w:pPr>
      <w:r>
        <w:rPr>
          <w:rFonts w:ascii="Calibri" w:cs="Calibri" w:eastAsia="Calibri" w:hAnsi="Calibri"/>
          <w:sz w:val="18"/>
          <w:szCs w:val="18"/>
          <w:color w:val="auto"/>
        </w:rPr>
        <w:t>The issuance of a patent is not conclusive as to its inventorship, scope, validity or enforceability, and our future patents or the patents of our current and future licensors may not cover vonoprazan or any future product candidates or may be challenged in the courts or patent ofces in the United States and abroad. We may be subject to a third party pre-issuance submission of prior art to the USPTO, or become involved in oppositon, derivaton, revocaton, reexaminaton, post-grant review, or PGR, and inter partes review, or IPR, or other similar proceedings in the USPTO or foreign patent ofces challenging our patent rights. The outcome following legal assertons of invalidity and unenforceability is unpredictable. With respect to the validity queston, for example, we cannot be certain that there is no invalidatng prior art, of which we or our predecessors and the patent examiner were unaware during prosecuton. There is no assurance that all potentally relevant prior art relatng to our in-licensed patents and patent applicatons has been found. There is also no assurance that there is not prior art of which we, our predecessors or licensors are aware, but which we do not believe afects the validity or enforceability of a claim in our in-licensed patents and patent applicatons, which may, nonetheless, ultmately be found to afect the validity or enforceability of a claim. An adverse determinaton in any such submission, proceeding or litgaton could reduce the scope of, or invalidate or render unenforceable, our patent rights, allow third partes to commercialize vonoprazan or any future product candidates and compete directly with us, without payment to us. It is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59" w:right="359" w:bottom="1440" w:gutter="0" w:footer="0" w:header="0"/>
        </w:sectPr>
      </w:pPr>
    </w:p>
    <w:bookmarkStart w:id="85" w:name="page86"/>
    <w:bookmarkEnd w:id="85"/>
    <w:p>
      <w:pPr>
        <w:ind w:right="40"/>
        <w:spacing w:after="0" w:line="235" w:lineRule="auto"/>
        <w:rPr>
          <w:sz w:val="20"/>
          <w:szCs w:val="20"/>
          <w:color w:val="auto"/>
        </w:rPr>
      </w:pPr>
      <w:r>
        <w:rPr>
          <w:rFonts w:ascii="Calibri" w:cs="Calibri" w:eastAsia="Calibri" w:hAnsi="Calibri"/>
          <w:sz w:val="18"/>
          <w:szCs w:val="18"/>
          <w:color w:val="auto"/>
        </w:rPr>
        <w:t>possible that defects of form in the preparaton or fling of our or our current and future licensors’ patents or patent applicatons may exist, or may arise in the future, for example with respect to proper priority claims, inventorship, claim scope, or requests for patent term adjustments. If there are material defects in the form, preparaton, prosecuton, or enforcement of our future patents or future patent applicatons or our current and future licensors’ patents or patent applicatons, such patents may be invalid and/or unenforceable, and such applicatons may never result in valid, enforceable patents.</w:t>
      </w:r>
    </w:p>
    <w:p>
      <w:pPr>
        <w:spacing w:after="0" w:line="192" w:lineRule="exact"/>
        <w:rPr>
          <w:sz w:val="20"/>
          <w:szCs w:val="20"/>
          <w:color w:val="auto"/>
        </w:rPr>
      </w:pPr>
    </w:p>
    <w:p>
      <w:pPr>
        <w:ind w:right="80" w:firstLine="749"/>
        <w:spacing w:after="0" w:line="251" w:lineRule="auto"/>
        <w:rPr>
          <w:sz w:val="20"/>
          <w:szCs w:val="20"/>
          <w:color w:val="auto"/>
        </w:rPr>
      </w:pPr>
      <w:r>
        <w:rPr>
          <w:rFonts w:ascii="Calibri" w:cs="Calibri" w:eastAsia="Calibri" w:hAnsi="Calibri"/>
          <w:sz w:val="17"/>
          <w:szCs w:val="17"/>
          <w:color w:val="auto"/>
        </w:rPr>
        <w:t>Any loss of patent rights, loss of exclusivity or in patent claims being narrowed, invalidated or held unenforceable could limit our ability to stop others from using or commercializing similar or identcal technology and products, or limit the duraton of the patent protecton of vonoprazan or any future product candidates, which could materially and adversely impact our business. Such proceedings also may result in substantal cost and require signifcant tme from our scientsts and management, even if the eventual outcome is favorable to us. In additon, if the breadth or strength of protecton provided by our future patents and future patent applicatons or the patents and patent applicatons of our current and future licensors is threatened, regardless of the outcome, it could dissuade companies from collaboratng with us to license, develop or commercialize vonoprazan or any future product candidates.</w:t>
      </w:r>
    </w:p>
    <w:p>
      <w:pPr>
        <w:spacing w:after="0" w:line="169" w:lineRule="exact"/>
        <w:rPr>
          <w:sz w:val="20"/>
          <w:szCs w:val="20"/>
          <w:color w:val="auto"/>
        </w:rPr>
      </w:pPr>
    </w:p>
    <w:p>
      <w:pPr>
        <w:ind w:right="100" w:firstLine="749"/>
        <w:spacing w:after="0" w:line="235" w:lineRule="auto"/>
        <w:rPr>
          <w:sz w:val="20"/>
          <w:szCs w:val="20"/>
          <w:color w:val="auto"/>
        </w:rPr>
      </w:pPr>
      <w:r>
        <w:rPr>
          <w:rFonts w:ascii="Calibri" w:cs="Calibri" w:eastAsia="Calibri" w:hAnsi="Calibri"/>
          <w:sz w:val="18"/>
          <w:szCs w:val="18"/>
          <w:color w:val="auto"/>
        </w:rPr>
        <w:t>In additon to patent exclusivity, the successful commercializaton of our products also depends, in part, on our ability to obtain and maintain periods of non-patent exclusivity during which tme the FDA is precluded from acceptng new drug applicatons, or NDAs, submited under Secton 505(b)(2) of the FDCA or abbreviated new drug applicatons, or ANDAs, for certain compettve products. In May 2021, FDA granted qualifed infectous disease product, or QIDP, designatons to vonoprazan tablets in combinaton with both amoxicillin capsules and clarithromycin tablets, and with amoxicillin capsules alone, respectvely, for the treatment of H. pylori infecton. On May 3, 2022, the FDA approved our NDAs for these products, branded as VOQUEZNA TRIPLE PAK and VOQUEZNA DUAL PAK, respectvely. Because these approvals were for QIDP-designated drugs containing the actve moiety, vonoprazan, which had not previously been approved, the FDA granted fve-years of NCE exclusivity, which was extended by an additonal fve-years pursuant to the GAIN Act, resultng in a total of ten-years of NCE exclusivity, untl May 3, 2032.</w:t>
      </w:r>
    </w:p>
    <w:p>
      <w:pPr>
        <w:spacing w:after="0" w:line="182" w:lineRule="exact"/>
        <w:rPr>
          <w:sz w:val="20"/>
          <w:szCs w:val="20"/>
          <w:color w:val="auto"/>
        </w:rPr>
      </w:pPr>
    </w:p>
    <w:p>
      <w:pPr>
        <w:ind w:right="40" w:firstLine="749"/>
        <w:spacing w:after="0" w:line="235" w:lineRule="auto"/>
        <w:rPr>
          <w:sz w:val="20"/>
          <w:szCs w:val="20"/>
          <w:color w:val="auto"/>
        </w:rPr>
      </w:pPr>
      <w:r>
        <w:rPr>
          <w:rFonts w:ascii="Calibri" w:cs="Calibri" w:eastAsia="Calibri" w:hAnsi="Calibri"/>
          <w:sz w:val="18"/>
          <w:szCs w:val="18"/>
          <w:color w:val="auto"/>
        </w:rPr>
        <w:t>In November 2023, we received approval for VOQUEZNA, which also contains vonoprazan. NCE exclusivity protects against the submission and the FDA’s acceptance of a 505(b)(2) NDA or ANDA referencing that NCE for the duraton of the exclusivity period, and the FDA interprets this form of exclusivity to atach to the actve moiety such that the submission and the FDA’s acceptance of ANDAs and 505(b)(2) NDAs for a drug with that actve moiety may not occur untl the innovator’s exclusivity has expired, whether or not FDA has approved other versions of the drugs enttled to exclusivity, and regardless of the specifc listed drug product to which the ANDA or 505(b)(2) applicaton refers. Consequently, we believe that VOQUEZNA, because it contains vonoprazan, should beneft from the same extended period of NCE exclusivity granted in connecton with our NDAs for VOQUEZNA DUAL PAK and VOQUEZNA TRIPLE PACK, untl May 3, 2032.</w:t>
      </w:r>
    </w:p>
    <w:p>
      <w:pPr>
        <w:spacing w:after="0" w:line="195" w:lineRule="exact"/>
        <w:rPr>
          <w:sz w:val="20"/>
          <w:szCs w:val="20"/>
          <w:color w:val="auto"/>
        </w:rPr>
      </w:pPr>
    </w:p>
    <w:p>
      <w:pPr>
        <w:ind w:firstLine="749"/>
        <w:spacing w:after="0" w:line="250" w:lineRule="auto"/>
        <w:rPr>
          <w:sz w:val="20"/>
          <w:szCs w:val="20"/>
          <w:color w:val="auto"/>
        </w:rPr>
      </w:pPr>
      <w:r>
        <w:rPr>
          <w:rFonts w:ascii="Calibri" w:cs="Calibri" w:eastAsia="Calibri" w:hAnsi="Calibri"/>
          <w:sz w:val="17"/>
          <w:szCs w:val="17"/>
          <w:color w:val="auto"/>
        </w:rPr>
        <w:t>The FDA publicaton, “Approved Drug Products with Therapeutc Equivalence Evaluatons,” referred to as the Orange Book, identfes that VOQUEZNA benefts from the same fve-year period of NCE exclusivity as VOQUEZNA DUAL PAK and VOQUEZNA TRIPLE PAK, but does not currently identfy the GAIN Act extension of an additonal fve-years of NCE exclusivity to which we believe it is enttled. We informally requested that the FDA correct the VOQUEZNA listngs to refect the same extended NCE exclusivity period as VOQUEZNA TRIPLE PAK and VOQUEZNA DUAL PAK. However, the FDA has not yet updated those listngs. Consequently, in December 2024 we submited a citzen petton formally requestng that FDA update the Orange Book listngs to refect the same ten-year period of NCE exclusivity as refected on the VOQUEZNA TRIPLE PAK and VOQUEZNA DUAL PAK Orange Book listngs. While the FDA is required to respond to a Citzen Petton in 180 days, such response may not be substantve and there is no guarantee that we will receive a substantve response from the FDA in the near term. If the FDA ultmately concludes that the GAIN Act extension of NCE exclusivity granted in connecton with our VOQUEZNA TRIPLE PAK and VOQUEZNA DUAL PAK NDAs does not extend to our VOQUEZNA NDA, there is the potental we could be subject to competton earlier than we currently antcipate given that our regulatory exclusivity would no longer extend beyond the current expected expiry of our vonoprazan drug patents in 2030 (assuming the grant of patent term extension). If this occurs, it would have a material adverse efect on our business and fnancial conditon.</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The patent protecton and patent prosecuton for vonoprazan or any future product candidates may be dependent on third partes.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may rely on third partes to fle and prosecute patent applicatons and maintain patents and otherwise protect the licensed intellectual property under certain current and future license agreements, such as the Takeda License. Under such arrangements, we may not have primary control over these actvites for certain of licensed patents or patent applicatons and other intellectual property rights. We cannot be certain that such actvites by third partes have been or will be conducted in compliance</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86" w:name="page87"/>
    <w:bookmarkEnd w:id="86"/>
    <w:p>
      <w:pPr>
        <w:ind w:right="20"/>
        <w:spacing w:after="0" w:line="235" w:lineRule="auto"/>
        <w:rPr>
          <w:sz w:val="20"/>
          <w:szCs w:val="20"/>
          <w:color w:val="auto"/>
        </w:rPr>
      </w:pPr>
      <w:r>
        <w:rPr>
          <w:rFonts w:ascii="Calibri" w:cs="Calibri" w:eastAsia="Calibri" w:hAnsi="Calibri"/>
          <w:sz w:val="18"/>
          <w:szCs w:val="18"/>
          <w:color w:val="auto"/>
        </w:rPr>
        <w:t>with applicable laws and regulatons or will result in valid and enforceable patents or other intellectual property rights. In additon, our current and future licensors may not be fully cooperatve or disagree with us as to the prosecuton, maintenance or enforcement of any patent rights, which could compromise such patent rights. We may in the future enter into license agreements where the licensors may have the right to control enforcement of our licensed patents or defense of any claims assertng the invalidity of these patents and even if we are permited to pursue such enforcement or defense, we will require the cooperaton of our licensors. We cannot be certain that our licensors will allocate sufcient resources or prioritze their or our enforcement of such patents or defense of such claims to protect our interests in the licensed patents. Even if we are not a party to these legal actons, an adverse outcome could harm our business because it might prevent us from contnuing to license intellectual property that we may need to operate our business. If any of our licensors or any of our future licensors or future collaborators fail to appropriately prosecute and maintain patent protecton for patents covering VOQUEZNA or any future product candidates, our ability to develop and commercialize those product candidates may be adversely afected and we may not be able to prevent compettors from making, using and selling competng products.</w:t>
      </w:r>
    </w:p>
    <w:p>
      <w:pPr>
        <w:spacing w:after="0" w:line="184" w:lineRule="exact"/>
        <w:rPr>
          <w:sz w:val="20"/>
          <w:szCs w:val="20"/>
          <w:color w:val="auto"/>
        </w:rPr>
      </w:pPr>
    </w:p>
    <w:p>
      <w:pPr>
        <w:jc w:val="both"/>
        <w:ind w:right="40" w:firstLine="509"/>
        <w:spacing w:after="0" w:line="235" w:lineRule="auto"/>
        <w:rPr>
          <w:sz w:val="20"/>
          <w:szCs w:val="20"/>
          <w:color w:val="auto"/>
        </w:rPr>
      </w:pPr>
      <w:r>
        <w:rPr>
          <w:rFonts w:ascii="Calibri" w:cs="Calibri" w:eastAsia="Calibri" w:hAnsi="Calibri"/>
          <w:sz w:val="18"/>
          <w:szCs w:val="18"/>
          <w:color w:val="auto"/>
        </w:rPr>
        <w:t>In additon, even where we have the right to control prosecuton of patent applicatons or enforcement of patents we have acquired or licensed from third partes, we may stll be adversely afected or prejudiced by actons or inactons of our predecessors or licensors and their counsel that took place prior to us assuming control over such actvites.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Third partes may retain certain rights to the technology that they license to us, including the right to use the underlying technology for noncommercial academic and research use, to publish general scientfc fndings from research related to the technology, and to make customary scientfc and scholarly disclosures of informaton relatng to the technology. For example, under the Takeda License, Takeda retained the rights to the inventons in all countries other than the United States, Europe, and Canada. Takeda also retained the right to develop certain drug products that contain vonoprazan where vonoprazan is not the only actve pharmaceutcal ingredient. It is difcult to monitor whether our predecessors or licensors limit their use of the technology to these uses, and we could incur substantal expenses to enforce our rights to our licensed technology in the event of misuse.</w:t>
      </w:r>
    </w:p>
    <w:p>
      <w:pPr>
        <w:spacing w:after="0" w:line="194"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If we are limited in our ability to utlize acquired or licensed technologies, or if we lose our rights to critcal in-licensed technology, we may be unable to successfully develop, out-license, market and sell our products, which could prevent or delay new product introductons. Our business strategy depends on the successful development of licensed and acquired technologies into commercial products. Therefore, any limitatons on our ability to utlize these technologies may impair our ability to develop, out-license or market and sell our product candidate.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Intellectual property rights do not necessarily address all potental threats to our compettve advantage.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degree of future protecton aforded by our intellectual property rights is uncertain because intellectual property rights have limitatons and may not adequately protect our business or permit us to maintain our compettve advantage. For example:</w:t>
      </w:r>
    </w:p>
    <w:p>
      <w:pPr>
        <w:spacing w:after="0" w:line="204" w:lineRule="exact"/>
        <w:rPr>
          <w:sz w:val="20"/>
          <w:szCs w:val="20"/>
          <w:color w:val="auto"/>
        </w:rPr>
      </w:pPr>
    </w:p>
    <w:p>
      <w:pPr>
        <w:ind w:left="900" w:right="14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others may be able to develop products that are similar to VOQUEZNA or any future product candidates but that are not covered by the claims of the patents that we own in the future or license;</w:t>
      </w:r>
    </w:p>
    <w:p>
      <w:pPr>
        <w:spacing w:after="0" w:line="190" w:lineRule="exact"/>
        <w:rPr>
          <w:rFonts w:ascii="Times New Roman" w:cs="Times New Roman" w:eastAsia="Times New Roman" w:hAnsi="Times New Roman"/>
          <w:sz w:val="18"/>
          <w:szCs w:val="18"/>
          <w:color w:val="auto"/>
        </w:rPr>
      </w:pPr>
    </w:p>
    <w:p>
      <w:pPr>
        <w:ind w:left="900" w:right="24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current and future licensors or predecessors might not have been the frst to make the inventons covered by the issued patents or patent applicatons that we own in the future or license;</w:t>
      </w:r>
    </w:p>
    <w:p>
      <w:pPr>
        <w:spacing w:after="0" w:line="190" w:lineRule="exact"/>
        <w:rPr>
          <w:rFonts w:ascii="Times New Roman" w:cs="Times New Roman" w:eastAsia="Times New Roman" w:hAnsi="Times New Roman"/>
          <w:sz w:val="18"/>
          <w:szCs w:val="18"/>
          <w:color w:val="auto"/>
        </w:rPr>
      </w:pPr>
    </w:p>
    <w:p>
      <w:pPr>
        <w:ind w:left="900" w:right="18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or our current and future licensors or predecessors might not have been the frst to fle patent applicatons covering certain of the claimed inventons;</w:t>
      </w:r>
    </w:p>
    <w:p>
      <w:pPr>
        <w:spacing w:after="0" w:line="204" w:lineRule="exact"/>
        <w:rPr>
          <w:rFonts w:ascii="Times New Roman" w:cs="Times New Roman" w:eastAsia="Times New Roman" w:hAnsi="Times New Roman"/>
          <w:sz w:val="18"/>
          <w:szCs w:val="18"/>
          <w:color w:val="auto"/>
        </w:rPr>
      </w:pPr>
    </w:p>
    <w:p>
      <w:pPr>
        <w:ind w:left="900" w:right="30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others may independently develop similar or alternatve technologies or duplicate any of our technologies without infringing our intellectual property rights;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it is possible that the pending patent applicatons we own or license will not lead to issued patents;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issued patents that we own in the future or license may be held invalid or unenforceable, as a result of legal challenges by our compettors;</w:t>
      </w:r>
    </w:p>
    <w:p>
      <w:pPr>
        <w:spacing w:after="0" w:line="203" w:lineRule="exact"/>
        <w:rPr>
          <w:rFonts w:ascii="Times New Roman" w:cs="Times New Roman" w:eastAsia="Times New Roman" w:hAnsi="Times New Roman"/>
          <w:sz w:val="18"/>
          <w:szCs w:val="18"/>
          <w:color w:val="auto"/>
        </w:rPr>
      </w:pPr>
    </w:p>
    <w:p>
      <w:pPr>
        <w:ind w:left="900" w:right="740" w:hanging="383"/>
        <w:spacing w:after="0" w:line="235" w:lineRule="auto"/>
        <w:tabs>
          <w:tab w:leader="none" w:pos="900" w:val="left"/>
        </w:tabs>
        <w:numPr>
          <w:ilvl w:val="0"/>
          <w:numId w:val="45"/>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compettors might conduct research and development actvites in countries where we do not have patent rights and then use the informaton learned from such actvites to develop compettve products for sale in our major commercial markets;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87" w:name="page88"/>
    <w:bookmarkEnd w:id="87"/>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may not develop additonal proprietary technologies that are patentable; and</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patents of others may have an adverse efect on our business.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Should any of these events occur, it could signifcantly harm our business, results of operatons and prospects.</w:t>
      </w:r>
    </w:p>
    <w:p>
      <w:pPr>
        <w:spacing w:after="0" w:line="190" w:lineRule="exact"/>
        <w:rPr>
          <w:sz w:val="20"/>
          <w:szCs w:val="20"/>
          <w:color w:val="auto"/>
        </w:rPr>
      </w:pPr>
    </w:p>
    <w:p>
      <w:pPr>
        <w:jc w:val="both"/>
        <w:ind w:right="120"/>
        <w:spacing w:after="0" w:line="235" w:lineRule="auto"/>
        <w:rPr>
          <w:sz w:val="20"/>
          <w:szCs w:val="20"/>
          <w:color w:val="auto"/>
        </w:rPr>
      </w:pPr>
      <w:r>
        <w:rPr>
          <w:rFonts w:ascii="Calibri" w:cs="Calibri" w:eastAsia="Calibri" w:hAnsi="Calibri"/>
          <w:sz w:val="18"/>
          <w:szCs w:val="18"/>
          <w:b w:val="1"/>
          <w:bCs w:val="1"/>
          <w:i w:val="1"/>
          <w:iCs w:val="1"/>
          <w:color w:val="auto"/>
        </w:rPr>
        <w:t>Our commercial success depends signifcantly on our ability to operate without infringing the patents and other proprietary rights of third partes. Claims by third partes that we infringe their proprietary rights may result in liability for damages or prevent or delay our developmental and commercializaton eforts.</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commercial success depends in part on avoiding infringement of the patents and proprietary rights of third partes. However, our research, development and commercializaton actvites may be subject to claims that we infringe or otherwise violate patents or other intellectual property rights owned or controlled by third partes. Other enttes may have or obtain patents or proprietary rights that could limit our ability to make, use, sell, ofer for sale or import VOQUEZNA and any future product candidates and products that may be approved in the future, or impair our compettve positon. There is a substantal amount of litgaton, both within and outside the United States, involving patent and other intellectual property rights in the biopharmaceutcal industry, including patent infringement lawsuits, oppositons, reexaminatons, IPR proceedings and PGR proceedings before the USPTO and/ or foreign patent ofces. Numerous third-party U.S. and foreign issued patents and pending patent applicatons exist in the felds in which we are developing product candidates. There may be third-party patents or patent applicatons with claims to materials, formulatons, methods of manufacture or methods for treatment related to the use or manufacture of VOQUEZNA and any future product candidates.</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the biopharmaceutcal industry expands and more patents are issued, the risk increases that VOQUEZNA and any future product candidates may be subject to claims of infringement of the patent rights of third partes. Because patent applicatons are maintained as confdental for a certain period of tme, untl the relevant applicaton is published we may be unaware of third-party patents that may be infringed by commercializaton of VOQUEZNA and any future product candidates, and we cannot be certain that we were the frst to fle a patent applicaton related to a product candidate or technology. Moreover, because patent applicatons can take many years to issue, there may be currently pending patent applicatons that may later result in issued patents that VOQUEZNA and any future product candidates may infringe. In additon, identfcaton of third-party patent rights that may be relevant to our technology is difcult because patent searching is imperfect due to diferences in terminology among patents, incomplete databases and the difculty in assessing the meaning of patent claims. In additon, third partes may obtain patents in the future and claim that use of our technologies infringes upon these patents. Any claims of patent infringement asserted by third partes would be tme consuming and could:</w:t>
      </w:r>
    </w:p>
    <w:p>
      <w:pPr>
        <w:spacing w:after="0" w:line="205"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result in costly litgaton that may cause negatve publicity;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divert the tme and atenton of our technical personnel and management;</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cause development delays;</w:t>
      </w:r>
    </w:p>
    <w:p>
      <w:pPr>
        <w:spacing w:after="0" w:line="203" w:lineRule="exact"/>
        <w:rPr>
          <w:rFonts w:ascii="Times New Roman" w:cs="Times New Roman" w:eastAsia="Times New Roman" w:hAnsi="Times New Roman"/>
          <w:sz w:val="18"/>
          <w:szCs w:val="18"/>
          <w:color w:val="auto"/>
        </w:rPr>
      </w:pPr>
    </w:p>
    <w:p>
      <w:pPr>
        <w:ind w:left="900" w:right="2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prevent us from commercializing, or contnuing to commercialize, VOQUEZNA (and/or other approved products containing vonoprazan), and any future product candidates untl the asserted patent expires or is held fnally invalid or not infringed in a court of law;</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us to develop non-infringing technology, which may not be possible on a cost-efectve basis;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subject us to signifcant liability to third partes; or</w:t>
      </w:r>
    </w:p>
    <w:p>
      <w:pPr>
        <w:spacing w:after="0" w:line="203"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47"/>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require us to enter into royalty or licensing agreements, which may not be available on commercially reasonable terms, or at all, or which might be non-exclusive, which could result in our compettors gaining access to the same technology.</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Although no third party has asserted a claim of patent infringement against us as of the date of this annual report, others may hold proprietary rights that could prevent VOQUEZNA and any future product candidates from being marketed.</w:t>
      </w:r>
    </w:p>
    <w:p>
      <w:pPr>
        <w:spacing w:after="0" w:line="177" w:lineRule="exact"/>
        <w:rPr>
          <w:sz w:val="20"/>
          <w:szCs w:val="20"/>
          <w:color w:val="auto"/>
        </w:rPr>
      </w:pPr>
    </w:p>
    <w:p>
      <w:pPr>
        <w:jc w:val="both"/>
        <w:ind w:right="60" w:firstLine="509"/>
        <w:spacing w:after="0" w:line="235" w:lineRule="auto"/>
        <w:rPr>
          <w:sz w:val="20"/>
          <w:szCs w:val="20"/>
          <w:color w:val="auto"/>
        </w:rPr>
      </w:pPr>
      <w:r>
        <w:rPr>
          <w:rFonts w:ascii="Calibri" w:cs="Calibri" w:eastAsia="Calibri" w:hAnsi="Calibri"/>
          <w:sz w:val="18"/>
          <w:szCs w:val="18"/>
          <w:color w:val="auto"/>
        </w:rPr>
        <w:t>Any patent-related legal acton against us claiming damages and seeking to enjoin actvites relatng to VOQUEZNA and any future product candidates or processes could subject us to potental liability for damages, including treble damages if we were determined to willfully infringe, and require us to obtain a license to manufacture or develop VOQUEZNA and any future product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88" w:name="page89"/>
    <w:bookmarkEnd w:id="88"/>
    <w:p>
      <w:pPr>
        <w:ind w:right="80"/>
        <w:spacing w:after="0" w:line="235" w:lineRule="auto"/>
        <w:rPr>
          <w:sz w:val="20"/>
          <w:szCs w:val="20"/>
          <w:color w:val="auto"/>
        </w:rPr>
      </w:pPr>
      <w:r>
        <w:rPr>
          <w:rFonts w:ascii="Calibri" w:cs="Calibri" w:eastAsia="Calibri" w:hAnsi="Calibri"/>
          <w:sz w:val="18"/>
          <w:szCs w:val="18"/>
          <w:color w:val="auto"/>
        </w:rPr>
        <w:t>candidates. Defense of these claims, regardless of their merit, would involve substantal litgaton expense and would be a substantal diversion of employee resources from our business. We cannot predict whether we would prevail in any such actons or that any license required under any of these patents would be made available on commercially acceptable terms, if at all. Moreover, even if we or our future strategic partners were able to obtain a license, the rights may be nonexclusive, which could result in our compettors gaining access to the same intellectual property. In additon, we cannot be certain that we could redesign VOQUEZNA and any future product candidates or processes to avoid infringement, if necessary. Accordingly, an adverse determinaton in a judicial or administratve proceeding, or the failure to obtain necessary licenses, could prevent us from developing and commercializing VOQUEZNA and any future product candidates, which could harm our business, fnancial conditon and operatng results.</w:t>
      </w:r>
    </w:p>
    <w:p>
      <w:pPr>
        <w:spacing w:after="0" w:line="18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Partes making claims against us may be able to sustain the costs of complex patent litgaton more efectvely than we can because they have substantally greater resources. Furthermore, because of the substantal amount of discovery required in connecton with intellectual property litgaton or administratve proceedings, there is a risk that some of our confdental informaton could be compromised by disclosure. In additon, any uncertaintes resultng from the initaton and contnuaton of any litgaton could have a material adverse efect on our ability to raise additonal funds or otherwise have a material adverse efect on our business, results of operatons, fnancial conditon and prospects.</w:t>
      </w:r>
    </w:p>
    <w:p>
      <w:pPr>
        <w:spacing w:after="0" w:line="180"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We may not be successful in obtaining or maintaining necessary rights to our current products and any future product candidates through acquisitons and in-licenses.</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Because our development programs may in the future require the use of proprietary rights held by other third partes, the growth of our business may depend in part on our ability to acquire, in-license, or use these third-party proprietary rights. We may be unable to acquire or in-license any compositons, methods of use, processes or other third-party intellectual property rights from third partes that we identfy as necessary for our current products, including VOQUEZNA, and any future product candidates. The licensing and acquisiton of third-party intellectual property rights is a compettve area, and a number of more established companies are also pursuing strategies to license or acquire third-party intellectual property rights that we may consider atractve. These established companies may have a compettve advantage over us due to their size, cash resources and greater clinical development and commercializaton capabilites. In additon, companies that perceive us to be a compettor may be unwilling to assign or license rights to us. We also may be unable to license or acquire third-party intellectual property rights on terms that would allow us to make an appropriate return on our investment. If we are unable to successfully obtain rights to required third-party intellectual property rights or maintain the existng intellectual property rights we have, we may have to abandon development of that program and our business and fnancial conditon could sufer.</w:t>
      </w:r>
    </w:p>
    <w:p>
      <w:pPr>
        <w:spacing w:after="0" w:line="184" w:lineRule="exact"/>
        <w:rPr>
          <w:sz w:val="20"/>
          <w:szCs w:val="20"/>
          <w:color w:val="auto"/>
        </w:rPr>
      </w:pPr>
    </w:p>
    <w:p>
      <w:pPr>
        <w:jc w:val="both"/>
        <w:ind w:right="100"/>
        <w:spacing w:after="0" w:line="235" w:lineRule="auto"/>
        <w:rPr>
          <w:sz w:val="20"/>
          <w:szCs w:val="20"/>
          <w:color w:val="auto"/>
        </w:rPr>
      </w:pPr>
      <w:r>
        <w:rPr>
          <w:rFonts w:ascii="Calibri" w:cs="Calibri" w:eastAsia="Calibri" w:hAnsi="Calibri"/>
          <w:sz w:val="18"/>
          <w:szCs w:val="18"/>
          <w:b w:val="1"/>
          <w:bCs w:val="1"/>
          <w:i w:val="1"/>
          <w:iCs w:val="1"/>
          <w:color w:val="auto"/>
        </w:rPr>
        <w:t>We may be involved in lawsuits to protect or enforce our future patents or the patents of our current and future licensors, which could be expensive, tme consuming and unsuccessful. Further, our future issued patents or the patents of our current and future licensors could be found invalid or unenforceable if challenged in court.</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Compettors may infringe our intellectual property rights or those of our current and future licensors. To prevent infringement or unauthorized use, we and/or any such licensors may be required to fle infringement claims, which can be expensive and tme consuming. In additon, in a patent infringement proceeding, a court may decide that a patent we own or license is not valid, is unenforceable and/or is not infringed. If we or any of our current and future licensors were to initate legal proceedings against a third party to enforce a patent directed at VOQUEZNA and any future product candidates, the defendant could counterclaim that our patent or the patent of our current or future licensor is invalid and/or unenforceable in whole or in part. In patent litgaton, defendant counterclaims alleging invalidity and/or unenforceability are commonplace. Grounds for a validity challenge include an alleged failure to meet any of several statutory requirements, including lack of novelty, obviousness, writen descripton, non-enablement, or obviousness-type double patentng. Grounds for an unenforceability asserton could include an allegaton that someone connected with prosecuton of the patent withheld relevant informaton from the USPTO or made a misleading statement during prosecuton.</w:t>
      </w:r>
    </w:p>
    <w:p>
      <w:pPr>
        <w:spacing w:after="0" w:line="19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If a defendant were to prevail on a legal asserton of invalidity and/or unenforceability, we would lose at least part, and perhaps all, of the patent protecton on such product candidate. In additon, if the breadth or strength of protecton provided by our future patents and future patent applicatons or those of our current and future licensors is threatened, it could dissuade companies from collaboratng with us to license, develop or commercialize current or future product candidates. Such a loss of patent protecton would have a material adverse impact on our business.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89" w:name="page90"/>
    <w:bookmarkEnd w:id="89"/>
    <w:p>
      <w:pPr>
        <w:ind w:right="20" w:firstLine="509"/>
        <w:spacing w:after="0" w:line="235" w:lineRule="auto"/>
        <w:rPr>
          <w:sz w:val="20"/>
          <w:szCs w:val="20"/>
          <w:color w:val="auto"/>
        </w:rPr>
      </w:pPr>
      <w:r>
        <w:rPr>
          <w:rFonts w:ascii="Calibri" w:cs="Calibri" w:eastAsia="Calibri" w:hAnsi="Calibri"/>
          <w:sz w:val="18"/>
          <w:szCs w:val="18"/>
          <w:color w:val="auto"/>
        </w:rPr>
        <w:t>Even if resolved in our favor, litgaton or other legal proceedings relatng to our intellectual property rights may cause us to incur signifcant expenses and could distract our technical and management personnel from their normal responsibilites. Such litgaton or proceedings could substantally increase our operatng losses and reduce the resources available for development actvites or any future sales, marketng or distributon actvites. We may not have sufcient fnancial or other resources to conduct such litgaton or proceedings adequately. Some of our compettors may be able to sustain the costs of such litgaton or proceedings more efectvely than we can because of their greater fnancial resources. Uncertaintes resultng from the initaton and contnuaton of patent litgaton or other proceedings could compromise our ability to compete in the marketplace.</w:t>
      </w:r>
    </w:p>
    <w:p>
      <w:pPr>
        <w:spacing w:after="0" w:line="181" w:lineRule="exact"/>
        <w:rPr>
          <w:sz w:val="20"/>
          <w:szCs w:val="20"/>
          <w:color w:val="auto"/>
        </w:rPr>
      </w:pPr>
    </w:p>
    <w:p>
      <w:pPr>
        <w:jc w:val="both"/>
        <w:ind w:right="240" w:firstLine="509"/>
        <w:spacing w:after="0" w:line="235" w:lineRule="auto"/>
        <w:rPr>
          <w:sz w:val="20"/>
          <w:szCs w:val="20"/>
          <w:color w:val="auto"/>
        </w:rPr>
      </w:pPr>
      <w:r>
        <w:rPr>
          <w:rFonts w:ascii="Calibri" w:cs="Calibri" w:eastAsia="Calibri" w:hAnsi="Calibri"/>
          <w:sz w:val="18"/>
          <w:szCs w:val="18"/>
          <w:color w:val="auto"/>
        </w:rPr>
        <w:t>Furthermore, because of the substantal amount of discovery required in connecton with intellectual property litgaton or other legal proceedings relatng to our intellectual property rights, there is a risk that some of our confdental informaton could be compromised by disclosure during this type of litgaton or other proceedings.</w:t>
      </w:r>
    </w:p>
    <w:p>
      <w:pPr>
        <w:spacing w:after="0" w:line="178" w:lineRule="exact"/>
        <w:rPr>
          <w:sz w:val="20"/>
          <w:szCs w:val="20"/>
          <w:color w:val="auto"/>
        </w:rPr>
      </w:pPr>
    </w:p>
    <w:p>
      <w:pPr>
        <w:spacing w:after="0"/>
        <w:rPr>
          <w:sz w:val="20"/>
          <w:szCs w:val="20"/>
          <w:color w:val="auto"/>
        </w:rPr>
      </w:pPr>
      <w:r>
        <w:rPr>
          <w:rFonts w:ascii="Calibri" w:cs="Calibri" w:eastAsia="Calibri" w:hAnsi="Calibri"/>
          <w:sz w:val="17"/>
          <w:szCs w:val="17"/>
          <w:b w:val="1"/>
          <w:bCs w:val="1"/>
          <w:i w:val="1"/>
          <w:iCs w:val="1"/>
          <w:color w:val="auto"/>
        </w:rPr>
        <w:t>Intellectual property litgaton may lead to unfavorable publicity that harms our reputaton and causes the market price of our common shares to decline.</w:t>
      </w:r>
    </w:p>
    <w:p>
      <w:pPr>
        <w:spacing w:after="0" w:line="19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During the course of any intellectual property litgaton, there could be public announcements of the initaton of the litgaton as well as results of hearings, rulings on motons, and other interim proceedings in the litgaton. If securites analysts or investors regard these announcements as negatve, the perceived value of our existng products, programs or intellectual property could be diminished. Accordingly, the market price of shares of our common stock may decline. Such announcements could also harm our reputaton or the market for our future products, which could have a material adverse efect on our business.</w:t>
      </w:r>
    </w:p>
    <w:p>
      <w:pPr>
        <w:spacing w:after="0" w:line="180" w:lineRule="exact"/>
        <w:rPr>
          <w:sz w:val="20"/>
          <w:szCs w:val="20"/>
          <w:color w:val="auto"/>
        </w:rPr>
      </w:pPr>
    </w:p>
    <w:p>
      <w:pPr>
        <w:ind w:right="180"/>
        <w:spacing w:after="0" w:line="235" w:lineRule="auto"/>
        <w:rPr>
          <w:sz w:val="20"/>
          <w:szCs w:val="20"/>
          <w:color w:val="auto"/>
        </w:rPr>
      </w:pPr>
      <w:r>
        <w:rPr>
          <w:rFonts w:ascii="Calibri" w:cs="Calibri" w:eastAsia="Calibri" w:hAnsi="Calibri"/>
          <w:sz w:val="18"/>
          <w:szCs w:val="18"/>
          <w:b w:val="1"/>
          <w:bCs w:val="1"/>
          <w:i w:val="1"/>
          <w:iCs w:val="1"/>
          <w:color w:val="auto"/>
        </w:rPr>
        <w:t>Derivaton or interference proceedings may be necessary to determine priority of inventons, and an unfavorable outcome may require us to cease using the related technology or to atempt to license rights from the prevailing party.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Derivaton or interference proceedings provoked by third partes or brought by us or declared by the USPTO or similar proceedings in foreign patent ofces may be necessary to determine the priority of inventons with respect to our future patents or future patent applicatons or those of our current and future licensors. An unfavorable outcome could require us to cease using the related technology or to atempt to license rights to it from the prevailing party. Our business could be harmed if the prevailing party does not ofer us a license on commercially reasonable terms. Our defense of such proceedings may fail and, even if successful, may result in substantal costs and distract our management and other employees. In additon, the uncertaintes associated with such proceedings could have a material adverse efect on our ability to raise the funds necessary to contnue our commercial actvites, clinical trials, license necessary technology from third partes or enter into development or manufacturing partnerships that would help us contnue commercializing our current products and bring any future product candidates to market.</w:t>
      </w:r>
    </w:p>
    <w:p>
      <w:pPr>
        <w:spacing w:after="0" w:line="196"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i w:val="1"/>
          <w:iCs w:val="1"/>
          <w:color w:val="auto"/>
        </w:rPr>
        <w:t>Patent reform legislaton could increase the uncertaintes and costs surrounding the prosecuton of our future patent applicatons or those of our current and future licensors and the enforcement or defense of our future issued patents or those of our current and future licensors.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On September 16, 2011, the Leahy-Smith America Invents Act, or Leahy-Smith Act, was signed into law. The Leahy-Smith Act includes a number of signifcant changes to U.S. patent law. These include provisions that afect the way patent applicatons will be prosecuted and may also afect patent litgaton. In partcular, under the Leahy-Smith Act, the United States transitoned in March 2013 to a “frst inventor to fle” system in which, assuming that other requirements of patentability are met, the frst inventor to fle a patent applicaton will be enttled to the patent regardless of whether a third party was frst to invent the claimed inventon. A third party that fles a patent applicaton in the USPTO afer March 2013 but before us could therefore be awarded a patent covering an inventon of ours even if we had made the inventon before it was made by such third party. This will require us to be cognizant going forward of the tme from inventon to fling of a patent applicaton. Furthermore, our ability to obtain and maintain valid and enforceable patents depends on whether the diferences between our technology and the prior art allow our technology to be patentable over the prior art. Since patent applicatons in the United States and most other countries are confdental for a period of tme afer fling or untl issuance, we may not be certain that we or our current and future licensors are the frst to either (1) fle any patent applicaton related to VOQUEZNA and any future product candidates or (2) invent any of the inventons claimed in the patents or patent applicatons.</w:t>
      </w:r>
    </w:p>
    <w:p>
      <w:pPr>
        <w:spacing w:after="0" w:line="185"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Leahy-Smith Act also includes a number of signifcant changes that afect the way patent applicatons will be prosecuted and also may afect patent litgaton. These include allowing third-party submission of prior art to the USPTO during patent prosecuton and additonal procedures to atack the validity of a patent by USPTO administered post-grant proceedings, including</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0" w:name="page91"/>
    <w:bookmarkEnd w:id="90"/>
    <w:p>
      <w:pPr>
        <w:ind w:right="600"/>
        <w:spacing w:after="0" w:line="235" w:lineRule="auto"/>
        <w:rPr>
          <w:sz w:val="20"/>
          <w:szCs w:val="20"/>
          <w:color w:val="auto"/>
        </w:rPr>
      </w:pPr>
      <w:r>
        <w:rPr>
          <w:rFonts w:ascii="Calibri" w:cs="Calibri" w:eastAsia="Calibri" w:hAnsi="Calibri"/>
          <w:sz w:val="18"/>
          <w:szCs w:val="18"/>
          <w:color w:val="auto"/>
        </w:rPr>
        <w:t>PGR, IPR, and derivaton proceedings. An adverse determinaton in any such submission or proceeding could reduce the scope or enforceability of, or invalidate, our patent rights, which could adversely afect our compettve positon.</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Because of a lower evidentary standard in USPTO proceedings compared to the evidentary standard in United States federal courts necessary to invalidate a patent claim, a third party could potentally provide evidence in a USPTO proceeding sufcient for the USPTO to hold a claim invalid even though the same evidence would be insufcient to invalidate the claim if frst presented in a district court acton. Accordingly, a third party may atempt to use the USPTO procedures to invalidate our patent claims that would not have been invalidated if frst challenged by the third party as a defendant in a district court acton. Thus, the Leahy-Smith Act and its implementaton could increase the uncertaintes and costs surrounding the prosecuton of our future patent applicatons or those of our current and future licensors and the enforcement or defense of our future issued patents or those of our current and future licensors, all of which could have a material adverse efect on our business, fnancial conditon, results of operatons and prospects.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2012, the European Patent Package, or EU Patent Package, regulatons were passed with the goal of providing a single pan-European Unitary Patent and a new European Unifed Patent Court, or UPC, for litgaton involving European patents. Implementaton of the EU Patent Package occurred on June 1, 2023. Under the UPC, all European patents, including those issued prior to ratfcaton of the European Patent Package, will by default automatcally fall under the jurisdicton of the UPC. The UPC will provide our compettors with a new forum to centrally revoke our European patents, and allow for the possibility of a compettor to obtain pan-European injunctons. Such a loss of patent protecton could have a material adverse impact on our business and our ability to commercialize our technology and product candidates and, resultantly, on our business, fnancial conditon, prospects and results of operatons. It will be several years before we will understand the scope of patent rights that will be recognized and the strength of patent remedies that will be provided by the UPC. Under the EU Patent Package as currently proposed, we will have the right to opt our patents out of the UPC over the frst seven years of the court’s existence, but doing so may preclude us from realizing the benefts of the new unifed court. Moreover, if we do not meet all of the formalites and requirements for opt-out under the UPC, our future European patents could remain under the jurisdicton of the UPC.</w:t>
      </w:r>
    </w:p>
    <w:p>
      <w:pPr>
        <w:spacing w:after="0" w:line="197" w:lineRule="exact"/>
        <w:rPr>
          <w:sz w:val="20"/>
          <w:szCs w:val="20"/>
          <w:color w:val="auto"/>
        </w:rPr>
      </w:pPr>
    </w:p>
    <w:p>
      <w:pPr>
        <w:ind w:right="160"/>
        <w:spacing w:after="0" w:line="235" w:lineRule="auto"/>
        <w:rPr>
          <w:sz w:val="20"/>
          <w:szCs w:val="20"/>
          <w:color w:val="auto"/>
        </w:rPr>
      </w:pPr>
      <w:r>
        <w:rPr>
          <w:rFonts w:ascii="Calibri" w:cs="Calibri" w:eastAsia="Calibri" w:hAnsi="Calibri"/>
          <w:sz w:val="18"/>
          <w:szCs w:val="18"/>
          <w:b w:val="1"/>
          <w:bCs w:val="1"/>
          <w:i w:val="1"/>
          <w:iCs w:val="1"/>
          <w:color w:val="auto"/>
        </w:rPr>
        <w:t>Changes in U.S. patent law, or laws in other countries, could diminish the value of patents in general, thereby impairing our ability to protect our current products and any future product candidates.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is the case with other biopharmaceutcal companies, our success is heavily dependent on intellectual property, partcularly patents. Obtaining and enforcing patents in the biopharmaceutcal industry involve a high degree of technological and legal complexity. Therefore, obtaining and enforcing biopharmaceutcal patents is costly, tme consuming and inherently uncertain. Changes in either the patent laws or in the interpretatons of patent laws in the United States and other countries may diminish the value of our intellectual property and may increase the uncertaintes and costs surrounding the prosecuton of patent applicatons and the enforcement or defense of issued patents. We cannot predict the breadth of claims that may be allowed or enforced in our future patents or in third-party patents. In additon, Congress or other foreign legislatve bodies may pass patent reform legislaton that is unfavorable to us. Evolving judicial interpretaton of patent law could also adversely afect our business. For example, the U.S. Supreme Court has ruled on several patent cases in recent years, either narrowing the scope of patent protecton available in certain circumstances or weakening the rights of patent owners in certain situatons. In additon to increasing uncertainty with regard to our ability to obtain patents in the future, this combinaton of events has created uncertainty with respect to the value of patents, once obtained. Depending on decisions by the U.S. Congress, the U.S. federal courts, the USPTO, or similar authorites in foreign jurisdictons, the laws and regulatons governing patents could change in unpredictable ways that would weaken our ability to obtain new patents or to enforce the existng licensed patents and the patents we might obtain or license in the future.</w:t>
      </w:r>
    </w:p>
    <w:p>
      <w:pPr>
        <w:spacing w:after="0" w:line="186" w:lineRule="exact"/>
        <w:rPr>
          <w:sz w:val="20"/>
          <w:szCs w:val="20"/>
          <w:color w:val="auto"/>
        </w:rPr>
      </w:pPr>
    </w:p>
    <w:p>
      <w:pPr>
        <w:ind w:right="380"/>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challenging the inventorship or ownership of our future patents, the patents of our current and future licensors, or other intellectual property</w:t>
      </w:r>
      <w:r>
        <w:rPr>
          <w:rFonts w:ascii="Calibri" w:cs="Calibri" w:eastAsia="Calibri" w:hAnsi="Calibri"/>
          <w:sz w:val="18"/>
          <w:szCs w:val="18"/>
          <w:color w:val="auto"/>
        </w:rPr>
        <w:t>.</w:t>
      </w:r>
    </w:p>
    <w:p>
      <w:pPr>
        <w:spacing w:after="0" w:line="19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may also be subject to claims that former employees or other third partes have an ownership interest in our future patents, the patents of our current and future licensors or other intellectual property. Litgaton may be necessary to defend against these and other claims challenging inventorship or ownership. If we fail in defending any such claims, in additon to paying monetary damages, we may lose valuable intellectual property rights. Such an outcome could have a material adverse efect on our business. Even if we are successful in defending against such claims, litgaton could result in substantal costs and distracton to management and other employees.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Patent terms may be inadequate to protect our compettve positon on VOQUEZNA and any future product candidates for an adequate amount of tme.</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1" w:name="page92"/>
    <w:bookmarkEnd w:id="91"/>
    <w:p>
      <w:pPr>
        <w:ind w:right="140" w:firstLine="509"/>
        <w:spacing w:after="0" w:line="235" w:lineRule="auto"/>
        <w:rPr>
          <w:sz w:val="20"/>
          <w:szCs w:val="20"/>
          <w:color w:val="auto"/>
        </w:rPr>
      </w:pPr>
      <w:r>
        <w:rPr>
          <w:rFonts w:ascii="Calibri" w:cs="Calibri" w:eastAsia="Calibri" w:hAnsi="Calibri"/>
          <w:sz w:val="18"/>
          <w:szCs w:val="18"/>
          <w:color w:val="auto"/>
        </w:rPr>
        <w:t>Patents have a limited lifespan. In the United States, if all maintenance fees are tmely paid, the natural expiraton of a patent is generally 20 years from its earliest U.S. non-provisional fling date. Various extensions may be available, but the life of a patent, and the protecton it afords, is limited. Even if patents covering our current products including VOQUEZNA and any future product candidates are obtained, once the patent life has expired, we may be open to competton from compettve products. Given the amount of tme required for the development, testng and regulatory review of product candidates, patents protectng our current products and any future product candidates might expire before or shortly afer such candidates are commercialized. As a result, our patent portolio may not provide us with sufcient rights to exclude others from commercializing products similar or identcal to ours.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do not obtain patent term extension for our current products and any future product candidates, our business may be materially harmed.</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Based on the frst marketng approval by the FDA for vonoprazan, we believe one or more of our U.S. patents or those of our current and future licensors, may be eligible for limited patent term restoraton under the Drug Price Competton and Patent Term Restoraton Act of 1984, or the Hatch-Waxman Amendments. The Hatch- Waxman Amendments permit a patent restoraton term of up to fve years as compensaton for patent term lost during product development and the FDA regulatory review process. A maximum of one patent may be extended per FDA approved product as compensaton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vonoprazan and any future product candidates. However, we may not be granted an extension because of, for example, failing to apply within applicable deadlines, failing to apply prior to expiraton of relevant patents or otherwise failing to satsfy applicable requirements, or the government may disagree that the patent term extension should apply to a partcular product. Moreover, the applicable tme period or the scope of patent protecton aforded could be less than we request. If we are unable to obtain patent term extension or restoraton or the term of any such extension is less than we request, our compettors may obtain approval of competng products following our patent expiraton, and our revenue could be reduced, possibly materially. Further, if this occurs, our compettors may take advantage of our investment in development and trials by referencing our clinical and preclinical data and launch their product earlier than might otherwise be the case.</w:t>
      </w:r>
    </w:p>
    <w:p>
      <w:pPr>
        <w:spacing w:after="0" w:line="19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may not be able to protect our intellectual property rights throughout our licensed territories.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Although we have issued patents and pending patent applicatons in the United States and certain other countries in which we intend to commercialize our products, fling, prosecutng and defending patents in all relevant countries throughout our licensed territories could be prohibitvely expensive, and our intellectual property rights in some countries outside the United States can be less extensive than those in the United States. In additon, the laws of some foreign countries do not protect intellectual property rights to the same extent as federal and state laws in the United States. Consequently, we may not be able to prevent third partes from practcing our inventons in all countries outside the United States or from selling or importng products made using our inventons in and into the United States or other jurisdictons. Compettors may use our technologies in jurisdictons where we have not obtained patent protecton to develop their own products and, further, may export otherwise infringing products to territories where we have patent protecton but enforcement is not as strong as that in the United States. These products may compete with VOQUEZNA or any future product candidates, and our patents, the patents of our current and future licensors or other intellectual property rights may not be efectve or sufcient to prevent them from competng.</w:t>
      </w:r>
    </w:p>
    <w:p>
      <w:pPr>
        <w:spacing w:after="0" w:line="18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Many companies have encountered signifcant problems in protectng and defending intellectual property rights in foreign jurisdictons. The legal systems of many foreign countries do not favor the enforcement of patents and other intellectual property protecton, which could make it difcult for us to stop the infringement of our intellectual property rights or marketng of competng products in violaton of our proprietary rights. Proceedings to enforce our patent rights in foreign jurisdictons could result in substantal costs and divert our eforts and atenton from other aspects of our business, could put our future patents or the patents of our current and future licensors at risk of being invalidated or interpreted narrowly and our future patent applicatons or the patent applicatons of our current and future licensors at risk of not issuing and could provoke third partes to assert claims against us. We may not prevail in any lawsuits that we initate, and the damages or other remedies awarded, if any, may not be commercially meaningful. Accordingly, our eforts to enforce our intellectual property rights around the world may be inadequate to obtain a signifcant commercial advantage from the intellectual property that we develop or license.</w:t>
      </w:r>
    </w:p>
    <w:p>
      <w:pPr>
        <w:spacing w:after="0" w:line="197"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Many countries have compulsory licensing laws under which a patent owner may be compelled to grant licenses to third partes. In additon, many countries limit the enforceability of patents against government agencies or government contractors. In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2" w:name="page93"/>
    <w:bookmarkEnd w:id="92"/>
    <w:p>
      <w:pPr>
        <w:jc w:val="both"/>
        <w:ind w:right="60"/>
        <w:spacing w:after="0" w:line="235" w:lineRule="auto"/>
        <w:rPr>
          <w:sz w:val="20"/>
          <w:szCs w:val="20"/>
          <w:color w:val="auto"/>
        </w:rPr>
      </w:pPr>
      <w:r>
        <w:rPr>
          <w:rFonts w:ascii="Calibri" w:cs="Calibri" w:eastAsia="Calibri" w:hAnsi="Calibri"/>
          <w:sz w:val="18"/>
          <w:szCs w:val="18"/>
          <w:color w:val="auto"/>
        </w:rPr>
        <w:t>these countries, the patent owner may have limited remedies, which could materially diminish the value of such patent. If we are forced to grant a license to third partes with respect to any patents relevant to our business, our compettve positon may be impaired, and our business, fnancial conditon, results of operatons and prospects may be adversely afected.</w:t>
      </w:r>
    </w:p>
    <w:p>
      <w:pPr>
        <w:spacing w:after="0" w:line="178" w:lineRule="exact"/>
        <w:rPr>
          <w:sz w:val="20"/>
          <w:szCs w:val="20"/>
          <w:color w:val="auto"/>
        </w:rPr>
      </w:pPr>
    </w:p>
    <w:p>
      <w:pPr>
        <w:ind w:right="320"/>
        <w:spacing w:after="0" w:line="235" w:lineRule="auto"/>
        <w:rPr>
          <w:sz w:val="20"/>
          <w:szCs w:val="20"/>
          <w:color w:val="auto"/>
        </w:rPr>
      </w:pPr>
      <w:r>
        <w:rPr>
          <w:rFonts w:ascii="Calibri" w:cs="Calibri" w:eastAsia="Calibri" w:hAnsi="Calibri"/>
          <w:sz w:val="18"/>
          <w:szCs w:val="18"/>
          <w:b w:val="1"/>
          <w:bCs w:val="1"/>
          <w:i w:val="1"/>
          <w:iCs w:val="1"/>
          <w:color w:val="auto"/>
        </w:rPr>
        <w:t>Obtaining and maintaining our patent protecton depends on compliance with various procedural, documentary, fee payment and other requirements imposed by regulatons and governmental patent agencies, and our patent protecton could be reduced or eliminated for non-compliance with these requirements.</w:t>
      </w:r>
    </w:p>
    <w:p>
      <w:pPr>
        <w:spacing w:after="0" w:line="178"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Periodic maintenance fees, renewal fees, annuity fees and various other governmental fees on patents and/or applicatons will be due to the USPTO and various foreign patent ofces at various points over the lifetme of our future patents and/or future applicatons and those of our current and future licensors. We have systems in place to remind us to pay these fees, and we rely on third partes to pay these fees when due. Additonally, the USPTO and various foreign patent ofces require compliance with a number of procedural, documentary, fee payment and other similar provisions during the patent applicaton process. We employ reputable law frms and other professionals to help us comply, and in many cases, an inadvertent lapse can be cured by payment of a late fee or by other means in accordance with rules applicable to the partcular jurisdicton. However, there are situatons in which noncompliance can result in abandonment or lapse of the patent or patent applicaton, resultng in partal or complete loss of patent rights in the relevant jurisdicton. If such an event were to occur, it could have a material adverse efect on our business.</w:t>
      </w:r>
    </w:p>
    <w:p>
      <w:pPr>
        <w:spacing w:after="0" w:line="191"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If we are unable to protect the confdentality of our trade secrets, our business and compettve positon would be harmed.</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additon, we rely on the protecton of our trade secrets, including unpatented know-how, technology and other proprietary informaton to maintain our compettve positon. Although we have taken steps to protect our trade secrets and unpatented know-how, including entering into confdentality agreements with third partes, and confdental informaton and inventons agreements with employees, consultants and advisors, we cannot provide any assurances that all such agreements have been duly executed, and any of these partes may breach the agreements and disclose our proprietary informaton, including our trade secrets, and we may not be able to obtain adequate remedies for such breaches. Enforcing a claim that a party illegally disclosed or misappropriated a trade secret is difcult, expensive and tme consuming, and the outcome is unpredictable. In additon, some courts inside and outside the United States are less willing or unwilling to protect trade secrets. We may need to share our trade secrets and proprietary know-how with current or future partners, collaborators, contractors and others located in countries at heightened risk of thef of trade secrets, including through direct intrusion by private partes or foreign actors, and those afliated with or controlled by state actors. As a result, we may encounter signifcant problems in protectng and defending our intellectual property both in the United States and other countries.</w:t>
      </w:r>
    </w:p>
    <w:p>
      <w:pPr>
        <w:spacing w:after="0" w:line="184"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Moreover, third partes may stll obtain this informaton or may come upon this or similar informaton independently, and we would have no right to prevent them from using that technology or informaton to compete with us. If any of these events occurs or if we otherwise lose protecton for our trade secrets, the value of this informaton may be greatly reduced and our compettve positon would be harmed. If we cannot otherwise maintain the confdentality of our proprietary technology and other confdental informaton, then our ability to protect our trade secret informaton may be jeopardized.</w:t>
      </w:r>
    </w:p>
    <w:p>
      <w:pPr>
        <w:spacing w:after="0" w:line="181" w:lineRule="exact"/>
        <w:rPr>
          <w:sz w:val="20"/>
          <w:szCs w:val="20"/>
          <w:color w:val="auto"/>
        </w:rPr>
      </w:pPr>
    </w:p>
    <w:p>
      <w:pPr>
        <w:ind w:right="680"/>
        <w:spacing w:after="0" w:line="235" w:lineRule="auto"/>
        <w:rPr>
          <w:sz w:val="20"/>
          <w:szCs w:val="20"/>
          <w:color w:val="auto"/>
        </w:rPr>
      </w:pPr>
      <w:r>
        <w:rPr>
          <w:rFonts w:ascii="Calibri" w:cs="Calibri" w:eastAsia="Calibri" w:hAnsi="Calibri"/>
          <w:sz w:val="18"/>
          <w:szCs w:val="18"/>
          <w:b w:val="1"/>
          <w:bCs w:val="1"/>
          <w:i w:val="1"/>
          <w:iCs w:val="1"/>
          <w:color w:val="auto"/>
        </w:rPr>
        <w:t>We may be subject to claims that we have wrongfully hired an employee from a compettor or that we or our employees have wrongfully used or disclosed alleged confdental informaton or trade secrets of their former employers.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As is common in the biopharmaceutcal industry, in additon to our employees, we engage the services of consultants to assist us in the development of vonoprazan and any future product candidates. Many of these consultants, and many of our employees, were previously employed at, or may have previously provided or may be currently providing consultng services to, other biopharmaceutcal companies including our compettors or potental compettors. We may become subject to claims that we, our employees or a consultant inadvertently or otherwise used or disclosed trade secrets or other informaton proprietary to their former employers or their former or current clients. Litgaton may be necessary to defend against these claims. If we fail in defending any such claims, in additon to paying monetary damages, we may lose valuable intellectual property rights or personnel, which could adversely afect our business. Even if we are successful in defending against these claims, litgaton could result in substantal costs and be a distracton to our management team and other employees.</w:t>
      </w:r>
    </w:p>
    <w:p>
      <w:pPr>
        <w:spacing w:after="0" w:line="182" w:lineRule="exact"/>
        <w:rPr>
          <w:sz w:val="20"/>
          <w:szCs w:val="20"/>
          <w:color w:val="auto"/>
        </w:rPr>
      </w:pPr>
    </w:p>
    <w:p>
      <w:pPr>
        <w:ind w:right="220"/>
        <w:spacing w:after="0" w:line="235" w:lineRule="auto"/>
        <w:rPr>
          <w:sz w:val="20"/>
          <w:szCs w:val="20"/>
          <w:color w:val="auto"/>
        </w:rPr>
      </w:pPr>
      <w:r>
        <w:rPr>
          <w:rFonts w:ascii="Calibri" w:cs="Calibri" w:eastAsia="Calibri" w:hAnsi="Calibri"/>
          <w:sz w:val="18"/>
          <w:szCs w:val="18"/>
          <w:b w:val="1"/>
          <w:bCs w:val="1"/>
          <w:i w:val="1"/>
          <w:iCs w:val="1"/>
          <w:color w:val="auto"/>
        </w:rPr>
        <w:t>If our trademarks and trade names are not adequately protected, then we may not be able to build name recogniton in our markets of interest and our business may be adversely afected.</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3" w:name="page94"/>
    <w:bookmarkEnd w:id="93"/>
    <w:p>
      <w:pPr>
        <w:ind w:right="60" w:firstLine="509"/>
        <w:spacing w:after="0" w:line="235" w:lineRule="auto"/>
        <w:rPr>
          <w:sz w:val="20"/>
          <w:szCs w:val="20"/>
          <w:color w:val="auto"/>
        </w:rPr>
      </w:pPr>
      <w:r>
        <w:rPr>
          <w:rFonts w:ascii="Calibri" w:cs="Calibri" w:eastAsia="Calibri" w:hAnsi="Calibri"/>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recogniton among potental partners or customers in our markets of interest. At tmes, compettors may adopt trade names or trademarks similar to ours, thereby impeding our ability to build brand identty and possibly leading to market confusion. In additon, there could be potental trade name or trademark infringement claims brought by owners of other trademarks or trademarks that incorporate variatons of our registered or unregistered trademarks or trade names. Over the long term, if we are unable to establish name recogniton based on our trademarks and trade names, then we may not be able to compete efectvely and our business may be adversely afected. We may license our trademarks and trade names to third partes,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eforts to enforce or protect our proprietary rights related to trademarks, trade names, trade secrets, domain names, copyrights or other intellectual property may be inefectve and could result in substantal costs and diversion of resources and could adversely afect our fnancial conditon or results of operatons.</w:t>
      </w:r>
    </w:p>
    <w:p>
      <w:pPr>
        <w:spacing w:after="0" w:line="186" w:lineRule="exact"/>
        <w:rPr>
          <w:sz w:val="20"/>
          <w:szCs w:val="20"/>
          <w:color w:val="auto"/>
        </w:rPr>
      </w:pPr>
    </w:p>
    <w:p>
      <w:pPr>
        <w:ind w:right="260"/>
        <w:spacing w:after="0" w:line="235" w:lineRule="auto"/>
        <w:rPr>
          <w:sz w:val="20"/>
          <w:szCs w:val="20"/>
          <w:color w:val="auto"/>
        </w:rPr>
      </w:pPr>
      <w:r>
        <w:rPr>
          <w:rFonts w:ascii="Calibri" w:cs="Calibri" w:eastAsia="Calibri" w:hAnsi="Calibri"/>
          <w:sz w:val="18"/>
          <w:szCs w:val="18"/>
          <w:b w:val="1"/>
          <w:bCs w:val="1"/>
          <w:i w:val="1"/>
          <w:iCs w:val="1"/>
          <w:color w:val="auto"/>
        </w:rPr>
        <w:t>Any collaboraton arrangements that we have or may enter into in the future may not be successful, which could adversely afect our ability to develop and commercialize our products.</w:t>
      </w:r>
    </w:p>
    <w:p>
      <w:pPr>
        <w:spacing w:after="0" w:line="177" w:lineRule="exact"/>
        <w:rPr>
          <w:sz w:val="20"/>
          <w:szCs w:val="20"/>
          <w:color w:val="auto"/>
        </w:rPr>
      </w:pPr>
    </w:p>
    <w:p>
      <w:pPr>
        <w:ind w:right="220" w:firstLine="509"/>
        <w:spacing w:after="0" w:line="254" w:lineRule="auto"/>
        <w:rPr>
          <w:sz w:val="20"/>
          <w:szCs w:val="20"/>
          <w:color w:val="auto"/>
        </w:rPr>
      </w:pPr>
      <w:r>
        <w:rPr>
          <w:rFonts w:ascii="Calibri" w:cs="Calibri" w:eastAsia="Calibri" w:hAnsi="Calibri"/>
          <w:sz w:val="17"/>
          <w:szCs w:val="17"/>
          <w:color w:val="auto"/>
        </w:rPr>
        <w:t>The success of our collaboraton arrangements will depend heavily on the eforts and actvites of our collaborators and partners. Under the Takeda License, for example, Takeda had certain obligatons with respect to assistng with the transiton of informaton and materials to us as well as providing clinical and commercial supply of the vonoprazan product. Collaboratons and partnerships are subject to numerous risks, which may include that:</w:t>
      </w:r>
    </w:p>
    <w:p>
      <w:pPr>
        <w:spacing w:after="0" w:line="187" w:lineRule="exact"/>
        <w:rPr>
          <w:sz w:val="20"/>
          <w:szCs w:val="20"/>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have signifcant discreton in determining the eforts and resources that they will apply to collaboratons;</w:t>
      </w:r>
    </w:p>
    <w:p>
      <w:pPr>
        <w:spacing w:after="0" w:line="190" w:lineRule="exact"/>
        <w:rPr>
          <w:rFonts w:ascii="Times New Roman" w:cs="Times New Roman" w:eastAsia="Times New Roman" w:hAnsi="Times New Roman"/>
          <w:sz w:val="18"/>
          <w:szCs w:val="18"/>
          <w:color w:val="auto"/>
        </w:rPr>
      </w:pPr>
    </w:p>
    <w:p>
      <w:pPr>
        <w:ind w:left="900" w:right="520" w:hanging="383"/>
        <w:spacing w:after="0" w:line="254" w:lineRule="auto"/>
        <w:tabs>
          <w:tab w:leader="none" w:pos="900" w:val="left"/>
        </w:tabs>
        <w:numPr>
          <w:ilvl w:val="0"/>
          <w:numId w:val="48"/>
        </w:numPr>
        <w:rPr>
          <w:rFonts w:ascii="Times New Roman" w:cs="Times New Roman" w:eastAsia="Times New Roman" w:hAnsi="Times New Roman"/>
          <w:sz w:val="17"/>
          <w:szCs w:val="17"/>
          <w:color w:val="auto"/>
        </w:rPr>
      </w:pPr>
      <w:r>
        <w:rPr>
          <w:rFonts w:ascii="Calibri" w:cs="Calibri" w:eastAsia="Calibri" w:hAnsi="Calibri"/>
          <w:sz w:val="17"/>
          <w:szCs w:val="17"/>
          <w:color w:val="auto"/>
        </w:rPr>
        <w:t>collaborators may not pursue development and commercializaton of our products or may elect not to contnue or renew development or commercializaton programs based on trial or test results, changes in their strategic focus due to the acquisiton of compettve products, availability of funding or other external factors, such as a business combinaton that diverts resources or creates competng priorites;</w:t>
      </w:r>
    </w:p>
    <w:p>
      <w:pPr>
        <w:spacing w:after="0" w:line="178" w:lineRule="exact"/>
        <w:rPr>
          <w:rFonts w:ascii="Times New Roman" w:cs="Times New Roman" w:eastAsia="Times New Roman" w:hAnsi="Times New Roman"/>
          <w:sz w:val="17"/>
          <w:szCs w:val="17"/>
          <w:color w:val="auto"/>
        </w:rPr>
      </w:pPr>
    </w:p>
    <w:p>
      <w:pPr>
        <w:ind w:left="900" w:right="46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could independently develop, or develop with third partes, products that compete directly or indirectly with our products or product candidates;</w:t>
      </w:r>
    </w:p>
    <w:p>
      <w:pPr>
        <w:spacing w:after="0" w:line="204" w:lineRule="exact"/>
        <w:rPr>
          <w:rFonts w:ascii="Times New Roman" w:cs="Times New Roman" w:eastAsia="Times New Roman" w:hAnsi="Times New Roman"/>
          <w:sz w:val="18"/>
          <w:szCs w:val="18"/>
          <w:color w:val="auto"/>
        </w:rPr>
      </w:pPr>
    </w:p>
    <w:p>
      <w:pPr>
        <w:ind w:left="900" w:right="66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collaborator with marketng, manufacturing and distributon rights to one or more products may not commit sufcient resources to or otherwise not perform satsfactorily in carrying out these actvites;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we could grant exclusive rights to our collaborators that would prevent us from collaboratng with others;</w:t>
      </w:r>
    </w:p>
    <w:p>
      <w:pPr>
        <w:spacing w:after="0" w:line="190" w:lineRule="exact"/>
        <w:rPr>
          <w:rFonts w:ascii="Times New Roman" w:cs="Times New Roman" w:eastAsia="Times New Roman" w:hAnsi="Times New Roman"/>
          <w:sz w:val="18"/>
          <w:szCs w:val="18"/>
          <w:color w:val="auto"/>
        </w:rPr>
      </w:pPr>
    </w:p>
    <w:p>
      <w:pPr>
        <w:ind w:left="900" w:right="16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may not properly maintain or defend our intellectual property rights or may use our intellectual property or proprietary informaton in a way that gives rise to actual or threatened litgaton that could jeopardize or invalidate our intellectual property or proprietary informaton or expose us to potental liability;</w:t>
      </w:r>
    </w:p>
    <w:p>
      <w:pPr>
        <w:spacing w:after="0" w:line="205" w:lineRule="exact"/>
        <w:rPr>
          <w:rFonts w:ascii="Times New Roman" w:cs="Times New Roman" w:eastAsia="Times New Roman" w:hAnsi="Times New Roman"/>
          <w:sz w:val="18"/>
          <w:szCs w:val="18"/>
          <w:color w:val="auto"/>
        </w:rPr>
      </w:pPr>
    </w:p>
    <w:p>
      <w:pPr>
        <w:ind w:left="90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disputes may arise between us and a collaborator that causes the delay or terminaton of the research, development or commercializaton of our current or future products or that results in costly litgaton or arbitraton that diverts management atenton and resources;</w:t>
      </w:r>
    </w:p>
    <w:p>
      <w:pPr>
        <w:spacing w:after="0" w:line="190" w:lineRule="exact"/>
        <w:rPr>
          <w:rFonts w:ascii="Times New Roman" w:cs="Times New Roman" w:eastAsia="Times New Roman" w:hAnsi="Times New Roman"/>
          <w:sz w:val="18"/>
          <w:szCs w:val="18"/>
          <w:color w:val="auto"/>
        </w:rPr>
      </w:pPr>
    </w:p>
    <w:p>
      <w:pPr>
        <w:ind w:left="900" w:right="106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collaboratons may be terminated, and, if terminated, may result in a need for additonal capital to pursue further development or commercializaton of the applicable current or future products;</w:t>
      </w:r>
    </w:p>
    <w:p>
      <w:pPr>
        <w:spacing w:after="0" w:line="190"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collaborators may own or co-own intellectual property covering our products that results from our collaboratng with them, and in such cases, we would not have the exclusive right to develop or commercialize such intellectual property; and</w:t>
      </w:r>
    </w:p>
    <w:p>
      <w:pPr>
        <w:spacing w:after="0" w:line="204" w:lineRule="exact"/>
        <w:rPr>
          <w:rFonts w:ascii="Times New Roman" w:cs="Times New Roman" w:eastAsia="Times New Roman" w:hAnsi="Times New Roman"/>
          <w:sz w:val="18"/>
          <w:szCs w:val="18"/>
          <w:color w:val="auto"/>
        </w:rPr>
      </w:pPr>
    </w:p>
    <w:p>
      <w:pPr>
        <w:ind w:left="900" w:right="360" w:hanging="383"/>
        <w:spacing w:after="0" w:line="235" w:lineRule="auto"/>
        <w:tabs>
          <w:tab w:leader="none" w:pos="900" w:val="left"/>
        </w:tabs>
        <w:numPr>
          <w:ilvl w:val="0"/>
          <w:numId w:val="48"/>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collaborator’s sales and marketng actvites or other operatons may not be in compliance with applicable laws resultng in civil or criminal proceedings.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4" w:name="page95"/>
    <w:bookmarkEnd w:id="94"/>
    <w:p>
      <w:pPr>
        <w:jc w:val="both"/>
        <w:ind w:right="80"/>
        <w:spacing w:after="0" w:line="235" w:lineRule="auto"/>
        <w:rPr>
          <w:sz w:val="20"/>
          <w:szCs w:val="20"/>
          <w:color w:val="auto"/>
        </w:rPr>
      </w:pPr>
      <w:r>
        <w:rPr>
          <w:rFonts w:ascii="Calibri" w:cs="Calibri" w:eastAsia="Calibri" w:hAnsi="Calibri"/>
          <w:sz w:val="18"/>
          <w:szCs w:val="18"/>
          <w:b w:val="1"/>
          <w:bCs w:val="1"/>
          <w:i w:val="1"/>
          <w:iCs w:val="1"/>
          <w:color w:val="auto"/>
        </w:rPr>
        <w:t>Intellectual property discovered through government funded programs may be subject to federal regulatons such as “march-in” rights, certain reportng requirements and a preference for U.S.-based companies. Compliance with such regulatons may limit our exclusive rights and limit our ability to contract with non-U.S. manufacturers.</w:t>
      </w:r>
    </w:p>
    <w:p>
      <w:pPr>
        <w:spacing w:after="0" w:line="178"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We may acquire or license in the future intellectual property rights that have been generated through the use of U.S. government funding or grant. Pursuant to the Bayh-Dole Act of 1980, the U.S. government has certain rights in inventons developed with government funding. These U.S. government rights include a non-exclusive, non-transferable, irrevocable worldwide license to use inventons for any governmental purpose. In additon, the U.S. government has the right, under certain limited circumstances, to require us to grant exclusive, partally exclusive, or non-exclusive licenses to any of these inventons to a third party if it determines that: (i) adequate steps have not been taken to commercialize the inventon; (ii) government acton is necessary to meet public health or safety needs; or (iii) government acton is necessary to meet requirements for public use under federal regulatons (also referred to as “march-in rights”). The U.S. government also has the right to take ttle to these inventons if the grant recipient fails to disclose the inventon to the government or fails to fle an applicaton to register the intellectual property within specifed tme limits. Intellectual property generated under a government funded program is also subject to certain reportng requirements, compliance with which may require us to expend substantal resources. In additon, the U.S. government requires that any products embodying any of these inventons or produced through the use of any of these inventons be manufactured substantally in the United States. This preference for industry may be waived by the federal agency that provided the funding if the owner or assignee of the intellectual property can show that reasonable but unsuccessful eforts have been made to grant licenses on similar terms to potental licensees that would be likely to manufacture substantally in the United States or that under the circumstances domestc manufacture is not commercially feasible. This preference for U.S. industry may limit our ability to contract with non-U.S. product manufacturers for products covered by such intellectual property.</w:t>
      </w:r>
    </w:p>
    <w:p>
      <w:pPr>
        <w:spacing w:after="0" w:line="16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Risks Related to Our Common Stock</w:t>
      </w:r>
    </w:p>
    <w:p>
      <w:pPr>
        <w:spacing w:after="0" w:line="190" w:lineRule="exact"/>
        <w:rPr>
          <w:sz w:val="20"/>
          <w:szCs w:val="20"/>
          <w:color w:val="auto"/>
        </w:rPr>
      </w:pPr>
    </w:p>
    <w:p>
      <w:pPr>
        <w:ind w:right="240"/>
        <w:spacing w:after="0" w:line="235" w:lineRule="auto"/>
        <w:rPr>
          <w:sz w:val="20"/>
          <w:szCs w:val="20"/>
          <w:color w:val="auto"/>
        </w:rPr>
      </w:pPr>
      <w:r>
        <w:rPr>
          <w:rFonts w:ascii="Calibri" w:cs="Calibri" w:eastAsia="Calibri" w:hAnsi="Calibri"/>
          <w:sz w:val="18"/>
          <w:szCs w:val="18"/>
          <w:b w:val="1"/>
          <w:bCs w:val="1"/>
          <w:i w:val="1"/>
          <w:iCs w:val="1"/>
          <w:color w:val="auto"/>
        </w:rPr>
        <w:t>The trading price of the shares of our common stock has been, and is likely to contnue to be, highly volatle, and purchasers of our common stock could incur substantal losses.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stock market in general and the market for stock of biopharmaceutcal companies in partcular have experienced extreme volatlity that has ofen been unrelated to the operatng performance of partcular companies. As a result of this volatlity, investors may not be able to sell their common stock at or above the price at which they paid. Our common stock has a limited trading history and the market price has fuctuated widely, and may in the future fuctuate widely, depending upon many factors such as those discussed in this “Risk Factors” secton and many others, some of which are beyond our control, including the following:</w:t>
      </w:r>
    </w:p>
    <w:p>
      <w:pPr>
        <w:spacing w:after="0" w:line="193" w:lineRule="exact"/>
        <w:rPr>
          <w:sz w:val="20"/>
          <w:szCs w:val="20"/>
          <w:color w:val="auto"/>
        </w:rPr>
      </w:pPr>
    </w:p>
    <w:p>
      <w:pPr>
        <w:ind w:left="900" w:right="34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relatvely low-volume trading market for our shares of common stock that could cause trades of small blocks of shares to have a signifcant impact on the price of our shares of common stock;</w:t>
      </w:r>
    </w:p>
    <w:p>
      <w:pPr>
        <w:spacing w:after="0" w:line="199"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market conditons in the biopharmaceutcal sector and issuance of securites analysts’ reports or recommendatons;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establishment of short positons by holders or non-holders of our common stock;</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inability to obtain additonal funding;</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sales of our stock by insiders and stockholders, including Takeda;</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enroll patents in our ongoing and any future clinical trials;</w:t>
      </w:r>
    </w:p>
    <w:p>
      <w:pPr>
        <w:spacing w:after="0" w:line="190"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results of our clinical trials and preclinical studies, the results of clinical trials conducted by Takeda and others for vonoprazan, and the results of trials of our compettors or those of other companies in our market sector;</w:t>
      </w:r>
    </w:p>
    <w:p>
      <w:pPr>
        <w:spacing w:after="0" w:line="204" w:lineRule="exact"/>
        <w:rPr>
          <w:rFonts w:ascii="Times New Roman" w:cs="Times New Roman" w:eastAsia="Times New Roman" w:hAnsi="Times New Roman"/>
          <w:sz w:val="18"/>
          <w:szCs w:val="18"/>
          <w:color w:val="auto"/>
        </w:rPr>
      </w:pPr>
    </w:p>
    <w:p>
      <w:pPr>
        <w:ind w:left="900" w:right="440" w:hanging="383"/>
        <w:spacing w:after="0" w:line="235" w:lineRule="auto"/>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additonal regulatory approvals of vonoprazan and approvals of any future product candidates, or limitatons to specifc label indicatons or patent populatons for use of any approved products, or changes or delays in the regulatory review process;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terminaton or loss of rights under the Takeda License;</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9"/>
        </w:numPr>
        <w:rPr>
          <w:rFonts w:ascii="Times New Roman" w:cs="Times New Roman" w:eastAsia="Times New Roman" w:hAnsi="Times New Roman"/>
          <w:sz w:val="18"/>
          <w:szCs w:val="18"/>
          <w:color w:val="auto"/>
        </w:rPr>
      </w:pPr>
      <w:r>
        <w:rPr>
          <w:rFonts w:ascii="Calibri" w:cs="Calibri" w:eastAsia="Calibri" w:hAnsi="Calibri"/>
          <w:sz w:val="18"/>
          <w:szCs w:val="18"/>
          <w:color w:val="auto"/>
        </w:rPr>
        <w:t>regulatory developments in the United States and foreign countries;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5" w:name="page96"/>
    <w:bookmarkEnd w:id="95"/>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the structure of healthcare payment systems, especially in light of reforms to the U.S. healthcare system;</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success or failure of our eforts to acquire, license or develop additonal product candidates;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innovatons or new products developed by us or our compettors;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announcements by us or our compettors of signifcant acquisitons, strategic partnerships, joint ventures or capital commitments;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manufacturing, supply or distributon delays or shortages;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any changes to our relatonship with any manufacturers, suppliers, licensors, future collaborators or other strategic partners;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achievement of expected product sales and proftability;</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variatons in our fnancial results or those of companies that are perceived to be similar to us;</w:t>
      </w:r>
    </w:p>
    <w:p>
      <w:pPr>
        <w:spacing w:after="0" w:line="19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7"/>
          <w:szCs w:val="17"/>
          <w:color w:val="auto"/>
        </w:rPr>
      </w:pPr>
      <w:r>
        <w:rPr>
          <w:rFonts w:ascii="Calibri" w:cs="Calibri" w:eastAsia="Calibri" w:hAnsi="Calibri"/>
          <w:sz w:val="17"/>
          <w:szCs w:val="17"/>
          <w:color w:val="auto"/>
        </w:rPr>
        <w:t>general economic, industry and market conditons, public health emergencies or other events or factors, many of which are beyond our control;</w:t>
      </w:r>
    </w:p>
    <w:p>
      <w:pPr>
        <w:spacing w:after="0" w:line="206"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additons or departures of key personnel;</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intellectual property, product liability or other litgaton against us;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our capital structure, such as future issuances of securites and the incurrence of additonal debt; and</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0"/>
        </w:numPr>
        <w:rPr>
          <w:rFonts w:ascii="Times New Roman" w:cs="Times New Roman" w:eastAsia="Times New Roman" w:hAnsi="Times New Roman"/>
          <w:sz w:val="18"/>
          <w:szCs w:val="18"/>
          <w:color w:val="auto"/>
        </w:rPr>
      </w:pPr>
      <w:r>
        <w:rPr>
          <w:rFonts w:ascii="Calibri" w:cs="Calibri" w:eastAsia="Calibri" w:hAnsi="Calibri"/>
          <w:sz w:val="18"/>
          <w:szCs w:val="18"/>
          <w:color w:val="auto"/>
        </w:rPr>
        <w:t>changes in accountng standards, policies, guidelines, interpretatons or principles.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In additon, in the past, stockholders have initated class acton lawsuits against biopharmaceutcal companies following periods of volatlity in the market prices of these companies’ stock. Such litgaton, if insttuted against us, could cause us to incur substantal costs and divert management’s atenton and resources, which could have a material adverse efect on our business, fnancial conditon and results of operatons.</w:t>
      </w:r>
    </w:p>
    <w:p>
      <w:pPr>
        <w:spacing w:after="0" w:line="178" w:lineRule="exact"/>
        <w:rPr>
          <w:sz w:val="20"/>
          <w:szCs w:val="20"/>
          <w:color w:val="auto"/>
        </w:rPr>
      </w:pPr>
    </w:p>
    <w:p>
      <w:pPr>
        <w:ind w:right="120"/>
        <w:spacing w:after="0" w:line="235" w:lineRule="auto"/>
        <w:rPr>
          <w:sz w:val="20"/>
          <w:szCs w:val="20"/>
          <w:color w:val="auto"/>
        </w:rPr>
      </w:pPr>
      <w:r>
        <w:rPr>
          <w:rFonts w:ascii="Calibri" w:cs="Calibri" w:eastAsia="Calibri" w:hAnsi="Calibri"/>
          <w:sz w:val="18"/>
          <w:szCs w:val="18"/>
          <w:b w:val="1"/>
          <w:bCs w:val="1"/>
          <w:i w:val="1"/>
          <w:iCs w:val="1"/>
          <w:color w:val="auto"/>
        </w:rPr>
        <w:t>Our executve ofcers, directors and principal stockholders, if they choose to act together, have the ability to control or signifcantly infuence all maters submited to stockholders for approval. Furthermore, many of our current directors were appointed by our principal stockholders.</w:t>
      </w:r>
    </w:p>
    <w:p>
      <w:pPr>
        <w:spacing w:after="0" w:line="19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executve ofcers, directors and greater than 5% stockholders, in the aggregate, own a majority of our outstanding common stock. As a result, such persons actng together have the ability to control or signifcantly infuence all maters submited to our board of directors or stockholders for approval, including the appointment of our management, the electon and removal of directors and approval of any signifcant transacton, as well as our management and business afairs. This concentraton of ownership may have the efect of delaying, deferring or preventng a change in control, impeding a merger, consolidaton, takeover or other business combinaton involving us, or discouraging a potental acquiror from making a tender ofer or otherwise atemptng to obtain control of our business, even if such a transacton would beneft other stockholders.</w:t>
      </w:r>
    </w:p>
    <w:p>
      <w:pPr>
        <w:spacing w:after="0" w:line="181"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b w:val="1"/>
          <w:bCs w:val="1"/>
          <w:i w:val="1"/>
          <w:iCs w:val="1"/>
          <w:color w:val="auto"/>
        </w:rPr>
        <w:t>We do not currently intend to pay dividends on our common stock, and, consequently, your ability to achieve a return on your investment will depend on appreciaton, if any, in the price of our common stock.</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have never declared or paid any cash dividend on our common stock. We currently antcipate that we will retain future earnings for the development, operaton and expansion of our business and do not antcipate declaring or paying any cash dividends for the foreseeable future. In additon, under the terms of the Loan Agreement, we are prohibited from paying any cash dividends without the consent of the lenders. Any return to stockholders will therefore be limited to the appreciaton of their stock. Shares of our common stock may not appreciate in value or even maintain the price at which stockholders have purchased their shares.</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54" w:right="379" w:bottom="1440" w:gutter="0" w:footer="0" w:header="0"/>
        </w:sectPr>
      </w:pPr>
    </w:p>
    <w:bookmarkStart w:id="96" w:name="page97"/>
    <w:bookmarkEnd w:id="96"/>
    <w:p>
      <w:pPr>
        <w:ind w:right="380"/>
        <w:spacing w:after="0" w:line="235" w:lineRule="auto"/>
        <w:rPr>
          <w:sz w:val="20"/>
          <w:szCs w:val="20"/>
          <w:color w:val="auto"/>
        </w:rPr>
      </w:pPr>
      <w:r>
        <w:rPr>
          <w:rFonts w:ascii="Calibri" w:cs="Calibri" w:eastAsia="Calibri" w:hAnsi="Calibri"/>
          <w:sz w:val="18"/>
          <w:szCs w:val="18"/>
          <w:b w:val="1"/>
          <w:bCs w:val="1"/>
          <w:i w:val="1"/>
          <w:iCs w:val="1"/>
          <w:color w:val="auto"/>
        </w:rPr>
        <w:t>We are a smaller reportng company within the meaning of the Securites Act, and if we decide to take advantage of certain exemptons from various reportng requirements applicable to smaller reportng companies, our common stock could be less atractve to investors.</w:t>
      </w:r>
    </w:p>
    <w:p>
      <w:pPr>
        <w:spacing w:after="0" w:line="218"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We are a smaller reportng company. For so long as we qualify as a smaller reportng company, we will have the opton to take advantage of certain exemptons from various reportng and other requirements that are applicable to other public companies that are not smaller reportng companies, including, but not limited to reduced disclosure obligatons regarding executve compensaton in our periodic reports and proxy statements. In additon, for as long as we are deemed neither a large accelerated fler nor an accelerated fler, we may contnue to use the exempton from compliance with the auditor atestaton requirements of Secton 404 of the Sarbanes-Oxley Act of 2002, as amended, or the Sarbanes-Oxley Act.</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will remain a smaller reportng company and non-accelerated fler untl we have a public foat of $700 million or more as of the last business day of our most recently completed second fscal quarter, or a public foat of $250 million or more as of the last business day of our most recently completed second fscal quarter and annual revenues of $100 million or more. We will need to reassess, as of June 30, 2025, whether we will contnue to qualify as a smaller reportng company and a non-accelerated fler for flings beyond the fscal year ending December 31, 2025. We cannot predict if investors will fnd our common stock less atractve because we may rely on these exemptons. If some investors fnd our common stock less atractve as a result, there may be a less actve trading market for our common stock and our stock price may be more volatle.</w:t>
      </w:r>
    </w:p>
    <w:p>
      <w:pPr>
        <w:spacing w:after="0" w:line="181" w:lineRule="exact"/>
        <w:rPr>
          <w:sz w:val="20"/>
          <w:szCs w:val="20"/>
          <w:color w:val="auto"/>
        </w:rPr>
      </w:pPr>
    </w:p>
    <w:p>
      <w:pPr>
        <w:ind w:right="440"/>
        <w:spacing w:after="0" w:line="235" w:lineRule="auto"/>
        <w:rPr>
          <w:sz w:val="20"/>
          <w:szCs w:val="20"/>
          <w:color w:val="auto"/>
        </w:rPr>
      </w:pPr>
      <w:r>
        <w:rPr>
          <w:rFonts w:ascii="Calibri" w:cs="Calibri" w:eastAsia="Calibri" w:hAnsi="Calibri"/>
          <w:sz w:val="18"/>
          <w:szCs w:val="18"/>
          <w:b w:val="1"/>
          <w:bCs w:val="1"/>
          <w:i w:val="1"/>
          <w:iCs w:val="1"/>
          <w:color w:val="auto"/>
        </w:rPr>
        <w:t>Provisions in our charter documents and under Delaware law could discourage a takeover that stockholders may consider favorable and may lead to entrenchment of management.</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and amended and restated bylaws contain provisions that could signifcantly reduce the value of our shares to a potental acquiror or delay or prevent changes in control or changes in our management without the consent of our board of directors. The provisions in our charter documents include the following:</w:t>
      </w:r>
    </w:p>
    <w:p>
      <w:pPr>
        <w:spacing w:after="0" w:line="192" w:lineRule="exact"/>
        <w:rPr>
          <w:sz w:val="20"/>
          <w:szCs w:val="20"/>
          <w:color w:val="auto"/>
        </w:rPr>
      </w:pPr>
    </w:p>
    <w:p>
      <w:pPr>
        <w:ind w:left="900" w:right="46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classifed board of directors with three-year staggered terms, which may delay the ability of stockholders to change the membership of a majority of our board of directors;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no cumulatve votng in the electon of directors, which limits the ability of minority stockholders to elect director candidates;</w:t>
      </w:r>
    </w:p>
    <w:p>
      <w:pPr>
        <w:spacing w:after="0" w:line="203" w:lineRule="exact"/>
        <w:rPr>
          <w:rFonts w:ascii="Times New Roman" w:cs="Times New Roman" w:eastAsia="Times New Roman" w:hAnsi="Times New Roman"/>
          <w:sz w:val="18"/>
          <w:szCs w:val="18"/>
          <w:color w:val="auto"/>
        </w:rPr>
      </w:pPr>
    </w:p>
    <w:p>
      <w:pPr>
        <w:ind w:left="900" w:right="10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exclusive right of our board of directors, unless the board of directors grants such right to the stockholders, to elect a director to fll a vacancy created by the expansion of the board of directors or the resignaton, death or removal of a director, which prevents stockholders from being able to fll vacancies on our board of directors;</w:t>
      </w:r>
    </w:p>
    <w:p>
      <w:pPr>
        <w:spacing w:after="0" w:line="191" w:lineRule="exact"/>
        <w:rPr>
          <w:rFonts w:ascii="Times New Roman" w:cs="Times New Roman" w:eastAsia="Times New Roman" w:hAnsi="Times New Roman"/>
          <w:sz w:val="18"/>
          <w:szCs w:val="18"/>
          <w:color w:val="auto"/>
        </w:rPr>
      </w:pPr>
    </w:p>
    <w:p>
      <w:pPr>
        <w:ind w:left="900" w:right="58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required approval of at least 66-2/3% of the shares enttled to vote to remove a director for cause, and the prohibiton on removal of directors without cause;</w:t>
      </w:r>
    </w:p>
    <w:p>
      <w:pPr>
        <w:spacing w:after="0" w:line="190"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authorize the issuance of shares of preferred stock and to determine the price and other terms of those shares, including preferences and votng rights, without stockholder approval, which could be used to signifcantly dilute the ownership of a hostle acquiror;</w:t>
      </w:r>
    </w:p>
    <w:p>
      <w:pPr>
        <w:spacing w:after="0" w:line="20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ability of our board of directors to alter our amended and restated bylaws without obtaining stockholder approval;</w:t>
      </w:r>
    </w:p>
    <w:p>
      <w:pPr>
        <w:spacing w:after="0" w:line="190"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required approval of at least 66-2/3% of the shares enttled to vote to adopt, amend or repeal our amended and restated bylaws or repeal the provisions of our amended and restated certfcate of incorporaton regarding the electon and removal of directors;</w:t>
      </w:r>
    </w:p>
    <w:p>
      <w:pPr>
        <w:spacing w:after="0" w:line="190" w:lineRule="exact"/>
        <w:rPr>
          <w:rFonts w:ascii="Times New Roman" w:cs="Times New Roman" w:eastAsia="Times New Roman" w:hAnsi="Times New Roman"/>
          <w:sz w:val="18"/>
          <w:szCs w:val="18"/>
          <w:color w:val="auto"/>
        </w:rPr>
      </w:pPr>
    </w:p>
    <w:p>
      <w:pPr>
        <w:ind w:left="900" w:right="54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 prohibiton on stockholder acton by writen consent, which forces stockholder acton to be taken at an annual or special meetng of our stockholders;</w:t>
      </w:r>
    </w:p>
    <w:p>
      <w:pPr>
        <w:spacing w:after="0" w:line="204" w:lineRule="exact"/>
        <w:rPr>
          <w:rFonts w:ascii="Times New Roman" w:cs="Times New Roman" w:eastAsia="Times New Roman" w:hAnsi="Times New Roman"/>
          <w:sz w:val="18"/>
          <w:szCs w:val="18"/>
          <w:color w:val="auto"/>
        </w:rPr>
      </w:pPr>
    </w:p>
    <w:p>
      <w:pPr>
        <w:ind w:left="900" w:right="220" w:hanging="383"/>
        <w:spacing w:after="0" w:line="235" w:lineRule="auto"/>
        <w:tabs>
          <w:tab w:leader="none" w:pos="900" w:val="left"/>
        </w:tabs>
        <w:numPr>
          <w:ilvl w:val="0"/>
          <w:numId w:val="51"/>
        </w:numPr>
        <w:rPr>
          <w:rFonts w:ascii="Times New Roman" w:cs="Times New Roman" w:eastAsia="Times New Roman" w:hAnsi="Times New Roman"/>
          <w:sz w:val="18"/>
          <w:szCs w:val="18"/>
          <w:color w:val="auto"/>
        </w:rPr>
      </w:pPr>
      <w:r>
        <w:rPr>
          <w:rFonts w:ascii="Calibri" w:cs="Calibri" w:eastAsia="Calibri" w:hAnsi="Calibri"/>
          <w:sz w:val="18"/>
          <w:szCs w:val="18"/>
          <w:color w:val="auto"/>
        </w:rPr>
        <w:t>an exclusive forum provision providing that the federal district courts will be the exclusive forum for actons and proceedings a cause of acton arising under the Securites Act of 1933, as amended, and that the Court of Chancery of the State of Delaware will be the exclusive forum for certain other actons and proceedings;</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97" w:name="page98"/>
    <w:bookmarkEnd w:id="97"/>
    <w:p>
      <w:pPr>
        <w:ind w:left="900" w:right="740" w:hanging="383"/>
        <w:spacing w:after="0" w:line="235" w:lineRule="auto"/>
        <w:tabs>
          <w:tab w:leader="none" w:pos="900" w:val="left"/>
        </w:tabs>
        <w:numPr>
          <w:ilvl w:val="0"/>
          <w:numId w:val="52"/>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requirement that a special meetng of stockholders may be called only by the board of directors, which may delay the ability of our stockholders to force consideraton of a proposal or to take acton, including the removal of directors; and</w:t>
      </w:r>
    </w:p>
    <w:p>
      <w:pPr>
        <w:spacing w:after="0" w:line="190" w:lineRule="exact"/>
        <w:rPr>
          <w:rFonts w:ascii="Times New Roman" w:cs="Times New Roman" w:eastAsia="Times New Roman" w:hAnsi="Times New Roman"/>
          <w:sz w:val="18"/>
          <w:szCs w:val="18"/>
          <w:color w:val="auto"/>
        </w:rPr>
      </w:pPr>
    </w:p>
    <w:p>
      <w:pPr>
        <w:ind w:left="900" w:right="80" w:hanging="383"/>
        <w:spacing w:after="0" w:line="235" w:lineRule="auto"/>
        <w:tabs>
          <w:tab w:leader="none" w:pos="900" w:val="left"/>
        </w:tabs>
        <w:numPr>
          <w:ilvl w:val="0"/>
          <w:numId w:val="52"/>
        </w:numPr>
        <w:rPr>
          <w:rFonts w:ascii="Times New Roman" w:cs="Times New Roman" w:eastAsia="Times New Roman" w:hAnsi="Times New Roman"/>
          <w:sz w:val="18"/>
          <w:szCs w:val="18"/>
          <w:color w:val="auto"/>
        </w:rPr>
      </w:pPr>
      <w:r>
        <w:rPr>
          <w:rFonts w:ascii="Calibri" w:cs="Calibri" w:eastAsia="Calibri" w:hAnsi="Calibri"/>
          <w:sz w:val="18"/>
          <w:szCs w:val="18"/>
          <w:color w:val="auto"/>
        </w:rPr>
        <w:t>advance notce procedures that stockholders must comply with in order to nominate candidates to our board of directors or to propose maters to be acted upon at a stockholders’ meetng, which may discourage or deter a potental acquiror from conductng a solicitaton of proxies to elect the acquiror’s own slate of directors or otherwise atemptng to obtain control of us.</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are also subject to the ant-takeover provisions contained in Secton 203 of the Delaware General Corporaton Law. Under Secton 203, a corporaton may not, in general, engage in a business combinaton with any holder of 15% or more of its capital stock unless the holder has held the stock for three years or, among other exceptons, the board of directors has approved the transacton.</w:t>
      </w:r>
    </w:p>
    <w:p>
      <w:pPr>
        <w:spacing w:after="0" w:line="192"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b w:val="1"/>
          <w:bCs w:val="1"/>
          <w:i w:val="1"/>
          <w:iCs w:val="1"/>
          <w:color w:val="auto"/>
        </w:rPr>
        <w:t>Our amended and restated certfcate of incorporaton and amended and restated bylaws provide that the Court of Chancery of the State of Delaware will be the exclusive forum for substantally all disputes between us and our stockholders, which could limit our stockholders’ ability to obtain a favorable judicial forum for disputes with us or our directors, ofcers or employees.</w:t>
      </w:r>
    </w:p>
    <w:p>
      <w:pPr>
        <w:spacing w:after="0" w:line="178"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amended and restated certfcate of incorporaton and amended and restated bylaws provide that the Court of Chancery of the State of Delaware is the exclusive forum for any derivatve acton or proceeding brought on our behalf under Delaware statutory or common law, including any acton assertng a breach of fduciary duty, any acton assertng a claim against us arising pursuant to the Delaware General Corporaton Law, our amended and restated certfcate of incorporaton or our amended and restated bylaws, or any acton assertng a claim against us that is governed by the internal afairs doctrine; provided, that, this provision would not apply to suits brought to enforce a duty or liability created by the Securites Act or the Exchange Act, or any other claim for which the federal courts have exclusive jurisdicton. To the extent that any such claims may be based upon federal law claims, Secton 27 of the Exchange Act creates exclusive federal jurisdicton over all suits brought to enforce any duty or liability created by the Exchange Act or the rules and regulatons thereunder. The choice of forum provisions in our amended and restated certfcate of incorporaton may limit a stockholder’s ability to bring a claim in a judicial forum that it fnds favorable for disputes with us or our directors, ofcers or other employees, which may discourage such lawsuits against us and our directors, ofcers and other employees. By agreeing to these provisions, however, stockholders will not be deemed to have waived our compliance with the federal securites laws and the rules and regulatons thereunder. Furthermore, the enforceability of similar choice of forum provisions in other companies’ certfcates of incorporaton has been challenged in legal proceedings, and it is possible that a court could fnd these types of provisions to be inapplicable or unenforceable. If a court were to fnd the choice of forum provisions in our amended and restated certfcate of incorporaton to be inapplicable or unenforceable in an acton, we may incur additonal costs associated with resolving such acton in other jurisdictons, which could adversely afect our business and fnancial conditon.</w:t>
      </w:r>
    </w:p>
    <w:p>
      <w:pPr>
        <w:spacing w:after="0" w:line="18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ability to use net operatng loss, or NOL, carryforwards and other tax atributes may be limited.</w:t>
      </w:r>
    </w:p>
    <w:p>
      <w:pPr>
        <w:spacing w:after="0" w:line="190" w:lineRule="exact"/>
        <w:rPr>
          <w:sz w:val="20"/>
          <w:szCs w:val="20"/>
          <w:color w:val="auto"/>
        </w:rPr>
      </w:pPr>
    </w:p>
    <w:p>
      <w:pPr>
        <w:ind w:right="120" w:firstLine="509"/>
        <w:spacing w:after="0" w:line="252" w:lineRule="auto"/>
        <w:rPr>
          <w:sz w:val="20"/>
          <w:szCs w:val="20"/>
          <w:color w:val="auto"/>
        </w:rPr>
      </w:pPr>
      <w:r>
        <w:rPr>
          <w:rFonts w:ascii="Calibri" w:cs="Calibri" w:eastAsia="Calibri" w:hAnsi="Calibri"/>
          <w:sz w:val="17"/>
          <w:szCs w:val="17"/>
          <w:color w:val="auto"/>
        </w:rPr>
        <w:t>We have incurred substantal losses during our history. Our ability to use our federal and state NOL carryforwards to ofset potental future taxable income is dependent upon our generaton of future taxable income before any applicable expiraton dates of the NOL carryforwards, and we cannot predict with certainty when or whether we will generate sufcient taxable income to use all of our NOL carryforwards. To the extent that we contnue to generate taxable losses, unused losses will carry forward and, subject to limitatons, ofset future taxable income, if any, untl such unused losses expire (if at all).</w:t>
      </w:r>
    </w:p>
    <w:p>
      <w:pPr>
        <w:spacing w:after="0" w:line="16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prevailing U.S. tax law, federal NOL, carryforwards generated in periods afer December 31, 2017, may be carried forward indefnitely but may only be used to ofset 80% of our taxable income annually. Our NOL carryforwards are subject to review and possible adjustment by the Internal Revenue Service, or the IRS, and state tax authorites. Under Secton 382 of the Internal Revenue Code of 1986, as amended, or the Code, our federal NOL carryforwards may become subject to an annual limitaton in the event of certain cumulatve changes in the ownership interest of signifcant stockholders over a three-year period in excess of 50 percentage points. Our ability to utlize our NOL carryforwards and other tax atributes to ofset future taxable income or tax liabilites may be limited as a result of ownership changes, including changes in connecton with our IPO or other oferings. Similar rules may apply under state tax laws. We have not yet determined the amount of the cumulatve change in our ownership resultng from our IPO or other transactons, or any resultng limitatons on our ability to utlize our NOL carryforwards and other tax atributes. If we earn taxable income, such limitatons could result in increased future tax liability to us and our future cash fows could be adversely afected. We have recorded a full valuaton allowance related to our NOLs and other deferred tax assets due to the uncertainty of the ultmate realizaton of the future benefts of those assets.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9" w:right="339" w:bottom="1440" w:gutter="0" w:footer="0" w:header="0"/>
        </w:sectPr>
      </w:pPr>
    </w:p>
    <w:bookmarkStart w:id="98" w:name="page99"/>
    <w:bookmarkEnd w:id="98"/>
    <w:p>
      <w:pPr>
        <w:spacing w:after="0"/>
        <w:rPr>
          <w:sz w:val="20"/>
          <w:szCs w:val="20"/>
          <w:color w:val="auto"/>
        </w:rPr>
      </w:pPr>
      <w:r>
        <w:rPr>
          <w:rFonts w:ascii="Calibri" w:cs="Calibri" w:eastAsia="Calibri" w:hAnsi="Calibri"/>
          <w:sz w:val="18"/>
          <w:szCs w:val="18"/>
          <w:b w:val="1"/>
          <w:bCs w:val="1"/>
          <w:i w:val="1"/>
          <w:iCs w:val="1"/>
          <w:color w:val="auto"/>
        </w:rPr>
        <w:t>Changes in tax laws may materially adversely afect our fnancial conditon, results of operatons and cash fows.</w:t>
      </w:r>
    </w:p>
    <w:p>
      <w:pPr>
        <w:spacing w:after="0" w:line="177" w:lineRule="exact"/>
        <w:rPr>
          <w:sz w:val="20"/>
          <w:szCs w:val="20"/>
          <w:color w:val="auto"/>
        </w:rPr>
      </w:pPr>
    </w:p>
    <w:p>
      <w:pPr>
        <w:ind w:right="140" w:firstLine="549"/>
        <w:spacing w:after="0" w:line="251" w:lineRule="auto"/>
        <w:rPr>
          <w:sz w:val="20"/>
          <w:szCs w:val="20"/>
          <w:color w:val="auto"/>
        </w:rPr>
      </w:pPr>
      <w:r>
        <w:rPr>
          <w:rFonts w:ascii="Calibri" w:cs="Calibri" w:eastAsia="Calibri" w:hAnsi="Calibri"/>
          <w:sz w:val="17"/>
          <w:szCs w:val="17"/>
          <w:color w:val="auto"/>
        </w:rPr>
        <w:t>New income, sales, use or other tax laws, statutes, rules, regulatons or ordinances could be enacted at any tme, or interpreted, changed, modifed or applied adversely to us, any of which could adversely afect our business operatons and fnancial performance. The likelihood of these changes being enacted or implemented is unclear. We are currently unable to predict whether such changes will occur and, if so, the ultmate impact on our business. To the extent that such changes have a negatve impact on us, our customers or our suppliers, including as a result of related uncertainty, these changes may materially and adversely impact our business, fnancial conditon, results of operatons and cash fows. We urge our investors to consult with their legal and tax advisors with respect to any new tax legislaton and the potental tax consequences of investng in our common stock.</w:t>
      </w:r>
    </w:p>
    <w:p>
      <w:pPr>
        <w:spacing w:after="0" w:line="16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General Risk Factors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Business disruptons could seriously harm our future revenue and fnancial conditon and increase our costs and expenses.</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operatons could be subject to earthquakes, power shortages, telecommunicatons failures, water shortages, foods, hurricanes, typhoons, fres, extreme weather conditons, medical epidemics and other natural or manmade disasters or business interruptons, for which we are predominantly self-insured. We rely, and expect to contnue to rely, on third-party manufacturers to produce vonoprazan, including VOQUEZNA, VOQUEZNA TRIPLE PAK and VOQUEZNA DUAL PAK and any future product candidates. Our ability to obtain clinical supplies of vonoprazan and any future product candidates could be disrupted if the operatons of these suppliers were afected by a manmade or natural disaster or other business interrupton. The occurrence of any of these business disruptons could seriously harm our operatons and fnancial conditon and increase our costs and expenses.</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business is subject to risks arising from epidemic diseases, such as the COVID-19 pandemic.</w:t>
      </w:r>
    </w:p>
    <w:p>
      <w:pPr>
        <w:spacing w:after="0" w:line="190" w:lineRule="exact"/>
        <w:rPr>
          <w:sz w:val="20"/>
          <w:szCs w:val="20"/>
          <w:color w:val="auto"/>
        </w:rPr>
      </w:pPr>
    </w:p>
    <w:p>
      <w:pPr>
        <w:ind w:firstLine="509"/>
        <w:spacing w:after="0" w:line="250" w:lineRule="auto"/>
        <w:rPr>
          <w:sz w:val="20"/>
          <w:szCs w:val="20"/>
          <w:color w:val="auto"/>
        </w:rPr>
      </w:pPr>
      <w:r>
        <w:rPr>
          <w:rFonts w:ascii="Calibri" w:cs="Calibri" w:eastAsia="Calibri" w:hAnsi="Calibri"/>
          <w:sz w:val="17"/>
          <w:szCs w:val="17"/>
          <w:color w:val="auto"/>
        </w:rPr>
        <w:t>A public health pandemic, such as COVID-19, has the potental to impact worldwide economic actvity and poses the risk that we or our employees, contractors, including our CROs, suppliers, and other partners may be prevented from conductng business actvites for an indefnite period of tme, including due to spread of the disease within these groups or due to shutdowns that may be requested or mandated by governmental authorites. In March 2020, due to eforts to combat the COVID-19 pandemic, we announced a temporary pause in randomizaton of new patents in our Phase 3 trials and did not recommence randomizatons in either trial untl June 2020. While it is not possible at this tme to estmate the full impact that a future public health pandemic could have on our business, measures taken by the governments of countries afected could, in additon to disruptng our commercial actvites and clinical trials, disrupt the supply chain and the manufacture or shipment of drug substance and fnished drug product of vonoprazan for use in our clinical trials or in commercial distributon, which could delay our ongoing clinical trials and increase development costs, or impair our ability to successfully commercialize our approved products, and in either case have a material adverse efect on our business, fnancial conditon and results of operatons. The COVID-19 pandemic and mitgaton measures had an adverse impact on global economic conditons and mitgaton measures regarding any future public health pandemic could have an adverse efect on our business and fnancial conditon, including impairing our ability to raise capital when needed. The extent to which a future public health pandemic impacts our results will depend on future developments that are highly uncertain and cannot be predicted.</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Our failure to meet the contnued listng requirements of the Nasdaq could result in a delistng of our common stock.</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If we fail to satsfy the contnued listng requirements of the Nasdaq, such as the corporate governance requirements or the minimum closing bid price requirement, Nasdaq may take steps to delist our common stock. Such a delistng would likely have a negatve efect on the price of our common stock and would impair your ability to sell or purchase our common stock when you wish to do so. In the event of a delistng, any acton taken by us to restore compliance with listng requirements may not allow our common stock to become listed again, stabilize the market price or improve the liquidity of our common stock, prevent our common stock from dropping below the Nasdaq minimum bid price requirement or prevent future non-compliance with Nasdaq’s listng requirements.</w:t>
      </w:r>
    </w:p>
    <w:p>
      <w:pPr>
        <w:spacing w:after="0" w:line="194" w:lineRule="exact"/>
        <w:rPr>
          <w:sz w:val="20"/>
          <w:szCs w:val="20"/>
          <w:color w:val="auto"/>
        </w:rPr>
      </w:pPr>
    </w:p>
    <w:p>
      <w:pPr>
        <w:ind w:right="780"/>
        <w:spacing w:after="0" w:line="235" w:lineRule="auto"/>
        <w:rPr>
          <w:sz w:val="20"/>
          <w:szCs w:val="20"/>
          <w:color w:val="auto"/>
        </w:rPr>
      </w:pPr>
      <w:r>
        <w:rPr>
          <w:rFonts w:ascii="Calibri" w:cs="Calibri" w:eastAsia="Calibri" w:hAnsi="Calibri"/>
          <w:sz w:val="18"/>
          <w:szCs w:val="18"/>
          <w:b w:val="1"/>
          <w:bCs w:val="1"/>
          <w:i w:val="1"/>
          <w:iCs w:val="1"/>
          <w:color w:val="auto"/>
        </w:rPr>
        <w:t>We incur signifcant costs as a result of operatng as a public company, and our management will be required to devote substantal tme to new compliance initatves.</w:t>
      </w:r>
    </w:p>
    <w:p>
      <w:pPr>
        <w:spacing w:after="0" w:line="177" w:lineRule="exact"/>
        <w:rPr>
          <w:sz w:val="20"/>
          <w:szCs w:val="20"/>
          <w:color w:val="auto"/>
        </w:rPr>
      </w:pPr>
    </w:p>
    <w:p>
      <w:pPr>
        <w:jc w:val="both"/>
        <w:ind w:right="160" w:firstLine="509"/>
        <w:spacing w:after="0" w:line="235" w:lineRule="auto"/>
        <w:rPr>
          <w:sz w:val="20"/>
          <w:szCs w:val="20"/>
          <w:color w:val="auto"/>
        </w:rPr>
      </w:pPr>
      <w:r>
        <w:rPr>
          <w:rFonts w:ascii="Calibri" w:cs="Calibri" w:eastAsia="Calibri" w:hAnsi="Calibri"/>
          <w:sz w:val="18"/>
          <w:szCs w:val="18"/>
          <w:color w:val="auto"/>
        </w:rPr>
        <w:t>As a public company, we incur signifcant legal, accountng and other expenses. We are subject to the reportng requirements of the Exchange Act, which require, among other things, that we fle with the SEC, annual, quarterly and current reports with respect to our business and fnancial conditon. In additon, the Sarbanes-Oxley Act, as well as rules subsequently adopted by the SEC and Nasdaq to implement provisions of the Sarbanes-Oxley Act, impose signifcant requirements on public companies, including</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99" w:name="page100"/>
    <w:bookmarkEnd w:id="99"/>
    <w:p>
      <w:pPr>
        <w:spacing w:after="0" w:line="235" w:lineRule="auto"/>
        <w:rPr>
          <w:sz w:val="20"/>
          <w:szCs w:val="20"/>
          <w:color w:val="auto"/>
        </w:rPr>
      </w:pPr>
      <w:r>
        <w:rPr>
          <w:rFonts w:ascii="Calibri" w:cs="Calibri" w:eastAsia="Calibri" w:hAnsi="Calibri"/>
          <w:sz w:val="18"/>
          <w:szCs w:val="18"/>
          <w:color w:val="auto"/>
        </w:rPr>
        <w:t>requiring establishment and maintenance of efectve disclosure and fnancial controls and changes in corporate governance practces. Further, pursuant to the Dodd-Frank Wall Street Reform and Consumer Protecton Act of 2010, the SEC has adopted additonal rules and regulatons in these areas, such as mandatory “say on pay” votng requirements that apply to us. Stockholder actvism, the current politcal environment and the current high level of government interventon and regulatory reform may lead to substantal new regulatons and disclosure obligatons, which may lead to additonal compliance costs and impact the manner in which we operate our business in ways we cannot currently antcipate.</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expect the rules and regulatons applicable to public companies to substantally increase our legal and fnancial compliance costs and to make some actvites more tme consuming and costly. If these requirements divert the atenton of our management and personnel from other business concerns, they could have a material adverse efect on our business, fnancial conditon and results of operatons. The costs we incur as a public company will decrease our net income or increase our net loss, and may require us to reduce costs in other areas of our business. For example, these rules and regulatons make it more difcult and more expensive for us to obtain director and ofcer liability insurance, and we may be required to incur substantal costs to maintain the same or similar coverage in the future. We cannot predict or estmate the amount or tming of additonal costs we may incur to respond to these requirements. The impact of these requirements could also make it more difcult for us to atract and retain qualifed persons to serve on our board of directors, our board commitees or as executve ofcers.</w:t>
      </w:r>
    </w:p>
    <w:p>
      <w:pPr>
        <w:spacing w:after="0" w:line="182" w:lineRule="exact"/>
        <w:rPr>
          <w:sz w:val="20"/>
          <w:szCs w:val="20"/>
          <w:color w:val="auto"/>
        </w:rPr>
      </w:pPr>
    </w:p>
    <w:p>
      <w:pPr>
        <w:ind w:right="420"/>
        <w:spacing w:after="0" w:line="235" w:lineRule="auto"/>
        <w:rPr>
          <w:sz w:val="20"/>
          <w:szCs w:val="20"/>
          <w:color w:val="auto"/>
        </w:rPr>
      </w:pPr>
      <w:r>
        <w:rPr>
          <w:rFonts w:ascii="Calibri" w:cs="Calibri" w:eastAsia="Calibri" w:hAnsi="Calibri"/>
          <w:sz w:val="18"/>
          <w:szCs w:val="18"/>
          <w:b w:val="1"/>
          <w:bCs w:val="1"/>
          <w:i w:val="1"/>
          <w:iCs w:val="1"/>
          <w:color w:val="auto"/>
        </w:rPr>
        <w:t>If securites or industry analysts do not publish research or reports or publish unfavorable research or reports about our business, our stock price and trading volume could decline.</w:t>
      </w:r>
    </w:p>
    <w:p>
      <w:pPr>
        <w:spacing w:after="0" w:line="19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trading market for our common stock depends in part on the research and reports that securites or industry analysts publish about us, our business, our market or our compettors. If securites or industry analysts do not contnue coverage of our company, the trading price for our stock would be negatvely impacted. In additon,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18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b w:val="1"/>
          <w:bCs w:val="1"/>
          <w:i w:val="1"/>
          <w:iCs w:val="1"/>
          <w:color w:val="auto"/>
        </w:rPr>
        <w:t>If we fail to maintain proper and efectve internal control over fnancial reportng, our ability to produce accurate and tmely fnancial statements could be impaired, investors may lose confdence in our fnancial reportng and the trading price of our common stock may decline.</w:t>
      </w:r>
    </w:p>
    <w:p>
      <w:pPr>
        <w:spacing w:after="0" w:line="177" w:lineRule="exact"/>
        <w:rPr>
          <w:sz w:val="20"/>
          <w:szCs w:val="20"/>
          <w:color w:val="auto"/>
        </w:rPr>
      </w:pPr>
    </w:p>
    <w:p>
      <w:pPr>
        <w:ind w:right="100" w:firstLine="509"/>
        <w:spacing w:after="0" w:line="251" w:lineRule="auto"/>
        <w:rPr>
          <w:sz w:val="20"/>
          <w:szCs w:val="20"/>
          <w:color w:val="auto"/>
        </w:rPr>
      </w:pPr>
      <w:r>
        <w:rPr>
          <w:rFonts w:ascii="Calibri" w:cs="Calibri" w:eastAsia="Calibri" w:hAnsi="Calibri"/>
          <w:sz w:val="17"/>
          <w:szCs w:val="17"/>
          <w:color w:val="auto"/>
        </w:rPr>
        <w:t>Pursuant to Secton 404 of Sarbanes-Oxley, our management is required to report upon the efectveness of our internal control over fnancial reportng. However, as a smaller reportng company and a non-accelerated fler, our independent registered public accountng frm will not be required to atest to the efectveness of our internal control over fnancial reportng pursuant to Secton 404 for so long as we are not deemed an “accelerated fler” or “large accelerated fler”. The rules governing the standards that must be met for management to assess our internal control over fnancial reportng are complex and require signifcant documentaton, testng and possible remediaton. If we or, if required, our auditors are unable to conclude that our internal control over fnancial reportng is efectve, investors may lose confdence in our fnancial reportng and the trading price of our common stock may decline.</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There could be material weaknesses or signifcant defciencies in our internal control over fnancial reportng in the future. Any failure to maintain internal control over fnancial reportng could severely inhibit our ability to accurately report our fnancial conditon, results of operatons or cash fows. If we are unable to conclude that our internal control over fnancial reportng is efectve, or if our independent registered public accountng frm determines we have a material weakness or signifcant defciency in our internal control over fnancial reportng once that frm begin its Secton 404 reviews, investors may lose confdence in the accuracy and completeness of our fnancial reports, the market price of our common stock could decline, and we could be subject to sanctons or investgatons by Nasdaq, the SEC or other regulatory authorites. Failure to remedy any material weakness in our internal control over fnancial reportng, or to implement or maintain other efectve control systems required of public companies, could also restrict our future access to the capital markets.</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We could be subject to securites class acton litgaton.</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the past, securites class acton litgaton has ofen been brought against a company following a decline in the market price of its securites. This risk is especially relevant for us, because we, like many other biotechnology and pharmaceutcal companies, have recently experienced signifcant stock price volatlity. If we face such litgaton, it could result in substantal costs and a diversion of management’s atenton and resources, which could harm our business.</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100" w:name="page101"/>
    <w:bookmarkEnd w:id="100"/>
    <w:p>
      <w:pPr>
        <w:spacing w:after="0"/>
        <w:rPr>
          <w:sz w:val="20"/>
          <w:szCs w:val="20"/>
          <w:color w:val="auto"/>
        </w:rPr>
      </w:pPr>
      <w:r>
        <w:rPr>
          <w:rFonts w:ascii="Calibri" w:cs="Calibri" w:eastAsia="Calibri" w:hAnsi="Calibri"/>
          <w:sz w:val="18"/>
          <w:szCs w:val="18"/>
          <w:b w:val="1"/>
          <w:bCs w:val="1"/>
          <w:color w:val="auto"/>
        </w:rPr>
        <w:t>Item 1B. Unresolved Staf Comments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1C. Cybersecurity Risk Management and Strategy</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have developed and implemented a cybersecurity risk management program intended to protect the confdentality, integrity, and availability of our critcal systems and informaton.</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design and assess our program based on the Natonal Insttute of Standards and Technology Cybersecurity Framework, or NIST CSF. This means that we use the NIST CSF as a guide to help us identfy, assess, and manage cybersecurity risks relevant to our business. It does not, however, mean that we meet any technical standards, specifcatons, or requirements.</w:t>
      </w:r>
    </w:p>
    <w:p>
      <w:pPr>
        <w:spacing w:after="0" w:line="178"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Our cybersecurity risk management program is part of our overall risk management program and shares similar governance processes and reportng channels that apply across the risk management program to fnancial, legal, compliance, and other operatonal risk areas. However, there can be no assurance that our cybersecurity risk management program and processes, including our policies, controls or procedures, will be fully implemented, complied with or efectve in protectng our systems and informaton.</w:t>
      </w:r>
    </w:p>
    <w:p>
      <w:pPr>
        <w:spacing w:after="0" w:line="188"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Key elements of our cybersecurity risk management program include but are not limited to the following:</w:t>
      </w:r>
    </w:p>
    <w:p>
      <w:pPr>
        <w:spacing w:after="0" w:line="185" w:lineRule="exact"/>
        <w:rPr>
          <w:sz w:val="20"/>
          <w:szCs w:val="20"/>
          <w:color w:val="auto"/>
        </w:rPr>
      </w:pPr>
    </w:p>
    <w:p>
      <w:pPr>
        <w:ind w:left="880" w:hanging="363"/>
        <w:spacing w:after="0"/>
        <w:tabs>
          <w:tab w:leader="none" w:pos="88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risk assessments designed to help identfy material risks from cybersecurity threats to our critcal systems and informaton;</w:t>
      </w:r>
    </w:p>
    <w:p>
      <w:pPr>
        <w:spacing w:after="0" w:line="176" w:lineRule="exact"/>
        <w:rPr>
          <w:rFonts w:ascii="Calibri" w:cs="Calibri" w:eastAsia="Calibri" w:hAnsi="Calibri"/>
          <w:sz w:val="18"/>
          <w:szCs w:val="18"/>
          <w:color w:val="auto"/>
        </w:rPr>
      </w:pPr>
    </w:p>
    <w:p>
      <w:pPr>
        <w:ind w:left="900" w:right="460" w:hanging="383"/>
        <w:spacing w:after="0" w:line="235" w:lineRule="auto"/>
        <w:tabs>
          <w:tab w:leader="none" w:pos="8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an internal team responsible for, inter alia, managing (1) our cybersecurity risk assessment processes, (2) our security controls, and (3) our response to cybersecurity incidents;</w:t>
      </w:r>
    </w:p>
    <w:p>
      <w:pPr>
        <w:spacing w:after="0" w:line="190" w:lineRule="exact"/>
        <w:rPr>
          <w:rFonts w:ascii="Calibri" w:cs="Calibri" w:eastAsia="Calibri" w:hAnsi="Calibri"/>
          <w:sz w:val="18"/>
          <w:szCs w:val="18"/>
          <w:color w:val="auto"/>
        </w:rPr>
      </w:pPr>
    </w:p>
    <w:p>
      <w:pPr>
        <w:ind w:left="900" w:right="320" w:hanging="383"/>
        <w:spacing w:after="0" w:line="235" w:lineRule="auto"/>
        <w:tabs>
          <w:tab w:leader="none" w:pos="8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the use of external service providers with subject mater expertse, where appropriate, to assess, test or otherwise assist with aspects of our security processes;</w:t>
      </w:r>
    </w:p>
    <w:p>
      <w:pPr>
        <w:spacing w:after="0" w:line="172" w:lineRule="exact"/>
        <w:rPr>
          <w:rFonts w:ascii="Calibri" w:cs="Calibri" w:eastAsia="Calibri" w:hAnsi="Calibri"/>
          <w:sz w:val="18"/>
          <w:szCs w:val="18"/>
          <w:color w:val="auto"/>
        </w:rPr>
      </w:pPr>
    </w:p>
    <w:p>
      <w:pPr>
        <w:ind w:left="840" w:hanging="323"/>
        <w:spacing w:after="0"/>
        <w:tabs>
          <w:tab w:leader="none" w:pos="84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cybersecurity awareness training of our employees, including incident response personnel, and senior management;</w:t>
      </w:r>
    </w:p>
    <w:p>
      <w:pPr>
        <w:spacing w:after="0" w:line="190" w:lineRule="exact"/>
        <w:rPr>
          <w:rFonts w:ascii="Calibri" w:cs="Calibri" w:eastAsia="Calibri" w:hAnsi="Calibri"/>
          <w:sz w:val="18"/>
          <w:szCs w:val="18"/>
          <w:color w:val="auto"/>
        </w:rPr>
      </w:pPr>
    </w:p>
    <w:p>
      <w:pPr>
        <w:ind w:left="900" w:right="420" w:hanging="383"/>
        <w:spacing w:after="0" w:line="235" w:lineRule="auto"/>
        <w:tabs>
          <w:tab w:leader="none" w:pos="900" w:val="left"/>
        </w:tabs>
        <w:numPr>
          <w:ilvl w:val="0"/>
          <w:numId w:val="53"/>
        </w:numPr>
        <w:rPr>
          <w:rFonts w:ascii="Times New Roman" w:cs="Times New Roman" w:eastAsia="Times New Roman" w:hAnsi="Times New Roman"/>
          <w:sz w:val="18"/>
          <w:szCs w:val="18"/>
          <w:color w:val="auto"/>
        </w:rPr>
      </w:pPr>
      <w:r>
        <w:rPr>
          <w:rFonts w:ascii="Calibri" w:cs="Calibri" w:eastAsia="Calibri" w:hAnsi="Calibri"/>
          <w:sz w:val="18"/>
          <w:szCs w:val="18"/>
          <w:color w:val="auto"/>
        </w:rPr>
        <w:t>artfcial intelligence based managed detecton and response system that provides 24×7 monitoring of our networks, endpoints, and cloud environments; alerts from this system are handled by an external 24x7 staf that reviews the alerts and acts where necessary;</w:t>
      </w:r>
    </w:p>
    <w:p>
      <w:pPr>
        <w:spacing w:after="0" w:line="185" w:lineRule="exact"/>
        <w:rPr>
          <w:rFonts w:ascii="Times New Roman" w:cs="Times New Roman" w:eastAsia="Times New Roman" w:hAnsi="Times New Roman"/>
          <w:sz w:val="18"/>
          <w:szCs w:val="18"/>
          <w:color w:val="auto"/>
        </w:rPr>
      </w:pPr>
    </w:p>
    <w:p>
      <w:pPr>
        <w:ind w:left="840" w:hanging="323"/>
        <w:spacing w:after="0"/>
        <w:tabs>
          <w:tab w:leader="none" w:pos="840"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 cybersecurity incident response plan that includes procedures for responding to cybersecurity incidents; and</w:t>
      </w:r>
    </w:p>
    <w:p>
      <w:pPr>
        <w:spacing w:after="0" w:line="176" w:lineRule="exact"/>
        <w:rPr>
          <w:rFonts w:ascii="Calibri" w:cs="Calibri" w:eastAsia="Calibri" w:hAnsi="Calibri"/>
          <w:sz w:val="18"/>
          <w:szCs w:val="18"/>
          <w:color w:val="auto"/>
        </w:rPr>
      </w:pPr>
    </w:p>
    <w:p>
      <w:pPr>
        <w:ind w:left="900" w:right="260" w:hanging="383"/>
        <w:spacing w:after="0" w:line="235" w:lineRule="auto"/>
        <w:tabs>
          <w:tab w:leader="none" w:pos="843" w:val="left"/>
        </w:tabs>
        <w:numPr>
          <w:ilvl w:val="0"/>
          <w:numId w:val="53"/>
        </w:numPr>
        <w:rPr>
          <w:rFonts w:ascii="Calibri" w:cs="Calibri" w:eastAsia="Calibri" w:hAnsi="Calibri"/>
          <w:sz w:val="18"/>
          <w:szCs w:val="18"/>
          <w:color w:val="auto"/>
        </w:rPr>
      </w:pPr>
      <w:r>
        <w:rPr>
          <w:rFonts w:ascii="Calibri" w:cs="Calibri" w:eastAsia="Calibri" w:hAnsi="Calibri"/>
          <w:sz w:val="18"/>
          <w:szCs w:val="18"/>
          <w:color w:val="auto"/>
        </w:rPr>
        <w:t>a third-party risk management evaluaton process for key service providers, based on our assessment of their critcality to our operatons and respectve risk profle, suppliers, and vendors with access to our informaton systems or data.</w:t>
      </w:r>
    </w:p>
    <w:p>
      <w:pPr>
        <w:spacing w:after="0" w:line="177"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We have not identfed risks from known cybersecurity threats, including as a result of any prior cybersecurity incidents, that have materially afected us, including our operatons, business strategy, results of operatons, or fnancial conditon. We face risks from cybersecurity threats that, if realized are reasonably likely to materially afect us, including our operatons, business strategy, results of operatons, or fnancial conditon. See “Risk Factors – “</w:t>
      </w:r>
      <w:r>
        <w:rPr>
          <w:rFonts w:ascii="Calibri" w:cs="Calibri" w:eastAsia="Calibri" w:hAnsi="Calibri"/>
          <w:sz w:val="17"/>
          <w:szCs w:val="17"/>
          <w:b w:val="1"/>
          <w:bCs w:val="1"/>
          <w:i w:val="1"/>
          <w:iCs w:val="1"/>
          <w:color w:val="auto"/>
        </w:rPr>
        <w:t>Our</w:t>
      </w:r>
      <w:r>
        <w:rPr>
          <w:rFonts w:ascii="Calibri" w:cs="Calibri" w:eastAsia="Calibri" w:hAnsi="Calibri"/>
          <w:sz w:val="17"/>
          <w:szCs w:val="17"/>
          <w:color w:val="auto"/>
        </w:rPr>
        <w:t xml:space="preserve"> </w:t>
      </w:r>
      <w:r>
        <w:rPr>
          <w:rFonts w:ascii="Calibri" w:cs="Calibri" w:eastAsia="Calibri" w:hAnsi="Calibri"/>
          <w:sz w:val="17"/>
          <w:szCs w:val="17"/>
          <w:b w:val="1"/>
          <w:bCs w:val="1"/>
          <w:i w:val="1"/>
          <w:iCs w:val="1"/>
          <w:color w:val="auto"/>
        </w:rPr>
        <w:t>internal informaton systems, or those of any of our CROs, contract manufacturers, service providers, other contractors or consultants or potental future collaborators, may fail or sufer cybersecurity incidents or breaches, which could result in a material disrupton of our product development programs</w:t>
      </w:r>
      <w:r>
        <w:rPr>
          <w:rFonts w:ascii="Calibri" w:cs="Calibri" w:eastAsia="Calibri" w:hAnsi="Calibri"/>
          <w:sz w:val="17"/>
          <w:szCs w:val="17"/>
          <w:color w:val="auto"/>
        </w:rPr>
        <w:t>.”</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Cybersecurity Governance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Our Board considers cybersecurity risk as part of its risk oversight functon and has delegated to the Audit Commitee (Commitee) oversight of cybersecurity risks, including oversight of management’s implementaton of our cybersecurity risk management program. The Commitee receives periodic reports from management on our cybersecurity risks. In additon, management is required to update the Commitee where it deems appropriate, regarding any cybersecurity incidents it considers to be signifcant or potentally signifcant.</w:t>
      </w:r>
    </w:p>
    <w:p>
      <w:pPr>
        <w:spacing w:after="0" w:line="179"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Commitee reports to the full Board regarding its actvites, including those related to cybersecurity. The full Board also receives briefngs from management on our cyber risk management program.</w:t>
      </w:r>
    </w:p>
    <w:p>
      <w:pPr>
        <w:spacing w:after="0" w:line="2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41" w:right="419" w:bottom="1440" w:gutter="0" w:footer="0" w:header="0"/>
        </w:sectPr>
      </w:pPr>
    </w:p>
    <w:bookmarkStart w:id="101" w:name="page102"/>
    <w:bookmarkEnd w:id="101"/>
    <w:p>
      <w:pPr>
        <w:ind w:right="80" w:firstLine="509"/>
        <w:spacing w:after="0" w:line="235" w:lineRule="auto"/>
        <w:rPr>
          <w:sz w:val="20"/>
          <w:szCs w:val="20"/>
          <w:color w:val="auto"/>
        </w:rPr>
      </w:pPr>
      <w:r>
        <w:rPr>
          <w:rFonts w:ascii="Calibri" w:cs="Calibri" w:eastAsia="Calibri" w:hAnsi="Calibri"/>
          <w:sz w:val="18"/>
          <w:szCs w:val="18"/>
          <w:color w:val="auto"/>
        </w:rPr>
        <w:t>Our informaton technology team, led by our Vice President of Informaton Technology, is responsible for managing and directng day-to-day assessment and management of materials risks from cybersecurity threats, including oversight of our cybersecurity tools, controls and strategies to protect organizaton assets, networks and data. The Vice President of Informaton Technology reports to our Chief Financial and Business Ofcer. The Vice President of Informaton Technology has primary responsibility for our overall cybersecurity risk management program and supervises both our internal IT personnel and our retained external cybersecurity consultants. The Vice President of Informaton Technology has over 25 years of experience in informaton technology.</w:t>
      </w:r>
    </w:p>
    <w:p>
      <w:pPr>
        <w:spacing w:after="0" w:line="181" w:lineRule="exact"/>
        <w:rPr>
          <w:sz w:val="20"/>
          <w:szCs w:val="20"/>
          <w:color w:val="auto"/>
        </w:rPr>
      </w:pPr>
    </w:p>
    <w:p>
      <w:pPr>
        <w:ind w:right="160" w:firstLine="549"/>
        <w:spacing w:after="0" w:line="235" w:lineRule="auto"/>
        <w:rPr>
          <w:sz w:val="20"/>
          <w:szCs w:val="20"/>
          <w:color w:val="auto"/>
        </w:rPr>
      </w:pPr>
      <w:r>
        <w:rPr>
          <w:rFonts w:ascii="Calibri" w:cs="Calibri" w:eastAsia="Calibri" w:hAnsi="Calibri"/>
          <w:sz w:val="18"/>
          <w:szCs w:val="18"/>
          <w:color w:val="auto"/>
        </w:rPr>
        <w:t>Our informaton technology team takes steps to stay informed about and monitor eforts to prevent, detect, mitgate, and remediate cybersecurity risks and incidents through various means, which may include briefngs from internal IT personnel; threat intelligence and other informaton obtained from governmental, public or private sources, including external consultants engaged by us; and alerts and reports produced by security tools deployed in our internal IT environment.</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2.  Propertes</w:t>
      </w:r>
    </w:p>
    <w:p>
      <w:pPr>
        <w:spacing w:after="0" w:line="19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Our corporate ofces are located in leased ofces in Bufalo Grove, Illinois, and Florham Park, New Jersey. We believe that our facilites are adequate to meet our current needs, and that suitable additonal alternatve spaces will be available in the future on commercially reasonable terms, if required.</w:t>
      </w:r>
    </w:p>
    <w:p>
      <w:pPr>
        <w:spacing w:after="0" w:line="21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For additonal informaton, see Note 4, Lease Commitments included in Item 15 of this Annual Report on Form 10-K.</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3.  Legal Proceedings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not currently subject to any material legal proceedings. From tme to tme, we may be involved in legal proceedings or subject to claims incident to the ordinary course of business. Regardless of the outcome, such proceedings or claims can have an adverse impact on us because of defense and setlement costs, diversion of resources and other factors, and there can be no assurances that favorable outcomes will be obtained.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4.  Mine Safety Disclosures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02" w:name="page103"/>
    <w:bookmarkEnd w:id="102"/>
    <w:p>
      <w:pPr>
        <w:jc w:val="center"/>
        <w:ind w:right="20"/>
        <w:spacing w:after="0"/>
        <w:rPr>
          <w:sz w:val="20"/>
          <w:szCs w:val="20"/>
          <w:color w:val="auto"/>
        </w:rPr>
      </w:pPr>
      <w:r>
        <w:rPr>
          <w:rFonts w:ascii="Calibri" w:cs="Calibri" w:eastAsia="Calibri" w:hAnsi="Calibri"/>
          <w:sz w:val="18"/>
          <w:szCs w:val="18"/>
          <w:b w:val="1"/>
          <w:bCs w:val="1"/>
          <w:color w:val="auto"/>
        </w:rPr>
        <w:t>PART II</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5.  Market for Registrant’s Common Equity, Related Stockholder Maters and Issuer Purchases of Equity Securites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Market Informaton</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Our common stock has been publicly traded on the Nasdaq Global Select Market under the symbol “PHAT” since our inital public ofering on October 25, 2019, which was completed at a price to the public of $19.00 per share. Prior to our inital public ofering, there was no public market for our common stock.</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Holders of Common Stock</w:t>
      </w:r>
    </w:p>
    <w:p>
      <w:pPr>
        <w:spacing w:after="0" w:line="177" w:lineRule="exact"/>
        <w:rPr>
          <w:sz w:val="20"/>
          <w:szCs w:val="20"/>
          <w:color w:val="auto"/>
        </w:rPr>
      </w:pPr>
    </w:p>
    <w:p>
      <w:pPr>
        <w:jc w:val="both"/>
        <w:ind w:right="340" w:firstLine="509"/>
        <w:spacing w:after="0" w:line="235" w:lineRule="auto"/>
        <w:rPr>
          <w:sz w:val="20"/>
          <w:szCs w:val="20"/>
          <w:color w:val="auto"/>
        </w:rPr>
      </w:pPr>
      <w:r>
        <w:rPr>
          <w:rFonts w:ascii="Calibri" w:cs="Calibri" w:eastAsia="Calibri" w:hAnsi="Calibri"/>
          <w:sz w:val="18"/>
          <w:szCs w:val="18"/>
          <w:color w:val="auto"/>
        </w:rPr>
        <w:t>As of March 3, 2025, there were 69,636,970 shares of our common stock outstanding held by approximately 56 holders of record of our common stock. This number was derived from our shareholder records and does not include benefcial owners of our common stock whose shares are held in the name of various dealers, clearing agencies, banks, brokers and other fduciaries.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Dividend Policy</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never declared or paid any cash dividends on our capital stock. We intend to retain future earnings, if any, to fnance the operaton of our business and do not antcipate paying any cash dividends in the foreseeable future. Any future determinaton related to dividend policy will be made at the discreton of our board of directors afer considering our fnancial conditon, results of operatons, capital requirements, business prospects and other factors the board of directors deems relevant, and subject to the restrictons contained in any future fnancing instruments. In additon, under the terms of our Loan Agreement, we are prohibited from paying any cash dividends without the consent of the lenders.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Securites Authorized for Issuance Under Equity Compensaton Plans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See Item 12 of Part III of this annual report on Form 10-K for informaton about our equity compensaton plans which is incorporated by reference</w:t>
      </w:r>
    </w:p>
    <w:p>
      <w:pPr>
        <w:spacing w:after="0" w:line="235" w:lineRule="auto"/>
        <w:rPr>
          <w:sz w:val="20"/>
          <w:szCs w:val="20"/>
          <w:color w:val="auto"/>
        </w:rPr>
      </w:pPr>
      <w:r>
        <w:rPr>
          <w:rFonts w:ascii="Calibri" w:cs="Calibri" w:eastAsia="Calibri" w:hAnsi="Calibri"/>
          <w:sz w:val="18"/>
          <w:szCs w:val="18"/>
          <w:color w:val="auto"/>
        </w:rPr>
        <w:t>herein.</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Performance Graph</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Unregistered Sales of Equity Securites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Use of Proceeds from Registered Securites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Issuer Repurchases of Equity Securites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03" w:name="page104"/>
    <w:bookmarkEnd w:id="103"/>
    <w:p>
      <w:pPr>
        <w:spacing w:after="0"/>
        <w:rPr>
          <w:sz w:val="20"/>
          <w:szCs w:val="20"/>
          <w:color w:val="auto"/>
        </w:rPr>
      </w:pPr>
      <w:r>
        <w:rPr>
          <w:rFonts w:ascii="Calibri" w:cs="Calibri" w:eastAsia="Calibri" w:hAnsi="Calibri"/>
          <w:sz w:val="18"/>
          <w:szCs w:val="18"/>
          <w:b w:val="1"/>
          <w:bCs w:val="1"/>
          <w:color w:val="auto"/>
        </w:rPr>
        <w:t>Item 7. Management’s Discussion and Analysis of Financial Conditon and Results of Operatons.</w:t>
      </w:r>
    </w:p>
    <w:p>
      <w:pPr>
        <w:spacing w:after="0" w:line="190" w:lineRule="exact"/>
        <w:rPr>
          <w:sz w:val="20"/>
          <w:szCs w:val="20"/>
          <w:color w:val="auto"/>
        </w:rPr>
      </w:pPr>
    </w:p>
    <w:p>
      <w:pPr>
        <w:ind w:right="200"/>
        <w:spacing w:after="0" w:line="235" w:lineRule="auto"/>
        <w:rPr>
          <w:sz w:val="20"/>
          <w:szCs w:val="20"/>
          <w:color w:val="auto"/>
        </w:rPr>
      </w:pPr>
      <w:r>
        <w:rPr>
          <w:rFonts w:ascii="Calibri" w:cs="Calibri" w:eastAsia="Calibri" w:hAnsi="Calibri"/>
          <w:sz w:val="18"/>
          <w:szCs w:val="18"/>
          <w:i w:val="1"/>
          <w:iCs w:val="1"/>
          <w:color w:val="auto"/>
        </w:rPr>
        <w:t>You should read the following discussion and analysis of our fnancial conditon and results of operatons together with our fnancial statements and related notes included elsewhere in this annual report. This discussion and analysis contains forward-looking statements based upon our current beliefs, plans and expectatons that involve risks, uncertaintes and assumptons. Our actual results may difer materially from those antcipated in these forward-looking statements as a result of various factors, including those set forth under “Risk Factors” or in other parts of this annual report.</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Overview</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We are a biopharmaceutcal company focused on developing and commercializing novel treatments for gastrointestnal, or GI, diseases. Our approved products, VOQUEZNA®, VOQUEZNA® TRIPLE PAK® and VOQUEZNA® DUAL PAK®, contain vonoprazan, an oral small molecule potassium-compettve acid blocker, or PCAB. PCABs are a novel class of medicines that block acid secreton in the stomach. Vonoprazan is the frst gastric ant-secretory agent from a novel class approved in the United States, Europe, or Canada in over 30 years, and has shown rapid, potent, and durable ant-secretory efects. Vonoprazan has also demonstrated clinical benefts over the current standard of care as a single agent in the treatment of erosive gastroesophageal refux disease, or Erosive GERD, and in combinaton with antbiotcs for the treatment of </w:t>
      </w:r>
      <w:r>
        <w:rPr>
          <w:rFonts w:ascii="Calibri" w:cs="Calibri" w:eastAsia="Calibri" w:hAnsi="Calibri"/>
          <w:sz w:val="18"/>
          <w:szCs w:val="18"/>
          <w:i w:val="1"/>
          <w:iCs w:val="1"/>
          <w:color w:val="auto"/>
        </w:rPr>
        <w:t>Helicobacter pylori</w:t>
      </w:r>
      <w:r>
        <w:rPr>
          <w:rFonts w:ascii="Calibri" w:cs="Calibri" w:eastAsia="Calibri" w:hAnsi="Calibri"/>
          <w:sz w:val="18"/>
          <w:szCs w:val="18"/>
          <w:color w:val="auto"/>
        </w:rPr>
        <w:t xml:space="preserve">, or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infecton. Takeda Pharmaceutcal Company Limited, or Takeda, developed vonoprazan and has received marketng approval in numerous countries in Asia and Latn America as well as Russia. Vonoprazan generated peak net sales of approximately $850 million and contnues to achieve volume growth during its tenth full year on the market since its approval in 2014. In May 2019, we in-licensed the U.S., European, and Canadian rights to vonoprazan from Takeda.</w:t>
      </w:r>
    </w:p>
    <w:p>
      <w:pPr>
        <w:spacing w:after="0" w:line="197" w:lineRule="exact"/>
        <w:rPr>
          <w:sz w:val="20"/>
          <w:szCs w:val="20"/>
          <w:color w:val="auto"/>
        </w:rPr>
      </w:pPr>
    </w:p>
    <w:p>
      <w:pPr>
        <w:ind w:right="20" w:firstLine="509"/>
        <w:spacing w:after="0" w:line="237" w:lineRule="auto"/>
        <w:rPr>
          <w:sz w:val="20"/>
          <w:szCs w:val="20"/>
          <w:color w:val="auto"/>
        </w:rPr>
      </w:pPr>
      <w:r>
        <w:rPr>
          <w:rFonts w:ascii="Calibri" w:cs="Calibri" w:eastAsia="Calibri" w:hAnsi="Calibri"/>
          <w:sz w:val="18"/>
          <w:szCs w:val="18"/>
          <w:color w:val="auto"/>
        </w:rPr>
        <w:t xml:space="preserve">In May 2022, the U.S. Food and Drug Administraton, or FDA, approved the NDAs for vonoprazan triple therapy, under the brand name VOQUEZNA TRIPLE PAK, and vonoprazan dual therapy, under the brand name VOQUEZNA DUAL PAK. Subsequently, on November 1, 2023, the FDA approved vonoprazan, under the brand name VOQUEZNA, as a treatment for adults for the healing of all grades of Erosive GERD, maintenance of healing of all grades of Erosive GERD, and relief of heartburn associated with Erosive GERD, as well as in combinaton with amoxicillin, with or without clarithromycin, for the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adults. We initated commercial launch for VOQUEZNA for both the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indicatons, and VOQUEZNA TRIPLE PAK and VOQUEZNA DUAL PAK for treatment of H. pylori infecton in the fourth quarter of 2023. In September 2023, we submited an NDA seeking approval of vonoprazan as a once-daily treatment for heartburn symptoms associated with Non-Erosive GERD in adults. On July 17, 2024, the FDA approved VOQUEZNA 10 mg tablets for the relief of heartburn associated with Non-Erosive GERD, the largest category of GERD.</w:t>
      </w:r>
    </w:p>
    <w:p>
      <w:pPr>
        <w:spacing w:after="0" w:line="181"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We are independently commercializing VOQUEZNA, VOQUEZNA TRIPLE PAK, and VOQUEZNA DUAL PAK in the United States. Our commercial launch contnues to build momentum and early launch data shows strong physician and patent demand. As of February 21, 2025, over 300,000 prescriptons for VOQUEZNA tablets, VOQUEZNA Triple Pak, and VOQUEZNA Dual Pak have been flled since launch. These prescriptons were writen by more than 20,000 prescribers. In additon, due to increasing commercial demand, we contnue to make progress in securing broad commercial coverage for VOQUEZNA with over 120 million, or over 80%, of total U.S. commercial lives with access to VOQUEZNA tablets.</w:t>
      </w:r>
    </w:p>
    <w:p>
      <w:pPr>
        <w:spacing w:after="0" w:line="180"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contnue to evaluate potental commercial partnerships for vonoprazan in Europe and Canada, expand development of vonoprazan into other indicatons, dosing regimens and alternatve formulatons and packaging, and evaluate the in-license or acquisiton of additonal clinical or commercial stage product candidates for the treatment of GI diseases in a capital efcient manner.</w:t>
      </w:r>
    </w:p>
    <w:p>
      <w:pPr>
        <w:spacing w:after="0" w:line="192"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 May 2021, the FDA granted qualifed infectous disease product, or QIDP, designatons for VOQUEZNA TRIPLE PAK and VOQUEZNA DUAL PAK and we thereby received an extension of fve years of new chemical entty, or NCE, exclusivity based on the vonoprazan component in the applicable NDAs. We believe the extended NCE exclusivity should apply to any other approved or future products containing vonoprazan we develop and for which we obtain FDA approval. In December 2024, we submited a citzen petton requestng that FDA update the Orange Book listngs to refect the same ten-year period of NCE exclusivity for VOQUEZNA as refected on the VOQUEZNA TRIPLE PAK and VOQUEZNA DUAL PAK Orange Book listngs.</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commenced our operatons in 2018 and have devoted substantally all of our resources to date to organizing and stafng our company, business planning, raising capital, in-licensing our inital and approved product candidate, vonoprazan, meetng with regulatory authorites, managing our clinical trials of vonoprazan, preparing for commercializaton of our inital products containing vonoprazan, commercially launching our approved products, and providing other selling, general and administratve support for our</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04" w:name="page105"/>
    <w:bookmarkEnd w:id="104"/>
    <w:p>
      <w:pPr>
        <w:ind w:right="100"/>
        <w:spacing w:after="0" w:line="239" w:lineRule="auto"/>
        <w:rPr>
          <w:sz w:val="20"/>
          <w:szCs w:val="20"/>
          <w:color w:val="auto"/>
        </w:rPr>
      </w:pPr>
      <w:r>
        <w:rPr>
          <w:rFonts w:ascii="Calibri" w:cs="Calibri" w:eastAsia="Calibri" w:hAnsi="Calibri"/>
          <w:sz w:val="18"/>
          <w:szCs w:val="18"/>
          <w:color w:val="auto"/>
        </w:rPr>
        <w:t>operatons. Our operatons to date have been funded primarily through commercial bank debt, our revenue interest fnancing debt and various equity oferings, including our at-the-market oferings. From our incepton through December 31, 2024, we sold 34,737,032 shares of our common stock and 2,608,922 pre-funded warrants, generatng net proceeds of approximately $543.3 million, afer deductng underwritng discounts, commissions and ofering costs. As of December 31, 2024, we had cash and cash equivalents of $297.3 million. Based on our current operatng plan, we believe that our existng cash and cash equivalents together with the drawdown of the remaining $100 million under our Loan and Security Agreement, as amended, or the Loan Agreement, with Hercules Capital, Inc. or Hercules, together with antcipated product revenues, are sufcient to fund operatons for at least the next twelve months and we believe will be sufcient to enable us to reach cashfow positvity</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Since incepton, we have incurred signifcant operatng losses. Our net loss was $334.3 million and $201.6 million for the years ended December 31, 2024 and 2023, respectvely. As of December 31, 2024, we had an accumulated defcit of $1.3 billion. We expect to contnue to incur operatng losses for the foreseeable future. It could be several years, if ever, before VOQUEZNA, VOQUEZNA TRIPLE PAK and VOQUEZNA DUAL PAK or other product candidates, if approved, generate signifcant revenues to ofset these operatng losses. As a result, we are uncertain when or if we will achieve proftability and, if so, whether we will be able to sustain it. The net losses we incur may fuctuate signifcantly from quarter to quarter and year to year.</w:t>
      </w:r>
    </w:p>
    <w:p>
      <w:pPr>
        <w:spacing w:after="0" w:line="18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We have generated limited revenue to date, untl such tme as we can generate signifcant revenue from sales of our approved products containing vonoprazan, we expect to fnance our cash needs through equity oferings, our Loan Agreement, our Revenue Interest Financing Agreement, additonal debt fnancings or other capital sources, including potental collaboratons, licenses and other similar arrangements. However, we may be unable to raise additonal funds or enter into such other arrangements when needed on favorable terms or at all, and this risk could be exacerbated by the impact of ongoing conficts throughout the world and global economic conditons. Our failure to raise capital or enter into such other arrangements when needed would have a negatve impact on our fnancial conditon and could force us to delay, limit, reduce or terminate our product development or future commercializaton eforts or grant rights to develop and market product candidates that we would otherwise prefer to develop and market ourselves.</w:t>
      </w:r>
    </w:p>
    <w:p>
      <w:pPr>
        <w:spacing w:after="0" w:line="19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 with Takeda</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7, 2019, we and Takeda entered into an exclusive license, or the Takeda License, pursuant to which we in-licensed the U.S., European, and Canadian rights to vonoprazan fumarate. During the term of the Takeda License, we and our afliates are not permited to commercialize any pharmaceutcal product, other than vonoprazan, that treats acid-related disorders, except for certain generic and OTC competng products in specifed circumstances. We will be responsible at our cost for the development, manufacture and commercializaton of vonoprazan products. We are required to use commercially reasonable eforts to develop and commercialize the vonoprazan products in our licensed territory.</w:t>
      </w:r>
    </w:p>
    <w:p>
      <w:pPr>
        <w:spacing w:after="0" w:line="18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Under the Takeda License, Takeda has the sole right and authority, with our input, to prepare, fle, prosecute, and maintain all Takeda and joint patents on a worldwide basis at its own cost. We are responsible, at our cost, for preparing, fling, prosecutng, and maintaining patents on inventons made solely by us in connecton with vonoprazan, subject to input from Takeda.</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We paid Takeda upfront consideraton consistng of a cash fee of $25 million, 1,084,000 shares of our common stock, a warrant to purchase 7,588,000 shares of our common stock at an exercise price of $0.00004613 per share, or the Takeda Warrant, and issued Takeda a right to receive an additonal common stock warrant, or the Takeda Warrant Right, if Takeda’s fully-diluted ownership of the Company represented less than a certain specifed percentage of the fully-diluted capitalizaton, including shares issuable upon conversion of then outstanding convertble promissory notes, calculated immediately prior to the closing of our IPO. The Takeda Warrant Right expired without efect since no fair value had been allocated to it upon completon of our IPO, and no additonal warrant was issued. We agreed to make milestone payments to Takeda upon achieving certain tered aggregate annual net sales of licensed products in the United States, Europe and Canada up to a total maximum milestone amount of $250 million. We also agreed to make tered royalty payments at percentages averaging in the low double digits on net sales of licensed products, subject to specifed ofsets and reductons. Royaltes will be payable, on a product-by-product and country-by-country basis from the frst commercial sale of such product in such country, untl the latest of expiraton of the licensed patents covering the applicable product, expiraton of regulatory exclusivity in such country, or 15 years following frst commercial sale in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05" w:name="page106"/>
    <w:bookmarkEnd w:id="105"/>
    <w:p>
      <w:pPr>
        <w:spacing w:after="0"/>
        <w:rPr>
          <w:sz w:val="20"/>
          <w:szCs w:val="20"/>
          <w:color w:val="auto"/>
        </w:rPr>
      </w:pPr>
      <w:r>
        <w:rPr>
          <w:rFonts w:ascii="Calibri" w:cs="Calibri" w:eastAsia="Calibri" w:hAnsi="Calibri"/>
          <w:sz w:val="18"/>
          <w:szCs w:val="18"/>
          <w:b w:val="1"/>
          <w:bCs w:val="1"/>
          <w:color w:val="auto"/>
        </w:rPr>
        <w:t>Components of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We began to recognize revenue from product sales, net of rebates, chargebacks, discounts, and other adjustments, in November 2023 in conjuncton with the commercial launch of VOQUEZNA, VOQUEZNA TRIPLE PAK, and VOQUEZNA DUAL PAK in the United States.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w:t>
      </w:r>
    </w:p>
    <w:p>
      <w:pPr>
        <w:spacing w:after="0" w:line="177"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Cost of revenue includes the cost of producing and distributng inventories that are related to product sales. This also includes royaltes payable to Takeda, pursuant to the Takeda License Agreement (Refer to Note 3 for further details). In additon, shipping and handling costs for product sales are recorded as incurred. Cost of revenue also includes costs related to excess or obsolete inventory adjustment charges.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Expenses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w:t>
      </w:r>
    </w:p>
    <w:p>
      <w:pPr>
        <w:spacing w:after="0" w:line="177"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To date, our research and development expenses have related to the development of vonoprazan. Research and development expenses are recognized as incurred and payments made prior to the receipt of goods or services to be used in research and development are capitalized untl the goods or services are received. We do not track total research and development expenses by indicaton.</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Research and development expenses include:</w:t>
      </w:r>
    </w:p>
    <w:p>
      <w:pPr>
        <w:spacing w:after="0" w:line="204" w:lineRule="exact"/>
        <w:rPr>
          <w:sz w:val="20"/>
          <w:szCs w:val="20"/>
          <w:color w:val="auto"/>
        </w:rPr>
      </w:pPr>
    </w:p>
    <w:p>
      <w:pPr>
        <w:ind w:left="900" w:right="520" w:hanging="383"/>
        <w:spacing w:after="0" w:line="235" w:lineRule="auto"/>
        <w:tabs>
          <w:tab w:leader="none" w:pos="900" w:val="left"/>
        </w:tabs>
        <w:numPr>
          <w:ilvl w:val="0"/>
          <w:numId w:val="5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Clinical development expenses: </w:t>
      </w:r>
      <w:r>
        <w:rPr>
          <w:rFonts w:ascii="Calibri" w:cs="Calibri" w:eastAsia="Calibri" w:hAnsi="Calibri"/>
          <w:sz w:val="18"/>
          <w:szCs w:val="18"/>
          <w:color w:val="auto"/>
        </w:rPr>
        <w:t>external research and development expenses incurred under agreements with CROs, regulatory costs, and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consultants to conduct and support our clinical trials of vonoprazan;</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Personnel related expenses</w:t>
      </w:r>
      <w:r>
        <w:rPr>
          <w:rFonts w:ascii="Calibri" w:cs="Calibri" w:eastAsia="Calibri" w:hAnsi="Calibri"/>
          <w:sz w:val="18"/>
          <w:szCs w:val="18"/>
          <w:color w:val="auto"/>
        </w:rPr>
        <w:t>: salaries, payroll taxes, and employee benefts;</w:t>
      </w:r>
    </w:p>
    <w:p>
      <w:pPr>
        <w:spacing w:after="0" w:line="18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Chemistry manufacturing and controls, or CMC, expenses: </w:t>
      </w:r>
      <w:r>
        <w:rPr>
          <w:rFonts w:ascii="Calibri" w:cs="Calibri" w:eastAsia="Calibri" w:hAnsi="Calibri"/>
          <w:sz w:val="18"/>
          <w:szCs w:val="18"/>
          <w:color w:val="auto"/>
        </w:rPr>
        <w:t>costs related to the manufacturing of vonoprazan for our clinical trials;</w:t>
      </w:r>
    </w:p>
    <w:p>
      <w:pPr>
        <w:spacing w:after="0" w:line="198"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 xml:space="preserve">Consultng, professional and other costs: </w:t>
      </w:r>
      <w:r>
        <w:rPr>
          <w:rFonts w:ascii="Calibri" w:cs="Calibri" w:eastAsia="Calibri" w:hAnsi="Calibri"/>
          <w:sz w:val="18"/>
          <w:szCs w:val="18"/>
          <w:color w:val="auto"/>
        </w:rPr>
        <w:t>external costs related to consultng and professional services and other research costs incurred; and</w:t>
      </w:r>
    </w:p>
    <w:p>
      <w:pPr>
        <w:spacing w:after="0" w:line="190" w:lineRule="exact"/>
        <w:rPr>
          <w:rFonts w:ascii="Times New Roman" w:cs="Times New Roman" w:eastAsia="Times New Roman" w:hAnsi="Times New Roman"/>
          <w:sz w:val="18"/>
          <w:szCs w:val="18"/>
          <w:color w:val="auto"/>
        </w:rPr>
      </w:pPr>
    </w:p>
    <w:p>
      <w:pPr>
        <w:ind w:left="900" w:right="60" w:hanging="383"/>
        <w:spacing w:after="0" w:line="235" w:lineRule="auto"/>
        <w:tabs>
          <w:tab w:leader="none" w:pos="900" w:val="left"/>
        </w:tabs>
        <w:numPr>
          <w:ilvl w:val="0"/>
          <w:numId w:val="54"/>
        </w:numPr>
        <w:rPr>
          <w:rFonts w:ascii="Times New Roman" w:cs="Times New Roman" w:eastAsia="Times New Roman" w:hAnsi="Times New Roman"/>
          <w:sz w:val="18"/>
          <w:szCs w:val="18"/>
          <w:color w:val="auto"/>
        </w:rPr>
      </w:pPr>
      <w:r>
        <w:rPr>
          <w:rFonts w:ascii="Calibri" w:cs="Calibri" w:eastAsia="Calibri" w:hAnsi="Calibri"/>
          <w:sz w:val="18"/>
          <w:szCs w:val="18"/>
          <w:i w:val="1"/>
          <w:iCs w:val="1"/>
          <w:color w:val="auto"/>
        </w:rPr>
        <w:t>Stock-based compensaton expenses</w:t>
      </w:r>
      <w:r>
        <w:rPr>
          <w:rFonts w:ascii="Calibri" w:cs="Calibri" w:eastAsia="Calibri" w:hAnsi="Calibri"/>
          <w:sz w:val="18"/>
          <w:szCs w:val="18"/>
          <w:color w:val="auto"/>
        </w:rPr>
        <w:t>: stock-based compensaton expense recognized for those individuals involved in research and development</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eforts.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our research and development expenses for the years ended December 31, 2024 and 2023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9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40" w:type="dxa"/>
            <w:vAlign w:val="bottom"/>
            <w:gridSpan w:val="3"/>
          </w:tcPr>
          <w:p>
            <w:pPr>
              <w:jc w:val="right"/>
              <w:ind w:right="280"/>
              <w:spacing w:after="0"/>
              <w:rPr>
                <w:sz w:val="20"/>
                <w:szCs w:val="20"/>
                <w:color w:val="auto"/>
              </w:rPr>
            </w:pPr>
            <w:r>
              <w:rPr>
                <w:rFonts w:ascii="Calibri" w:cs="Calibri" w:eastAsia="Calibri" w:hAnsi="Calibri"/>
                <w:sz w:val="18"/>
                <w:szCs w:val="18"/>
                <w:b w:val="1"/>
                <w:bCs w:val="1"/>
                <w:color w:val="auto"/>
              </w:rPr>
              <w:t>Years Ended</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9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gridSpan w:val="3"/>
          </w:tcPr>
          <w:p>
            <w:pPr>
              <w:jc w:val="right"/>
              <w:ind w:right="220"/>
              <w:spacing w:after="0" w:line="216" w:lineRule="exact"/>
              <w:rPr>
                <w:sz w:val="20"/>
                <w:szCs w:val="20"/>
                <w:color w:val="auto"/>
              </w:rPr>
            </w:pPr>
            <w:r>
              <w:rPr>
                <w:rFonts w:ascii="Calibri" w:cs="Calibri" w:eastAsia="Calibri" w:hAnsi="Calibri"/>
                <w:sz w:val="18"/>
                <w:szCs w:val="18"/>
                <w:b w:val="1"/>
                <w:bCs w:val="1"/>
                <w:color w:val="auto"/>
              </w:rPr>
              <w:t>December 31,</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
        </w:trPr>
        <w:tc>
          <w:tcPr>
            <w:tcW w:w="69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9"/>
        </w:trPr>
        <w:tc>
          <w:tcPr>
            <w:tcW w:w="6920" w:type="dxa"/>
            <w:vAlign w:val="bottom"/>
          </w:tcPr>
          <w:p>
            <w:pPr>
              <w:spacing w:after="0"/>
              <w:rPr>
                <w:sz w:val="18"/>
                <w:szCs w:val="18"/>
                <w:color w:val="auto"/>
              </w:rPr>
            </w:pPr>
          </w:p>
        </w:tc>
        <w:tc>
          <w:tcPr>
            <w:tcW w:w="130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1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r>
      <w:tr>
        <w:trPr>
          <w:trHeight w:val="210"/>
        </w:trPr>
        <w:tc>
          <w:tcPr>
            <w:tcW w:w="69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Clinical development and regulatory</w:t>
            </w:r>
          </w:p>
        </w:tc>
        <w:tc>
          <w:tcPr>
            <w:tcW w:w="1300" w:type="dxa"/>
            <w:vAlign w:val="bottom"/>
            <w:shd w:val="clear" w:color="auto" w:fill="CFF0FC"/>
          </w:tcPr>
          <w:p>
            <w:pPr>
              <w:jc w:val="right"/>
              <w:ind w:right="1110"/>
              <w:spacing w:after="0" w:line="210"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10,877</w:t>
            </w:r>
          </w:p>
        </w:tc>
        <w:tc>
          <w:tcPr>
            <w:tcW w:w="900" w:type="dxa"/>
            <w:vAlign w:val="bottom"/>
            <w:gridSpan w:val="2"/>
            <w:shd w:val="clear" w:color="auto" w:fill="CFF0FC"/>
          </w:tcPr>
          <w:p>
            <w:pPr>
              <w:jc w:val="right"/>
              <w:ind w:right="460"/>
              <w:spacing w:after="0" w:line="210"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15,876</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ind w:left="20"/>
              <w:spacing w:after="0" w:line="215" w:lineRule="exact"/>
              <w:rPr>
                <w:sz w:val="20"/>
                <w:szCs w:val="20"/>
                <w:color w:val="auto"/>
              </w:rPr>
            </w:pPr>
            <w:r>
              <w:rPr>
                <w:rFonts w:ascii="Calibri" w:cs="Calibri" w:eastAsia="Calibri" w:hAnsi="Calibri"/>
                <w:sz w:val="18"/>
                <w:szCs w:val="18"/>
                <w:color w:val="auto"/>
              </w:rPr>
              <w:t>Personnel related</w:t>
            </w:r>
          </w:p>
        </w:tc>
        <w:tc>
          <w:tcPr>
            <w:tcW w:w="13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11,909</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10,969</w:t>
            </w:r>
          </w:p>
        </w:tc>
        <w:tc>
          <w:tcPr>
            <w:tcW w:w="100" w:type="dxa"/>
            <w:vAlign w:val="bottom"/>
          </w:tcPr>
          <w:p>
            <w:pPr>
              <w:spacing w:after="0"/>
              <w:rPr>
                <w:sz w:val="18"/>
                <w:szCs w:val="18"/>
                <w:color w:val="auto"/>
              </w:rPr>
            </w:pPr>
          </w:p>
        </w:tc>
      </w:tr>
      <w:tr>
        <w:trPr>
          <w:trHeight w:val="217"/>
        </w:trPr>
        <w:tc>
          <w:tcPr>
            <w:tcW w:w="692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Chemistry manufacturing and controls</w:t>
            </w:r>
          </w:p>
        </w:tc>
        <w:tc>
          <w:tcPr>
            <w:tcW w:w="1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4,090</w:t>
            </w:r>
          </w:p>
        </w:tc>
        <w:tc>
          <w:tcPr>
            <w:tcW w:w="3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8,403</w:t>
            </w:r>
          </w:p>
        </w:tc>
        <w:tc>
          <w:tcPr>
            <w:tcW w:w="100" w:type="dxa"/>
            <w:vAlign w:val="bottom"/>
            <w:shd w:val="clear" w:color="auto" w:fill="CFF0FC"/>
          </w:tcPr>
          <w:p>
            <w:pPr>
              <w:spacing w:after="0"/>
              <w:rPr>
                <w:sz w:val="18"/>
                <w:szCs w:val="18"/>
                <w:color w:val="auto"/>
              </w:rPr>
            </w:pPr>
          </w:p>
        </w:tc>
      </w:tr>
      <w:tr>
        <w:trPr>
          <w:trHeight w:val="215"/>
        </w:trPr>
        <w:tc>
          <w:tcPr>
            <w:tcW w:w="6920" w:type="dxa"/>
            <w:vAlign w:val="bottom"/>
          </w:tcPr>
          <w:p>
            <w:pPr>
              <w:ind w:left="20"/>
              <w:spacing w:after="0" w:line="215" w:lineRule="exact"/>
              <w:rPr>
                <w:sz w:val="20"/>
                <w:szCs w:val="20"/>
                <w:color w:val="auto"/>
              </w:rPr>
            </w:pPr>
            <w:r>
              <w:rPr>
                <w:rFonts w:ascii="Calibri" w:cs="Calibri" w:eastAsia="Calibri" w:hAnsi="Calibri"/>
                <w:sz w:val="18"/>
                <w:szCs w:val="18"/>
                <w:color w:val="auto"/>
              </w:rPr>
              <w:t>Consultng, professional and other costs</w:t>
            </w:r>
          </w:p>
        </w:tc>
        <w:tc>
          <w:tcPr>
            <w:tcW w:w="1300" w:type="dxa"/>
            <w:vAlign w:val="bottom"/>
          </w:tcPr>
          <w:p>
            <w:pPr>
              <w:spacing w:after="0"/>
              <w:rPr>
                <w:sz w:val="18"/>
                <w:szCs w:val="18"/>
                <w:color w:val="auto"/>
              </w:rPr>
            </w:pPr>
          </w:p>
        </w:tc>
        <w:tc>
          <w:tcPr>
            <w:tcW w:w="640" w:type="dxa"/>
            <w:vAlign w:val="bottom"/>
          </w:tcPr>
          <w:p>
            <w:pPr>
              <w:jc w:val="right"/>
              <w:spacing w:after="0" w:line="215" w:lineRule="exact"/>
              <w:rPr>
                <w:sz w:val="20"/>
                <w:szCs w:val="20"/>
                <w:color w:val="auto"/>
              </w:rPr>
            </w:pPr>
            <w:r>
              <w:rPr>
                <w:rFonts w:ascii="Calibri" w:cs="Calibri" w:eastAsia="Calibri" w:hAnsi="Calibri"/>
                <w:sz w:val="18"/>
                <w:szCs w:val="18"/>
                <w:color w:val="auto"/>
              </w:rPr>
              <w:t>1,639</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Pr>
          <w:p>
            <w:pPr>
              <w:jc w:val="right"/>
              <w:spacing w:after="0" w:line="215" w:lineRule="exact"/>
              <w:rPr>
                <w:sz w:val="20"/>
                <w:szCs w:val="20"/>
                <w:color w:val="auto"/>
              </w:rPr>
            </w:pPr>
            <w:r>
              <w:rPr>
                <w:rFonts w:ascii="Calibri" w:cs="Calibri" w:eastAsia="Calibri" w:hAnsi="Calibri"/>
                <w:sz w:val="18"/>
                <w:szCs w:val="18"/>
                <w:color w:val="auto"/>
              </w:rPr>
              <w:t>2,349</w:t>
            </w:r>
          </w:p>
        </w:tc>
        <w:tc>
          <w:tcPr>
            <w:tcW w:w="100" w:type="dxa"/>
            <w:vAlign w:val="bottom"/>
          </w:tcPr>
          <w:p>
            <w:pPr>
              <w:spacing w:after="0"/>
              <w:rPr>
                <w:sz w:val="18"/>
                <w:szCs w:val="18"/>
                <w:color w:val="auto"/>
              </w:rPr>
            </w:pPr>
          </w:p>
        </w:tc>
      </w:tr>
      <w:tr>
        <w:trPr>
          <w:trHeight w:val="216"/>
        </w:trPr>
        <w:tc>
          <w:tcPr>
            <w:tcW w:w="692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Stock-based compensaton</w:t>
            </w:r>
          </w:p>
        </w:tc>
        <w:tc>
          <w:tcPr>
            <w:tcW w:w="130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5,567</w:t>
            </w:r>
          </w:p>
        </w:tc>
        <w:tc>
          <w:tcPr>
            <w:tcW w:w="3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12,302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920" w:type="dxa"/>
            <w:vAlign w:val="bottom"/>
          </w:tcPr>
          <w:p>
            <w:pPr>
              <w:ind w:left="200"/>
              <w:spacing w:after="0" w:line="209" w:lineRule="exact"/>
              <w:rPr>
                <w:sz w:val="20"/>
                <w:szCs w:val="20"/>
                <w:color w:val="auto"/>
              </w:rPr>
            </w:pPr>
            <w:r>
              <w:rPr>
                <w:rFonts w:ascii="Calibri" w:cs="Calibri" w:eastAsia="Calibri" w:hAnsi="Calibri"/>
                <w:sz w:val="18"/>
                <w:szCs w:val="18"/>
                <w:color w:val="auto"/>
              </w:rPr>
              <w:t>Total research and development expenses</w:t>
            </w:r>
          </w:p>
        </w:tc>
        <w:tc>
          <w:tcPr>
            <w:tcW w:w="1300" w:type="dxa"/>
            <w:vAlign w:val="bottom"/>
          </w:tcPr>
          <w:p>
            <w:pPr>
              <w:jc w:val="right"/>
              <w:ind w:right="1110"/>
              <w:spacing w:after="0" w:line="209" w:lineRule="exact"/>
              <w:rPr>
                <w:sz w:val="20"/>
                <w:szCs w:val="20"/>
                <w:color w:val="auto"/>
              </w:rPr>
            </w:pPr>
            <w:r>
              <w:rPr>
                <w:rFonts w:ascii="Calibri" w:cs="Calibri" w:eastAsia="Calibri" w:hAnsi="Calibri"/>
                <w:sz w:val="18"/>
                <w:szCs w:val="18"/>
                <w:color w:val="auto"/>
                <w:w w:val="87"/>
              </w:rPr>
              <w:t>$</w:t>
            </w:r>
          </w:p>
        </w:tc>
        <w:tc>
          <w:tcPr>
            <w:tcW w:w="640" w:type="dxa"/>
            <w:vAlign w:val="bottom"/>
          </w:tcPr>
          <w:p>
            <w:pPr>
              <w:jc w:val="right"/>
              <w:spacing w:after="0" w:line="209" w:lineRule="exact"/>
              <w:rPr>
                <w:sz w:val="20"/>
                <w:szCs w:val="20"/>
                <w:color w:val="auto"/>
              </w:rPr>
            </w:pPr>
            <w:r>
              <w:rPr>
                <w:rFonts w:ascii="Calibri" w:cs="Calibri" w:eastAsia="Calibri" w:hAnsi="Calibri"/>
                <w:sz w:val="18"/>
                <w:szCs w:val="18"/>
                <w:color w:val="auto"/>
              </w:rPr>
              <w:t>34,082</w:t>
            </w:r>
          </w:p>
        </w:tc>
        <w:tc>
          <w:tcPr>
            <w:tcW w:w="900" w:type="dxa"/>
            <w:vAlign w:val="bottom"/>
            <w:gridSpan w:val="2"/>
          </w:tcPr>
          <w:p>
            <w:pPr>
              <w:jc w:val="right"/>
              <w:ind w:right="460"/>
              <w:spacing w:after="0" w:line="209" w:lineRule="exact"/>
              <w:rPr>
                <w:sz w:val="20"/>
                <w:szCs w:val="20"/>
                <w:color w:val="auto"/>
              </w:rPr>
            </w:pPr>
            <w:r>
              <w:rPr>
                <w:rFonts w:ascii="Calibri" w:cs="Calibri" w:eastAsia="Calibri" w:hAnsi="Calibri"/>
                <w:sz w:val="18"/>
                <w:szCs w:val="18"/>
                <w:color w:val="auto"/>
              </w:rPr>
              <w:t>$</w:t>
            </w:r>
          </w:p>
        </w:tc>
        <w:tc>
          <w:tcPr>
            <w:tcW w:w="1380" w:type="dxa"/>
            <w:vAlign w:val="bottom"/>
          </w:tcPr>
          <w:p>
            <w:pPr>
              <w:jc w:val="right"/>
              <w:spacing w:after="0" w:line="209" w:lineRule="exact"/>
              <w:rPr>
                <w:sz w:val="20"/>
                <w:szCs w:val="20"/>
                <w:color w:val="auto"/>
              </w:rPr>
            </w:pPr>
            <w:r>
              <w:rPr>
                <w:rFonts w:ascii="Calibri" w:cs="Calibri" w:eastAsia="Calibri" w:hAnsi="Calibri"/>
                <w:sz w:val="18"/>
                <w:szCs w:val="18"/>
                <w:color w:val="auto"/>
              </w:rPr>
              <w:t>49,899</w:t>
            </w:r>
          </w:p>
        </w:tc>
        <w:tc>
          <w:tcPr>
            <w:tcW w:w="10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-170815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We plan to invest in our research and development expenses for the foreseeable future as we contnue the development of vonoprazan. We cannot determine with certainty the tming of initaton, the duraton or the completon costs of current or future clinical trials and nonclinical studies of vonoprazan or any future product candidates due to the inherently unpredictable nature of clinical and preclinical development. Clinical and preclinical development tmelines, the probability of success and development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06" w:name="page107"/>
    <w:bookmarkEnd w:id="106"/>
    <w:p>
      <w:pPr>
        <w:ind w:right="160"/>
        <w:spacing w:after="0" w:line="235" w:lineRule="auto"/>
        <w:rPr>
          <w:sz w:val="20"/>
          <w:szCs w:val="20"/>
          <w:color w:val="auto"/>
        </w:rPr>
      </w:pPr>
      <w:r>
        <w:rPr>
          <w:rFonts w:ascii="Calibri" w:cs="Calibri" w:eastAsia="Calibri" w:hAnsi="Calibri"/>
          <w:sz w:val="18"/>
          <w:szCs w:val="18"/>
          <w:color w:val="auto"/>
        </w:rPr>
        <w:t>costs can difer materially from expectatons. In additon, we cannot forecast which product candidates may be subject to future collaboratons, when such arrangements will be secured, if at all, and to what degree such arrangements would afect our development plans and capital requirements.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Selling, general and administratve expenses consist of salaries and employee-related costs, including stock-based compensaton, for personnel in commercial, executve, fnance, accountng, legal, human resources and other administratve functons, legal fees relatng to intellectual property and corporate maters, and professional fees for accountng and consultng services. We antcipate that our selling, general and administratve expenses will increase in the future to support our commercializaton actvites and research and development actvites. We also antcipate increased expenses related to audit, legal, regulatory, and tax-related services associated with maintaining compliance with exchange listng and SEC requirements, director and ofcer insurance premiums, and investor relatons costs associated with operatng as a public company.</w:t>
      </w:r>
    </w:p>
    <w:p>
      <w:pPr>
        <w:spacing w:after="0" w:line="18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Income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Interest income consists of interest on our money market funds.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Expense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Revenue Interest Financing Agreement</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Interest expense under the Revenue Interest Financing Agreement is based on the imputed efectve interest rate derived from expected future payments and the carrying value of the obligaton. We recalculate the efectve interest rate each period based on the current carrying value and the revised estmated future payments. Changes in future payments from previous estmates are included in current and future interest expense.</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Loan Agreement with Hercules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From September 17, 2021 through December 13, 2023, interest expense under the Loan Agreement consisted of (i) cash interest at a variable annual rate equal to the greater of (a) 5.50% and (b) the Prime Rate (as reported in the Wall Street Journal) plus 2.25% or the Interest Rate, (ii) payment-in-kind interest at a per annum rate of interest equal to 3.35%, and (iii) amortzaton of the Loan Agreement debt discount recorded in connecton with the fair value of warrants issued to the lenders, the debt issuance costs incurred, and the obligaton to make a fnal payment.</w:t>
      </w:r>
    </w:p>
    <w:p>
      <w:pPr>
        <w:spacing w:after="0" w:line="179" w:lineRule="exact"/>
        <w:rPr>
          <w:sz w:val="20"/>
          <w:szCs w:val="20"/>
          <w:color w:val="auto"/>
        </w:rPr>
      </w:pPr>
    </w:p>
    <w:p>
      <w:pPr>
        <w:ind w:right="320" w:firstLine="509"/>
        <w:spacing w:after="0" w:line="249" w:lineRule="auto"/>
        <w:rPr>
          <w:sz w:val="20"/>
          <w:szCs w:val="20"/>
          <w:color w:val="auto"/>
        </w:rPr>
      </w:pPr>
      <w:r>
        <w:rPr>
          <w:rFonts w:ascii="Calibri" w:cs="Calibri" w:eastAsia="Calibri" w:hAnsi="Calibri"/>
          <w:sz w:val="17"/>
          <w:szCs w:val="17"/>
          <w:color w:val="auto"/>
        </w:rPr>
        <w:t>Beginning on December 14, 2023, interest expense under the Loan Agreement consists of (i) cash interest at a variable annual rate equal to the greater of (a) 9.85% and (b) the Prime Rate (as reported in the Wall Street Journal) plus 1.35% and provided that the cash interest rate shall be capped at</w:t>
      </w:r>
    </w:p>
    <w:p>
      <w:pPr>
        <w:spacing w:after="0" w:line="1" w:lineRule="exact"/>
        <w:rPr>
          <w:sz w:val="20"/>
          <w:szCs w:val="20"/>
          <w:color w:val="auto"/>
        </w:rPr>
      </w:pPr>
    </w:p>
    <w:p>
      <w:pPr>
        <w:ind w:right="40"/>
        <w:spacing w:after="0" w:line="235" w:lineRule="auto"/>
        <w:rPr>
          <w:sz w:val="20"/>
          <w:szCs w:val="20"/>
          <w:color w:val="auto"/>
        </w:rPr>
      </w:pPr>
      <w:r>
        <w:rPr>
          <w:rFonts w:ascii="Calibri" w:cs="Calibri" w:eastAsia="Calibri" w:hAnsi="Calibri"/>
          <w:sz w:val="18"/>
          <w:szCs w:val="18"/>
          <w:color w:val="auto"/>
        </w:rPr>
        <w:t>10.35% and upon Company achieving the certain milestones, the cash interest shall be decreased by 0.35%, (ii) payment-in-kind interest at a per annum rate of interest equal to 2.15%, and (iii) amortzaton of the Loan Agreement debt discount recorded in connecton with the fair value of warrants issued to the lenders, the debt issuance costs incurred, and the obligaton to make a fnal payment.</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07" w:name="page108"/>
    <w:bookmarkEnd w:id="107"/>
    <w:p>
      <w:pPr>
        <w:spacing w:after="0"/>
        <w:rPr>
          <w:sz w:val="20"/>
          <w:szCs w:val="20"/>
          <w:color w:val="auto"/>
        </w:rPr>
      </w:pPr>
      <w:r>
        <w:rPr>
          <w:rFonts w:ascii="Calibri" w:cs="Calibri" w:eastAsia="Calibri" w:hAnsi="Calibri"/>
          <w:sz w:val="18"/>
          <w:szCs w:val="18"/>
          <w:b w:val="1"/>
          <w:bCs w:val="1"/>
          <w:color w:val="auto"/>
        </w:rPr>
        <w:t>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Comparison of the years ended December 31, 2024 and 2023</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our results of operatons for the years ended December 31, 2024 and 2023 (in thousands):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20"/>
        </w:trPr>
        <w:tc>
          <w:tcPr>
            <w:tcW w:w="4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80" w:type="dxa"/>
            <w:vAlign w:val="bottom"/>
            <w:gridSpan w:val="3"/>
          </w:tcPr>
          <w:p>
            <w:pPr>
              <w:jc w:val="right"/>
              <w:ind w:right="100"/>
              <w:spacing w:after="0"/>
              <w:rPr>
                <w:sz w:val="20"/>
                <w:szCs w:val="20"/>
                <w:color w:val="auto"/>
              </w:rPr>
            </w:pPr>
            <w:r>
              <w:rPr>
                <w:rFonts w:ascii="Calibri" w:cs="Calibri" w:eastAsia="Calibri" w:hAnsi="Calibri"/>
                <w:sz w:val="18"/>
                <w:szCs w:val="18"/>
                <w:b w:val="1"/>
                <w:bCs w:val="1"/>
                <w:color w:val="auto"/>
              </w:rPr>
              <w:t>Years Ended</w:t>
            </w: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jc w:val="right"/>
              <w:ind w:right="40"/>
              <w:spacing w:after="0" w:line="216" w:lineRule="exact"/>
              <w:rPr>
                <w:sz w:val="20"/>
                <w:szCs w:val="20"/>
                <w:color w:val="auto"/>
              </w:rPr>
            </w:pPr>
            <w:r>
              <w:rPr>
                <w:rFonts w:ascii="Calibri" w:cs="Calibri" w:eastAsia="Calibri" w:hAnsi="Calibri"/>
                <w:sz w:val="18"/>
                <w:szCs w:val="18"/>
                <w:b w:val="1"/>
                <w:bCs w:val="1"/>
                <w:color w:val="auto"/>
              </w:rPr>
              <w:t>December 31,</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vMerge w:val="restart"/>
          </w:tcPr>
          <w:p>
            <w:pPr>
              <w:jc w:val="right"/>
              <w:ind w:right="390"/>
              <w:spacing w:after="0"/>
              <w:rPr>
                <w:sz w:val="20"/>
                <w:szCs w:val="20"/>
                <w:color w:val="auto"/>
              </w:rPr>
            </w:pPr>
            <w:r>
              <w:rPr>
                <w:rFonts w:ascii="Calibri" w:cs="Calibri" w:eastAsia="Calibri" w:hAnsi="Calibri"/>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5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line="209" w:lineRule="exact"/>
              <w:rPr>
                <w:sz w:val="20"/>
                <w:szCs w:val="20"/>
                <w:color w:val="auto"/>
              </w:rPr>
            </w:pPr>
            <w:r>
              <w:rPr>
                <w:rFonts w:ascii="Calibri" w:cs="Calibri" w:eastAsia="Calibri" w:hAnsi="Calibri"/>
                <w:sz w:val="18"/>
                <w:szCs w:val="18"/>
                <w:b w:val="1"/>
                <w:bCs w:val="1"/>
                <w:color w:val="auto"/>
              </w:rPr>
              <w:t>2024</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0"/>
              <w:spacing w:after="0" w:line="209" w:lineRule="exact"/>
              <w:rPr>
                <w:sz w:val="20"/>
                <w:szCs w:val="20"/>
                <w:color w:val="auto"/>
              </w:rPr>
            </w:pPr>
            <w:r>
              <w:rPr>
                <w:rFonts w:ascii="Calibri" w:cs="Calibri" w:eastAsia="Calibri" w:hAnsi="Calibri"/>
                <w:sz w:val="18"/>
                <w:szCs w:val="18"/>
                <w:b w:val="1"/>
                <w:bCs w:val="1"/>
                <w:color w:val="auto"/>
              </w:rPr>
              <w:t>2023</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Product revenue, net</w:t>
            </w:r>
          </w:p>
        </w:tc>
        <w:tc>
          <w:tcPr>
            <w:tcW w:w="280" w:type="dxa"/>
            <w:vAlign w:val="bottom"/>
            <w:shd w:val="clear" w:color="auto" w:fill="CFF0FC"/>
          </w:tcPr>
          <w:p>
            <w:pPr>
              <w:jc w:val="right"/>
              <w:ind w:right="121"/>
              <w:spacing w:after="0"/>
              <w:rPr>
                <w:sz w:val="20"/>
                <w:szCs w:val="20"/>
                <w:color w:val="auto"/>
              </w:rPr>
            </w:pPr>
            <w:r>
              <w:rPr>
                <w:rFonts w:ascii="Calibri" w:cs="Calibri" w:eastAsia="Calibri" w:hAnsi="Calibri"/>
                <w:sz w:val="16"/>
                <w:szCs w:val="16"/>
                <w:color w:val="auto"/>
                <w:w w:val="73"/>
              </w:rPr>
              <w:t>$</w:t>
            </w:r>
          </w:p>
        </w:tc>
        <w:tc>
          <w:tcPr>
            <w:tcW w:w="110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55,252</w:t>
            </w:r>
          </w:p>
        </w:tc>
        <w:tc>
          <w:tcPr>
            <w:tcW w:w="580" w:type="dxa"/>
            <w:vAlign w:val="bottom"/>
            <w:gridSpan w:val="2"/>
            <w:shd w:val="clear" w:color="auto" w:fill="CFF0FC"/>
          </w:tcPr>
          <w:p>
            <w:pPr>
              <w:jc w:val="right"/>
              <w:ind w:right="340"/>
              <w:spacing w:after="0" w:line="210"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682</w:t>
            </w:r>
          </w:p>
        </w:tc>
        <w:tc>
          <w:tcPr>
            <w:tcW w:w="380" w:type="dxa"/>
            <w:vAlign w:val="bottom"/>
            <w:gridSpan w:val="2"/>
            <w:shd w:val="clear" w:color="auto" w:fill="CFF0FC"/>
          </w:tcPr>
          <w:p>
            <w:pPr>
              <w:jc w:val="right"/>
              <w:ind w:right="140"/>
              <w:spacing w:after="0" w:line="210"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54,570</w:t>
            </w:r>
          </w:p>
        </w:tc>
        <w:tc>
          <w:tcPr>
            <w:tcW w:w="0" w:type="dxa"/>
            <w:vAlign w:val="bottom"/>
          </w:tcPr>
          <w:p>
            <w:pPr>
              <w:spacing w:after="0"/>
              <w:rPr>
                <w:sz w:val="1"/>
                <w:szCs w:val="1"/>
                <w:color w:val="auto"/>
              </w:rPr>
            </w:pPr>
          </w:p>
        </w:tc>
      </w:tr>
      <w:tr>
        <w:trPr>
          <w:trHeight w:val="215"/>
        </w:trPr>
        <w:tc>
          <w:tcPr>
            <w:tcW w:w="4520" w:type="dxa"/>
            <w:vAlign w:val="bottom"/>
          </w:tcPr>
          <w:p>
            <w:pPr>
              <w:spacing w:after="0" w:line="215" w:lineRule="exact"/>
              <w:rPr>
                <w:sz w:val="20"/>
                <w:szCs w:val="20"/>
                <w:color w:val="auto"/>
              </w:rPr>
            </w:pPr>
            <w:r>
              <w:rPr>
                <w:rFonts w:ascii="Calibri" w:cs="Calibri" w:eastAsia="Calibri" w:hAnsi="Calibri"/>
                <w:sz w:val="18"/>
                <w:szCs w:val="18"/>
                <w:color w:val="auto"/>
              </w:rPr>
              <w:t>Cost of revenue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7,973</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167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7,806</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Gross proft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47,279</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515</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46,764</w:t>
            </w:r>
          </w:p>
        </w:tc>
        <w:tc>
          <w:tcPr>
            <w:tcW w:w="0" w:type="dxa"/>
            <w:vAlign w:val="bottom"/>
          </w:tcPr>
          <w:p>
            <w:pPr>
              <w:spacing w:after="0"/>
              <w:rPr>
                <w:sz w:val="1"/>
                <w:szCs w:val="1"/>
                <w:color w:val="auto"/>
              </w:rPr>
            </w:pPr>
          </w:p>
        </w:tc>
      </w:tr>
      <w:tr>
        <w:trPr>
          <w:trHeight w:val="215"/>
        </w:trPr>
        <w:tc>
          <w:tcPr>
            <w:tcW w:w="4520" w:type="dxa"/>
            <w:vAlign w:val="bottom"/>
          </w:tcPr>
          <w:p>
            <w:pPr>
              <w:spacing w:after="0" w:line="215" w:lineRule="exact"/>
              <w:rPr>
                <w:sz w:val="20"/>
                <w:szCs w:val="20"/>
                <w:color w:val="auto"/>
              </w:rPr>
            </w:pPr>
            <w:r>
              <w:rPr>
                <w:rFonts w:ascii="Calibri" w:cs="Calibri" w:eastAsia="Calibri" w:hAnsi="Calibri"/>
                <w:sz w:val="18"/>
                <w:szCs w:val="18"/>
                <w:color w:val="auto"/>
              </w:rPr>
              <w:t>Operatng expenses: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52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Research and development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34,082</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49,899</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(15,817 )</w:t>
            </w:r>
          </w:p>
        </w:tc>
        <w:tc>
          <w:tcPr>
            <w:tcW w:w="0" w:type="dxa"/>
            <w:vAlign w:val="bottom"/>
          </w:tcPr>
          <w:p>
            <w:pPr>
              <w:spacing w:after="0"/>
              <w:rPr>
                <w:sz w:val="1"/>
                <w:szCs w:val="1"/>
                <w:color w:val="auto"/>
              </w:rPr>
            </w:pPr>
          </w:p>
        </w:tc>
      </w:tr>
      <w:tr>
        <w:trPr>
          <w:trHeight w:val="215"/>
        </w:trPr>
        <w:tc>
          <w:tcPr>
            <w:tcW w:w="4520" w:type="dxa"/>
            <w:vAlign w:val="bottom"/>
          </w:tcPr>
          <w:p>
            <w:pPr>
              <w:ind w:left="10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290,664</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117,928</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172,736</w:t>
            </w:r>
          </w:p>
        </w:tc>
        <w:tc>
          <w:tcPr>
            <w:tcW w:w="0" w:type="dxa"/>
            <w:vAlign w:val="bottom"/>
          </w:tcPr>
          <w:p>
            <w:pPr>
              <w:spacing w:after="0"/>
              <w:rPr>
                <w:sz w:val="1"/>
                <w:szCs w:val="1"/>
                <w:color w:val="auto"/>
              </w:rPr>
            </w:pPr>
          </w:p>
        </w:tc>
      </w:tr>
      <w:tr>
        <w:trPr>
          <w:trHeight w:val="209"/>
        </w:trPr>
        <w:tc>
          <w:tcPr>
            <w:tcW w:w="452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 operatng expenses</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324,746</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167,827</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156,919</w:t>
            </w:r>
          </w:p>
        </w:tc>
        <w:tc>
          <w:tcPr>
            <w:tcW w:w="0" w:type="dxa"/>
            <w:vAlign w:val="bottom"/>
          </w:tcPr>
          <w:p>
            <w:pPr>
              <w:spacing w:after="0"/>
              <w:rPr>
                <w:sz w:val="1"/>
                <w:szCs w:val="1"/>
                <w:color w:val="auto"/>
              </w:rPr>
            </w:pPr>
          </w:p>
        </w:tc>
      </w:tr>
      <w:tr>
        <w:trPr>
          <w:trHeight w:val="209"/>
        </w:trPr>
        <w:tc>
          <w:tcPr>
            <w:tcW w:w="4520" w:type="dxa"/>
            <w:vAlign w:val="bottom"/>
          </w:tcPr>
          <w:p>
            <w:pPr>
              <w:spacing w:after="0" w:line="209" w:lineRule="exact"/>
              <w:rPr>
                <w:sz w:val="20"/>
                <w:szCs w:val="20"/>
                <w:color w:val="auto"/>
              </w:rPr>
            </w:pPr>
            <w:r>
              <w:rPr>
                <w:rFonts w:ascii="Calibri" w:cs="Calibri" w:eastAsia="Calibri" w:hAnsi="Calibri"/>
                <w:sz w:val="18"/>
                <w:szCs w:val="18"/>
                <w:color w:val="auto"/>
              </w:rPr>
              <w:t>Loss from operatons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(277,467 )</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(167,312 )</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(110,155 )</w:t>
            </w: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Other income (expense):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20" w:type="dxa"/>
            <w:vAlign w:val="bottom"/>
          </w:tcPr>
          <w:p>
            <w:pPr>
              <w:ind w:left="100"/>
              <w:spacing w:after="0" w:line="215" w:lineRule="exact"/>
              <w:rPr>
                <w:sz w:val="20"/>
                <w:szCs w:val="20"/>
                <w:color w:val="auto"/>
              </w:rPr>
            </w:pPr>
            <w:r>
              <w:rPr>
                <w:rFonts w:ascii="Calibri" w:cs="Calibri" w:eastAsia="Calibri" w:hAnsi="Calibri"/>
                <w:sz w:val="18"/>
                <w:szCs w:val="18"/>
                <w:color w:val="auto"/>
              </w:rPr>
              <w:t>Interest income</w:t>
            </w:r>
          </w:p>
        </w:tc>
        <w:tc>
          <w:tcPr>
            <w:tcW w:w="280" w:type="dxa"/>
            <w:vAlign w:val="bottom"/>
          </w:tcPr>
          <w:p>
            <w:pPr>
              <w:spacing w:after="0"/>
              <w:rPr>
                <w:sz w:val="18"/>
                <w:szCs w:val="18"/>
                <w:color w:val="auto"/>
              </w:rPr>
            </w:pPr>
          </w:p>
        </w:tc>
        <w:tc>
          <w:tcPr>
            <w:tcW w:w="11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15,158</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7,876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7,282</w:t>
            </w:r>
          </w:p>
        </w:tc>
        <w:tc>
          <w:tcPr>
            <w:tcW w:w="0" w:type="dxa"/>
            <w:vAlign w:val="bottom"/>
          </w:tcPr>
          <w:p>
            <w:pPr>
              <w:spacing w:after="0"/>
              <w:rPr>
                <w:sz w:val="1"/>
                <w:szCs w:val="1"/>
                <w:color w:val="auto"/>
              </w:rPr>
            </w:pPr>
          </w:p>
        </w:tc>
      </w:tr>
      <w:tr>
        <w:trPr>
          <w:trHeight w:val="217"/>
        </w:trPr>
        <w:tc>
          <w:tcPr>
            <w:tcW w:w="452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Interest expense</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(72,009 )</w:t>
            </w:r>
          </w:p>
        </w:tc>
        <w:tc>
          <w:tcPr>
            <w:tcW w:w="14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(41,968 )</w:t>
            </w:r>
          </w:p>
        </w:tc>
        <w:tc>
          <w:tcPr>
            <w:tcW w:w="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(30,041 )</w:t>
            </w:r>
          </w:p>
        </w:tc>
        <w:tc>
          <w:tcPr>
            <w:tcW w:w="0" w:type="dxa"/>
            <w:vAlign w:val="bottom"/>
          </w:tcPr>
          <w:p>
            <w:pPr>
              <w:spacing w:after="0"/>
              <w:rPr>
                <w:sz w:val="1"/>
                <w:szCs w:val="1"/>
                <w:color w:val="auto"/>
              </w:rPr>
            </w:pPr>
          </w:p>
        </w:tc>
      </w:tr>
      <w:tr>
        <w:trPr>
          <w:trHeight w:val="215"/>
        </w:trPr>
        <w:tc>
          <w:tcPr>
            <w:tcW w:w="4520" w:type="dxa"/>
            <w:vAlign w:val="bottom"/>
          </w:tcPr>
          <w:p>
            <w:pPr>
              <w:ind w:left="100"/>
              <w:spacing w:after="0" w:line="215" w:lineRule="exact"/>
              <w:rPr>
                <w:sz w:val="20"/>
                <w:szCs w:val="20"/>
                <w:color w:val="auto"/>
              </w:rPr>
            </w:pPr>
            <w:r>
              <w:rPr>
                <w:rFonts w:ascii="Calibri" w:cs="Calibri" w:eastAsia="Calibri" w:hAnsi="Calibri"/>
                <w:sz w:val="18"/>
                <w:szCs w:val="18"/>
                <w:color w:val="auto"/>
              </w:rPr>
              <w:t>Other expense, net</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(8 )</w:t>
            </w: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(188 )</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180</w:t>
            </w:r>
          </w:p>
        </w:tc>
        <w:tc>
          <w:tcPr>
            <w:tcW w:w="0" w:type="dxa"/>
            <w:vAlign w:val="bottom"/>
          </w:tcPr>
          <w:p>
            <w:pPr>
              <w:spacing w:after="0"/>
              <w:rPr>
                <w:sz w:val="1"/>
                <w:szCs w:val="1"/>
                <w:color w:val="auto"/>
              </w:rPr>
            </w:pPr>
          </w:p>
        </w:tc>
      </w:tr>
      <w:tr>
        <w:trPr>
          <w:trHeight w:val="210"/>
        </w:trPr>
        <w:tc>
          <w:tcPr>
            <w:tcW w:w="452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 other expense</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(56,859 )</w:t>
            </w:r>
          </w:p>
        </w:tc>
        <w:tc>
          <w:tcPr>
            <w:tcW w:w="140" w:type="dxa"/>
            <w:vAlign w:val="bottom"/>
            <w:tcBorders>
              <w:bottom w:val="single" w:sz="8" w:color="CFF0FC"/>
            </w:tcBorders>
            <w:shd w:val="clear" w:color="auto" w:fill="CFF0FC"/>
          </w:tcPr>
          <w:p>
            <w:pPr>
              <w:spacing w:after="0"/>
              <w:rPr>
                <w:sz w:val="18"/>
                <w:szCs w:val="18"/>
                <w:color w:val="auto"/>
              </w:rPr>
            </w:pPr>
          </w:p>
        </w:tc>
        <w:tc>
          <w:tcPr>
            <w:tcW w:w="4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(34,280 )</w:t>
            </w:r>
          </w:p>
        </w:tc>
        <w:tc>
          <w:tcPr>
            <w:tcW w:w="1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(22,579 )</w:t>
            </w:r>
          </w:p>
        </w:tc>
        <w:tc>
          <w:tcPr>
            <w:tcW w:w="0" w:type="dxa"/>
            <w:vAlign w:val="bottom"/>
          </w:tcPr>
          <w:p>
            <w:pPr>
              <w:spacing w:after="0"/>
              <w:rPr>
                <w:sz w:val="1"/>
                <w:szCs w:val="1"/>
                <w:color w:val="auto"/>
              </w:rPr>
            </w:pPr>
          </w:p>
        </w:tc>
      </w:tr>
      <w:tr>
        <w:trPr>
          <w:trHeight w:val="209"/>
        </w:trPr>
        <w:tc>
          <w:tcPr>
            <w:tcW w:w="4520" w:type="dxa"/>
            <w:vAlign w:val="bottom"/>
          </w:tcPr>
          <w:p>
            <w:pPr>
              <w:spacing w:after="0" w:line="209" w:lineRule="exact"/>
              <w:rPr>
                <w:sz w:val="20"/>
                <w:szCs w:val="20"/>
                <w:color w:val="auto"/>
              </w:rPr>
            </w:pPr>
            <w:r>
              <w:rPr>
                <w:rFonts w:ascii="Calibri" w:cs="Calibri" w:eastAsia="Calibri" w:hAnsi="Calibri"/>
                <w:sz w:val="18"/>
                <w:szCs w:val="18"/>
                <w:color w:val="auto"/>
              </w:rPr>
              <w:t>Net loss</w:t>
            </w:r>
          </w:p>
        </w:tc>
        <w:tc>
          <w:tcPr>
            <w:tcW w:w="280" w:type="dxa"/>
            <w:vAlign w:val="bottom"/>
          </w:tcPr>
          <w:p>
            <w:pPr>
              <w:jc w:val="right"/>
              <w:ind w:right="121"/>
              <w:spacing w:after="0"/>
              <w:rPr>
                <w:sz w:val="20"/>
                <w:szCs w:val="20"/>
                <w:color w:val="auto"/>
              </w:rPr>
            </w:pPr>
            <w:r>
              <w:rPr>
                <w:rFonts w:ascii="Calibri" w:cs="Calibri" w:eastAsia="Calibri" w:hAnsi="Calibri"/>
                <w:sz w:val="16"/>
                <w:szCs w:val="16"/>
                <w:color w:val="auto"/>
                <w:w w:val="73"/>
              </w:rPr>
              <w:t>$</w:t>
            </w:r>
          </w:p>
        </w:tc>
        <w:tc>
          <w:tcPr>
            <w:tcW w:w="1100" w:type="dxa"/>
            <w:vAlign w:val="bottom"/>
          </w:tcPr>
          <w:p>
            <w:pPr>
              <w:jc w:val="right"/>
              <w:spacing w:after="0" w:line="209" w:lineRule="exact"/>
              <w:rPr>
                <w:sz w:val="20"/>
                <w:szCs w:val="20"/>
                <w:color w:val="auto"/>
              </w:rPr>
            </w:pPr>
            <w:r>
              <w:rPr>
                <w:rFonts w:ascii="Calibri" w:cs="Calibri" w:eastAsia="Calibri" w:hAnsi="Calibri"/>
                <w:sz w:val="18"/>
                <w:szCs w:val="18"/>
                <w:color w:val="auto"/>
              </w:rPr>
              <w:t>(334,326 )</w:t>
            </w:r>
          </w:p>
        </w:tc>
        <w:tc>
          <w:tcPr>
            <w:tcW w:w="580" w:type="dxa"/>
            <w:vAlign w:val="bottom"/>
            <w:gridSpan w:val="2"/>
          </w:tcPr>
          <w:p>
            <w:pPr>
              <w:jc w:val="right"/>
              <w:ind w:right="340"/>
              <w:spacing w:after="0" w:line="209"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09" w:lineRule="exact"/>
              <w:rPr>
                <w:sz w:val="20"/>
                <w:szCs w:val="20"/>
                <w:color w:val="auto"/>
              </w:rPr>
            </w:pPr>
            <w:r>
              <w:rPr>
                <w:rFonts w:ascii="Calibri" w:cs="Calibri" w:eastAsia="Calibri" w:hAnsi="Calibri"/>
                <w:sz w:val="18"/>
                <w:szCs w:val="18"/>
                <w:color w:val="auto"/>
              </w:rPr>
              <w:t>(201,592 )</w:t>
            </w:r>
          </w:p>
        </w:tc>
        <w:tc>
          <w:tcPr>
            <w:tcW w:w="380" w:type="dxa"/>
            <w:vAlign w:val="bottom"/>
            <w:gridSpan w:val="2"/>
          </w:tcPr>
          <w:p>
            <w:pPr>
              <w:jc w:val="right"/>
              <w:ind w:right="14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09" w:lineRule="exact"/>
              <w:rPr>
                <w:sz w:val="20"/>
                <w:szCs w:val="20"/>
                <w:color w:val="auto"/>
              </w:rPr>
            </w:pPr>
            <w:r>
              <w:rPr>
                <w:rFonts w:ascii="Calibri" w:cs="Calibri" w:eastAsia="Calibri" w:hAnsi="Calibri"/>
                <w:sz w:val="18"/>
                <w:szCs w:val="18"/>
                <w:color w:val="auto"/>
              </w:rPr>
              <w:t>(132,734 )</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-1019810</wp:posOffset>
            </wp:positionV>
            <wp:extent cx="9461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-1019810</wp:posOffset>
            </wp:positionV>
            <wp:extent cx="939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-170815</wp:posOffset>
            </wp:positionV>
            <wp:extent cx="946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-170815</wp:posOffset>
            </wp:positionV>
            <wp:extent cx="939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i w:val="1"/>
          <w:iCs w:val="1"/>
          <w:color w:val="auto"/>
        </w:rPr>
        <w:t xml:space="preserve">Revenue. </w:t>
      </w:r>
      <w:r>
        <w:rPr>
          <w:rFonts w:ascii="Calibri" w:cs="Calibri" w:eastAsia="Calibri" w:hAnsi="Calibri"/>
          <w:sz w:val="18"/>
          <w:szCs w:val="18"/>
          <w:color w:val="auto"/>
        </w:rPr>
        <w:t>Product revenues were $55.3 million and $0.7 million for the years ended December 31, 2024 and 2023, respectvely, related to sales of</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VOQUEZNA, VOQUEZNA TRIPLE PAK, and VOQUEZNA DUAL PAK which was launched during the fourth quarter of 2023.</w:t>
      </w:r>
    </w:p>
    <w:p>
      <w:pPr>
        <w:spacing w:after="0" w:line="21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i w:val="1"/>
          <w:iCs w:val="1"/>
          <w:color w:val="auto"/>
        </w:rPr>
        <w:t xml:space="preserve">Cost of Revenue. </w:t>
      </w:r>
      <w:r>
        <w:rPr>
          <w:rFonts w:ascii="Calibri" w:cs="Calibri" w:eastAsia="Calibri" w:hAnsi="Calibri"/>
          <w:sz w:val="18"/>
          <w:szCs w:val="18"/>
          <w:color w:val="auto"/>
        </w:rPr>
        <w:t>Cost of revenue was $8.0 million and $0.2 million for the years ended December 31, 2024 and 2023, respectvely. In periods prior to</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receiving FDA approval for VOQUEZNA, we recognized inventory and related costs associated with the manufacture of VOQUEZNA as research and development expense and as such, the cost of revenue and related gross profts are not necessarily indicatve of future costs of revenue and gross proft. Therefore, the manufacturing costs related to the inventory purchased before FDA approval were already expensed in a prior period and are therefore excluded from the cost of revenue for the year ended December 31, 2024. These previously expensed costs were not material.</w:t>
      </w:r>
    </w:p>
    <w:p>
      <w:pPr>
        <w:spacing w:after="0" w:line="193"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i w:val="1"/>
          <w:iCs w:val="1"/>
          <w:color w:val="auto"/>
        </w:rPr>
        <w:t xml:space="preserve">Research and Development Expenses. </w:t>
      </w:r>
      <w:r>
        <w:rPr>
          <w:rFonts w:ascii="Calibri" w:cs="Calibri" w:eastAsia="Calibri" w:hAnsi="Calibri"/>
          <w:sz w:val="18"/>
          <w:szCs w:val="18"/>
          <w:color w:val="auto"/>
        </w:rPr>
        <w:t>Research and development expenses were $34.1 million and $49.9 million for the years ended December 31,</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2024 and 2023, respectvely. The decrease of $15.8 million consisted of reductons of $5.8 million related to lower stock-based compensaton expense, $5.0 million of regulatory and clinical study related expenses due to the wrapping up of our PHALCON-NERD-301 Phase 3 daily dosing study, $4.3 million of lower CMC costs, and $0.7 million related to lower consultng, professional and other costs.</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i w:val="1"/>
          <w:iCs w:val="1"/>
          <w:color w:val="auto"/>
        </w:rPr>
        <w:t xml:space="preserve">Selling, General and Administratve Expenses. </w:t>
      </w:r>
      <w:r>
        <w:rPr>
          <w:rFonts w:ascii="Calibri" w:cs="Calibri" w:eastAsia="Calibri" w:hAnsi="Calibri"/>
          <w:sz w:val="18"/>
          <w:szCs w:val="18"/>
          <w:color w:val="auto"/>
        </w:rPr>
        <w:t>Selling, general and administratve expenses were $290.7 million and $117.9 million for the years ended</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December 31, 2024 and 2023, respectvely. The increase of $172.8 million was due to increases of $109.4 million in commercial expenses related to the launch of VOQUEZNA product in late 2023, which includes $48.1 million of external project spend and $61.3 million in advertsing and promotonal expenses in support of our commercial launch of VOQUEZNA products, $55.5 million increase in personnel-related expenses primarily due to the hiring of the sales force in late 2023 and in early 2024, and an increase of $7.9 million in professional services and other consultng costs.</w:t>
      </w:r>
    </w:p>
    <w:p>
      <w:pPr>
        <w:spacing w:after="0" w:line="180"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i w:val="1"/>
          <w:iCs w:val="1"/>
          <w:color w:val="auto"/>
        </w:rPr>
        <w:t xml:space="preserve">Other Income (Expense). </w:t>
      </w:r>
      <w:r>
        <w:rPr>
          <w:rFonts w:ascii="Calibri" w:cs="Calibri" w:eastAsia="Calibri" w:hAnsi="Calibri"/>
          <w:sz w:val="18"/>
          <w:szCs w:val="18"/>
          <w:color w:val="auto"/>
        </w:rPr>
        <w:t>Other expense of $56.9 million for the year ended December 31, 2024 consisted of $72.0 million of interest expense under</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the Loan Agreement and Revenue Interest Financing Agreement, partally ofset by $15.1 million of interest income related to cash held in money market funds. Other expense of $34.3 million for the year ended December 31, 2023 consisted of $42.0 million of interest expense under the Loan Agreement and Revenue Interest Financing Agreement, partally ofset by $7.9 million of interest income related to cash held in money market funds. Interest expense increased due to a higher debt balance under the Loan Agreement as well as a higher liability related to our Revenue Interest Financing Agreement versus the prior period, partally ofset by higher interest income due to higher rates and our increased cash positon.</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1" w:right="379" w:bottom="1440" w:gutter="0" w:footer="0" w:header="0"/>
        </w:sectPr>
      </w:pPr>
    </w:p>
    <w:bookmarkStart w:id="108" w:name="page109"/>
    <w:bookmarkEnd w:id="108"/>
    <w:p>
      <w:pPr>
        <w:spacing w:after="0"/>
        <w:rPr>
          <w:sz w:val="20"/>
          <w:szCs w:val="20"/>
          <w:color w:val="auto"/>
        </w:rPr>
      </w:pPr>
      <w:r>
        <w:rPr>
          <w:rFonts w:ascii="Calibri" w:cs="Calibri" w:eastAsia="Calibri" w:hAnsi="Calibri"/>
          <w:sz w:val="18"/>
          <w:szCs w:val="18"/>
          <w:b w:val="1"/>
          <w:bCs w:val="1"/>
          <w:color w:val="auto"/>
        </w:rPr>
        <w:t>Liquidity and Capital Resources</w:t>
      </w:r>
    </w:p>
    <w:p>
      <w:pPr>
        <w:spacing w:after="0" w:line="177" w:lineRule="exact"/>
        <w:rPr>
          <w:sz w:val="20"/>
          <w:szCs w:val="20"/>
          <w:color w:val="auto"/>
        </w:rPr>
      </w:pPr>
    </w:p>
    <w:p>
      <w:pPr>
        <w:ind w:right="260" w:firstLine="509"/>
        <w:spacing w:after="0" w:line="235" w:lineRule="auto"/>
        <w:rPr>
          <w:sz w:val="20"/>
          <w:szCs w:val="20"/>
          <w:color w:val="auto"/>
        </w:rPr>
      </w:pPr>
      <w:r>
        <w:rPr>
          <w:rFonts w:ascii="Calibri" w:cs="Calibri" w:eastAsia="Calibri" w:hAnsi="Calibri"/>
          <w:sz w:val="18"/>
          <w:szCs w:val="18"/>
          <w:color w:val="auto"/>
        </w:rPr>
        <w:t>We have incurred net losses and negatve cash fows from operatons since our incepton and antcipate we will contnue to incur net losses for the foreseeable future. As of December 31, 2024, we had cash and cash equivalents of $297.3 million.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Loan Agreement with Hercules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On September 17, 2021, or the Closing Date, we entered into the Loan Agreement with Hercules (in such capacity, the Agent or Hercules), as administratve agent and collateral agent and as a lender and the other fnancial insttutons that from tme to tme become partes to the Loan Agreement as lenders (collectvely, the Lenders).</w:t>
      </w:r>
    </w:p>
    <w:p>
      <w:pPr>
        <w:spacing w:after="0" w:line="178"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Loan Agreement provides for term loans in an aggregate principal amount of up to $200 million, or the Term Loan, under multple tranches. The tranches consist of (i) a frst tranche consistng of term loans in an aggregate principal amount of $100 million, all of which was funded on the Closing Date, or the First Advance, (ii) a second tranche consistng of up to an additonal $50 million, (iii) a third and fourth tranches consistng of an additonal total $50 million, which became available to us in May 2022.</w:t>
      </w:r>
    </w:p>
    <w:p>
      <w:pPr>
        <w:spacing w:after="0" w:line="219"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On September 27, 2022, we entered into an amendment to the Loan Agreement, or the Second Loan Amendment, pursuant to which the date the second tranche of funding of $50 million will remain available to us has been moved untl May 15, 2023, rather than December 15, 2022.</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9, 2023, we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efectve date of the Performance Covenants was amended to provide an opton to extend the covenant trigger date to May 15, 2024, subject to the achievement of the FDA approval of vonoprazan for Erosive GERD or the EE Milestone, prior to February 15, 2024, and (iv) the warrant agreement with Hercules was amended as described below. On November 1, 2023, the EE Milestone was achieved and the covenant trigger date was extended to May 15, 2024. In connecton with the Third Loan Amendment, a tranche extension amendment fee of $150,000 and a covenant extension amendment fee of $100,000 was paid to the Agent. These fees have been recorded as debt discount and are being amortzed to interest expense using the efectve interest method over the remaining term of the Term Loan.</w:t>
      </w:r>
    </w:p>
    <w:p>
      <w:pPr>
        <w:spacing w:after="0" w:line="197" w:lineRule="exact"/>
        <w:rPr>
          <w:sz w:val="20"/>
          <w:szCs w:val="20"/>
          <w:color w:val="auto"/>
        </w:rPr>
      </w:pPr>
    </w:p>
    <w:p>
      <w:pPr>
        <w:ind w:right="20" w:firstLine="509"/>
        <w:spacing w:after="0" w:line="249" w:lineRule="auto"/>
        <w:rPr>
          <w:sz w:val="20"/>
          <w:szCs w:val="20"/>
          <w:color w:val="auto"/>
        </w:rPr>
      </w:pPr>
      <w:r>
        <w:rPr>
          <w:rFonts w:ascii="Calibri" w:cs="Calibri" w:eastAsia="Calibri" w:hAnsi="Calibri"/>
          <w:sz w:val="17"/>
          <w:szCs w:val="17"/>
          <w:color w:val="auto"/>
        </w:rPr>
        <w:t>On December 14, 2023, we entered into a Fourth Amendment to Loan and Security Agreement, or the Fourth Loan Amendment, with the lenders, which, among other things, (i) increases the aggregate principal amount of the term loans from $200 million to $300 million; (ii) provides for the possibility of accessing the $200 million commitment through fve additonal tranches referred to as tranches 2 through 6, which are available subject to certain milestones and conditons: (a) Tranche 2: $50 million, $40 million of which was funded on December 14, 2023, available through March 15, 2024, (b) Tranche</w:t>
      </w:r>
    </w:p>
    <w:p>
      <w:pPr>
        <w:spacing w:after="0" w:line="3" w:lineRule="exact"/>
        <w:rPr>
          <w:sz w:val="20"/>
          <w:szCs w:val="20"/>
          <w:color w:val="auto"/>
        </w:rPr>
      </w:pPr>
    </w:p>
    <w:p>
      <w:pPr>
        <w:ind w:right="20" w:firstLine="8"/>
        <w:spacing w:after="0" w:line="235" w:lineRule="auto"/>
        <w:tabs>
          <w:tab w:leader="none" w:pos="176" w:val="left"/>
        </w:tabs>
        <w:numPr>
          <w:ilvl w:val="0"/>
          <w:numId w:val="55"/>
        </w:numPr>
        <w:rPr>
          <w:rFonts w:ascii="Calibri" w:cs="Calibri" w:eastAsia="Calibri" w:hAnsi="Calibri"/>
          <w:sz w:val="18"/>
          <w:szCs w:val="18"/>
          <w:color w:val="auto"/>
        </w:rPr>
      </w:pPr>
      <w:r>
        <w:rPr>
          <w:rFonts w:ascii="Calibri" w:cs="Calibri" w:eastAsia="Calibri" w:hAnsi="Calibri"/>
          <w:sz w:val="18"/>
          <w:szCs w:val="18"/>
          <w:color w:val="auto"/>
        </w:rPr>
        <w:t>$25 million available through June 15, 2024, (c) Tranche 4: $25 million available through December 15, 2024, (d) Tranche 5: $50 million available, subject to the achievement of a specifed revenue milestone, through June 30, 2025, and (e) Tranche 6: $50 million available, subject to the achievement of a specifed revenue milestone, through December 31, 2025; (iii) extends the interest only period and the maturity date from October 2026 to December 2027, (iv) reduces the cash interest rate from 10.75% (foatng annual rate equal to the greater of (a) 5.50% and (b) the Prime Rate (as reported in the Wall Street Journal) plus 2.25% to 9.85% (foatng rate based on the greater of (a) 9.85% or (b) US WSJ Prime + 1.35%), provided that the cash interest rate shall be capped at 10.35% and upon us achieving the certain milestones, the cash interest shall be decreased by 0.35%, and (v) decreases the payment-in-kind interest rate from 3.35% per annum to 2.15% per annum. In connecton with the Fourth Loan Amendment, an amendment fee of $250,000 was paid to the Agent and was recorded as a debt discount and being amortzed to interest expense using the efectve interest method over the remaining term of the Term Loan.</w:t>
      </w:r>
    </w:p>
    <w:p>
      <w:pPr>
        <w:spacing w:after="0" w:line="183"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On March 15, 2024, we drew down the remaining $10 million available under the Second Tranche. On June 14, 2024, we drew down the $25 million available under the Third Tranche. Additonally, on December 14, 2024, we drew down the $25 million available under the Fourth Tranche.</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We may make payments of interest</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09" w:name="page110"/>
    <w:bookmarkEnd w:id="109"/>
    <w:p>
      <w:pPr>
        <w:ind w:right="100"/>
        <w:spacing w:after="0" w:line="235" w:lineRule="auto"/>
        <w:rPr>
          <w:sz w:val="20"/>
          <w:szCs w:val="20"/>
          <w:color w:val="auto"/>
        </w:rPr>
      </w:pPr>
      <w:r>
        <w:rPr>
          <w:rFonts w:ascii="Calibri" w:cs="Calibri" w:eastAsia="Calibri" w:hAnsi="Calibri"/>
          <w:sz w:val="18"/>
          <w:szCs w:val="18"/>
          <w:color w:val="auto"/>
        </w:rPr>
        <w:t>only through the Maturity Date. Afer the interest-only period, the principal balance and related interest will be required to be repaid in full on the Maturity Date.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we are obligated to pay a fnal payment fee of 7.50% of the original principal amount of amounts actually advanced under the Term Loan, or each a Term Loan Advance and together, the Term Loan Advances. In connecton with the Fourth Loan Amendment, the fnal payment fee was amended to be $1 million plus 3.00% of any future tranche drawdowns under the agreement, due upon fnal maturity. Additonally, the inital fnal payment fee for the frst term Loan advance was amended to become payable on October 1, 2026. As of December 31, 2024, the aggregate $11.5 million of fnal payment fees includes the frst Term Loan Advance of $7.5 million, $2.5 million for the second Term Loan Advance, $0.8 million for the third Term Loan Advance, and $0.7 million for the fourth Term Loan Advance have been recorded within other long-term liabilites.</w:t>
      </w:r>
    </w:p>
    <w:p>
      <w:pPr>
        <w:spacing w:after="0" w:line="181"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Fourth Loan Amendment, we may elect to prepay all or a porton of the Term Loan Advances prior to maturity, subject to a prepayment fee of up to 1.25% of the then outstanding principal balance of the Term Loan Advances being prepaid when such prepayment occurs prior to October 1, 2026, or 0.50% if such prepayment occurs on or afer October 1, 2026. Afer repayment, no Term Loan amounts may be borrowed again.</w:t>
      </w:r>
    </w:p>
    <w:p>
      <w:pPr>
        <w:spacing w:after="0" w:line="192" w:lineRule="exact"/>
        <w:rPr>
          <w:sz w:val="20"/>
          <w:szCs w:val="20"/>
          <w:color w:val="auto"/>
        </w:rPr>
      </w:pPr>
    </w:p>
    <w:p>
      <w:pPr>
        <w:ind w:right="580" w:firstLine="509"/>
        <w:spacing w:after="0" w:line="235" w:lineRule="auto"/>
        <w:rPr>
          <w:sz w:val="20"/>
          <w:szCs w:val="20"/>
          <w:color w:val="auto"/>
        </w:rPr>
      </w:pPr>
      <w:r>
        <w:rPr>
          <w:rFonts w:ascii="Calibri" w:cs="Calibri" w:eastAsia="Calibri" w:hAnsi="Calibri"/>
          <w:sz w:val="18"/>
          <w:szCs w:val="18"/>
          <w:color w:val="auto"/>
        </w:rPr>
        <w:t>The Loan Agreement contains customary closing fees, prepayment fees and provisions, events of default, and representatons, warrantes and covenants, including fnancial covenants. The fnancial covenants under the Fourth Loan Amendment include (i) a minimum cash covenant and (ii) a performance covenant as follows:</w:t>
      </w:r>
    </w:p>
    <w:p>
      <w:pPr>
        <w:spacing w:after="0" w:line="111" w:lineRule="exact"/>
        <w:rPr>
          <w:sz w:val="20"/>
          <w:szCs w:val="20"/>
          <w:color w:val="auto"/>
        </w:rPr>
      </w:pPr>
    </w:p>
    <w:p>
      <w:pPr>
        <w:ind w:left="1020" w:right="160" w:hanging="503"/>
        <w:spacing w:after="0" w:line="235" w:lineRule="auto"/>
        <w:tabs>
          <w:tab w:leader="none" w:pos="10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Minimum cash covenant - We must maintain a minimum cash balance of 20% of the outstanding principal balance at all tmes. The minimum cash balance may be increased to 35% or 50% under performance covenant (b) below if the performance covenants (a) or (c) are not met beginning September 30, 2024 and all tmes thereafer.</w:t>
      </w:r>
    </w:p>
    <w:p>
      <w:pPr>
        <w:spacing w:after="0" w:line="105" w:lineRule="exact"/>
        <w:rPr>
          <w:rFonts w:ascii="Calibri" w:cs="Calibri" w:eastAsia="Calibri" w:hAnsi="Calibri"/>
          <w:sz w:val="18"/>
          <w:szCs w:val="18"/>
          <w:color w:val="auto"/>
        </w:rPr>
      </w:pPr>
    </w:p>
    <w:p>
      <w:pPr>
        <w:ind w:left="1020" w:hanging="503"/>
        <w:spacing w:after="0"/>
        <w:tabs>
          <w:tab w:leader="none" w:pos="1020" w:val="left"/>
        </w:tabs>
        <w:numPr>
          <w:ilvl w:val="0"/>
          <w:numId w:val="56"/>
        </w:numPr>
        <w:rPr>
          <w:rFonts w:ascii="Calibri" w:cs="Calibri" w:eastAsia="Calibri" w:hAnsi="Calibri"/>
          <w:sz w:val="18"/>
          <w:szCs w:val="18"/>
          <w:color w:val="auto"/>
        </w:rPr>
      </w:pPr>
      <w:r>
        <w:rPr>
          <w:rFonts w:ascii="Calibri" w:cs="Calibri" w:eastAsia="Calibri" w:hAnsi="Calibri"/>
          <w:sz w:val="18"/>
          <w:szCs w:val="18"/>
          <w:color w:val="auto"/>
        </w:rPr>
        <w:t>Performance covenant- Beginning September 30, 2024 and all tmes there afer we must satsfy any one of the following:</w:t>
      </w:r>
    </w:p>
    <w:p>
      <w:pPr>
        <w:spacing w:after="0" w:line="104" w:lineRule="exact"/>
        <w:rPr>
          <w:rFonts w:ascii="Calibri" w:cs="Calibri" w:eastAsia="Calibri" w:hAnsi="Calibri"/>
          <w:sz w:val="18"/>
          <w:szCs w:val="18"/>
          <w:color w:val="auto"/>
        </w:rPr>
      </w:pPr>
    </w:p>
    <w:p>
      <w:pPr>
        <w:ind w:left="1540" w:hanging="514"/>
        <w:spacing w:after="0"/>
        <w:tabs>
          <w:tab w:leader="none" w:pos="1540" w:val="left"/>
        </w:tabs>
        <w:numPr>
          <w:ilvl w:val="1"/>
          <w:numId w:val="56"/>
        </w:numPr>
        <w:rPr>
          <w:rFonts w:ascii="Calibri" w:cs="Calibri" w:eastAsia="Calibri" w:hAnsi="Calibri"/>
          <w:sz w:val="18"/>
          <w:szCs w:val="18"/>
          <w:color w:val="auto"/>
        </w:rPr>
      </w:pPr>
      <w:r>
        <w:rPr>
          <w:rFonts w:ascii="Calibri" w:cs="Calibri" w:eastAsia="Calibri" w:hAnsi="Calibri"/>
          <w:sz w:val="18"/>
          <w:szCs w:val="18"/>
          <w:color w:val="auto"/>
        </w:rPr>
        <w:t>Market capitalizaton exceeding $900 million;</w:t>
      </w:r>
    </w:p>
    <w:p>
      <w:pPr>
        <w:spacing w:after="0" w:line="109" w:lineRule="exact"/>
        <w:rPr>
          <w:rFonts w:ascii="Calibri" w:cs="Calibri" w:eastAsia="Calibri" w:hAnsi="Calibri"/>
          <w:sz w:val="18"/>
          <w:szCs w:val="18"/>
          <w:color w:val="auto"/>
        </w:rPr>
      </w:pPr>
    </w:p>
    <w:p>
      <w:pPr>
        <w:ind w:left="1540" w:right="200" w:hanging="514"/>
        <w:spacing w:after="0" w:line="235" w:lineRule="auto"/>
        <w:tabs>
          <w:tab w:leader="none" w:pos="1540" w:val="left"/>
        </w:tabs>
        <w:numPr>
          <w:ilvl w:val="1"/>
          <w:numId w:val="56"/>
        </w:numPr>
        <w:rPr>
          <w:rFonts w:ascii="Calibri" w:cs="Calibri" w:eastAsia="Calibri" w:hAnsi="Calibri"/>
          <w:sz w:val="18"/>
          <w:szCs w:val="18"/>
          <w:color w:val="auto"/>
        </w:rPr>
      </w:pPr>
      <w:r>
        <w:rPr>
          <w:rFonts w:ascii="Calibri" w:cs="Calibri" w:eastAsia="Calibri" w:hAnsi="Calibri"/>
          <w:sz w:val="18"/>
          <w:szCs w:val="18"/>
          <w:color w:val="auto"/>
        </w:rPr>
        <w:t>Minimum cash balance exceeding (x) outstanding principal amount of term loans, multplied by (y) (A) 50%, prior to achieving trailing three months net product revenue of greater than $35 million, and (B) 35% thereafer; or</w:t>
      </w:r>
    </w:p>
    <w:p>
      <w:pPr>
        <w:spacing w:after="0" w:line="109" w:lineRule="exact"/>
        <w:rPr>
          <w:rFonts w:ascii="Calibri" w:cs="Calibri" w:eastAsia="Calibri" w:hAnsi="Calibri"/>
          <w:sz w:val="18"/>
          <w:szCs w:val="18"/>
          <w:color w:val="auto"/>
        </w:rPr>
      </w:pPr>
    </w:p>
    <w:p>
      <w:pPr>
        <w:ind w:left="1540" w:right="220" w:hanging="514"/>
        <w:spacing w:after="0" w:line="235" w:lineRule="auto"/>
        <w:tabs>
          <w:tab w:leader="none" w:pos="1540" w:val="left"/>
        </w:tabs>
        <w:numPr>
          <w:ilvl w:val="1"/>
          <w:numId w:val="56"/>
        </w:numPr>
        <w:rPr>
          <w:rFonts w:ascii="Calibri" w:cs="Calibri" w:eastAsia="Calibri" w:hAnsi="Calibri"/>
          <w:sz w:val="18"/>
          <w:szCs w:val="18"/>
          <w:color w:val="auto"/>
        </w:rPr>
      </w:pPr>
      <w:r>
        <w:rPr>
          <w:rFonts w:ascii="Calibri" w:cs="Calibri" w:eastAsia="Calibri" w:hAnsi="Calibri"/>
          <w:sz w:val="18"/>
          <w:szCs w:val="18"/>
          <w:color w:val="auto"/>
        </w:rPr>
        <w:t>Trailing three months net product revenue of at least (x) 30% of agreed upon projected net revenues for periods in the calendar year 2024 and 25% for all periods thereafer or (y) $120 million.</w:t>
      </w:r>
    </w:p>
    <w:p>
      <w:pPr>
        <w:spacing w:after="0" w:line="177" w:lineRule="exact"/>
        <w:rPr>
          <w:sz w:val="20"/>
          <w:szCs w:val="20"/>
          <w:color w:val="auto"/>
        </w:rPr>
      </w:pPr>
    </w:p>
    <w:p>
      <w:pPr>
        <w:ind w:right="360" w:firstLine="549"/>
        <w:spacing w:after="0" w:line="235" w:lineRule="auto"/>
        <w:rPr>
          <w:sz w:val="20"/>
          <w:szCs w:val="20"/>
          <w:color w:val="auto"/>
        </w:rPr>
      </w:pPr>
      <w:r>
        <w:rPr>
          <w:rFonts w:ascii="Calibri" w:cs="Calibri" w:eastAsia="Calibri" w:hAnsi="Calibri"/>
          <w:sz w:val="18"/>
          <w:szCs w:val="18"/>
          <w:color w:val="auto"/>
        </w:rPr>
        <w:t>Upon the occurrence of an event of default, subject to any specifed cure periods, all amounts owed by us may be declared immediately due and payable by Hercules, as collateral agent.</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2024, we were in compliance with all applicable covenants under the Loan Agreement.</w:t>
      </w:r>
    </w:p>
    <w:p>
      <w:pPr>
        <w:spacing w:after="0" w:line="190"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As collateral for the obligatons, we granted Hercules a senior security interest in all of our right, ttle, and interest in, to and under substantally all of our property, inclusive of intellectual property.</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connecton with the entry into the Loan Agreement, we issued to Hercules a warrant, or the Warrant, to purchase a number of shares of our common stock equal to 2.5% of the aggregate amount of the Term Loan advances funded, and will issue to Hercules additonal warrants when future Term Loan advances are funded. On the Closing Date, we issued a Warrant for 74,782 shares of common stock. The Warrant is exercisable for a period of seven years from the date of issuance at a per-share exercise price equal to $33.43, which was the closing price of our common stock on September 16, 2021. In connecton with the entry into the Third Loan Amendment, we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we drawdown future tranches. In connecton with the entry into the Fourth Amendment, we eliminated the warrant agreement for all future tranches. The Warrant issued with the inital tranche was not modifed as part of this amendment. The exercise price and terms of the outstanding Warrant remain unchanged.</w:t>
      </w:r>
    </w:p>
    <w:p>
      <w:pPr>
        <w:spacing w:after="0" w:line="183" w:lineRule="exact"/>
        <w:rPr>
          <w:sz w:val="20"/>
          <w:szCs w:val="20"/>
          <w:color w:val="auto"/>
        </w:rPr>
      </w:pPr>
    </w:p>
    <w:p>
      <w:pPr>
        <w:ind w:right="500" w:firstLine="509"/>
        <w:spacing w:after="0" w:line="235" w:lineRule="auto"/>
        <w:rPr>
          <w:sz w:val="20"/>
          <w:szCs w:val="20"/>
          <w:color w:val="auto"/>
        </w:rPr>
      </w:pPr>
      <w:r>
        <w:rPr>
          <w:rFonts w:ascii="Calibri" w:cs="Calibri" w:eastAsia="Calibri" w:hAnsi="Calibri"/>
          <w:sz w:val="18"/>
          <w:szCs w:val="18"/>
          <w:color w:val="auto"/>
        </w:rPr>
        <w:t>The inital $1.3 million fair value of the Warrant, the $11.5 million fnal interest payment fees and $4.6 million of debt issuance costs have been recorded as debt discount and are being amortzed to interest expense using the efectve interest method over the term of the Term Loan.</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10" w:name="page111"/>
    <w:bookmarkEnd w:id="110"/>
    <w:p>
      <w:pPr>
        <w:spacing w:after="0"/>
        <w:rPr>
          <w:sz w:val="20"/>
          <w:szCs w:val="20"/>
          <w:color w:val="auto"/>
        </w:rPr>
      </w:pPr>
      <w:r>
        <w:rPr>
          <w:rFonts w:ascii="Calibri" w:cs="Calibri" w:eastAsia="Calibri" w:hAnsi="Calibri"/>
          <w:sz w:val="18"/>
          <w:szCs w:val="18"/>
          <w:b w:val="1"/>
          <w:bCs w:val="1"/>
          <w:i w:val="1"/>
          <w:iCs w:val="1"/>
          <w:color w:val="auto"/>
        </w:rPr>
        <w:t>Revenue Interest Financing Agreement</w:t>
      </w:r>
    </w:p>
    <w:p>
      <w:pPr>
        <w:spacing w:after="0" w:line="177"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On May 3, 2022, we entered into a Revenue Interest Financing Agreement, or the Revenue Interest Financing Agreement, with enttes managed or advised by NovaQuest Capital Management, or NQ, Sagard Holdings Manager LP, or Sagard, and Hercules, together with NQ and Sagard, or the Inital Investors, pursuant to which we could receive up to $260 million in funding from the Inital Investors. Under the terms of the Revenue Interest Financing Agreement, we received $100 million at the inital closing and received an additonal $160 million upon FDA approval of vonoprazan for treatment of Erosive GERD in the fourth quarter of 2023. Additonally, on October 31, 2022, we entered into a Joinder and Waiver Agreement with the Inital Investors and CO Finance LVS XXXVII LLC, or the Additonal Investor, and Hercules in its capacity as administratve agent and collateral agent for itself and the lenders under that certain Loan Agreement, or the Joinder Agreement, in respect of the Revenue Interest Financing Agreement. Under the terms of the Joinder Agreement, we received $15 million in additonal funding upon FDA approval of vonoprazan for Erosive GERD, or Approval Additonal Funding, in the fourth quarter of 2023 and provides for $25 million in additonal funding for achievement of a sales milestone, or Milestone Additonal Funding, and, together with the Approval Additonal Funding, or the Additonal Investor Funding. The Inital Investors waived their right of frst ofer for any Additonal Investor Funding. On December 23, 2024, CO Finance LVS XXXVII LLC agreed to assign and transfer to OC III LVS LX LP all of its rights, ttle and interest as an Additonal Investor and in connecton therewith, OC III LVS LX LP executed a Joinder Agreement. The total amount funded by the Inital Investors and any subsequent investors is referred to herein as the Investment Amount. As of December 31, 2024, no additonal funding is available under the Revenue Interest Financing Agreement.</w:t>
      </w:r>
    </w:p>
    <w:p>
      <w:pPr>
        <w:spacing w:after="0" w:line="17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Inital Investors and the Additonal Investors, are enttled to receive a 10% royalty on net sales of products containing vonoprazan. The royalty rate is subject to a step-down on net sales exceeding certain annual thresholds and upon FDA approval for vonoprazan for an indicaton relatng to the treatment of heartburn associated with Non-Erosive GERD, which occurred on July 17, 2024. The investors’ right to receive royaltes on net sales will terminate when the investors have aggregate payments equal to 200% of the Investment Amount. In additon, at any tme afer April 30, 2024, we have the right to make a cap payment equal to 200% of the Investment Amount less any royaltes already paid, at which tme the agreement will terminate.</w:t>
      </w:r>
    </w:p>
    <w:p>
      <w:pPr>
        <w:spacing w:after="0" w:line="194"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we will be obligated to make a cash payment to the investors in an amount sufcient to gross the investors up to the applicable Minimum Amount.</w:t>
      </w:r>
    </w:p>
    <w:p>
      <w:pPr>
        <w:spacing w:after="0" w:line="178"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we are obligated to pay 1.30 tmes Investment Amount, 1.65 tmes Investment Amount, and 2.0 tmes investment amount, respectvely, less any amounts we previously paid pursuant to the agreement.</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At-the-Market-Oferings</w:t>
      </w:r>
    </w:p>
    <w:p>
      <w:pPr>
        <w:spacing w:after="0" w:line="206" w:lineRule="exact"/>
        <w:rPr>
          <w:sz w:val="20"/>
          <w:szCs w:val="20"/>
          <w:color w:val="auto"/>
        </w:rPr>
      </w:pPr>
    </w:p>
    <w:p>
      <w:pPr>
        <w:ind w:right="80" w:firstLine="509"/>
        <w:spacing w:after="0" w:line="215" w:lineRule="auto"/>
        <w:rPr>
          <w:sz w:val="20"/>
          <w:szCs w:val="20"/>
          <w:color w:val="auto"/>
        </w:rPr>
      </w:pPr>
      <w:r>
        <w:rPr>
          <w:rFonts w:ascii="Calibri" w:cs="Calibri" w:eastAsia="Calibri" w:hAnsi="Calibri"/>
          <w:sz w:val="18"/>
          <w:szCs w:val="18"/>
          <w:color w:val="auto"/>
        </w:rPr>
        <w:t>In November 2020, we entered into an Open Market Sale Agreement</w:t>
      </w:r>
      <w:r>
        <w:rPr>
          <w:rFonts w:ascii="Calibri" w:cs="Calibri" w:eastAsia="Calibri" w:hAnsi="Calibri"/>
          <w:sz w:val="24"/>
          <w:szCs w:val="24"/>
          <w:color w:val="auto"/>
          <w:vertAlign w:val="superscript"/>
        </w:rPr>
        <w:t>SM</w:t>
      </w:r>
      <w:r>
        <w:rPr>
          <w:rFonts w:ascii="Calibri" w:cs="Calibri" w:eastAsia="Calibri" w:hAnsi="Calibri"/>
          <w:sz w:val="18"/>
          <w:szCs w:val="18"/>
          <w:color w:val="auto"/>
        </w:rPr>
        <w:t>, or the Sales Agreement, with Jeferies LLC, or the Sales Agent, under which we may, from tme to tme, sell shares of our common stock having an aggregate ofering price of up to an amount registered under an efectve registraton statement through the Sales Agent.</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2023, we fled a shelf registraton statement on Form S-3 which was declared efectve by the SEC on November 17, 2023, which included an at-the-market prospectus pursuant to which we may, from tme to tme, sell up to an aggregate of $150 million of our common stock through the Sales Agent, or the 2023 ATM Ofering. We are not obligated to, and we cannot provide any assurances that we will, make any sales of the shares under the Sales Agreement. The Sales Agreement may be terminated by the Sales Agent or us at any tme. For the year ended December 31, 2023, we sold 1,514,219 shares for net proceeds of approximately $14.1 million afer deductng $0.4 million of issuance costs. No shares were sold during the year ended December 31, 2024. As of December 31, 2024, all of the available $150 million under the 2023 ATM Ofering remains available.</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Underwriten Public Oferings</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On May 23, 2023, we completed an underwriten public ofering, in which we sold 12,793,750 shares of our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We incurred an additonal $0.4 million of ofering expenses in connecton with this public ofering.</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11" w:name="page112"/>
    <w:bookmarkEnd w:id="111"/>
    <w:p>
      <w:pPr>
        <w:ind w:firstLine="509"/>
        <w:spacing w:after="0" w:line="235" w:lineRule="auto"/>
        <w:rPr>
          <w:sz w:val="20"/>
          <w:szCs w:val="20"/>
          <w:color w:val="auto"/>
        </w:rPr>
      </w:pPr>
      <w:r>
        <w:rPr>
          <w:rFonts w:ascii="Calibri" w:cs="Calibri" w:eastAsia="Calibri" w:hAnsi="Calibri"/>
          <w:sz w:val="18"/>
          <w:szCs w:val="18"/>
          <w:color w:val="auto"/>
        </w:rPr>
        <w:t>On August 20, 2024, we completed an underwriten public ofering, in which we sold 8,695,652 shares of our common stock at a price of $11.50 per share and pre-funded warrants to purchase 2,608,922 shares of our common stock at a price of $11.499 per pre-funded warrant for total gross proceeds of $130.0 million. The net purchase price afer deductng the underwritng discounts and commissions and other ofering expenses, was $10.77 per share or net proceeds of $121.8 million.</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Funding Requirements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Based on our current operatng plan, we believe that our existng cash and cash equivalents together with the drawdown of the remaining $100 million under our Loan Agreement with Hercules together with antcipated product revenues, are sufcient to fund operatons for at least the next twelve months and we believe will be sufcient to enable us to reach cashfow positvity. However, our forecast of the period of tme through which our fnancial resources will be adequate to support our operatons is a forward-looking statement that involves risks and uncertaintes and actual results could vary materially. We have based this estmate on assumptons that may prove to be inaccurate, and we could deplete our capital resources sooner than we expect and not reach cashfow positvity based on the amount and tming of product sales and operatng expenses, among other factors. Additonally, the process of testng product candidates in clinical trials is costly, and the tming of progress and expenses in these trials is uncertain.</w:t>
      </w:r>
    </w:p>
    <w:p>
      <w:pPr>
        <w:spacing w:after="0" w:line="190"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Our future capital requirements will depend on many factors, including:</w:t>
      </w:r>
    </w:p>
    <w:p>
      <w:pPr>
        <w:spacing w:after="0" w:line="123" w:lineRule="exact"/>
        <w:rPr>
          <w:sz w:val="20"/>
          <w:szCs w:val="20"/>
          <w:color w:val="auto"/>
        </w:rPr>
      </w:pPr>
    </w:p>
    <w:p>
      <w:pPr>
        <w:ind w:left="1020" w:right="38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ability to achieve sufcient market acceptance, coverage and adequate reimbursement from third-party payers and adequate market share and revenue for any approved products;</w:t>
      </w:r>
    </w:p>
    <w:p>
      <w:pPr>
        <w:spacing w:after="0" w:line="123" w:lineRule="exact"/>
        <w:rPr>
          <w:rFonts w:ascii="Times New Roman" w:cs="Times New Roman" w:eastAsia="Times New Roman" w:hAnsi="Times New Roman"/>
          <w:sz w:val="18"/>
          <w:szCs w:val="18"/>
          <w:color w:val="auto"/>
        </w:rPr>
      </w:pPr>
    </w:p>
    <w:p>
      <w:pPr>
        <w:ind w:left="1020" w:right="12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patents’ willingness to pay out-of-pocket for any approved products in the absence of coverage and/or adequate reimbursement from third-party payers;</w:t>
      </w:r>
    </w:p>
    <w:p>
      <w:pPr>
        <w:spacing w:after="0" w:line="123" w:lineRule="exact"/>
        <w:rPr>
          <w:rFonts w:ascii="Times New Roman" w:cs="Times New Roman" w:eastAsia="Times New Roman" w:hAnsi="Times New Roman"/>
          <w:sz w:val="18"/>
          <w:szCs w:val="18"/>
          <w:color w:val="auto"/>
        </w:rPr>
      </w:pPr>
    </w:p>
    <w:p>
      <w:pPr>
        <w:ind w:left="1020" w:right="6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initaton, type, number, scope, results, costs and tming of our clinical trials of vonoprazan, and preclinical studies or clinical trials of other potental product candidates we may choose to pursue in the future, including feedback received from regulatory authorites;</w:t>
      </w:r>
    </w:p>
    <w:p>
      <w:pPr>
        <w:spacing w:after="0" w:line="123" w:lineRule="exact"/>
        <w:rPr>
          <w:rFonts w:ascii="Times New Roman" w:cs="Times New Roman" w:eastAsia="Times New Roman" w:hAnsi="Times New Roman"/>
          <w:sz w:val="18"/>
          <w:szCs w:val="18"/>
          <w:color w:val="auto"/>
        </w:rPr>
      </w:pPr>
    </w:p>
    <w:p>
      <w:pPr>
        <w:ind w:left="1020" w:right="32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manufacturing for vonoprazan or any future product candidates, including commercial scale manufacturing for any approved product candidates;</w:t>
      </w:r>
    </w:p>
    <w:p>
      <w:pPr>
        <w:spacing w:after="0" w:line="12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7"/>
          <w:szCs w:val="17"/>
          <w:color w:val="auto"/>
        </w:rPr>
      </w:pPr>
      <w:r>
        <w:rPr>
          <w:rFonts w:ascii="Calibri" w:cs="Calibri" w:eastAsia="Calibri" w:hAnsi="Calibri"/>
          <w:sz w:val="17"/>
          <w:szCs w:val="17"/>
          <w:color w:val="auto"/>
        </w:rPr>
        <w:t>the costs, tming and outcome of regulatory review of future vonoprazan applicatons or such applicatons for any future product candidates;</w:t>
      </w:r>
    </w:p>
    <w:p>
      <w:pPr>
        <w:spacing w:after="0" w:line="125" w:lineRule="exact"/>
        <w:rPr>
          <w:rFonts w:ascii="Times New Roman" w:cs="Times New Roman" w:eastAsia="Times New Roman" w:hAnsi="Times New Roman"/>
          <w:sz w:val="17"/>
          <w:szCs w:val="17"/>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of obtaining, maintaining and enforcing our patents and other intellectual property rights;</w:t>
      </w:r>
    </w:p>
    <w:p>
      <w:pPr>
        <w:spacing w:after="0" w:line="122" w:lineRule="exact"/>
        <w:rPr>
          <w:rFonts w:ascii="Times New Roman" w:cs="Times New Roman" w:eastAsia="Times New Roman" w:hAnsi="Times New Roman"/>
          <w:sz w:val="18"/>
          <w:szCs w:val="18"/>
          <w:color w:val="auto"/>
        </w:rPr>
      </w:pPr>
    </w:p>
    <w:p>
      <w:pPr>
        <w:ind w:left="1020" w:right="220" w:hanging="503"/>
        <w:spacing w:after="0" w:line="235" w:lineRule="auto"/>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our eforts to enhance operatonal systems and hire additonal personnel to satsfy our obligatons as a public company, including enhanced internal controls over fnancial reportng;</w:t>
      </w:r>
    </w:p>
    <w:p>
      <w:pPr>
        <w:spacing w:after="0" w:line="11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associated with hiring additonal personnel and consultants as our business grows;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tming and amount of the milestone or other payments we must make to Takeda and any future licensors;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costs and tming of establishing or securing sales and marketng capabilites for vonoprazan or any future product candidate;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the terms and tming of establishing and maintaining collaboratons, licenses and other similar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7"/>
        </w:numPr>
        <w:rPr>
          <w:rFonts w:ascii="Times New Roman" w:cs="Times New Roman" w:eastAsia="Times New Roman" w:hAnsi="Times New Roman"/>
          <w:sz w:val="18"/>
          <w:szCs w:val="18"/>
          <w:color w:val="auto"/>
        </w:rPr>
      </w:pPr>
      <w:r>
        <w:rPr>
          <w:rFonts w:ascii="Calibri" w:cs="Calibri" w:eastAsia="Calibri" w:hAnsi="Calibri"/>
          <w:sz w:val="18"/>
          <w:szCs w:val="18"/>
          <w:color w:val="auto"/>
        </w:rPr>
        <w:t>costs associated with any products or technologies that we may in-license or acquire.</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Untl such tme, if ever, as we can generate substantal product revenues to support our cost structure, we expect to fnance our cash needs through equity oferings, the Loan Agreement, the Revenue Interest Financing Agreement, debt fnancings, or other capital sources, including potental collaboratons, licenses and other similar arrangements. To the extent that we raise additonal capital through the sale of equity or convertble debt securites, the ownership interest of our stockholders will be or could be diluted, and the terms of these securites may include liquidaton or other preferences that adversely afect the rights of our common stockholders. Debt fnancing and equity fnancing, if available, may involve agreements that include covenants limitng or restrictng our ability to take specifc actons, such as incurring additonal debt, making capital expenditures or declaring dividends. If we raise funds through collaboratons, or other similar arrangements with third partes, we may have to relinquish valuable rights to our technologies, future revenue streams, research programs or product candidates or grant licenses on terms that may not be favorable to us and/or may reduce the value of our common stock. If we are unable to raise additonal funds through equity or debt</w:t>
      </w: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112" w:name="page113"/>
    <w:bookmarkEnd w:id="112"/>
    <w:p>
      <w:pPr>
        <w:ind w:right="380"/>
        <w:spacing w:after="0" w:line="258" w:lineRule="auto"/>
        <w:rPr>
          <w:sz w:val="20"/>
          <w:szCs w:val="20"/>
          <w:color w:val="auto"/>
        </w:rPr>
      </w:pPr>
      <w:r>
        <w:rPr>
          <w:rFonts w:ascii="Calibri" w:cs="Calibri" w:eastAsia="Calibri" w:hAnsi="Calibri"/>
          <w:sz w:val="17"/>
          <w:szCs w:val="17"/>
          <w:color w:val="auto"/>
        </w:rPr>
        <w:t>fnancings when needed, we may be required to delay, limit, reduce or terminate our product development or future commercializaton eforts or grant rights to develop and market our product candidates even if we would otherwise prefer to develop and market such product candidates ourselves.</w:t>
      </w:r>
    </w:p>
    <w:p>
      <w:pPr>
        <w:spacing w:after="0" w:line="16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Including our existng cash and cash equivalents, we believe that we have sufcient working capital on hand to fund operatons such that there is no substantal doubt as to our ability to contnue as a going concern at the date the fnancial statements were issued. There can be no assurance that we will be successful in acquiring additonal funding, that our projectons of future working capital needs will prove accurate, or that any additonal funding would be sufcient to contnue operatons in future years. Based on our current operatng plan, we believe that our existng cash and cash equivalents together with the drawdown of the remaining $100 million under our Loan Agreement with Hercules together with antcipated product revenues, are sufcient to fund operatons for at least the next twelve months and we believe will be sufcient to enable us to reach cashfow positvity.</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Flows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sets forth a summary of the net cash fow actvity for each of the periods indicated (in thousands):</w:t>
      </w:r>
    </w:p>
    <w:p>
      <w:pPr>
        <w:spacing w:after="0" w:line="212"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4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gridSpan w:val="3"/>
          </w:tcPr>
          <w:p>
            <w:pPr>
              <w:jc w:val="right"/>
              <w:ind w:right="10"/>
              <w:spacing w:after="0"/>
              <w:rPr>
                <w:sz w:val="20"/>
                <w:szCs w:val="20"/>
                <w:color w:val="auto"/>
              </w:rPr>
            </w:pPr>
            <w:r>
              <w:rPr>
                <w:rFonts w:ascii="Calibri" w:cs="Calibri" w:eastAsia="Calibri" w:hAnsi="Calibri"/>
                <w:sz w:val="18"/>
                <w:szCs w:val="18"/>
                <w:b w:val="1"/>
                <w:bCs w:val="1"/>
                <w:color w:val="auto"/>
              </w:rPr>
              <w:t>Years Ended</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3"/>
          </w:tcPr>
          <w:p>
            <w:pPr>
              <w:jc w:val="right"/>
              <w:spacing w:after="0" w:line="216" w:lineRule="exact"/>
              <w:rPr>
                <w:sz w:val="20"/>
                <w:szCs w:val="20"/>
                <w:color w:val="auto"/>
              </w:rPr>
            </w:pPr>
            <w:r>
              <w:rPr>
                <w:rFonts w:ascii="Calibri" w:cs="Calibri" w:eastAsia="Calibri" w:hAnsi="Calibri"/>
                <w:sz w:val="18"/>
                <w:szCs w:val="18"/>
                <w:b w:val="1"/>
                <w:bCs w:val="1"/>
                <w:color w:val="auto"/>
              </w:rPr>
              <w:t>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vMerge w:val="restart"/>
          </w:tcPr>
          <w:p>
            <w:pPr>
              <w:jc w:val="right"/>
              <w:ind w:right="350"/>
              <w:spacing w:after="0"/>
              <w:rPr>
                <w:sz w:val="20"/>
                <w:szCs w:val="20"/>
                <w:color w:val="auto"/>
              </w:rPr>
            </w:pPr>
            <w:r>
              <w:rPr>
                <w:rFonts w:ascii="Calibri" w:cs="Calibri" w:eastAsia="Calibri" w:hAnsi="Calibri"/>
                <w:sz w:val="18"/>
                <w:szCs w:val="18"/>
                <w:b w:val="1"/>
                <w:bCs w:val="1"/>
                <w:color w:val="auto"/>
              </w:rPr>
              <w:t>Change</w:t>
            </w: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0"/>
              <w:spacing w:after="0" w:line="209" w:lineRule="exact"/>
              <w:rPr>
                <w:sz w:val="20"/>
                <w:szCs w:val="20"/>
                <w:color w:val="auto"/>
              </w:rPr>
            </w:pPr>
            <w:r>
              <w:rPr>
                <w:rFonts w:ascii="Calibri" w:cs="Calibri" w:eastAsia="Calibri" w:hAnsi="Calibri"/>
                <w:sz w:val="18"/>
                <w:szCs w:val="18"/>
                <w:b w:val="1"/>
                <w:bCs w:val="1"/>
                <w:color w:val="auto"/>
              </w:rPr>
              <w:t>2023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0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Net cash provided by (used in):</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00" w:type="dxa"/>
            <w:vAlign w:val="bottom"/>
          </w:tcPr>
          <w:p>
            <w:pPr>
              <w:ind w:left="200"/>
              <w:spacing w:after="0" w:line="215" w:lineRule="exact"/>
              <w:rPr>
                <w:sz w:val="20"/>
                <w:szCs w:val="20"/>
                <w:color w:val="auto"/>
              </w:rPr>
            </w:pPr>
            <w:r>
              <w:rPr>
                <w:rFonts w:ascii="Calibri" w:cs="Calibri" w:eastAsia="Calibri" w:hAnsi="Calibri"/>
                <w:sz w:val="18"/>
                <w:szCs w:val="18"/>
                <w:color w:val="auto"/>
              </w:rPr>
              <w:t>Operatng actvites</w:t>
            </w:r>
          </w:p>
        </w:tc>
        <w:tc>
          <w:tcPr>
            <w:tcW w:w="300" w:type="dxa"/>
            <w:vAlign w:val="bottom"/>
          </w:tcPr>
          <w:p>
            <w:pPr>
              <w:jc w:val="right"/>
              <w:ind w:right="110"/>
              <w:spacing w:after="0" w:line="215" w:lineRule="exact"/>
              <w:rPr>
                <w:sz w:val="20"/>
                <w:szCs w:val="20"/>
                <w:color w:val="auto"/>
              </w:rPr>
            </w:pPr>
            <w:r>
              <w:rPr>
                <w:rFonts w:ascii="Calibri" w:cs="Calibri" w:eastAsia="Calibri" w:hAnsi="Calibri"/>
                <w:sz w:val="18"/>
                <w:szCs w:val="18"/>
                <w:color w:val="auto"/>
                <w:w w:val="87"/>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(266,770 )</w:t>
            </w:r>
          </w:p>
        </w:tc>
        <w:tc>
          <w:tcPr>
            <w:tcW w:w="520" w:type="dxa"/>
            <w:vAlign w:val="bottom"/>
            <w:gridSpan w:val="2"/>
          </w:tcPr>
          <w:p>
            <w:pPr>
              <w:jc w:val="right"/>
              <w:ind w:right="210"/>
              <w:spacing w:after="0" w:line="215"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(137,580 )</w:t>
            </w:r>
          </w:p>
        </w:tc>
        <w:tc>
          <w:tcPr>
            <w:tcW w:w="340" w:type="dxa"/>
            <w:vAlign w:val="bottom"/>
            <w:gridSpan w:val="2"/>
          </w:tcPr>
          <w:p>
            <w:pPr>
              <w:jc w:val="right"/>
              <w:ind w:right="50"/>
              <w:spacing w:after="0" w:line="215" w:lineRule="exact"/>
              <w:rPr>
                <w:sz w:val="20"/>
                <w:szCs w:val="20"/>
                <w:color w:val="auto"/>
              </w:rPr>
            </w:pPr>
            <w:r>
              <w:rPr>
                <w:rFonts w:ascii="Calibri" w:cs="Calibri" w:eastAsia="Calibri" w:hAnsi="Calibri"/>
                <w:sz w:val="18"/>
                <w:szCs w:val="18"/>
                <w:color w:val="auto"/>
              </w:rPr>
              <w:t>$</w:t>
            </w:r>
          </w:p>
        </w:tc>
        <w:tc>
          <w:tcPr>
            <w:tcW w:w="1120" w:type="dxa"/>
            <w:vAlign w:val="bottom"/>
          </w:tcPr>
          <w:p>
            <w:pPr>
              <w:jc w:val="right"/>
              <w:spacing w:after="0" w:line="215" w:lineRule="exact"/>
              <w:rPr>
                <w:sz w:val="20"/>
                <w:szCs w:val="20"/>
                <w:color w:val="auto"/>
              </w:rPr>
            </w:pPr>
            <w:r>
              <w:rPr>
                <w:rFonts w:ascii="Calibri" w:cs="Calibri" w:eastAsia="Calibri" w:hAnsi="Calibri"/>
                <w:sz w:val="18"/>
                <w:szCs w:val="18"/>
                <w:color w:val="auto"/>
              </w:rPr>
              <w:t>(129,190 )</w:t>
            </w:r>
          </w:p>
        </w:tc>
        <w:tc>
          <w:tcPr>
            <w:tcW w:w="0" w:type="dxa"/>
            <w:vAlign w:val="bottom"/>
          </w:tcPr>
          <w:p>
            <w:pPr>
              <w:spacing w:after="0"/>
              <w:rPr>
                <w:sz w:val="1"/>
                <w:szCs w:val="1"/>
                <w:color w:val="auto"/>
              </w:rPr>
            </w:pPr>
          </w:p>
        </w:tc>
      </w:tr>
      <w:tr>
        <w:trPr>
          <w:trHeight w:val="217"/>
        </w:trPr>
        <w:tc>
          <w:tcPr>
            <w:tcW w:w="480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Investng actvites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(135 )</w:t>
            </w:r>
          </w:p>
        </w:tc>
        <w:tc>
          <w:tcPr>
            <w:tcW w:w="1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(1,634 )</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1,499</w:t>
            </w:r>
          </w:p>
        </w:tc>
        <w:tc>
          <w:tcPr>
            <w:tcW w:w="0" w:type="dxa"/>
            <w:vAlign w:val="bottom"/>
          </w:tcPr>
          <w:p>
            <w:pPr>
              <w:spacing w:after="0"/>
              <w:rPr>
                <w:sz w:val="1"/>
                <w:szCs w:val="1"/>
                <w:color w:val="auto"/>
              </w:rPr>
            </w:pPr>
          </w:p>
        </w:tc>
      </w:tr>
      <w:tr>
        <w:trPr>
          <w:trHeight w:val="215"/>
        </w:trPr>
        <w:tc>
          <w:tcPr>
            <w:tcW w:w="4800" w:type="dxa"/>
            <w:vAlign w:val="bottom"/>
          </w:tcPr>
          <w:p>
            <w:pPr>
              <w:ind w:left="200"/>
              <w:spacing w:after="0" w:line="215" w:lineRule="exact"/>
              <w:rPr>
                <w:sz w:val="20"/>
                <w:szCs w:val="20"/>
                <w:color w:val="auto"/>
              </w:rPr>
            </w:pPr>
            <w:r>
              <w:rPr>
                <w:rFonts w:ascii="Calibri" w:cs="Calibri" w:eastAsia="Calibri" w:hAnsi="Calibri"/>
                <w:sz w:val="18"/>
                <w:szCs w:val="18"/>
                <w:color w:val="auto"/>
              </w:rPr>
              <w:t>Financing actvites</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182,774</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367,580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(184,806 )</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(decrease) increase in cash</w:t>
            </w:r>
          </w:p>
        </w:tc>
        <w:tc>
          <w:tcPr>
            <w:tcW w:w="300" w:type="dxa"/>
            <w:vAlign w:val="bottom"/>
            <w:tcBorders>
              <w:bottom w:val="single" w:sz="8" w:color="auto"/>
            </w:tcBorders>
            <w:shd w:val="clear" w:color="auto" w:fill="CFF0FC"/>
          </w:tcPr>
          <w:p>
            <w:pPr>
              <w:jc w:val="right"/>
              <w:ind w:right="110"/>
              <w:spacing w:after="0" w:line="209"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(84,131 )</w:t>
            </w:r>
          </w:p>
        </w:tc>
        <w:tc>
          <w:tcPr>
            <w:tcW w:w="12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210"/>
              <w:spacing w:after="0" w:line="209" w:lineRule="exact"/>
              <w:rPr>
                <w:sz w:val="20"/>
                <w:szCs w:val="20"/>
                <w:color w:val="auto"/>
              </w:rPr>
            </w:pPr>
            <w:r>
              <w:rPr>
                <w:rFonts w:ascii="Calibri" w:cs="Calibri" w:eastAsia="Calibri" w:hAnsi="Calibri"/>
                <w:sz w:val="18"/>
                <w:szCs w:val="18"/>
                <w:color w:val="auto"/>
                <w:w w:val="87"/>
              </w:rPr>
              <w:t>$</w:t>
            </w:r>
          </w:p>
        </w:tc>
        <w:tc>
          <w:tcPr>
            <w:tcW w:w="96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228,366</w:t>
            </w:r>
          </w:p>
        </w:tc>
        <w:tc>
          <w:tcPr>
            <w:tcW w:w="1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w w:val="87"/>
              </w:rPr>
              <w:t>$</w:t>
            </w:r>
          </w:p>
        </w:tc>
        <w:tc>
          <w:tcPr>
            <w:tcW w:w="1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(312,497 )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-24765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-24765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Operatng Actvites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Net cash used in operatng actvites was approximately $266.8 million and $137.6 million for the years ended December 31, 2024 and 2023, respectvely. The net cash used in operatng actvites for the year ended December 31, 2024 was due to approximately $251.5 million spent on ongoing research and development and selling, general and administratve actvites and a $15.3 million net change in operatng assets and liabilites. The net change in operatng assets and liabilites primarily related to a $35.7 million increase in accounts payable and accrued expenses (including interest, operatng lease assets and liabilites), and a $51.0 million increase in accounts receivable, inventory, and prepaid assets and other current assets in support of our growth and contnued launch of our commercial products. The net cash used in operatng actvites for the year ended December 31, 2023 was due to approximately $124.0 million spent on ongoing research and development and selling, general and administratve actvites and a $13.6 million net change in operatng assets and liabilites. The net change in operatng assets and liabilites primarily related to a $6.9 million increase in accounts payable and accrued expenses (including interest, operatng lease assets and liabilites, and clinical trial expenses), and a $20.5 million increase in prepaid assets and other current assets, accounts receivable, inventory, and other long-term assets, in support of our growth and commercial operatons.</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Investng Actvites</w:t>
      </w:r>
    </w:p>
    <w:p>
      <w:pPr>
        <w:spacing w:after="0" w:line="190"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Net cash used in investng actvites for the years ended December 31, 2024 and 2023 was related to payments for acquiring property and equipment.</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Financing Actvites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Net cash provided by fnancing actvites for the year ended December 31, 2024 was $182.8 million primarily related to $59.4 million of net proceeds from the issuance of debt under our Loan Agreement, $121.8 million of net proceeds from issuance of common stock and pre-funded warrants in connecton with the underwriten public ofering completed in August 2024, and $1.6 million of proceeds from the exercise of stock optons. Net cash provided by fnancing actvites for the year ended December 31, 2023 was $367.6 million, primarily due to $172.7 million of net proceeds from the Revenue Interest Financing Agreement, $155.6 million due to the proceeds from the sale of our common stock, and $39.3 million from the issuance of debt under our Loan Agreement.</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46" w:right="379" w:bottom="1440" w:gutter="0" w:footer="0" w:header="0"/>
        </w:sectPr>
      </w:pPr>
    </w:p>
    <w:bookmarkStart w:id="113" w:name="page114"/>
    <w:bookmarkEnd w:id="113"/>
    <w:p>
      <w:pPr>
        <w:spacing w:after="0"/>
        <w:rPr>
          <w:sz w:val="20"/>
          <w:szCs w:val="20"/>
          <w:color w:val="auto"/>
        </w:rPr>
      </w:pPr>
      <w:r>
        <w:rPr>
          <w:rFonts w:ascii="Calibri" w:cs="Calibri" w:eastAsia="Calibri" w:hAnsi="Calibri"/>
          <w:sz w:val="18"/>
          <w:szCs w:val="18"/>
          <w:b w:val="1"/>
          <w:bCs w:val="1"/>
          <w:color w:val="auto"/>
        </w:rPr>
        <w:t>Contractual Obligatons and Commitments</w:t>
      </w:r>
    </w:p>
    <w:p>
      <w:pPr>
        <w:spacing w:after="0" w:line="177" w:lineRule="exact"/>
        <w:rPr>
          <w:sz w:val="20"/>
          <w:szCs w:val="20"/>
          <w:color w:val="auto"/>
        </w:rPr>
      </w:pPr>
    </w:p>
    <w:p>
      <w:pPr>
        <w:ind w:right="40" w:firstLine="509"/>
        <w:spacing w:after="0" w:line="251" w:lineRule="auto"/>
        <w:rPr>
          <w:sz w:val="20"/>
          <w:szCs w:val="20"/>
          <w:color w:val="auto"/>
        </w:rPr>
      </w:pPr>
      <w:r>
        <w:rPr>
          <w:rFonts w:ascii="Calibri" w:cs="Calibri" w:eastAsia="Calibri" w:hAnsi="Calibri"/>
          <w:sz w:val="17"/>
          <w:szCs w:val="17"/>
          <w:color w:val="auto"/>
        </w:rPr>
        <w:t>On December 30, 2020, we entered into a Supply and Packaging Services Agreement with Sandoz, pursuant to which Sandoz has agreed to supply commercial quanttes of amoxicillin capsules and clarithromycin tablets, to package these antbiotcs with vonoprazan, in fnished convenience packs, and to supply us with these convenience packs. The supply agreement commits us to a minimum purchase obligaton of approximately $3.2 million during the frst 24-month period following the launch of the fnal product. We have incurred $0.3 million of expenses under the agreement during each of the years ended December 31, 2024 and 2023. As of December 31, 2024, €1.8 million, or approximately $1.9 million, remains of the minimum purchase obligaton.</w:t>
      </w:r>
    </w:p>
    <w:p>
      <w:pPr>
        <w:spacing w:after="0" w:line="17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Additonally, on May 3, 2022, we entered into a Revenue Interest Financing Agreement, or the Revenue Interest Financing Agreement, with enttes managed or advised by NovaQuest Capital Management, or NQ, Sagard Holdings Manager LP, or Sagard, and Hercules Capital, Inc. , or Hercules, together with NQ and Sagard, the Inital Investors, and on October 31, 2022, we entered into a Joinder and Waiver Agreement with the Inital Investors and CO Finance LVS XXXVII LLC, or the Additonal Investor, and Hercules Capital, Inc. in its capacity as administratve agent and collateral agent for itself and the lenders under that certain Loan Agreement, or the Joinder Agreement, in respect of the Revenue Interest Financing Agreement. We received $100 million at the inital closing and an additonal $175 million in fourth quarter 2023 following FDA approval of vonoprazan for treatment of Erosive GERD, or the Investment Amount. Under the terms of the Joinder Agreement, we received $15 million in additonal funding upon FDA approval of vonoprazan for Erosive GERD, or Approval Additonal Funding, in the fourth quarter of 2023 and provides for $25 million in additonal funding for achievement of a sales milestone, or Milestone Additonal Funding, and, together with the Approval Additonal Funding, or the Additonal Investor Funding. On December 23, 2024, CO Finance LVS XXXVII LLC agreed to assign and transfer to OC III LVS LX LP all of its rights, ttle and interest as an Additonal Investor and in connecton therewith, OC III LVS LX LP executed a Joinder Agreement. As of December 31, 2024, no additonal funding is available under the Revenue Interest Financing Agreement. Under the Revenue Interest Financing Agreement, the Inital Investors and Additonal Investors are enttled to receive a 10% royalty on net sales of products containing vonoprazan. The investors’ right to receive royaltes on net sales will terminate when the investors have aggregate payments equal to 200% of the Investment Amount less any royaltes already paid. During the years ended December 31, 2024 and 2023 we made $2.6 million and no royalty payments, respectvely, under the Revenue Interest Financing Agreement.</w:t>
      </w:r>
    </w:p>
    <w:p>
      <w:pPr>
        <w:spacing w:after="0" w:line="202"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We enter into contracts in the normal course of business for our contract research services, contract manufacturing services, professional services and other services and products for operatng purposes. These contracts generally provide for terminaton afer a notce period, and, therefore, are cancelable contracts.</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Accountng Policies and Signifcant Judgments and Estmates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Our management’s discussion and analysis of our fnancial conditon and results of operatons is based on our fnancial statements, which have been prepared in accordance with generally accepted accountng principles in the United States, or GAAP. The preparaton of our fnancial statements requires us to make estmates and assumptons that afect the reported amounts of assets, liabilites, revenues and expenses and the disclosure of contngent assets and liabilites in our fnancial statements and accompanying notes. We evaluate these estmates and judgments on an ongoing basis. We base our estmates on historical experience and on various other factors that we believe are reasonable under the circumstances, the results of which form the basis for making judgments about the carrying value of assets and liabilites that are not readily apparent from other sources. Actual results may difer from these estmates under diferent assumptons or conditons.</w:t>
      </w:r>
    </w:p>
    <w:p>
      <w:pPr>
        <w:spacing w:after="0" w:line="195" w:lineRule="exact"/>
        <w:rPr>
          <w:sz w:val="20"/>
          <w:szCs w:val="20"/>
          <w:color w:val="auto"/>
        </w:rPr>
      </w:pPr>
    </w:p>
    <w:p>
      <w:pPr>
        <w:ind w:right="420" w:firstLine="509"/>
        <w:spacing w:after="0" w:line="235" w:lineRule="auto"/>
        <w:rPr>
          <w:sz w:val="20"/>
          <w:szCs w:val="20"/>
          <w:color w:val="auto"/>
        </w:rPr>
      </w:pPr>
      <w:r>
        <w:rPr>
          <w:rFonts w:ascii="Calibri" w:cs="Calibri" w:eastAsia="Calibri" w:hAnsi="Calibri"/>
          <w:sz w:val="18"/>
          <w:szCs w:val="18"/>
          <w:color w:val="auto"/>
        </w:rPr>
        <w:t>While our signifcant accountng policies are more fully described in Note 1 to our fnancial statements, we believe that the following accountng policies are the most critcal for fully understanding and evaluatng our fnancial conditon and results of operatons.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Revenues from product sales may vary due to rebates, chargebacks, discounts and fees provided under government and other programs, product returns and other sales-related deductons. Reserves are established for the estmates of variable consideraton based on the amounts earned or to be claimed on the related sales. The reserves are classifed as reductons to accounts receivable, net if payable to a customer or accrued expenses if payable to a third-party or related to product returns. Where appropriate, we utlize the expected value method to determine the appropriate amount for estmates of variable consideraton based on factors such as current contractual and statutory requirements, specifc known market events and trends, industry data and forecasted customer buying and payment paterns. The amount of variable consideraton that is included in the transacton price may be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1" w:right="359" w:bottom="1440" w:gutter="0" w:footer="0" w:header="0"/>
        </w:sectPr>
      </w:pPr>
    </w:p>
    <w:bookmarkStart w:id="114" w:name="page115"/>
    <w:bookmarkEnd w:id="114"/>
    <w:p>
      <w:pPr>
        <w:ind w:right="100"/>
        <w:spacing w:after="0" w:line="254" w:lineRule="auto"/>
        <w:rPr>
          <w:sz w:val="20"/>
          <w:szCs w:val="20"/>
          <w:color w:val="auto"/>
        </w:rPr>
      </w:pPr>
      <w:r>
        <w:rPr>
          <w:rFonts w:ascii="Calibri" w:cs="Calibri" w:eastAsia="Calibri" w:hAnsi="Calibri"/>
          <w:sz w:val="17"/>
          <w:szCs w:val="17"/>
          <w:color w:val="auto"/>
        </w:rPr>
        <w:t>constrained and is included in net product revenues only to the extent that it is probable that a signifcant reversal in the amount of the cumulatve revenue recognized will not occur in a future period. Actual amounts of consideraton ultmately received may difer from our estmates. If actual results vary from our estmates, we will adjust these estmates, which would afect net product revenue and earnings in the period such variances become known.</w:t>
      </w:r>
    </w:p>
    <w:p>
      <w:pPr>
        <w:spacing w:after="0" w:line="165" w:lineRule="exact"/>
        <w:rPr>
          <w:sz w:val="20"/>
          <w:szCs w:val="20"/>
          <w:color w:val="auto"/>
        </w:rPr>
      </w:pPr>
    </w:p>
    <w:p>
      <w:pPr>
        <w:jc w:val="both"/>
        <w:ind w:right="100" w:firstLine="509"/>
        <w:spacing w:after="0" w:line="235" w:lineRule="auto"/>
        <w:rPr>
          <w:sz w:val="20"/>
          <w:szCs w:val="20"/>
          <w:color w:val="auto"/>
        </w:rPr>
      </w:pPr>
      <w:r>
        <w:rPr>
          <w:rFonts w:ascii="Calibri" w:cs="Calibri" w:eastAsia="Calibri" w:hAnsi="Calibri"/>
          <w:sz w:val="18"/>
          <w:szCs w:val="18"/>
          <w:color w:val="auto"/>
        </w:rPr>
        <w:t>We make signifcant estmates and judgments that materially afect our recogniton of net product revenue. Claims by third-party payors for rebates, chargebacks and discounts frequently are submited to us signifcantly afer the related sales, potentally resultng in adjustments in the period in which the new informaton becomes known. We will adjust our estmates based on new informaton, including informaton regarding actual rebates, chargebacks and discounts for our products, as it becomes available.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Liability</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We have accounted for the Revenue Interest Financing Agreement as a debt instrument. Accordingly, we recognized the transacton as a debt obligaton with interest expense based on an imputed efectve rate derived from the inital carrying value of the obligaton and the expected future payments. We recalculate the efectve interest rate each period based on the current carrying value and the revised estmated future payments. Changes in future payments from previous estmates are included in the current and future fnancing expense. See Note 6 "Revenue Interest Financing Liability" for additonal details.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Other Company Informaton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Smaller Reportng Company Status</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are a smaller reportng company as defned in Rule 12b-2 of the Exchange Act. We may take advantage of certain of the scaled disclosures available to smaller reportng companies and will be able to take advantage of these scaled disclosures for so long as (i) our votng and non-votng common stock held by non-afliates is less than $250 million measured on the last business day of our second fscal quarter or (ii) our annual revenue is less than $100 million during the most recently completed fscal year and our votng and non-votng common stock held by non-afliates is less than $700 million measured on the last business day of our second fscal quarter.</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Recent Accountng Pronouncements</w:t>
      </w:r>
    </w:p>
    <w:p>
      <w:pPr>
        <w:spacing w:after="0" w:line="177" w:lineRule="exact"/>
        <w:rPr>
          <w:sz w:val="20"/>
          <w:szCs w:val="20"/>
          <w:color w:val="auto"/>
        </w:rPr>
      </w:pPr>
    </w:p>
    <w:p>
      <w:pPr>
        <w:ind w:right="560" w:firstLine="509"/>
        <w:spacing w:after="0" w:line="235" w:lineRule="auto"/>
        <w:rPr>
          <w:sz w:val="20"/>
          <w:szCs w:val="20"/>
          <w:color w:val="auto"/>
        </w:rPr>
      </w:pPr>
      <w:r>
        <w:rPr>
          <w:rFonts w:ascii="Calibri" w:cs="Calibri" w:eastAsia="Calibri" w:hAnsi="Calibri"/>
          <w:sz w:val="18"/>
          <w:szCs w:val="18"/>
          <w:color w:val="auto"/>
        </w:rPr>
        <w:t>The informaton required by this item is included in Note 1, Organizaton, Basis of Presentaton and Summary of Signifcant Accountng Policies included in Item 15 of this annual report.</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Of-Balance Sheet Arrangements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During the periods presented we did not have, nor do we currently have, any of-balance sheet arrangements as defned under SEC rules.</w:t>
      </w:r>
    </w:p>
    <w:p>
      <w:pPr>
        <w:spacing w:after="0" w:line="172"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7A.</w:t>
      </w:r>
      <w:r>
        <w:rPr>
          <w:sz w:val="20"/>
          <w:szCs w:val="20"/>
          <w:color w:val="auto"/>
        </w:rPr>
        <w:tab/>
      </w:r>
      <w:r>
        <w:rPr>
          <w:rFonts w:ascii="Calibri" w:cs="Calibri" w:eastAsia="Calibri" w:hAnsi="Calibri"/>
          <w:sz w:val="18"/>
          <w:szCs w:val="18"/>
          <w:b w:val="1"/>
          <w:bCs w:val="1"/>
          <w:color w:val="auto"/>
        </w:rPr>
        <w:t>Quanttatve and Qualitatve Disclosures About Market Risk</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Interest Rate Risk</w:t>
      </w:r>
    </w:p>
    <w:p>
      <w:pPr>
        <w:spacing w:after="0" w:line="177" w:lineRule="exact"/>
        <w:rPr>
          <w:sz w:val="20"/>
          <w:szCs w:val="20"/>
          <w:color w:val="auto"/>
        </w:rPr>
      </w:pPr>
    </w:p>
    <w:p>
      <w:pPr>
        <w:ind w:right="360" w:firstLine="509"/>
        <w:spacing w:after="0" w:line="254" w:lineRule="auto"/>
        <w:rPr>
          <w:sz w:val="20"/>
          <w:szCs w:val="20"/>
          <w:color w:val="auto"/>
        </w:rPr>
      </w:pPr>
      <w:r>
        <w:rPr>
          <w:rFonts w:ascii="Calibri" w:cs="Calibri" w:eastAsia="Calibri" w:hAnsi="Calibri"/>
          <w:sz w:val="17"/>
          <w:szCs w:val="17"/>
          <w:color w:val="auto"/>
        </w:rPr>
        <w:t>Our cash and cash equivalents consist of cash in readily available checking accounts and money market funds. As a result, the fair value of our investment portolio is relatvely insensitve to interest rate changes. Additonally, our long-term debt bears interest at a variable rate. A 10% increase or decrease in the interest rate on our long-term debt would not have a material efect on our fnancial positon, results of operatons or cash fows.</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Efects of Infaton</w:t>
      </w:r>
    </w:p>
    <w:p>
      <w:pPr>
        <w:spacing w:after="0" w:line="190" w:lineRule="exact"/>
        <w:rPr>
          <w:sz w:val="20"/>
          <w:szCs w:val="20"/>
          <w:color w:val="auto"/>
        </w:rPr>
      </w:pPr>
    </w:p>
    <w:p>
      <w:pPr>
        <w:ind w:right="460" w:firstLine="509"/>
        <w:spacing w:after="0" w:line="235" w:lineRule="auto"/>
        <w:rPr>
          <w:sz w:val="20"/>
          <w:szCs w:val="20"/>
          <w:color w:val="auto"/>
        </w:rPr>
      </w:pPr>
      <w:r>
        <w:rPr>
          <w:rFonts w:ascii="Calibri" w:cs="Calibri" w:eastAsia="Calibri" w:hAnsi="Calibri"/>
          <w:sz w:val="18"/>
          <w:szCs w:val="18"/>
          <w:color w:val="auto"/>
        </w:rPr>
        <w:t>Infaton generally afects us by increasing our cost of labor and research and development contract costs. We do not believe infaton has had a material efect on our results of operatons during the periods presented.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8.  Financial Statements and Supplementary Data</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fnancial statements required pursuant to this item are incorporated by reference herein from the applicable informaton included in Item 15 of this annual report and are presented beginning on page F-1.</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6" w:right="359" w:bottom="1440" w:gutter="0" w:footer="0" w:header="0"/>
        </w:sectPr>
      </w:pPr>
    </w:p>
    <w:bookmarkStart w:id="115" w:name="page116"/>
    <w:bookmarkEnd w:id="115"/>
    <w:p>
      <w:pPr>
        <w:spacing w:after="0"/>
        <w:rPr>
          <w:sz w:val="20"/>
          <w:szCs w:val="20"/>
          <w:color w:val="auto"/>
        </w:rPr>
      </w:pPr>
      <w:r>
        <w:rPr>
          <w:rFonts w:ascii="Calibri" w:cs="Calibri" w:eastAsia="Calibri" w:hAnsi="Calibri"/>
          <w:sz w:val="18"/>
          <w:szCs w:val="18"/>
          <w:b w:val="1"/>
          <w:bCs w:val="1"/>
          <w:color w:val="auto"/>
        </w:rPr>
        <w:t>Item 9.  Changes in and Disagreements with Accountants on Accountng and Financial Disclosure</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172" w:lineRule="exact"/>
        <w:rPr>
          <w:sz w:val="20"/>
          <w:szCs w:val="20"/>
          <w:color w:val="auto"/>
        </w:rPr>
      </w:pPr>
    </w:p>
    <w:p>
      <w:pPr>
        <w:spacing w:after="0"/>
        <w:tabs>
          <w:tab w:leader="none" w:pos="940" w:val="left"/>
        </w:tabs>
        <w:rPr>
          <w:sz w:val="20"/>
          <w:szCs w:val="20"/>
          <w:color w:val="auto"/>
        </w:rPr>
      </w:pPr>
      <w:r>
        <w:rPr>
          <w:rFonts w:ascii="Calibri" w:cs="Calibri" w:eastAsia="Calibri" w:hAnsi="Calibri"/>
          <w:sz w:val="18"/>
          <w:szCs w:val="18"/>
          <w:b w:val="1"/>
          <w:bCs w:val="1"/>
          <w:color w:val="auto"/>
        </w:rPr>
        <w:t>Item 9A.</w:t>
      </w:r>
      <w:r>
        <w:rPr>
          <w:sz w:val="20"/>
          <w:szCs w:val="20"/>
          <w:color w:val="auto"/>
        </w:rPr>
        <w:tab/>
      </w:r>
      <w:r>
        <w:rPr>
          <w:rFonts w:ascii="Calibri" w:cs="Calibri" w:eastAsia="Calibri" w:hAnsi="Calibri"/>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Conclusion Regarding the Efectveness of Disclosure Controls and Procedures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maintain disclosure controls and procedures that are designed to ensure that informaton required to be disclosed in our periodic and current reports that we fle with the SEC is recorded, processed, summarized and reported within the tme periods specifed in the SEC’s rules and forms, and that such informaton is accumulated and communicated to our management, including our principal executve ofcer and principal fnancial ofcer, as appropriate, to allow tmely decisions regarding required disclosure. In designing and evaluatng the disclosure controls and procedures, management recognized that any controls and procedures, no mater how well designed and operated, can provide only reasonable and not absolute assurance of achieving the desired control objectves. In reaching a reasonable level of assurance, management necessarily was required to apply its judgment in evaluatng the cost-beneft relatonship of possible controls and procedures. In additon, the design of any system of controls also is based in part upon certain assumptons about the likelihood of future events, and there can be no assurance that any design will succeed in achieving its stated goals under all potental future conditons; over tme, control may become inadequate because of changes in conditons, or the degree of compliance with policies or procedures may deteriorate. Because of the inherent limitatons in a cost-efectve control system, misstatements due to error or fraud may occur and not be detected.</w:t>
      </w:r>
    </w:p>
    <w:p>
      <w:pPr>
        <w:spacing w:after="0" w:line="185" w:lineRule="exact"/>
        <w:rPr>
          <w:sz w:val="20"/>
          <w:szCs w:val="20"/>
          <w:color w:val="auto"/>
        </w:rPr>
      </w:pPr>
    </w:p>
    <w:p>
      <w:pPr>
        <w:ind w:right="280" w:firstLine="509"/>
        <w:spacing w:after="0" w:line="235" w:lineRule="auto"/>
        <w:rPr>
          <w:sz w:val="20"/>
          <w:szCs w:val="20"/>
          <w:color w:val="auto"/>
        </w:rPr>
      </w:pPr>
      <w:r>
        <w:rPr>
          <w:rFonts w:ascii="Calibri" w:cs="Calibri" w:eastAsia="Calibri" w:hAnsi="Calibri"/>
          <w:sz w:val="18"/>
          <w:szCs w:val="18"/>
          <w:color w:val="auto"/>
        </w:rPr>
        <w:t>Our management, with the partcipaton of our principal executve ofcer and principal fnancial ofcer, has evaluated the efectveness of our disclosure controls and procedures as defned in Rules 13a-15(e) and 15d-15(e) under the Exchange Act as of the end of the period covered by this annual report. Based on such evaluaton, our principal executve ofcer and principal fnancial ofcer have concluded that as of such date, our disclosure controls and procedures were efectve at the reasonable assurance level.</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Management’s Annual Report on Internal Control Over Financial Reportng</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Our management is responsible for establishing and maintaining adequate internal control over fnancial reportng (as defned in Rules 13a-15(f) and 15d-15(f) of the Exchange Act). Internal control over fnancial reportng is a process designed under the supervision and with the partcipaton of our management to provide reasonable assurance regarding the reliability of fnancial reportng and the preparaton of fnancial statements for external purposes in accordance with accountng principles generally accepted in the United States of America. Management conducted an assessment of the efectveness of our internal control over fnancial reportng based on the criteria set forth by the Commitee of Sponsoring Organizatons of the Treadway Commission in Internal Control—Integrated Framework (2013 Framework). Based on this assessment, our management concluded that, as of December 31, 2024, our internal control over fnancial reportng was efectve.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Atestaton Report of the Registered Public Accountng Firm</w:t>
      </w:r>
    </w:p>
    <w:p>
      <w:pPr>
        <w:spacing w:after="0" w:line="190" w:lineRule="exact"/>
        <w:rPr>
          <w:sz w:val="20"/>
          <w:szCs w:val="20"/>
          <w:color w:val="auto"/>
        </w:rPr>
      </w:pPr>
    </w:p>
    <w:p>
      <w:pPr>
        <w:ind w:right="820" w:firstLine="509"/>
        <w:spacing w:after="0" w:line="235" w:lineRule="auto"/>
        <w:rPr>
          <w:sz w:val="20"/>
          <w:szCs w:val="20"/>
          <w:color w:val="auto"/>
        </w:rPr>
      </w:pPr>
      <w:r>
        <w:rPr>
          <w:rFonts w:ascii="Calibri" w:cs="Calibri" w:eastAsia="Calibri" w:hAnsi="Calibri"/>
          <w:sz w:val="18"/>
          <w:szCs w:val="18"/>
          <w:color w:val="auto"/>
        </w:rPr>
        <w:t>This annual report does not include an atestaton report of our independent registered public accountng frm due to an exclusion for non-accelerated flers.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Changes in Internal Control Over Financial Reportng</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There have been no changes in our internal control over fnancial reportng during the fourth quarter ended December 31, 2024 that have materially afected, or are reasonably likely to materially afect, our internal control over fnancial reportng.</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9B. Other Informaton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Director and Ofcer Trading Arrangements: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Rule 10b5-1 Trading Plans</w:t>
      </w:r>
    </w:p>
    <w:p>
      <w:pPr>
        <w:spacing w:after="0" w:line="19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From tme to tme, our ofcers (as defned in Rule 16a-1(f) of the Exchange Act) and directors may enter into Rule 10b5-1 or non-Rule 10b5-1 trading arrangements (as each such term is defned in Item 408 of Regulaton S-K). During the three months ended December 31, 2024, none of our ofcers or directors adopted, modifed or terminated any such trading arrangements.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1" w:right="339" w:bottom="1440" w:gutter="0" w:footer="0" w:header="0"/>
        </w:sectPr>
      </w:pPr>
    </w:p>
    <w:bookmarkStart w:id="116" w:name="page117"/>
    <w:bookmarkEnd w:id="116"/>
    <w:p>
      <w:pPr>
        <w:spacing w:after="0"/>
        <w:rPr>
          <w:sz w:val="20"/>
          <w:szCs w:val="20"/>
          <w:color w:val="auto"/>
        </w:rPr>
      </w:pPr>
      <w:r>
        <w:rPr>
          <w:rFonts w:ascii="Calibri" w:cs="Calibri" w:eastAsia="Calibri" w:hAnsi="Calibri"/>
          <w:sz w:val="18"/>
          <w:szCs w:val="18"/>
          <w:b w:val="1"/>
          <w:bCs w:val="1"/>
          <w:color w:val="auto"/>
        </w:rPr>
        <w:t>Item 9C. Disclosure Regarding Foreign Jurisdicton that Prevent Inspecton</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Not applicable.</w:t>
      </w:r>
    </w:p>
    <w:p>
      <w:pPr>
        <w:jc w:val="center"/>
        <w:ind w:right="-79"/>
        <w:spacing w:after="0" w:line="235" w:lineRule="auto"/>
        <w:rPr>
          <w:sz w:val="20"/>
          <w:szCs w:val="20"/>
          <w:color w:val="auto"/>
        </w:rPr>
      </w:pPr>
      <w:r>
        <w:rPr>
          <w:rFonts w:ascii="Calibri" w:cs="Calibri" w:eastAsia="Calibri" w:hAnsi="Calibri"/>
          <w:sz w:val="18"/>
          <w:szCs w:val="18"/>
          <w:b w:val="1"/>
          <w:bCs w:val="1"/>
          <w:color w:val="auto"/>
        </w:rPr>
        <w:t>PART III</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10. Directors, Executve Ofcers and Corporate Governance</w:t>
      </w:r>
    </w:p>
    <w:p>
      <w:pPr>
        <w:spacing w:after="0" w:line="190" w:lineRule="exact"/>
        <w:rPr>
          <w:sz w:val="20"/>
          <w:szCs w:val="20"/>
          <w:color w:val="auto"/>
        </w:rPr>
      </w:pPr>
    </w:p>
    <w:p>
      <w:pPr>
        <w:ind w:right="20" w:firstLine="509"/>
        <w:spacing w:after="0" w:line="254" w:lineRule="auto"/>
        <w:rPr>
          <w:sz w:val="20"/>
          <w:szCs w:val="20"/>
          <w:color w:val="auto"/>
        </w:rPr>
      </w:pPr>
      <w:r>
        <w:rPr>
          <w:rFonts w:ascii="Calibri" w:cs="Calibri" w:eastAsia="Calibri" w:hAnsi="Calibri"/>
          <w:sz w:val="17"/>
          <w:szCs w:val="17"/>
          <w:color w:val="auto"/>
        </w:rPr>
        <w:t>The informaton required by this item will be contained in our Defnitve Proxy Statement to be fled with the SEC in connecton with our 2025 Annual Meetng of Stockholders, or the Defnitve Proxy Statement, which is expected to be fled not later than 120 days afer the end of our fscal year ended December 31, 2024, under the headings “Electon of Directors,” “Executve Ofcers,” “Corporate Governance,” and is incorporated herein by reference.</w:t>
      </w:r>
    </w:p>
    <w:p>
      <w:pPr>
        <w:spacing w:after="0" w:line="16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Insider Trading Policies and Procedures</w:t>
      </w:r>
    </w:p>
    <w:p>
      <w:pPr>
        <w:spacing w:after="0" w:line="177" w:lineRule="exact"/>
        <w:rPr>
          <w:sz w:val="20"/>
          <w:szCs w:val="20"/>
          <w:color w:val="auto"/>
        </w:rPr>
      </w:pPr>
    </w:p>
    <w:p>
      <w:pPr>
        <w:jc w:val="both"/>
        <w:ind w:right="200" w:firstLine="509"/>
        <w:spacing w:after="0" w:line="235" w:lineRule="auto"/>
        <w:rPr>
          <w:sz w:val="20"/>
          <w:szCs w:val="20"/>
          <w:color w:val="auto"/>
        </w:rPr>
      </w:pPr>
      <w:r>
        <w:rPr>
          <w:rFonts w:ascii="Calibri" w:cs="Calibri" w:eastAsia="Calibri" w:hAnsi="Calibri"/>
          <w:sz w:val="18"/>
          <w:szCs w:val="18"/>
          <w:color w:val="auto"/>
        </w:rPr>
        <w:t>We have adopted a formal policy against insider trading which provides guidelines to all of our directors, ofcers, employees, and consultants with respect to trading in our securites, as well as the securites of publicly traded companies with whom we have a business relatonship. This policy has been designed to prevent insider trading or even allegatons of insider trading.</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Code of Conduct and Ethics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We have adopted a Code of Conduct and Ethics that applies to our ofcers, directors and employees, which is available on our website at www.phathompharma.com. The Code of Conduct and Ethics contains general guidelines for conductng the business of our company consistent with the highest standards of business ethics and is intended to qualify as a “code of ethics” within the meaning of Secton 406 of the Sarbanes-Oxley Act of 2002 and Item 406 of Regulaton S-K. In additon, we intend to promptly disclose (1) the nature of any amendment to our Code of Business Conduct and Ethics that applies to our principal executve ofcer, principal fnancial ofcer, principal accountng ofcer or controller or persons performing similar functons and (2) the nature of any waiver, including an implicit waiver, from a provision of our code of ethics that is granted to one of these specifed ofcers, the name of such person who is granted the waiver and the date of the waiver on our website in the future.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11. Executive Compensaton</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“Executve Compensaton and Other Informaton” in our Defnitve Proxy Statement and is incorporated herein by reference.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12. Security Ownership of Certain Benefcial Owners and Management and Related Stockholder Maters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“Security Ownership of Certain Benefcial Owners and Management” in our Defnitve Proxy Statement and is incorporated herein by reference.</w:t>
      </w:r>
    </w:p>
    <w:p>
      <w:pPr>
        <w:spacing w:after="0" w:line="19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informaton required by Item 201(d) of Regulaton S-K will be set forth in the secton headed “Executve Compensaton and Other Informaton” in our Defnitve Proxy Statement and is incorporated herein by reference.</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13. Certain Relatonships and Related Transactons, and Director Independence</w:t>
      </w:r>
    </w:p>
    <w:p>
      <w:pPr>
        <w:spacing w:after="0" w:line="177" w:lineRule="exact"/>
        <w:rPr>
          <w:sz w:val="20"/>
          <w:szCs w:val="20"/>
          <w:color w:val="auto"/>
        </w:rPr>
      </w:pPr>
    </w:p>
    <w:p>
      <w:pPr>
        <w:ind w:right="44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“Certain Relatonships and Related Person Transactons,” “Director Independence” and “Board Commitees and Independence” in our Defnitve Proxy Statement and is incorporated herein by reference.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14. Principal Accountant Fees and Services</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informaton required by this item will be set forth in the secton headed “Independent Registered Public Accountng Firm's Fees” in our Defnitve Proxy Statement and is incorporated herein by reference.</w:t>
      </w:r>
    </w:p>
    <w:p>
      <w:pPr>
        <w:spacing w:after="0" w:line="2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41" w:right="399" w:bottom="1440" w:gutter="0" w:footer="0" w:header="0"/>
        </w:sectPr>
      </w:pPr>
    </w:p>
    <w:bookmarkStart w:id="117" w:name="page118"/>
    <w:bookmarkEnd w:id="117"/>
    <w:p>
      <w:pPr>
        <w:jc w:val="center"/>
        <w:ind w:right="-99"/>
        <w:spacing w:after="0"/>
        <w:rPr>
          <w:sz w:val="20"/>
          <w:szCs w:val="20"/>
          <w:color w:val="auto"/>
        </w:rPr>
      </w:pPr>
      <w:r>
        <w:rPr>
          <w:rFonts w:ascii="Calibri" w:cs="Calibri" w:eastAsia="Calibri" w:hAnsi="Calibri"/>
          <w:sz w:val="18"/>
          <w:szCs w:val="18"/>
          <w:b w:val="1"/>
          <w:bCs w:val="1"/>
          <w:color w:val="auto"/>
        </w:rPr>
        <w:t>PART IV</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15. Exhibits and Financial Statement Schedules</w:t>
      </w:r>
    </w:p>
    <w:p>
      <w:pPr>
        <w:spacing w:after="0" w:line="104" w:lineRule="exact"/>
        <w:rPr>
          <w:sz w:val="20"/>
          <w:szCs w:val="20"/>
          <w:color w:val="auto"/>
        </w:rPr>
      </w:pPr>
    </w:p>
    <w:p>
      <w:pPr>
        <w:ind w:left="520" w:hanging="512"/>
        <w:spacing w:after="0"/>
        <w:tabs>
          <w:tab w:leader="none" w:pos="520" w:val="left"/>
        </w:tabs>
        <w:numPr>
          <w:ilvl w:val="0"/>
          <w:numId w:val="58"/>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All fnancial statements.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fnancial statements of Phathom Pharmaceutcals, Inc., together with the report thereon of Ernst &amp; Young LLP, an independent registered public accountng frm, are included in this annual report on Form 10-K beginning on page F-1.</w:t>
      </w:r>
    </w:p>
    <w:p>
      <w:pPr>
        <w:spacing w:after="0" w:line="172" w:lineRule="exact"/>
        <w:rPr>
          <w:sz w:val="20"/>
          <w:szCs w:val="20"/>
          <w:color w:val="auto"/>
        </w:rPr>
      </w:pPr>
    </w:p>
    <w:p>
      <w:pPr>
        <w:ind w:left="520" w:hanging="512"/>
        <w:spacing w:after="0"/>
        <w:tabs>
          <w:tab w:leader="none" w:pos="520" w:val="left"/>
        </w:tabs>
        <w:numPr>
          <w:ilvl w:val="0"/>
          <w:numId w:val="59"/>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Financial statement schedules.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All schedules have been omited because the informaton required to be set forth therein is not applicable or is shown in the fnancial statements or notes thereto.</w:t>
      </w:r>
    </w:p>
    <w:p>
      <w:pPr>
        <w:spacing w:after="0" w:line="172" w:lineRule="exact"/>
        <w:rPr>
          <w:sz w:val="20"/>
          <w:szCs w:val="20"/>
          <w:color w:val="auto"/>
        </w:rPr>
      </w:pPr>
    </w:p>
    <w:p>
      <w:pPr>
        <w:ind w:left="520" w:hanging="512"/>
        <w:spacing w:after="0"/>
        <w:tabs>
          <w:tab w:leader="none" w:pos="520" w:val="left"/>
        </w:tabs>
        <w:numPr>
          <w:ilvl w:val="0"/>
          <w:numId w:val="60"/>
        </w:numPr>
        <w:rPr>
          <w:rFonts w:ascii="Calibri" w:cs="Calibri" w:eastAsia="Calibri" w:hAnsi="Calibri"/>
          <w:sz w:val="18"/>
          <w:szCs w:val="18"/>
          <w:b w:val="1"/>
          <w:bCs w:val="1"/>
          <w:color w:val="auto"/>
        </w:rPr>
      </w:pPr>
      <w:r>
        <w:rPr>
          <w:rFonts w:ascii="Calibri" w:cs="Calibri" w:eastAsia="Calibri" w:hAnsi="Calibri"/>
          <w:sz w:val="18"/>
          <w:szCs w:val="18"/>
          <w:b w:val="1"/>
          <w:bCs w:val="1"/>
          <w:color w:val="auto"/>
        </w:rPr>
        <w:t>Exhibits</w:t>
      </w:r>
    </w:p>
    <w:p>
      <w:pPr>
        <w:spacing w:after="0" w:line="17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A list of exhibits is set forth on the Exhibit Index immediately preceding the signature page of this annual report on Form 10-K and is incorporated herein by reference.</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Item 16. Form 10-K Summary</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52" w:right="479" w:bottom="1440" w:gutter="0" w:footer="0" w:header="0"/>
        </w:sectPr>
      </w:pPr>
    </w:p>
    <w:bookmarkStart w:id="118" w:name="page119"/>
    <w:bookmarkEnd w:id="118"/>
    <w:p>
      <w:pPr>
        <w:ind w:left="4480"/>
        <w:spacing w:after="0"/>
        <w:rPr>
          <w:sz w:val="20"/>
          <w:szCs w:val="20"/>
          <w:color w:val="auto"/>
        </w:rPr>
      </w:pPr>
      <w:r>
        <w:rPr>
          <w:rFonts w:ascii="Calibri" w:cs="Calibri" w:eastAsia="Calibri" w:hAnsi="Calibri"/>
          <w:sz w:val="18"/>
          <w:szCs w:val="18"/>
          <w:b w:val="1"/>
          <w:bCs w:val="1"/>
          <w:color w:val="auto"/>
        </w:rPr>
        <w:t>Phathom Pharmaceutcals, Inc.</w:t>
      </w:r>
    </w:p>
    <w:p>
      <w:pPr>
        <w:spacing w:after="0" w:line="104" w:lineRule="exact"/>
        <w:rPr>
          <w:sz w:val="20"/>
          <w:szCs w:val="20"/>
          <w:color w:val="auto"/>
        </w:rPr>
      </w:pPr>
    </w:p>
    <w:p>
      <w:pPr>
        <w:ind w:left="4520"/>
        <w:spacing w:after="0"/>
        <w:rPr>
          <w:sz w:val="20"/>
          <w:szCs w:val="20"/>
          <w:color w:val="auto"/>
        </w:rPr>
      </w:pPr>
      <w:r>
        <w:rPr>
          <w:rFonts w:ascii="Calibri" w:cs="Calibri" w:eastAsia="Calibri" w:hAnsi="Calibri"/>
          <w:sz w:val="18"/>
          <w:szCs w:val="18"/>
          <w:b w:val="1"/>
          <w:bCs w:val="1"/>
          <w:color w:val="auto"/>
        </w:rPr>
        <w:t>Index to Financial Statements</w:t>
      </w:r>
    </w:p>
    <w:p>
      <w:pPr>
        <w:spacing w:after="0" w:line="278"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660" w:type="dxa"/>
            <w:vAlign w:val="bottom"/>
            <w:tcBorders>
              <w:bottom w:val="single" w:sz="8" w:color="auto"/>
            </w:tcBorders>
          </w:tcPr>
          <w:p>
            <w:pPr>
              <w:ind w:left="180"/>
              <w:spacing w:after="0"/>
              <w:rPr>
                <w:sz w:val="20"/>
                <w:szCs w:val="20"/>
                <w:color w:val="auto"/>
              </w:rPr>
            </w:pPr>
            <w:r>
              <w:rPr>
                <w:rFonts w:ascii="Calibri" w:cs="Calibri" w:eastAsia="Calibri" w:hAnsi="Calibri"/>
                <w:sz w:val="14"/>
                <w:szCs w:val="14"/>
                <w:b w:val="1"/>
                <w:bCs w:val="1"/>
                <w:color w:val="auto"/>
              </w:rPr>
              <w:t>Page</w:t>
            </w:r>
          </w:p>
        </w:tc>
      </w:tr>
      <w:tr>
        <w:trPr>
          <w:trHeight w:val="243"/>
        </w:trPr>
        <w:tc>
          <w:tcPr>
            <w:tcW w:w="5360" w:type="dxa"/>
            <w:vAlign w:val="bottom"/>
            <w:gridSpan w:val="8"/>
          </w:tcPr>
          <w:p>
            <w:pPr>
              <w:ind w:left="20"/>
              <w:spacing w:after="0"/>
              <w:rPr>
                <w:sz w:val="20"/>
                <w:szCs w:val="20"/>
                <w:color w:val="auto"/>
              </w:rPr>
            </w:pPr>
            <w:r>
              <w:rPr>
                <w:rFonts w:ascii="Calibri" w:cs="Calibri" w:eastAsia="Calibri" w:hAnsi="Calibri"/>
                <w:sz w:val="18"/>
                <w:szCs w:val="18"/>
                <w:color w:val="0000FF"/>
              </w:rPr>
              <w:t xml:space="preserve">Report of Independent Registered Public Accountng Firm </w:t>
            </w:r>
            <w:r>
              <w:rPr>
                <w:rFonts w:ascii="Calibri" w:cs="Calibri" w:eastAsia="Calibri" w:hAnsi="Calibri"/>
                <w:sz w:val="18"/>
                <w:szCs w:val="18"/>
                <w:color w:val="000000"/>
              </w:rPr>
              <w:t>(PCAOB ID: 42)</w:t>
            </w:r>
          </w:p>
        </w:tc>
        <w:tc>
          <w:tcPr>
            <w:tcW w:w="5220" w:type="dxa"/>
            <w:vAlign w:val="bottom"/>
          </w:tcPr>
          <w:p>
            <w:pPr>
              <w:spacing w:after="0"/>
              <w:rPr>
                <w:sz w:val="21"/>
                <w:szCs w:val="21"/>
                <w:color w:val="auto"/>
              </w:rPr>
            </w:pPr>
          </w:p>
        </w:tc>
        <w:tc>
          <w:tcPr>
            <w:tcW w:w="660" w:type="dxa"/>
            <w:vAlign w:val="bottom"/>
          </w:tcPr>
          <w:p>
            <w:pPr>
              <w:ind w:left="420"/>
              <w:spacing w:after="0"/>
              <w:rPr>
                <w:sz w:val="20"/>
                <w:szCs w:val="20"/>
                <w:color w:val="auto"/>
              </w:rPr>
            </w:pPr>
            <w:r>
              <w:rPr>
                <w:rFonts w:ascii="Calibri" w:cs="Calibri" w:eastAsia="Calibri" w:hAnsi="Calibri"/>
                <w:sz w:val="18"/>
                <w:szCs w:val="18"/>
                <w:color w:val="auto"/>
                <w:w w:val="95"/>
              </w:rPr>
              <w:t>F-2</w:t>
            </w:r>
          </w:p>
        </w:tc>
      </w:tr>
      <w:tr>
        <w:trPr>
          <w:trHeight w:val="196"/>
        </w:trPr>
        <w:tc>
          <w:tcPr>
            <w:tcW w:w="1100" w:type="dxa"/>
            <w:vAlign w:val="bottom"/>
            <w:tcBorders>
              <w:top w:val="single" w:sz="8" w:color="0000FF"/>
              <w:bottom w:val="single" w:sz="8" w:color="0000FF"/>
            </w:tcBorders>
          </w:tcPr>
          <w:p>
            <w:pPr>
              <w:ind w:left="20"/>
              <w:spacing w:after="0" w:line="196" w:lineRule="exact"/>
              <w:rPr>
                <w:sz w:val="20"/>
                <w:szCs w:val="20"/>
                <w:color w:val="auto"/>
              </w:rPr>
            </w:pPr>
            <w:r>
              <w:rPr>
                <w:rFonts w:ascii="Calibri" w:cs="Calibri" w:eastAsia="Calibri" w:hAnsi="Calibri"/>
                <w:sz w:val="18"/>
                <w:szCs w:val="18"/>
                <w:color w:val="0000FF"/>
                <w:w w:val="96"/>
              </w:rPr>
              <w:t>Balance Sheets</w:t>
            </w:r>
          </w:p>
        </w:tc>
        <w:tc>
          <w:tcPr>
            <w:tcW w:w="20" w:type="dxa"/>
            <w:vAlign w:val="bottom"/>
            <w:tcBorders>
              <w:top w:val="single" w:sz="8" w:color="0000FF"/>
              <w:bottom w:val="single" w:sz="8" w:color="0000EE"/>
            </w:tcBorders>
          </w:tcPr>
          <w:p>
            <w:pPr>
              <w:spacing w:after="0"/>
              <w:rPr>
                <w:sz w:val="17"/>
                <w:szCs w:val="17"/>
                <w:color w:val="auto"/>
              </w:rPr>
            </w:pPr>
          </w:p>
        </w:tc>
        <w:tc>
          <w:tcPr>
            <w:tcW w:w="3000" w:type="dxa"/>
            <w:vAlign w:val="bottom"/>
            <w:tcBorders>
              <w:top w:val="single" w:sz="8" w:color="0000FF"/>
            </w:tcBorders>
            <w:gridSpan w:val="5"/>
          </w:tcPr>
          <w:p>
            <w:pPr>
              <w:spacing w:after="0"/>
              <w:rPr>
                <w:sz w:val="17"/>
                <w:szCs w:val="17"/>
                <w:color w:val="auto"/>
              </w:rPr>
            </w:pPr>
          </w:p>
        </w:tc>
        <w:tc>
          <w:tcPr>
            <w:tcW w:w="124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Calibri" w:cs="Calibri" w:eastAsia="Calibri" w:hAnsi="Calibri"/>
                <w:sz w:val="18"/>
                <w:szCs w:val="18"/>
                <w:color w:val="auto"/>
                <w:w w:val="95"/>
              </w:rPr>
              <w:t>F-4</w:t>
            </w:r>
          </w:p>
        </w:tc>
      </w:tr>
      <w:tr>
        <w:trPr>
          <w:trHeight w:val="196"/>
        </w:trPr>
        <w:tc>
          <w:tcPr>
            <w:tcW w:w="5360" w:type="dxa"/>
            <w:vAlign w:val="bottom"/>
            <w:gridSpan w:val="8"/>
          </w:tcPr>
          <w:p>
            <w:pPr>
              <w:ind w:left="20"/>
              <w:spacing w:after="0" w:line="196" w:lineRule="exact"/>
              <w:rPr>
                <w:sz w:val="20"/>
                <w:szCs w:val="20"/>
                <w:color w:val="auto"/>
              </w:rPr>
            </w:pPr>
            <w:r>
              <w:rPr>
                <w:rFonts w:ascii="Calibri" w:cs="Calibri" w:eastAsia="Calibri" w:hAnsi="Calibri"/>
                <w:sz w:val="18"/>
                <w:szCs w:val="18"/>
                <w:color w:val="0000FF"/>
              </w:rPr>
              <w:t>Statements of Operatons and Comprehensive Loss</w:t>
            </w:r>
          </w:p>
        </w:tc>
        <w:tc>
          <w:tcPr>
            <w:tcW w:w="5220" w:type="dxa"/>
            <w:vAlign w:val="bottom"/>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Calibri" w:cs="Calibri" w:eastAsia="Calibri" w:hAnsi="Calibri"/>
                <w:sz w:val="18"/>
                <w:szCs w:val="18"/>
                <w:color w:val="auto"/>
                <w:w w:val="95"/>
              </w:rPr>
              <w:t>F-5</w:t>
            </w:r>
          </w:p>
        </w:tc>
      </w:tr>
      <w:tr>
        <w:trPr>
          <w:trHeight w:val="196"/>
        </w:trPr>
        <w:tc>
          <w:tcPr>
            <w:tcW w:w="3660" w:type="dxa"/>
            <w:vAlign w:val="bottom"/>
            <w:tcBorders>
              <w:top w:val="single" w:sz="8" w:color="0000FF"/>
            </w:tcBorders>
            <w:gridSpan w:val="6"/>
          </w:tcPr>
          <w:p>
            <w:pPr>
              <w:ind w:left="20"/>
              <w:spacing w:after="0" w:line="196" w:lineRule="exact"/>
              <w:rPr>
                <w:sz w:val="20"/>
                <w:szCs w:val="20"/>
                <w:color w:val="auto"/>
              </w:rPr>
            </w:pPr>
            <w:r>
              <w:rPr>
                <w:rFonts w:ascii="Calibri" w:cs="Calibri" w:eastAsia="Calibri" w:hAnsi="Calibri"/>
                <w:sz w:val="18"/>
                <w:szCs w:val="18"/>
                <w:color w:val="0000FF"/>
              </w:rPr>
              <w:t>Statements of Stockholders’ Defcit</w:t>
            </w:r>
          </w:p>
        </w:tc>
        <w:tc>
          <w:tcPr>
            <w:tcW w:w="1700" w:type="dxa"/>
            <w:vAlign w:val="bottom"/>
            <w:gridSpan w:val="2"/>
          </w:tcPr>
          <w:p>
            <w:pPr>
              <w:spacing w:after="0"/>
              <w:rPr>
                <w:sz w:val="17"/>
                <w:szCs w:val="17"/>
                <w:color w:val="auto"/>
              </w:rPr>
            </w:pPr>
          </w:p>
        </w:tc>
        <w:tc>
          <w:tcPr>
            <w:tcW w:w="5220" w:type="dxa"/>
            <w:vAlign w:val="bottom"/>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Calibri" w:cs="Calibri" w:eastAsia="Calibri" w:hAnsi="Calibri"/>
                <w:sz w:val="18"/>
                <w:szCs w:val="18"/>
                <w:color w:val="auto"/>
                <w:w w:val="95"/>
              </w:rPr>
              <w:t>F-6</w:t>
            </w:r>
          </w:p>
        </w:tc>
      </w:tr>
      <w:tr>
        <w:trPr>
          <w:trHeight w:val="196"/>
        </w:trPr>
        <w:tc>
          <w:tcPr>
            <w:tcW w:w="2520" w:type="dxa"/>
            <w:vAlign w:val="bottom"/>
            <w:tcBorders>
              <w:top w:val="single" w:sz="8" w:color="0000FF"/>
            </w:tcBorders>
            <w:gridSpan w:val="5"/>
          </w:tcPr>
          <w:p>
            <w:pPr>
              <w:ind w:left="20"/>
              <w:spacing w:after="0" w:line="196" w:lineRule="exact"/>
              <w:rPr>
                <w:sz w:val="20"/>
                <w:szCs w:val="20"/>
                <w:color w:val="auto"/>
              </w:rPr>
            </w:pPr>
            <w:r>
              <w:rPr>
                <w:rFonts w:ascii="Calibri" w:cs="Calibri" w:eastAsia="Calibri" w:hAnsi="Calibri"/>
                <w:sz w:val="18"/>
                <w:szCs w:val="18"/>
                <w:color w:val="0000FF"/>
              </w:rPr>
              <w:t>Statements of Cash Flows</w:t>
            </w:r>
          </w:p>
        </w:tc>
        <w:tc>
          <w:tcPr>
            <w:tcW w:w="2840" w:type="dxa"/>
            <w:vAlign w:val="bottom"/>
            <w:gridSpan w:val="3"/>
          </w:tcPr>
          <w:p>
            <w:pPr>
              <w:spacing w:after="0"/>
              <w:rPr>
                <w:sz w:val="17"/>
                <w:szCs w:val="17"/>
                <w:color w:val="auto"/>
              </w:rPr>
            </w:pPr>
          </w:p>
        </w:tc>
        <w:tc>
          <w:tcPr>
            <w:tcW w:w="5220" w:type="dxa"/>
            <w:vAlign w:val="bottom"/>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Calibri" w:cs="Calibri" w:eastAsia="Calibri" w:hAnsi="Calibri"/>
                <w:sz w:val="18"/>
                <w:szCs w:val="18"/>
                <w:color w:val="auto"/>
                <w:w w:val="95"/>
              </w:rPr>
              <w:t>F-7</w:t>
            </w:r>
          </w:p>
        </w:tc>
      </w:tr>
      <w:tr>
        <w:trPr>
          <w:trHeight w:val="20"/>
        </w:trPr>
        <w:tc>
          <w:tcPr>
            <w:tcW w:w="1860" w:type="dxa"/>
            <w:vAlign w:val="bottom"/>
            <w:tcBorders>
              <w:left w:val="single" w:sz="8" w:color="0000EE"/>
              <w:right w:val="single" w:sz="8" w:color="0000EE"/>
            </w:tcBorders>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0" w:type="dxa"/>
            <w:vAlign w:val="bottom"/>
            <w:gridSpan w:val="4"/>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96"/>
        </w:trPr>
        <w:tc>
          <w:tcPr>
            <w:tcW w:w="5360" w:type="dxa"/>
            <w:vAlign w:val="bottom"/>
            <w:gridSpan w:val="8"/>
          </w:tcPr>
          <w:p>
            <w:pPr>
              <w:ind w:left="20"/>
              <w:spacing w:after="0" w:line="196" w:lineRule="exact"/>
              <w:rPr>
                <w:sz w:val="20"/>
                <w:szCs w:val="20"/>
                <w:color w:val="auto"/>
              </w:rPr>
            </w:pPr>
            <w:r>
              <w:rPr>
                <w:rFonts w:ascii="Calibri" w:cs="Calibri" w:eastAsia="Calibri" w:hAnsi="Calibri"/>
                <w:sz w:val="18"/>
                <w:szCs w:val="18"/>
                <w:color w:val="0000FF"/>
              </w:rPr>
              <w:t>Notes to Financial Statements</w:t>
            </w:r>
          </w:p>
        </w:tc>
        <w:tc>
          <w:tcPr>
            <w:tcW w:w="5220" w:type="dxa"/>
            <w:vAlign w:val="bottom"/>
          </w:tcPr>
          <w:p>
            <w:pPr>
              <w:spacing w:after="0"/>
              <w:rPr>
                <w:sz w:val="17"/>
                <w:szCs w:val="17"/>
                <w:color w:val="auto"/>
              </w:rPr>
            </w:pPr>
          </w:p>
        </w:tc>
        <w:tc>
          <w:tcPr>
            <w:tcW w:w="660" w:type="dxa"/>
            <w:vAlign w:val="bottom"/>
          </w:tcPr>
          <w:p>
            <w:pPr>
              <w:ind w:left="420"/>
              <w:spacing w:after="0" w:line="196" w:lineRule="exact"/>
              <w:rPr>
                <w:sz w:val="20"/>
                <w:szCs w:val="20"/>
                <w:color w:val="auto"/>
              </w:rPr>
            </w:pPr>
            <w:r>
              <w:rPr>
                <w:rFonts w:ascii="Calibri" w:cs="Calibri" w:eastAsia="Calibri" w:hAnsi="Calibri"/>
                <w:sz w:val="18"/>
                <w:szCs w:val="18"/>
                <w:color w:val="auto"/>
                <w:w w:val="95"/>
              </w:rPr>
              <w:t>F-8</w:t>
            </w:r>
          </w:p>
        </w:tc>
      </w:tr>
      <w:tr>
        <w:trPr>
          <w:trHeight w:val="898"/>
        </w:trPr>
        <w:tc>
          <w:tcPr>
            <w:tcW w:w="1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F-1</w:t>
            </w:r>
          </w:p>
        </w:tc>
      </w:tr>
      <w:tr>
        <w:trPr>
          <w:trHeight w:val="763"/>
        </w:trPr>
        <w:tc>
          <w:tcPr>
            <w:tcW w:w="1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9" w:name="page120"/>
    <w:bookmarkEnd w:id="119"/>
    <w:p>
      <w:pPr>
        <w:jc w:val="center"/>
        <w:ind w:right="20"/>
        <w:spacing w:after="0"/>
        <w:rPr>
          <w:sz w:val="20"/>
          <w:szCs w:val="20"/>
          <w:color w:val="auto"/>
        </w:rPr>
      </w:pPr>
      <w:r>
        <w:rPr>
          <w:rFonts w:ascii="Calibri" w:cs="Calibri" w:eastAsia="Calibri" w:hAnsi="Calibri"/>
          <w:sz w:val="18"/>
          <w:szCs w:val="18"/>
          <w:b w:val="1"/>
          <w:bCs w:val="1"/>
          <w:color w:val="auto"/>
        </w:rPr>
        <w:t>Report of Independent Registered Public Accountng Firm</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color w:val="auto"/>
        </w:rPr>
        <w:t>To the Stockholders and the Board of Directors of Phathom Pharmaceutcals, Inc.</w:t>
      </w:r>
    </w:p>
    <w:p>
      <w:pPr>
        <w:spacing w:after="0" w:line="21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Opinion on the Financial Statements</w:t>
      </w:r>
    </w:p>
    <w:p>
      <w:pPr>
        <w:spacing w:after="0" w:line="217"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have audited the accompanying balance sheets of Phathom Pharmaceutcals, Inc. (the Company) as of December 31, 2024 and 2023, the related statements of operatons and comprehensive loss, stockholders' defcit and cash fows for each of the two years in the period ended December 31, 2024, and the related notes (collectvely referred to as the “fnancial statements”). In our opinion, the fnancial statements present fairly, in all material respects, the fnancial positon of the Company at December 31, 2024 and 2023, and the results of its operatons and its cash fows for each of the two years in the period ended December 31, 2024, in conformity with U.S. generally accepted accountng principles.</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Basis for Opinion</w:t>
      </w:r>
    </w:p>
    <w:p>
      <w:pPr>
        <w:spacing w:after="0" w:line="217" w:lineRule="exact"/>
        <w:rPr>
          <w:sz w:val="20"/>
          <w:szCs w:val="20"/>
          <w:color w:val="auto"/>
        </w:rPr>
      </w:pPr>
    </w:p>
    <w:p>
      <w:pPr>
        <w:ind w:right="60"/>
        <w:spacing w:after="0" w:line="235" w:lineRule="auto"/>
        <w:rPr>
          <w:sz w:val="20"/>
          <w:szCs w:val="20"/>
          <w:color w:val="auto"/>
        </w:rPr>
      </w:pPr>
      <w:r>
        <w:rPr>
          <w:rFonts w:ascii="Calibri" w:cs="Calibri" w:eastAsia="Calibri" w:hAnsi="Calibri"/>
          <w:sz w:val="18"/>
          <w:szCs w:val="18"/>
          <w:color w:val="auto"/>
        </w:rPr>
        <w:t>These fnancial statements are the responsibility of the Company's management. Our responsibility is to express an opinion on the Company’s fnancial statements based on our audits. We are a public accountng frm registered with the Public Company Accountng Oversight Board (United States) (PCAOB) and are required to be independent with respect to the Company in accordance with the U.S. federal securites laws and the applicable rules and regulatons of the Securites and Exchange Commission and the PCAOB.</w:t>
      </w:r>
    </w:p>
    <w:p>
      <w:pPr>
        <w:spacing w:after="0" w:line="219" w:lineRule="exact"/>
        <w:rPr>
          <w:sz w:val="20"/>
          <w:szCs w:val="20"/>
          <w:color w:val="auto"/>
        </w:rPr>
      </w:pPr>
    </w:p>
    <w:p>
      <w:pPr>
        <w:ind w:right="20"/>
        <w:spacing w:after="0" w:line="235" w:lineRule="auto"/>
        <w:rPr>
          <w:sz w:val="20"/>
          <w:szCs w:val="20"/>
          <w:color w:val="auto"/>
        </w:rPr>
      </w:pPr>
      <w:r>
        <w:rPr>
          <w:rFonts w:ascii="Calibri" w:cs="Calibri" w:eastAsia="Calibri" w:hAnsi="Calibri"/>
          <w:sz w:val="18"/>
          <w:szCs w:val="18"/>
          <w:color w:val="auto"/>
        </w:rPr>
        <w:t>We conducted our audits in accordance with the standards of the PCAOB. Those standards require that we plan and perform the audit to obtain reasonable assurance about whether the fnancial statements are free of material misstatement, whether due to error or fraud. The Company is not required to have, nor were we engaged to perform, an audit of its internal control over fnancial reportng. As part of our audits we are required to obtain an understanding of internal control over fnancial reportng but not for the purpose of expressing an opinion on the efectveness of the Company's internal control over fnancial reportng. Accordingly, we express no such opinion.</w:t>
      </w:r>
    </w:p>
    <w:p>
      <w:pPr>
        <w:spacing w:after="0" w:line="220" w:lineRule="exact"/>
        <w:rPr>
          <w:sz w:val="20"/>
          <w:szCs w:val="20"/>
          <w:color w:val="auto"/>
        </w:rPr>
      </w:pPr>
    </w:p>
    <w:p>
      <w:pPr>
        <w:ind w:right="140"/>
        <w:spacing w:after="0" w:line="235" w:lineRule="auto"/>
        <w:rPr>
          <w:sz w:val="20"/>
          <w:szCs w:val="20"/>
          <w:color w:val="auto"/>
        </w:rPr>
      </w:pPr>
      <w:r>
        <w:rPr>
          <w:rFonts w:ascii="Calibri" w:cs="Calibri" w:eastAsia="Calibri" w:hAnsi="Calibri"/>
          <w:sz w:val="18"/>
          <w:szCs w:val="18"/>
          <w:color w:val="auto"/>
        </w:rPr>
        <w:t>Our audits included performing procedures to assess the risks of material misstatement of the fnancial statements, whether due to error or fraud, and performing procedures that respond to those risks. Such procedures included examining, on a test basis, evidence regarding the amounts and disclosures in the fnancial statements. Our audits also included evaluatng the accountng principles used and signifcant estmates made by management, as well as evaluatng the overall presentaton of the fnancial statements. We believe that our audits provide a reasonable basis for our opinion.</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Critcal Audit Mater</w:t>
      </w:r>
    </w:p>
    <w:p>
      <w:pPr>
        <w:spacing w:after="0" w:line="217" w:lineRule="exact"/>
        <w:rPr>
          <w:sz w:val="20"/>
          <w:szCs w:val="20"/>
          <w:color w:val="auto"/>
        </w:rPr>
      </w:pPr>
    </w:p>
    <w:p>
      <w:pPr>
        <w:ind w:right="100"/>
        <w:spacing w:after="0" w:line="235" w:lineRule="auto"/>
        <w:rPr>
          <w:sz w:val="20"/>
          <w:szCs w:val="20"/>
          <w:color w:val="auto"/>
        </w:rPr>
      </w:pPr>
      <w:r>
        <w:rPr>
          <w:rFonts w:ascii="Calibri" w:cs="Calibri" w:eastAsia="Calibri" w:hAnsi="Calibri"/>
          <w:sz w:val="18"/>
          <w:szCs w:val="18"/>
          <w:color w:val="auto"/>
        </w:rPr>
        <w:t>The critcal audit mater communicated below is a mater arising from the current period audit of the fnancial statements that was communicated or required to be communicated to the audit commitee and that: (1) relates to accounts or disclosures that are material to the fnancial statements and (2) involved our especially challenging, subjectve or complex judgments. The communicaton of the critcal audit mater does not alter in any way our opinion on the fnancial statements, taken as a whole, and we are not, by communicatng the critcal audit mater below, providing a separate opinion on the critcal audit mater or on the account or disclosure to which it relates.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720" w:type="dxa"/>
            <w:vAlign w:val="bottom"/>
          </w:tcPr>
          <w:p>
            <w:pPr>
              <w:spacing w:after="0"/>
              <w:rPr>
                <w:sz w:val="19"/>
                <w:szCs w:val="19"/>
                <w:color w:val="auto"/>
              </w:rPr>
            </w:pPr>
          </w:p>
        </w:tc>
        <w:tc>
          <w:tcPr>
            <w:tcW w:w="9520" w:type="dxa"/>
            <w:vAlign w:val="bottom"/>
          </w:tcPr>
          <w:p>
            <w:pPr>
              <w:ind w:left="340"/>
              <w:spacing w:after="0"/>
              <w:rPr>
                <w:sz w:val="20"/>
                <w:szCs w:val="20"/>
                <w:color w:val="auto"/>
              </w:rPr>
            </w:pPr>
            <w:r>
              <w:rPr>
                <w:rFonts w:ascii="Calibri" w:cs="Calibri" w:eastAsia="Calibri" w:hAnsi="Calibri"/>
                <w:sz w:val="18"/>
                <w:szCs w:val="18"/>
                <w:b w:val="1"/>
                <w:bCs w:val="1"/>
                <w:i w:val="1"/>
                <w:iCs w:val="1"/>
                <w:color w:val="auto"/>
              </w:rPr>
              <w:t>Reserve for Product Returns</w:t>
            </w:r>
          </w:p>
        </w:tc>
      </w:tr>
      <w:tr>
        <w:trPr>
          <w:trHeight w:val="432"/>
        </w:trPr>
        <w:tc>
          <w:tcPr>
            <w:tcW w:w="1720" w:type="dxa"/>
            <w:vAlign w:val="bottom"/>
          </w:tcPr>
          <w:p>
            <w:pPr>
              <w:ind w:left="120"/>
              <w:spacing w:after="0"/>
              <w:rPr>
                <w:sz w:val="20"/>
                <w:szCs w:val="20"/>
                <w:color w:val="auto"/>
              </w:rPr>
            </w:pPr>
            <w:r>
              <w:rPr>
                <w:rFonts w:ascii="Calibri" w:cs="Calibri" w:eastAsia="Calibri" w:hAnsi="Calibri"/>
                <w:sz w:val="18"/>
                <w:szCs w:val="18"/>
                <w:i w:val="1"/>
                <w:iCs w:val="1"/>
                <w:color w:val="auto"/>
              </w:rPr>
              <w:t>Descripton of the</w:t>
            </w:r>
          </w:p>
        </w:tc>
        <w:tc>
          <w:tcPr>
            <w:tcW w:w="9520" w:type="dxa"/>
            <w:vAlign w:val="bottom"/>
          </w:tcPr>
          <w:p>
            <w:pPr>
              <w:ind w:left="340"/>
              <w:spacing w:after="0"/>
              <w:rPr>
                <w:sz w:val="20"/>
                <w:szCs w:val="20"/>
                <w:color w:val="auto"/>
              </w:rPr>
            </w:pPr>
            <w:r>
              <w:rPr>
                <w:rFonts w:ascii="Calibri" w:cs="Calibri" w:eastAsia="Calibri" w:hAnsi="Calibri"/>
                <w:sz w:val="18"/>
                <w:szCs w:val="18"/>
                <w:color w:val="auto"/>
              </w:rPr>
              <w:t>During the year ended December 31, 2024, the Company’s net product revenues were $55.3 million.</w:t>
            </w:r>
          </w:p>
        </w:tc>
      </w:tr>
      <w:tr>
        <w:trPr>
          <w:trHeight w:val="216"/>
        </w:trPr>
        <w:tc>
          <w:tcPr>
            <w:tcW w:w="1720" w:type="dxa"/>
            <w:vAlign w:val="bottom"/>
          </w:tcPr>
          <w:p>
            <w:pPr>
              <w:ind w:left="120"/>
              <w:spacing w:after="0" w:line="216" w:lineRule="exact"/>
              <w:rPr>
                <w:sz w:val="20"/>
                <w:szCs w:val="20"/>
                <w:color w:val="auto"/>
              </w:rPr>
            </w:pPr>
            <w:r>
              <w:rPr>
                <w:rFonts w:ascii="Calibri" w:cs="Calibri" w:eastAsia="Calibri" w:hAnsi="Calibri"/>
                <w:sz w:val="18"/>
                <w:szCs w:val="18"/>
                <w:i w:val="1"/>
                <w:iCs w:val="1"/>
                <w:color w:val="auto"/>
              </w:rPr>
              <w:t>Mater</w:t>
            </w:r>
          </w:p>
        </w:tc>
        <w:tc>
          <w:tcPr>
            <w:tcW w:w="9520" w:type="dxa"/>
            <w:vAlign w:val="bottom"/>
          </w:tcPr>
          <w:p>
            <w:pPr>
              <w:ind w:left="340"/>
              <w:spacing w:after="0" w:line="216" w:lineRule="exact"/>
              <w:rPr>
                <w:sz w:val="20"/>
                <w:szCs w:val="20"/>
                <w:color w:val="auto"/>
              </w:rPr>
            </w:pPr>
            <w:r>
              <w:rPr>
                <w:rFonts w:ascii="Calibri" w:cs="Calibri" w:eastAsia="Calibri" w:hAnsi="Calibri"/>
                <w:sz w:val="18"/>
                <w:szCs w:val="18"/>
                <w:color w:val="auto"/>
              </w:rPr>
              <w:t>As explained in Note 1 of the fnancial statements, net product revenue includes estmates of variable</w:t>
            </w:r>
          </w:p>
        </w:tc>
      </w:tr>
      <w:tr>
        <w:trPr>
          <w:trHeight w:val="216"/>
        </w:trPr>
        <w:tc>
          <w:tcPr>
            <w:tcW w:w="1720" w:type="dxa"/>
            <w:vAlign w:val="bottom"/>
          </w:tcPr>
          <w:p>
            <w:pPr>
              <w:spacing w:after="0"/>
              <w:rPr>
                <w:sz w:val="18"/>
                <w:szCs w:val="18"/>
                <w:color w:val="auto"/>
              </w:rPr>
            </w:pPr>
          </w:p>
        </w:tc>
        <w:tc>
          <w:tcPr>
            <w:tcW w:w="9520" w:type="dxa"/>
            <w:vAlign w:val="bottom"/>
          </w:tcPr>
          <w:p>
            <w:pPr>
              <w:ind w:left="340"/>
              <w:spacing w:after="0" w:line="216" w:lineRule="exact"/>
              <w:rPr>
                <w:sz w:val="20"/>
                <w:szCs w:val="20"/>
                <w:color w:val="auto"/>
              </w:rPr>
            </w:pPr>
            <w:r>
              <w:rPr>
                <w:rFonts w:ascii="Calibri" w:cs="Calibri" w:eastAsia="Calibri" w:hAnsi="Calibri"/>
                <w:sz w:val="18"/>
                <w:szCs w:val="18"/>
                <w:color w:val="auto"/>
              </w:rPr>
              <w:t>consideraton for which reserves are established, including the reserve for product returns. The</w:t>
            </w:r>
          </w:p>
        </w:tc>
      </w:tr>
      <w:tr>
        <w:trPr>
          <w:trHeight w:val="216"/>
        </w:trPr>
        <w:tc>
          <w:tcPr>
            <w:tcW w:w="1720" w:type="dxa"/>
            <w:vAlign w:val="bottom"/>
          </w:tcPr>
          <w:p>
            <w:pPr>
              <w:spacing w:after="0"/>
              <w:rPr>
                <w:sz w:val="18"/>
                <w:szCs w:val="18"/>
                <w:color w:val="auto"/>
              </w:rPr>
            </w:pPr>
          </w:p>
        </w:tc>
        <w:tc>
          <w:tcPr>
            <w:tcW w:w="9520" w:type="dxa"/>
            <w:vAlign w:val="bottom"/>
          </w:tcPr>
          <w:p>
            <w:pPr>
              <w:ind w:left="340"/>
              <w:spacing w:after="0" w:line="216" w:lineRule="exact"/>
              <w:rPr>
                <w:sz w:val="20"/>
                <w:szCs w:val="20"/>
                <w:color w:val="auto"/>
              </w:rPr>
            </w:pPr>
            <w:r>
              <w:rPr>
                <w:rFonts w:ascii="Calibri" w:cs="Calibri" w:eastAsia="Calibri" w:hAnsi="Calibri"/>
                <w:sz w:val="18"/>
                <w:szCs w:val="18"/>
                <w:color w:val="auto"/>
              </w:rPr>
              <w:t>Company provides customers a return credit in the amount of the purchase price paid by customers</w:t>
            </w:r>
          </w:p>
        </w:tc>
      </w:tr>
      <w:tr>
        <w:trPr>
          <w:trHeight w:val="216"/>
        </w:trPr>
        <w:tc>
          <w:tcPr>
            <w:tcW w:w="1720" w:type="dxa"/>
            <w:vAlign w:val="bottom"/>
          </w:tcPr>
          <w:p>
            <w:pPr>
              <w:spacing w:after="0"/>
              <w:rPr>
                <w:sz w:val="18"/>
                <w:szCs w:val="18"/>
                <w:color w:val="auto"/>
              </w:rPr>
            </w:pPr>
          </w:p>
        </w:tc>
        <w:tc>
          <w:tcPr>
            <w:tcW w:w="9520" w:type="dxa"/>
            <w:vAlign w:val="bottom"/>
          </w:tcPr>
          <w:p>
            <w:pPr>
              <w:ind w:left="340"/>
              <w:spacing w:after="0" w:line="216" w:lineRule="exact"/>
              <w:rPr>
                <w:sz w:val="20"/>
                <w:szCs w:val="20"/>
                <w:color w:val="auto"/>
              </w:rPr>
            </w:pPr>
            <w:r>
              <w:rPr>
                <w:rFonts w:ascii="Calibri" w:cs="Calibri" w:eastAsia="Calibri" w:hAnsi="Calibri"/>
                <w:sz w:val="18"/>
                <w:szCs w:val="18"/>
                <w:color w:val="auto"/>
              </w:rPr>
              <w:t>for all products returned in accordance with the Company’s returned goods policy. The Company</w:t>
            </w:r>
          </w:p>
        </w:tc>
      </w:tr>
      <w:tr>
        <w:trPr>
          <w:trHeight w:val="216"/>
        </w:trPr>
        <w:tc>
          <w:tcPr>
            <w:tcW w:w="1720" w:type="dxa"/>
            <w:vAlign w:val="bottom"/>
          </w:tcPr>
          <w:p>
            <w:pPr>
              <w:spacing w:after="0"/>
              <w:rPr>
                <w:sz w:val="18"/>
                <w:szCs w:val="18"/>
                <w:color w:val="auto"/>
              </w:rPr>
            </w:pPr>
          </w:p>
        </w:tc>
        <w:tc>
          <w:tcPr>
            <w:tcW w:w="9520" w:type="dxa"/>
            <w:vAlign w:val="bottom"/>
          </w:tcPr>
          <w:p>
            <w:pPr>
              <w:ind w:left="340"/>
              <w:spacing w:after="0" w:line="216" w:lineRule="exact"/>
              <w:rPr>
                <w:sz w:val="20"/>
                <w:szCs w:val="20"/>
                <w:color w:val="auto"/>
              </w:rPr>
            </w:pPr>
            <w:r>
              <w:rPr>
                <w:rFonts w:ascii="Calibri" w:cs="Calibri" w:eastAsia="Calibri" w:hAnsi="Calibri"/>
                <w:sz w:val="18"/>
                <w:szCs w:val="18"/>
                <w:color w:val="auto"/>
              </w:rPr>
              <w:t>estmates its provision for sales returns based on available industry data,</w:t>
            </w:r>
          </w:p>
        </w:tc>
      </w:tr>
      <w:tr>
        <w:trPr>
          <w:trHeight w:val="671"/>
        </w:trPr>
        <w:tc>
          <w:tcPr>
            <w:tcW w:w="1720" w:type="dxa"/>
            <w:vAlign w:val="bottom"/>
          </w:tcPr>
          <w:p>
            <w:pPr>
              <w:spacing w:after="0"/>
              <w:rPr>
                <w:sz w:val="24"/>
                <w:szCs w:val="24"/>
                <w:color w:val="auto"/>
              </w:rPr>
            </w:pPr>
          </w:p>
        </w:tc>
        <w:tc>
          <w:tcPr>
            <w:tcW w:w="9520" w:type="dxa"/>
            <w:vAlign w:val="bottom"/>
          </w:tcPr>
          <w:p>
            <w:pPr>
              <w:ind w:left="3780"/>
              <w:spacing w:after="0"/>
              <w:rPr>
                <w:sz w:val="20"/>
                <w:szCs w:val="20"/>
                <w:color w:val="auto"/>
              </w:rPr>
            </w:pPr>
            <w:r>
              <w:rPr>
                <w:rFonts w:ascii="Times New Roman" w:cs="Times New Roman" w:eastAsia="Times New Roman" w:hAnsi="Times New Roman"/>
                <w:sz w:val="18"/>
                <w:szCs w:val="18"/>
                <w:color w:val="auto"/>
              </w:rPr>
              <w:t>F-2</w:t>
            </w:r>
          </w:p>
        </w:tc>
      </w:tr>
      <w:tr>
        <w:trPr>
          <w:trHeight w:val="763"/>
        </w:trPr>
        <w:tc>
          <w:tcPr>
            <w:tcW w:w="1720" w:type="dxa"/>
            <w:vAlign w:val="bottom"/>
            <w:tcBorders>
              <w:bottom w:val="single" w:sz="8" w:color="9A9A9A"/>
            </w:tcBorders>
          </w:tcPr>
          <w:p>
            <w:pPr>
              <w:spacing w:after="0"/>
              <w:rPr>
                <w:sz w:val="24"/>
                <w:szCs w:val="24"/>
                <w:color w:val="auto"/>
              </w:rPr>
            </w:pPr>
          </w:p>
        </w:tc>
        <w:tc>
          <w:tcPr>
            <w:tcW w:w="9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0" w:name="page121"/>
    <w:bookmarkEnd w:id="120"/>
    <w:p>
      <w:pPr>
        <w:ind w:left="2060" w:right="1639"/>
        <w:spacing w:after="0" w:line="235" w:lineRule="auto"/>
        <w:rPr>
          <w:sz w:val="20"/>
          <w:szCs w:val="20"/>
          <w:color w:val="auto"/>
        </w:rPr>
      </w:pPr>
      <w:r>
        <w:rPr>
          <w:rFonts w:ascii="Calibri" w:cs="Calibri" w:eastAsia="Calibri" w:hAnsi="Calibri"/>
          <w:sz w:val="18"/>
          <w:szCs w:val="18"/>
          <w:color w:val="auto"/>
        </w:rPr>
        <w:t>including visibility into the inventory remaining in the distributon channel, and adjusts the transacton price with such estmate at the tme of sale to the customer.</w:t>
      </w:r>
    </w:p>
    <w:p>
      <w:pPr>
        <w:spacing w:after="0" w:line="110" w:lineRule="exact"/>
        <w:rPr>
          <w:sz w:val="20"/>
          <w:szCs w:val="20"/>
          <w:color w:val="auto"/>
        </w:rPr>
      </w:pPr>
    </w:p>
    <w:p>
      <w:pPr>
        <w:ind w:left="2060" w:right="919"/>
        <w:spacing w:after="0" w:line="235" w:lineRule="auto"/>
        <w:rPr>
          <w:sz w:val="20"/>
          <w:szCs w:val="20"/>
          <w:color w:val="auto"/>
        </w:rPr>
      </w:pPr>
      <w:r>
        <w:rPr>
          <w:rFonts w:ascii="Calibri" w:cs="Calibri" w:eastAsia="Calibri" w:hAnsi="Calibri"/>
          <w:sz w:val="18"/>
          <w:szCs w:val="18"/>
          <w:color w:val="auto"/>
        </w:rPr>
        <w:t>Auditng the Company’s measurement of the reserve for product returns was challenging due to (1) the signifcant judgment required in determining the estmated returns rate and inventory in the distributon channel that will not ultmately be sold to the end user and returned, and (2) the limited returns history on which the estmated returns rate is based. The reserve for product returns is sensitve to the level of inventory in the distributon channel, which could exceed future market demand and be subject to return.</w:t>
      </w:r>
    </w:p>
    <w:p>
      <w:pPr>
        <w:spacing w:after="0" w:line="108" w:lineRule="exact"/>
        <w:rPr>
          <w:sz w:val="20"/>
          <w:szCs w:val="20"/>
          <w:color w:val="auto"/>
        </w:rPr>
      </w:pPr>
    </w:p>
    <w:p>
      <w:pPr>
        <w:ind w:left="120"/>
        <w:spacing w:after="0"/>
        <w:tabs>
          <w:tab w:leader="none" w:pos="2040" w:val="left"/>
        </w:tabs>
        <w:rPr>
          <w:sz w:val="20"/>
          <w:szCs w:val="20"/>
          <w:color w:val="auto"/>
        </w:rPr>
      </w:pPr>
      <w:r>
        <w:rPr>
          <w:rFonts w:ascii="Calibri" w:cs="Calibri" w:eastAsia="Calibri" w:hAnsi="Calibri"/>
          <w:sz w:val="18"/>
          <w:szCs w:val="18"/>
          <w:i w:val="1"/>
          <w:iCs w:val="1"/>
          <w:color w:val="auto"/>
        </w:rPr>
        <w:t>How We Addressed the</w:t>
      </w:r>
      <w:r>
        <w:rPr>
          <w:sz w:val="20"/>
          <w:szCs w:val="20"/>
          <w:color w:val="auto"/>
        </w:rPr>
        <w:tab/>
      </w:r>
      <w:r>
        <w:rPr>
          <w:rFonts w:ascii="Calibri" w:cs="Calibri" w:eastAsia="Calibri" w:hAnsi="Calibri"/>
          <w:sz w:val="17"/>
          <w:szCs w:val="17"/>
          <w:color w:val="auto"/>
        </w:rPr>
        <w:t>To test the reserve for product returns, we performed audit procedures that included, among others,</w:t>
      </w:r>
    </w:p>
    <w:p>
      <w:pPr>
        <w:spacing w:after="0" w:line="1" w:lineRule="exact"/>
        <w:rPr>
          <w:sz w:val="20"/>
          <w:szCs w:val="20"/>
          <w:color w:val="auto"/>
        </w:rPr>
      </w:pPr>
    </w:p>
    <w:p>
      <w:pPr>
        <w:ind w:left="2060" w:right="819" w:hanging="1943"/>
        <w:spacing w:after="0" w:line="235" w:lineRule="auto"/>
        <w:tabs>
          <w:tab w:leader="none" w:pos="2040" w:val="left"/>
        </w:tabs>
        <w:rPr>
          <w:sz w:val="20"/>
          <w:szCs w:val="20"/>
          <w:color w:val="auto"/>
        </w:rPr>
      </w:pPr>
      <w:r>
        <w:rPr>
          <w:rFonts w:ascii="Calibri" w:cs="Calibri" w:eastAsia="Calibri" w:hAnsi="Calibri"/>
          <w:sz w:val="18"/>
          <w:szCs w:val="18"/>
          <w:i w:val="1"/>
          <w:iCs w:val="1"/>
          <w:color w:val="auto"/>
        </w:rPr>
        <w:t>Mater in Our Audit</w:t>
      </w:r>
      <w:r>
        <w:rPr>
          <w:sz w:val="20"/>
          <w:szCs w:val="20"/>
          <w:color w:val="auto"/>
        </w:rPr>
        <w:tab/>
      </w:r>
      <w:r>
        <w:rPr>
          <w:rFonts w:ascii="Calibri" w:cs="Calibri" w:eastAsia="Calibri" w:hAnsi="Calibri"/>
          <w:sz w:val="18"/>
          <w:szCs w:val="18"/>
          <w:color w:val="auto"/>
        </w:rPr>
        <w:t>testng the accuracy and completeness of the underlying data used in the calculatons and evaluatng the assumptons used by management to estmate the Company’s reserves. We tested the industry data used in the calculaton of the estmated returns rate by inspectng industry publicatons. In additon, we tested the Company’s analysis of inventory held at various stages in the distributon channel. We obtained third-party confrmaton of prescripton data and tested inventory in the distributon channel reported by signifcant customers. We also inspected agreements with signifcant customers to validate the rights of return and performed inquiries with management, including the Commercial and Legal departments, regarding any changes to the terms and conditons of customer contracts. We also performed a sensitvity analysis over the Company’s returns rate to assess the efect of changes in assumptons.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alibri" w:cs="Calibri" w:eastAsia="Calibri" w:hAnsi="Calibri"/>
          <w:sz w:val="18"/>
          <w:szCs w:val="18"/>
          <w:color w:val="auto"/>
        </w:rPr>
        <w:t>/s/ Ernst &amp; Young LLP</w:t>
      </w:r>
    </w:p>
    <w:p>
      <w:pPr>
        <w:spacing w:after="0" w:line="235" w:lineRule="auto"/>
        <w:rPr>
          <w:sz w:val="20"/>
          <w:szCs w:val="20"/>
          <w:color w:val="auto"/>
        </w:rPr>
      </w:pPr>
      <w:r>
        <w:rPr>
          <w:rFonts w:ascii="Calibri" w:cs="Calibri" w:eastAsia="Calibri" w:hAnsi="Calibri"/>
          <w:sz w:val="18"/>
          <w:szCs w:val="18"/>
          <w:color w:val="auto"/>
        </w:rPr>
        <w:t>We have served as the Company’s auditor since 2019.</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Iselin, New Jersey</w:t>
      </w:r>
    </w:p>
    <w:p>
      <w:pPr>
        <w:spacing w:after="0" w:line="235" w:lineRule="auto"/>
        <w:rPr>
          <w:sz w:val="20"/>
          <w:szCs w:val="20"/>
          <w:color w:val="auto"/>
        </w:rPr>
      </w:pPr>
      <w:r>
        <w:rPr>
          <w:rFonts w:ascii="Calibri" w:cs="Calibri" w:eastAsia="Calibri" w:hAnsi="Calibri"/>
          <w:sz w:val="18"/>
          <w:szCs w:val="18"/>
          <w:color w:val="auto"/>
        </w:rPr>
        <w:t>March 6, 2025</w:t>
      </w:r>
    </w:p>
    <w:p>
      <w:pPr>
        <w:spacing w:after="0" w:line="200" w:lineRule="exact"/>
        <w:rPr>
          <w:sz w:val="20"/>
          <w:szCs w:val="20"/>
          <w:color w:val="auto"/>
        </w:rPr>
      </w:pPr>
    </w:p>
    <w:p>
      <w:pPr>
        <w:spacing w:after="0" w:line="23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121" w:name="page122"/>
    <w:bookmarkEnd w:id="121"/>
    <w:p>
      <w:pPr>
        <w:jc w:val="center"/>
        <w:spacing w:after="0"/>
        <w:rPr>
          <w:sz w:val="20"/>
          <w:szCs w:val="20"/>
          <w:color w:val="auto"/>
        </w:rPr>
      </w:pPr>
      <w:r>
        <w:rPr>
          <w:rFonts w:ascii="Calibri" w:cs="Calibri" w:eastAsia="Calibri" w:hAnsi="Calibri"/>
          <w:sz w:val="18"/>
          <w:szCs w:val="18"/>
          <w:b w:val="1"/>
          <w:bCs w:val="1"/>
          <w:color w:val="auto"/>
        </w:rPr>
        <w:t>PHATHOM PHARMACEUTICALS, INC.</w:t>
      </w:r>
    </w:p>
    <w:p>
      <w:pPr>
        <w:jc w:val="center"/>
        <w:ind w:right="20"/>
        <w:spacing w:after="0" w:line="235" w:lineRule="auto"/>
        <w:rPr>
          <w:sz w:val="20"/>
          <w:szCs w:val="20"/>
          <w:color w:val="auto"/>
        </w:rPr>
      </w:pPr>
      <w:r>
        <w:rPr>
          <w:rFonts w:ascii="Calibri" w:cs="Calibri" w:eastAsia="Calibri" w:hAnsi="Calibri"/>
          <w:sz w:val="18"/>
          <w:szCs w:val="18"/>
          <w:b w:val="1"/>
          <w:bCs w:val="1"/>
          <w:color w:val="auto"/>
        </w:rPr>
        <w:t>Balance Sheets</w:t>
      </w:r>
    </w:p>
    <w:p>
      <w:pPr>
        <w:jc w:val="center"/>
        <w:spacing w:after="0" w:line="236" w:lineRule="auto"/>
        <w:rPr>
          <w:sz w:val="20"/>
          <w:szCs w:val="20"/>
          <w:color w:val="auto"/>
        </w:rPr>
      </w:pPr>
      <w:r>
        <w:rPr>
          <w:rFonts w:ascii="Calibri" w:cs="Calibri" w:eastAsia="Calibri" w:hAnsi="Calibri"/>
          <w:sz w:val="18"/>
          <w:szCs w:val="18"/>
          <w:b w:val="1"/>
          <w:bCs w:val="1"/>
          <w:color w:val="auto"/>
        </w:rPr>
        <w:t>(in thousands, except share and par value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Calibri" w:cs="Calibri" w:eastAsia="Calibri" w:hAnsi="Calibri"/>
                <w:sz w:val="18"/>
                <w:szCs w:val="18"/>
                <w:b w:val="1"/>
                <w:bCs w:val="1"/>
                <w:color w:val="auto"/>
              </w:rPr>
              <w:t>December 31,</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ind w:right="270"/>
              <w:spacing w:after="0"/>
              <w:rPr>
                <w:sz w:val="20"/>
                <w:szCs w:val="20"/>
                <w:color w:val="auto"/>
              </w:rPr>
            </w:pPr>
            <w:r>
              <w:rPr>
                <w:rFonts w:ascii="Calibri" w:cs="Calibri" w:eastAsia="Calibri" w:hAnsi="Calibri"/>
                <w:sz w:val="18"/>
                <w:szCs w:val="18"/>
                <w:b w:val="1"/>
                <w:bCs w:val="1"/>
                <w:color w:val="auto"/>
              </w:rPr>
              <w:t>December 31,</w:t>
            </w:r>
          </w:p>
        </w:tc>
      </w:tr>
      <w:tr>
        <w:trPr>
          <w:trHeight w:val="216"/>
        </w:trPr>
        <w:tc>
          <w:tcPr>
            <w:tcW w:w="7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jc w:val="right"/>
              <w:ind w:right="590"/>
              <w:spacing w:after="0" w:line="216" w:lineRule="exact"/>
              <w:rPr>
                <w:sz w:val="20"/>
                <w:szCs w:val="20"/>
                <w:color w:val="auto"/>
              </w:rPr>
            </w:pPr>
            <w:r>
              <w:rPr>
                <w:rFonts w:ascii="Calibri" w:cs="Calibri" w:eastAsia="Calibri" w:hAnsi="Calibri"/>
                <w:sz w:val="18"/>
                <w:szCs w:val="18"/>
                <w:b w:val="1"/>
                <w:bCs w:val="1"/>
                <w:color w:val="auto"/>
              </w:rPr>
              <w:t>2024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610"/>
              <w:spacing w:after="0" w:line="216" w:lineRule="exact"/>
              <w:rPr>
                <w:sz w:val="20"/>
                <w:szCs w:val="20"/>
                <w:color w:val="auto"/>
              </w:rPr>
            </w:pPr>
            <w:r>
              <w:rPr>
                <w:rFonts w:ascii="Calibri" w:cs="Calibri" w:eastAsia="Calibri" w:hAnsi="Calibri"/>
                <w:sz w:val="18"/>
                <w:szCs w:val="18"/>
                <w:b w:val="1"/>
                <w:bCs w:val="1"/>
                <w:color w:val="auto"/>
              </w:rPr>
              <w:t>2023</w:t>
            </w:r>
          </w:p>
        </w:tc>
      </w:tr>
      <w:tr>
        <w:trPr>
          <w:trHeight w:val="23"/>
        </w:trPr>
        <w:tc>
          <w:tcPr>
            <w:tcW w:w="78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9"/>
        </w:trPr>
        <w:tc>
          <w:tcPr>
            <w:tcW w:w="78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Current assets:</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7"/>
        </w:trPr>
        <w:tc>
          <w:tcPr>
            <w:tcW w:w="78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Cash and cash equivalents</w:t>
            </w:r>
          </w:p>
        </w:tc>
        <w:tc>
          <w:tcPr>
            <w:tcW w:w="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297,263</w:t>
            </w:r>
          </w:p>
        </w:tc>
        <w:tc>
          <w:tcPr>
            <w:tcW w:w="3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381,393</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16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20,866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13,194</w:t>
            </w:r>
          </w:p>
        </w:tc>
      </w:tr>
      <w:tr>
        <w:trPr>
          <w:trHeight w:val="217"/>
        </w:trPr>
        <w:tc>
          <w:tcPr>
            <w:tcW w:w="78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38,797</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1,637</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Inventory</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3,208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1,208</w:t>
            </w:r>
          </w:p>
        </w:tc>
      </w:tr>
      <w:tr>
        <w:trPr>
          <w:trHeight w:val="210"/>
        </w:trPr>
        <w:tc>
          <w:tcPr>
            <w:tcW w:w="7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current assets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360,134</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rPr>
              <w:t>397,432</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Property and equipment, net</w:t>
            </w:r>
          </w:p>
        </w:tc>
        <w:tc>
          <w:tcPr>
            <w:tcW w:w="16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1,476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2,146</w:t>
            </w:r>
          </w:p>
        </w:tc>
      </w:tr>
      <w:tr>
        <w:trPr>
          <w:trHeight w:val="217"/>
        </w:trPr>
        <w:tc>
          <w:tcPr>
            <w:tcW w:w="7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Operatng lease right-of-use assets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613</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1,475</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Restricted cash</w:t>
            </w:r>
          </w:p>
        </w:tc>
        <w:tc>
          <w:tcPr>
            <w:tcW w:w="16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2,862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2,863</w:t>
            </w:r>
          </w:p>
        </w:tc>
      </w:tr>
      <w:tr>
        <w:trPr>
          <w:trHeight w:val="217"/>
        </w:trPr>
        <w:tc>
          <w:tcPr>
            <w:tcW w:w="7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Inventory, non-current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11,540</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8,234</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Other long-term assets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1,693</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1,692</w:t>
            </w:r>
          </w:p>
        </w:tc>
      </w:tr>
      <w:tr>
        <w:trPr>
          <w:trHeight w:val="249"/>
        </w:trPr>
        <w:tc>
          <w:tcPr>
            <w:tcW w:w="7860" w:type="dxa"/>
            <w:vAlign w:val="bottom"/>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assets</w:t>
            </w:r>
          </w:p>
        </w:tc>
        <w:tc>
          <w:tcPr>
            <w:tcW w:w="1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44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378,318</w:t>
            </w:r>
          </w:p>
        </w:tc>
        <w:tc>
          <w:tcPr>
            <w:tcW w:w="34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1440" w:type="dxa"/>
            <w:vAlign w:val="bottom"/>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rPr>
              <w:t>413,842</w:t>
            </w:r>
          </w:p>
        </w:tc>
      </w:tr>
      <w:tr>
        <w:trPr>
          <w:trHeight w:val="197"/>
        </w:trPr>
        <w:tc>
          <w:tcPr>
            <w:tcW w:w="786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b w:val="1"/>
                <w:bCs w:val="1"/>
                <w:color w:val="auto"/>
              </w:rPr>
              <w:t>Liabilites and Stockholders’ Defcit</w:t>
            </w:r>
          </w:p>
        </w:tc>
        <w:tc>
          <w:tcPr>
            <w:tcW w:w="1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r>
      <w:tr>
        <w:trPr>
          <w:trHeight w:val="217"/>
        </w:trPr>
        <w:tc>
          <w:tcPr>
            <w:tcW w:w="7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Current liabilites: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Accounts payable</w:t>
            </w:r>
          </w:p>
        </w:tc>
        <w:tc>
          <w:tcPr>
            <w:tcW w:w="16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10,507</w:t>
            </w:r>
          </w:p>
        </w:tc>
        <w:tc>
          <w:tcPr>
            <w:tcW w:w="34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w:t>
            </w: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12,601</w:t>
            </w:r>
          </w:p>
        </w:tc>
      </w:tr>
      <w:tr>
        <w:trPr>
          <w:trHeight w:val="217"/>
        </w:trPr>
        <w:tc>
          <w:tcPr>
            <w:tcW w:w="78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Accrued expenses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53,232</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17,197</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Accrued interest</w:t>
            </w:r>
          </w:p>
        </w:tc>
        <w:tc>
          <w:tcPr>
            <w:tcW w:w="16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1,146</w:t>
            </w:r>
          </w:p>
        </w:tc>
      </w:tr>
      <w:tr>
        <w:trPr>
          <w:trHeight w:val="217"/>
        </w:trPr>
        <w:tc>
          <w:tcPr>
            <w:tcW w:w="786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Operatng lease liabilites, current</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501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726</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Current porton of revenue interest fnancing liability</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19,777</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line="215" w:lineRule="exact"/>
              <w:rPr>
                <w:sz w:val="20"/>
                <w:szCs w:val="20"/>
                <w:color w:val="auto"/>
              </w:rPr>
            </w:pPr>
            <w:r>
              <w:rPr>
                <w:rFonts w:ascii="Calibri" w:cs="Calibri" w:eastAsia="Calibri" w:hAnsi="Calibri"/>
                <w:sz w:val="18"/>
                <w:szCs w:val="18"/>
                <w:color w:val="auto"/>
              </w:rPr>
              <w:t>7,111</w:t>
            </w:r>
          </w:p>
        </w:tc>
      </w:tr>
      <w:tr>
        <w:trPr>
          <w:trHeight w:val="210"/>
        </w:trPr>
        <w:tc>
          <w:tcPr>
            <w:tcW w:w="7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Total current liabilites</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85,728</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0" w:lineRule="exact"/>
              <w:rPr>
                <w:sz w:val="20"/>
                <w:szCs w:val="20"/>
                <w:color w:val="auto"/>
              </w:rPr>
            </w:pPr>
            <w:r>
              <w:rPr>
                <w:rFonts w:ascii="Calibri" w:cs="Calibri" w:eastAsia="Calibri" w:hAnsi="Calibri"/>
                <w:sz w:val="18"/>
                <w:szCs w:val="18"/>
                <w:color w:val="auto"/>
              </w:rPr>
              <w:t>38,781</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Long-term debt, net of discount</w:t>
            </w:r>
          </w:p>
        </w:tc>
        <w:tc>
          <w:tcPr>
            <w:tcW w:w="16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201,409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137,842</w:t>
            </w:r>
          </w:p>
        </w:tc>
      </w:tr>
      <w:tr>
        <w:trPr>
          <w:trHeight w:val="217"/>
        </w:trPr>
        <w:tc>
          <w:tcPr>
            <w:tcW w:w="786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Revenue interest fnancing liability</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333,261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299,816</w:t>
            </w: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lease liabilites</w:t>
            </w:r>
          </w:p>
        </w:tc>
        <w:tc>
          <w:tcPr>
            <w:tcW w:w="16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462</w:t>
            </w:r>
          </w:p>
        </w:tc>
      </w:tr>
      <w:tr>
        <w:trPr>
          <w:trHeight w:val="216"/>
        </w:trPr>
        <w:tc>
          <w:tcPr>
            <w:tcW w:w="786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Other long-term liabilites</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11,500</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50"/>
              <w:spacing w:after="0" w:line="216" w:lineRule="exact"/>
              <w:rPr>
                <w:sz w:val="20"/>
                <w:szCs w:val="20"/>
                <w:color w:val="auto"/>
              </w:rPr>
            </w:pPr>
            <w:r>
              <w:rPr>
                <w:rFonts w:ascii="Calibri" w:cs="Calibri" w:eastAsia="Calibri" w:hAnsi="Calibri"/>
                <w:sz w:val="18"/>
                <w:szCs w:val="18"/>
                <w:color w:val="auto"/>
              </w:rPr>
              <w:t>9,700</w:t>
            </w:r>
          </w:p>
        </w:tc>
      </w:tr>
      <w:tr>
        <w:trPr>
          <w:trHeight w:val="209"/>
        </w:trPr>
        <w:tc>
          <w:tcPr>
            <w:tcW w:w="7860" w:type="dxa"/>
            <w:vAlign w:val="bottom"/>
          </w:tcPr>
          <w:p>
            <w:pPr>
              <w:ind w:left="20"/>
              <w:spacing w:after="0" w:line="209" w:lineRule="exact"/>
              <w:rPr>
                <w:sz w:val="20"/>
                <w:szCs w:val="20"/>
                <w:color w:val="auto"/>
              </w:rPr>
            </w:pPr>
            <w:r>
              <w:rPr>
                <w:rFonts w:ascii="Calibri" w:cs="Calibri" w:eastAsia="Calibri" w:hAnsi="Calibri"/>
                <w:sz w:val="18"/>
                <w:szCs w:val="18"/>
                <w:color w:val="auto"/>
              </w:rPr>
              <w:t>Total liabilites</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color w:val="auto"/>
              </w:rPr>
              <w:t>631,898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color w:val="auto"/>
              </w:rPr>
              <w:t>486,601</w:t>
            </w:r>
          </w:p>
        </w:tc>
      </w:tr>
      <w:tr>
        <w:trPr>
          <w:trHeight w:val="210"/>
        </w:trPr>
        <w:tc>
          <w:tcPr>
            <w:tcW w:w="786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Commitments and contngencies (Note 3)</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r>
      <w:tr>
        <w:trPr>
          <w:trHeight w:val="215"/>
        </w:trPr>
        <w:tc>
          <w:tcPr>
            <w:tcW w:w="7860" w:type="dxa"/>
            <w:vAlign w:val="bottom"/>
          </w:tcPr>
          <w:p>
            <w:pPr>
              <w:ind w:left="20"/>
              <w:spacing w:after="0" w:line="215" w:lineRule="exact"/>
              <w:rPr>
                <w:sz w:val="20"/>
                <w:szCs w:val="20"/>
                <w:color w:val="auto"/>
              </w:rPr>
            </w:pPr>
            <w:r>
              <w:rPr>
                <w:rFonts w:ascii="Calibri" w:cs="Calibri" w:eastAsia="Calibri" w:hAnsi="Calibri"/>
                <w:sz w:val="18"/>
                <w:szCs w:val="18"/>
                <w:color w:val="auto"/>
              </w:rPr>
              <w:t>Stockholders’ defcit:</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4"/>
        </w:trPr>
        <w:tc>
          <w:tcPr>
            <w:tcW w:w="7860" w:type="dxa"/>
            <w:vAlign w:val="bottom"/>
            <w:shd w:val="clear" w:color="auto" w:fill="CFF0FC"/>
          </w:tcPr>
          <w:p>
            <w:pPr>
              <w:ind w:left="200"/>
              <w:spacing w:after="0" w:line="194" w:lineRule="exact"/>
              <w:rPr>
                <w:sz w:val="20"/>
                <w:szCs w:val="20"/>
                <w:color w:val="auto"/>
              </w:rPr>
            </w:pPr>
            <w:r>
              <w:rPr>
                <w:rFonts w:ascii="Calibri" w:cs="Calibri" w:eastAsia="Calibri" w:hAnsi="Calibri"/>
                <w:sz w:val="18"/>
                <w:szCs w:val="18"/>
                <w:color w:val="auto"/>
              </w:rPr>
              <w:t>Preferred stock, $0.0001 par value; authorized shares — 40,000,000 at December 31, 2024 and</w:t>
            </w:r>
          </w:p>
        </w:tc>
        <w:tc>
          <w:tcPr>
            <w:tcW w:w="16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440" w:type="dxa"/>
            <w:vAlign w:val="bottom"/>
            <w:shd w:val="clear" w:color="auto" w:fill="CFF0FC"/>
          </w:tcPr>
          <w:p>
            <w:pPr>
              <w:spacing w:after="0"/>
              <w:rPr>
                <w:sz w:val="16"/>
                <w:szCs w:val="16"/>
                <w:color w:val="auto"/>
              </w:rPr>
            </w:pPr>
          </w:p>
        </w:tc>
      </w:tr>
      <w:tr>
        <w:trPr>
          <w:trHeight w:val="218"/>
        </w:trPr>
        <w:tc>
          <w:tcPr>
            <w:tcW w:w="7860" w:type="dxa"/>
            <w:vAlign w:val="bottom"/>
            <w:tcBorders>
              <w:bottom w:val="single" w:sz="8" w:color="CFF0FC"/>
            </w:tcBorders>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December 31, 2023; no shares issued and outstanding at December 31, 2024 and December 31, 2023</w:t>
            </w:r>
          </w:p>
        </w:tc>
        <w:tc>
          <w:tcPr>
            <w:tcW w:w="16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440" w:type="dxa"/>
            <w:vAlign w:val="bottom"/>
            <w:tcBorders>
              <w:bottom w:val="single" w:sz="8" w:color="CFF0FC"/>
            </w:tcBorders>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r>
      <w:tr>
        <w:trPr>
          <w:trHeight w:val="194"/>
        </w:trPr>
        <w:tc>
          <w:tcPr>
            <w:tcW w:w="7860" w:type="dxa"/>
            <w:vAlign w:val="bottom"/>
          </w:tcPr>
          <w:p>
            <w:pPr>
              <w:ind w:left="200"/>
              <w:spacing w:after="0" w:line="194" w:lineRule="exact"/>
              <w:rPr>
                <w:sz w:val="20"/>
                <w:szCs w:val="20"/>
                <w:color w:val="auto"/>
              </w:rPr>
            </w:pPr>
            <w:r>
              <w:rPr>
                <w:rFonts w:ascii="Calibri" w:cs="Calibri" w:eastAsia="Calibri" w:hAnsi="Calibri"/>
                <w:sz w:val="18"/>
                <w:szCs w:val="18"/>
                <w:color w:val="auto"/>
              </w:rPr>
              <w:t>Common stock, $0.0001 par value; authorized shares — 400,000,000 at December 31, 2024 and</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December 31, 2023; issued and outstanding shares — 68,518,238 and 57,970,044 at December 31, 2024</w:t>
            </w: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7860" w:type="dxa"/>
            <w:vAlign w:val="bottom"/>
          </w:tcPr>
          <w:p>
            <w:pPr>
              <w:ind w:left="200"/>
              <w:spacing w:after="0" w:line="216" w:lineRule="exact"/>
              <w:rPr>
                <w:sz w:val="20"/>
                <w:szCs w:val="20"/>
                <w:color w:val="auto"/>
              </w:rPr>
            </w:pPr>
            <w:r>
              <w:rPr>
                <w:rFonts w:ascii="Calibri" w:cs="Calibri" w:eastAsia="Calibri" w:hAnsi="Calibri"/>
                <w:sz w:val="18"/>
                <w:szCs w:val="18"/>
                <w:color w:val="auto"/>
              </w:rPr>
              <w:t>and December 31, 2023, respectvely</w:t>
            </w:r>
          </w:p>
        </w:tc>
        <w:tc>
          <w:tcPr>
            <w:tcW w:w="160" w:type="dxa"/>
            <w:vAlign w:val="bottom"/>
          </w:tcPr>
          <w:p>
            <w:pPr>
              <w:spacing w:after="0"/>
              <w:rPr>
                <w:sz w:val="18"/>
                <w:szCs w:val="18"/>
                <w:color w:val="auto"/>
              </w:rPr>
            </w:pPr>
          </w:p>
        </w:tc>
        <w:tc>
          <w:tcPr>
            <w:tcW w:w="1440" w:type="dxa"/>
            <w:vAlign w:val="bottom"/>
          </w:tcPr>
          <w:p>
            <w:pPr>
              <w:jc w:val="right"/>
              <w:ind w:right="30"/>
              <w:spacing w:after="0" w:line="216" w:lineRule="exact"/>
              <w:rPr>
                <w:sz w:val="20"/>
                <w:szCs w:val="20"/>
                <w:color w:val="auto"/>
              </w:rPr>
            </w:pPr>
            <w:r>
              <w:rPr>
                <w:rFonts w:ascii="Calibri" w:cs="Calibri" w:eastAsia="Calibri" w:hAnsi="Calibri"/>
                <w:sz w:val="18"/>
                <w:szCs w:val="18"/>
                <w:color w:val="auto"/>
              </w:rPr>
              <w:t>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6" w:lineRule="exact"/>
              <w:rPr>
                <w:sz w:val="20"/>
                <w:szCs w:val="20"/>
                <w:color w:val="auto"/>
              </w:rPr>
            </w:pPr>
            <w:r>
              <w:rPr>
                <w:rFonts w:ascii="Calibri" w:cs="Calibri" w:eastAsia="Calibri" w:hAnsi="Calibri"/>
                <w:sz w:val="18"/>
                <w:szCs w:val="18"/>
                <w:color w:val="auto"/>
              </w:rPr>
              <w:t>5</w:t>
            </w:r>
          </w:p>
        </w:tc>
      </w:tr>
      <w:tr>
        <w:trPr>
          <w:trHeight w:val="23"/>
        </w:trPr>
        <w:tc>
          <w:tcPr>
            <w:tcW w:w="7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16"/>
        </w:trPr>
        <w:tc>
          <w:tcPr>
            <w:tcW w:w="7860" w:type="dxa"/>
            <w:vAlign w:val="bottom"/>
            <w:shd w:val="clear" w:color="auto" w:fill="CFF0FC"/>
          </w:tcPr>
          <w:p>
            <w:pPr>
              <w:ind w:left="200"/>
              <w:spacing w:after="0" w:line="215" w:lineRule="exact"/>
              <w:rPr>
                <w:sz w:val="20"/>
                <w:szCs w:val="20"/>
                <w:color w:val="auto"/>
              </w:rPr>
            </w:pPr>
            <w:r>
              <w:rPr>
                <w:rFonts w:ascii="Calibri" w:cs="Calibri" w:eastAsia="Calibri" w:hAnsi="Calibri"/>
                <w:sz w:val="18"/>
                <w:szCs w:val="18"/>
                <w:color w:val="auto"/>
              </w:rPr>
              <w:t>Treasury stock — 19 shares at December 31, 2024 and December 31, 2023</w:t>
            </w:r>
          </w:p>
        </w:tc>
        <w:tc>
          <w:tcPr>
            <w:tcW w:w="16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50"/>
              <w:spacing w:after="0" w:line="215" w:lineRule="exact"/>
              <w:rPr>
                <w:sz w:val="20"/>
                <w:szCs w:val="20"/>
                <w:color w:val="auto"/>
              </w:rPr>
            </w:pPr>
            <w:r>
              <w:rPr>
                <w:rFonts w:ascii="Calibri" w:cs="Calibri" w:eastAsia="Calibri" w:hAnsi="Calibri"/>
                <w:sz w:val="18"/>
                <w:szCs w:val="18"/>
                <w:color w:val="auto"/>
              </w:rPr>
              <w:t>—</w:t>
            </w:r>
          </w:p>
        </w:tc>
      </w:tr>
      <w:tr>
        <w:trPr>
          <w:trHeight w:val="215"/>
        </w:trPr>
        <w:tc>
          <w:tcPr>
            <w:tcW w:w="7860" w:type="dxa"/>
            <w:vAlign w:val="bottom"/>
          </w:tcPr>
          <w:p>
            <w:pPr>
              <w:ind w:left="200"/>
              <w:spacing w:after="0" w:line="215" w:lineRule="exact"/>
              <w:rPr>
                <w:sz w:val="20"/>
                <w:szCs w:val="20"/>
                <w:color w:val="auto"/>
              </w:rPr>
            </w:pPr>
            <w:r>
              <w:rPr>
                <w:rFonts w:ascii="Calibri" w:cs="Calibri" w:eastAsia="Calibri" w:hAnsi="Calibri"/>
                <w:sz w:val="18"/>
                <w:szCs w:val="18"/>
                <w:color w:val="auto"/>
              </w:rPr>
              <w:t>Additonal paid-in capital</w:t>
            </w:r>
          </w:p>
        </w:tc>
        <w:tc>
          <w:tcPr>
            <w:tcW w:w="160" w:type="dxa"/>
            <w:vAlign w:val="bottom"/>
          </w:tcPr>
          <w:p>
            <w:pPr>
              <w:spacing w:after="0"/>
              <w:rPr>
                <w:sz w:val="18"/>
                <w:szCs w:val="18"/>
                <w:color w:val="auto"/>
              </w:rPr>
            </w:pPr>
          </w:p>
        </w:tc>
        <w:tc>
          <w:tcPr>
            <w:tcW w:w="14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1,009,425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ind w:right="50"/>
              <w:spacing w:after="0" w:line="215" w:lineRule="exact"/>
              <w:rPr>
                <w:sz w:val="20"/>
                <w:szCs w:val="20"/>
                <w:color w:val="auto"/>
              </w:rPr>
            </w:pPr>
            <w:r>
              <w:rPr>
                <w:rFonts w:ascii="Calibri" w:cs="Calibri" w:eastAsia="Calibri" w:hAnsi="Calibri"/>
                <w:sz w:val="18"/>
                <w:szCs w:val="18"/>
                <w:color w:val="auto"/>
              </w:rPr>
              <w:t>855,921</w:t>
            </w:r>
          </w:p>
        </w:tc>
      </w:tr>
      <w:tr>
        <w:trPr>
          <w:trHeight w:val="216"/>
        </w:trPr>
        <w:tc>
          <w:tcPr>
            <w:tcW w:w="7860" w:type="dxa"/>
            <w:vAlign w:val="bottom"/>
            <w:tcBorders>
              <w:bottom w:val="single" w:sz="8" w:color="CFF0FC"/>
            </w:tcBorders>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Accumulated defcit</w:t>
            </w:r>
          </w:p>
        </w:tc>
        <w:tc>
          <w:tcPr>
            <w:tcW w:w="16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(1,263,011 )</w:t>
            </w: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(928,685 )</w:t>
            </w:r>
          </w:p>
        </w:tc>
      </w:tr>
      <w:tr>
        <w:trPr>
          <w:trHeight w:val="209"/>
        </w:trPr>
        <w:tc>
          <w:tcPr>
            <w:tcW w:w="7860" w:type="dxa"/>
            <w:vAlign w:val="bottom"/>
          </w:tcPr>
          <w:p>
            <w:pPr>
              <w:ind w:left="20"/>
              <w:spacing w:after="0" w:line="209" w:lineRule="exact"/>
              <w:rPr>
                <w:sz w:val="20"/>
                <w:szCs w:val="20"/>
                <w:color w:val="auto"/>
              </w:rPr>
            </w:pPr>
            <w:r>
              <w:rPr>
                <w:rFonts w:ascii="Calibri" w:cs="Calibri" w:eastAsia="Calibri" w:hAnsi="Calibri"/>
                <w:sz w:val="18"/>
                <w:szCs w:val="18"/>
                <w:color w:val="auto"/>
              </w:rPr>
              <w:t>Total stockholders’ defcit</w:t>
            </w: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(253,580 )</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(72,759 )</w:t>
            </w:r>
          </w:p>
        </w:tc>
      </w:tr>
      <w:tr>
        <w:trPr>
          <w:trHeight w:val="250"/>
        </w:trPr>
        <w:tc>
          <w:tcPr>
            <w:tcW w:w="786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liabilites and stockholders’ defcit</w:t>
            </w:r>
          </w:p>
        </w:tc>
        <w:tc>
          <w:tcPr>
            <w:tcW w:w="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378,318</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440" w:type="dxa"/>
            <w:vAlign w:val="bottom"/>
            <w:tcBorders>
              <w:bottom w:val="single" w:sz="8" w:color="auto"/>
            </w:tcBorders>
            <w:shd w:val="clear" w:color="auto" w:fill="CFF0FC"/>
          </w:tcPr>
          <w:p>
            <w:pPr>
              <w:jc w:val="right"/>
              <w:ind w:right="50"/>
              <w:spacing w:after="0" w:line="209" w:lineRule="exact"/>
              <w:rPr>
                <w:sz w:val="20"/>
                <w:szCs w:val="20"/>
                <w:color w:val="auto"/>
              </w:rPr>
            </w:pPr>
            <w:r>
              <w:rPr>
                <w:rFonts w:ascii="Calibri" w:cs="Calibri" w:eastAsia="Calibri" w:hAnsi="Calibri"/>
                <w:sz w:val="18"/>
                <w:szCs w:val="18"/>
                <w:color w:val="auto"/>
              </w:rPr>
              <w:t>413,842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-3522345</wp:posOffset>
            </wp:positionV>
            <wp:extent cx="1028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-3505200</wp:posOffset>
            </wp:positionV>
            <wp:extent cx="10287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-1842135</wp:posOffset>
            </wp:positionV>
            <wp:extent cx="1028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-316230</wp:posOffset>
            </wp:positionV>
            <wp:extent cx="1028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1028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1028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Calibri" w:cs="Calibri" w:eastAsia="Calibri" w:hAnsi="Calibri"/>
          <w:sz w:val="18"/>
          <w:szCs w:val="18"/>
          <w:i w:val="1"/>
          <w:iCs w:val="1"/>
          <w:color w:val="auto"/>
        </w:rPr>
        <w:t>See accompanying notes.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2" w:name="page123"/>
    <w:bookmarkEnd w:id="122"/>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ind w:left="3740"/>
        <w:spacing w:after="0" w:line="235" w:lineRule="auto"/>
        <w:rPr>
          <w:sz w:val="20"/>
          <w:szCs w:val="20"/>
          <w:color w:val="auto"/>
        </w:rPr>
      </w:pPr>
      <w:r>
        <w:rPr>
          <w:rFonts w:ascii="Calibri" w:cs="Calibri" w:eastAsia="Calibri" w:hAnsi="Calibri"/>
          <w:sz w:val="18"/>
          <w:szCs w:val="18"/>
          <w:b w:val="1"/>
          <w:bCs w:val="1"/>
          <w:color w:val="auto"/>
        </w:rPr>
        <w:t>Statements of Operatons and Comprehensive Loss</w:t>
      </w:r>
    </w:p>
    <w:p>
      <w:pPr>
        <w:ind w:left="3740"/>
        <w:spacing w:after="0" w:line="236" w:lineRule="auto"/>
        <w:rPr>
          <w:sz w:val="20"/>
          <w:szCs w:val="20"/>
          <w:color w:val="auto"/>
        </w:rPr>
      </w:pPr>
      <w:r>
        <w:rPr>
          <w:rFonts w:ascii="Calibri" w:cs="Calibri" w:eastAsia="Calibri" w:hAnsi="Calibri"/>
          <w:sz w:val="18"/>
          <w:szCs w:val="18"/>
          <w:b w:val="1"/>
          <w:bCs w:val="1"/>
          <w:color w:val="auto"/>
        </w:rPr>
        <w:t>(in thousands, except share and per share amounts)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980" w:type="dxa"/>
            <w:vAlign w:val="bottom"/>
            <w:gridSpan w:val="3"/>
          </w:tcPr>
          <w:p>
            <w:pPr>
              <w:jc w:val="right"/>
              <w:ind w:right="180"/>
              <w:spacing w:after="0"/>
              <w:rPr>
                <w:sz w:val="20"/>
                <w:szCs w:val="20"/>
                <w:color w:val="auto"/>
              </w:rPr>
            </w:pPr>
            <w:r>
              <w:rPr>
                <w:rFonts w:ascii="Calibri" w:cs="Calibri" w:eastAsia="Calibri" w:hAnsi="Calibri"/>
                <w:sz w:val="18"/>
                <w:szCs w:val="18"/>
                <w:b w:val="1"/>
                <w:bCs w:val="1"/>
                <w:color w:val="auto"/>
              </w:rPr>
              <w:t>Years Ended</w:t>
            </w:r>
          </w:p>
        </w:tc>
        <w:tc>
          <w:tcPr>
            <w:tcW w:w="1180" w:type="dxa"/>
            <w:vAlign w:val="bottom"/>
          </w:tcPr>
          <w:p>
            <w:pPr>
              <w:spacing w:after="0"/>
              <w:rPr>
                <w:sz w:val="19"/>
                <w:szCs w:val="19"/>
                <w:color w:val="auto"/>
              </w:rPr>
            </w:pPr>
          </w:p>
        </w:tc>
      </w:tr>
      <w:tr>
        <w:trPr>
          <w:trHeight w:val="216"/>
        </w:trPr>
        <w:tc>
          <w:tcPr>
            <w:tcW w:w="7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980" w:type="dxa"/>
            <w:vAlign w:val="bottom"/>
            <w:gridSpan w:val="3"/>
          </w:tcPr>
          <w:p>
            <w:pPr>
              <w:jc w:val="right"/>
              <w:ind w:right="120"/>
              <w:spacing w:after="0" w:line="216" w:lineRule="exact"/>
              <w:rPr>
                <w:sz w:val="20"/>
                <w:szCs w:val="20"/>
                <w:color w:val="auto"/>
              </w:rPr>
            </w:pPr>
            <w:r>
              <w:rPr>
                <w:rFonts w:ascii="Calibri" w:cs="Calibri" w:eastAsia="Calibri" w:hAnsi="Calibri"/>
                <w:sz w:val="18"/>
                <w:szCs w:val="18"/>
                <w:b w:val="1"/>
                <w:bCs w:val="1"/>
                <w:color w:val="auto"/>
              </w:rPr>
              <w:t>December 31,</w:t>
            </w:r>
          </w:p>
        </w:tc>
        <w:tc>
          <w:tcPr>
            <w:tcW w:w="1180" w:type="dxa"/>
            <w:vAlign w:val="bottom"/>
          </w:tcPr>
          <w:p>
            <w:pPr>
              <w:spacing w:after="0"/>
              <w:rPr>
                <w:sz w:val="18"/>
                <w:szCs w:val="18"/>
                <w:color w:val="auto"/>
              </w:rPr>
            </w:pPr>
          </w:p>
        </w:tc>
      </w:tr>
      <w:tr>
        <w:trPr>
          <w:trHeight w:val="23"/>
        </w:trPr>
        <w:tc>
          <w:tcPr>
            <w:tcW w:w="7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77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30"/>
              <w:spacing w:after="0" w:line="209" w:lineRule="exact"/>
              <w:rPr>
                <w:sz w:val="20"/>
                <w:szCs w:val="20"/>
                <w:color w:val="auto"/>
              </w:rPr>
            </w:pPr>
            <w:r>
              <w:rPr>
                <w:rFonts w:ascii="Calibri" w:cs="Calibri" w:eastAsia="Calibri" w:hAnsi="Calibri"/>
                <w:sz w:val="18"/>
                <w:szCs w:val="18"/>
                <w:b w:val="1"/>
                <w:bCs w:val="1"/>
                <w:color w:val="auto"/>
              </w:rPr>
              <w:t>2024</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0"/>
              <w:spacing w:after="0" w:line="209" w:lineRule="exact"/>
              <w:rPr>
                <w:sz w:val="20"/>
                <w:szCs w:val="20"/>
                <w:color w:val="auto"/>
              </w:rPr>
            </w:pPr>
            <w:r>
              <w:rPr>
                <w:rFonts w:ascii="Calibri" w:cs="Calibri" w:eastAsia="Calibri" w:hAnsi="Calibri"/>
                <w:sz w:val="18"/>
                <w:szCs w:val="18"/>
                <w:b w:val="1"/>
                <w:bCs w:val="1"/>
                <w:color w:val="auto"/>
              </w:rPr>
              <w:t>2023</w:t>
            </w: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Product revenue, net</w:t>
            </w:r>
          </w:p>
        </w:tc>
        <w:tc>
          <w:tcPr>
            <w:tcW w:w="360" w:type="dxa"/>
            <w:vAlign w:val="bottom"/>
            <w:shd w:val="clear" w:color="auto" w:fill="CFF0FC"/>
          </w:tcPr>
          <w:p>
            <w:pPr>
              <w:jc w:val="right"/>
              <w:ind w:right="170"/>
              <w:spacing w:after="0" w:line="210"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55,252</w:t>
            </w:r>
          </w:p>
        </w:tc>
        <w:tc>
          <w:tcPr>
            <w:tcW w:w="660" w:type="dxa"/>
            <w:vAlign w:val="bottom"/>
            <w:gridSpan w:val="2"/>
            <w:shd w:val="clear" w:color="auto" w:fill="CFF0FC"/>
          </w:tcPr>
          <w:p>
            <w:pPr>
              <w:jc w:val="right"/>
              <w:ind w:right="380"/>
              <w:spacing w:after="0" w:line="210"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682</w:t>
            </w: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Cost of revenue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7,973</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167</w:t>
            </w: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Gross proft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47,279</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line="210" w:lineRule="exact"/>
              <w:rPr>
                <w:sz w:val="20"/>
                <w:szCs w:val="20"/>
                <w:color w:val="auto"/>
              </w:rPr>
            </w:pPr>
            <w:r>
              <w:rPr>
                <w:rFonts w:ascii="Calibri" w:cs="Calibri" w:eastAsia="Calibri" w:hAnsi="Calibri"/>
                <w:sz w:val="18"/>
                <w:szCs w:val="18"/>
                <w:color w:val="auto"/>
              </w:rPr>
              <w:t>515</w:t>
            </w:r>
          </w:p>
        </w:tc>
      </w:tr>
      <w:tr>
        <w:trPr>
          <w:trHeight w:val="215"/>
        </w:trPr>
        <w:tc>
          <w:tcPr>
            <w:tcW w:w="7720" w:type="dxa"/>
            <w:vAlign w:val="bottom"/>
          </w:tcPr>
          <w:p>
            <w:pPr>
              <w:ind w:left="20"/>
              <w:spacing w:after="0" w:line="215" w:lineRule="exact"/>
              <w:rPr>
                <w:sz w:val="20"/>
                <w:szCs w:val="20"/>
                <w:color w:val="auto"/>
              </w:rPr>
            </w:pPr>
            <w:r>
              <w:rPr>
                <w:rFonts w:ascii="Calibri" w:cs="Calibri" w:eastAsia="Calibri" w:hAnsi="Calibri"/>
                <w:sz w:val="18"/>
                <w:szCs w:val="18"/>
                <w:color w:val="auto"/>
              </w:rPr>
              <w:t>Operatng expenses:</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7"/>
        </w:trPr>
        <w:tc>
          <w:tcPr>
            <w:tcW w:w="7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Research and development</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34,082</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49,899</w:t>
            </w:r>
          </w:p>
        </w:tc>
      </w:tr>
      <w:tr>
        <w:trPr>
          <w:trHeight w:val="215"/>
        </w:trPr>
        <w:tc>
          <w:tcPr>
            <w:tcW w:w="7720" w:type="dxa"/>
            <w:vAlign w:val="bottom"/>
          </w:tcPr>
          <w:p>
            <w:pPr>
              <w:ind w:left="120"/>
              <w:spacing w:after="0" w:line="215" w:lineRule="exact"/>
              <w:rPr>
                <w:sz w:val="20"/>
                <w:szCs w:val="20"/>
                <w:color w:val="auto"/>
              </w:rPr>
            </w:pPr>
            <w:r>
              <w:rPr>
                <w:rFonts w:ascii="Calibri" w:cs="Calibri" w:eastAsia="Calibri" w:hAnsi="Calibri"/>
                <w:sz w:val="18"/>
                <w:szCs w:val="18"/>
                <w:color w:val="auto"/>
              </w:rPr>
              <w:t>Selling, general and administratve</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290,664</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117,928</w:t>
            </w:r>
          </w:p>
        </w:tc>
      </w:tr>
      <w:tr>
        <w:trPr>
          <w:trHeight w:val="209"/>
        </w:trPr>
        <w:tc>
          <w:tcPr>
            <w:tcW w:w="77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operatng expenses</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324,746</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167,827</w:t>
            </w:r>
          </w:p>
        </w:tc>
      </w:tr>
      <w:tr>
        <w:trPr>
          <w:trHeight w:val="210"/>
        </w:trPr>
        <w:tc>
          <w:tcPr>
            <w:tcW w:w="7720" w:type="dxa"/>
            <w:vAlign w:val="bottom"/>
          </w:tcPr>
          <w:p>
            <w:pPr>
              <w:ind w:left="20"/>
              <w:spacing w:after="0" w:line="209" w:lineRule="exact"/>
              <w:rPr>
                <w:sz w:val="20"/>
                <w:szCs w:val="20"/>
                <w:color w:val="auto"/>
              </w:rPr>
            </w:pPr>
            <w:r>
              <w:rPr>
                <w:rFonts w:ascii="Calibri" w:cs="Calibri" w:eastAsia="Calibri" w:hAnsi="Calibri"/>
                <w:sz w:val="18"/>
                <w:szCs w:val="18"/>
                <w:color w:val="auto"/>
              </w:rPr>
              <w:t>Loss from operatons</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(277,467 )</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(167,312 )</w:t>
            </w:r>
          </w:p>
        </w:tc>
      </w:tr>
      <w:tr>
        <w:trPr>
          <w:trHeight w:val="210"/>
        </w:trPr>
        <w:tc>
          <w:tcPr>
            <w:tcW w:w="772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color w:val="auto"/>
              </w:rPr>
              <w:t>Other (expense) income: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r>
      <w:tr>
        <w:trPr>
          <w:trHeight w:val="215"/>
        </w:trPr>
        <w:tc>
          <w:tcPr>
            <w:tcW w:w="7720" w:type="dxa"/>
            <w:vAlign w:val="bottom"/>
          </w:tcPr>
          <w:p>
            <w:pPr>
              <w:ind w:left="120"/>
              <w:spacing w:after="0" w:line="215" w:lineRule="exact"/>
              <w:rPr>
                <w:sz w:val="20"/>
                <w:szCs w:val="20"/>
                <w:color w:val="auto"/>
              </w:rPr>
            </w:pPr>
            <w:r>
              <w:rPr>
                <w:rFonts w:ascii="Calibri" w:cs="Calibri" w:eastAsia="Calibri" w:hAnsi="Calibri"/>
                <w:sz w:val="18"/>
                <w:szCs w:val="18"/>
                <w:color w:val="auto"/>
              </w:rPr>
              <w:t>Interest income</w:t>
            </w:r>
          </w:p>
        </w:tc>
        <w:tc>
          <w:tcPr>
            <w:tcW w:w="360" w:type="dxa"/>
            <w:vAlign w:val="bottom"/>
          </w:tcPr>
          <w:p>
            <w:pPr>
              <w:spacing w:after="0"/>
              <w:rPr>
                <w:sz w:val="18"/>
                <w:szCs w:val="18"/>
                <w:color w:val="auto"/>
              </w:rPr>
            </w:pPr>
          </w:p>
        </w:tc>
        <w:tc>
          <w:tcPr>
            <w:tcW w:w="132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15,158</w:t>
            </w: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7,876</w:t>
            </w:r>
          </w:p>
        </w:tc>
      </w:tr>
      <w:tr>
        <w:trPr>
          <w:trHeight w:val="217"/>
        </w:trPr>
        <w:tc>
          <w:tcPr>
            <w:tcW w:w="7720" w:type="dxa"/>
            <w:vAlign w:val="bottom"/>
            <w:shd w:val="clear" w:color="auto" w:fill="CFF0FC"/>
          </w:tcPr>
          <w:p>
            <w:pPr>
              <w:ind w:left="120"/>
              <w:spacing w:after="0" w:line="216" w:lineRule="exact"/>
              <w:rPr>
                <w:sz w:val="20"/>
                <w:szCs w:val="20"/>
                <w:color w:val="auto"/>
              </w:rPr>
            </w:pPr>
            <w:r>
              <w:rPr>
                <w:rFonts w:ascii="Calibri" w:cs="Calibri" w:eastAsia="Calibri" w:hAnsi="Calibri"/>
                <w:sz w:val="18"/>
                <w:szCs w:val="18"/>
                <w:color w:val="auto"/>
              </w:rPr>
              <w:t>Interest expense</w:t>
            </w:r>
          </w:p>
        </w:tc>
        <w:tc>
          <w:tcPr>
            <w:tcW w:w="3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(72,009 )</w:t>
            </w:r>
          </w:p>
        </w:tc>
        <w:tc>
          <w:tcPr>
            <w:tcW w:w="16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(41,968 )</w:t>
            </w:r>
          </w:p>
        </w:tc>
      </w:tr>
      <w:tr>
        <w:trPr>
          <w:trHeight w:val="215"/>
        </w:trPr>
        <w:tc>
          <w:tcPr>
            <w:tcW w:w="7720" w:type="dxa"/>
            <w:vAlign w:val="bottom"/>
          </w:tcPr>
          <w:p>
            <w:pPr>
              <w:ind w:left="120"/>
              <w:spacing w:after="0" w:line="215" w:lineRule="exact"/>
              <w:rPr>
                <w:sz w:val="20"/>
                <w:szCs w:val="20"/>
                <w:color w:val="auto"/>
              </w:rPr>
            </w:pPr>
            <w:r>
              <w:rPr>
                <w:rFonts w:ascii="Calibri" w:cs="Calibri" w:eastAsia="Calibri" w:hAnsi="Calibri"/>
                <w:sz w:val="18"/>
                <w:szCs w:val="18"/>
                <w:color w:val="auto"/>
              </w:rPr>
              <w:t>Other expense, net</w:t>
            </w: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(8 )</w:t>
            </w:r>
          </w:p>
        </w:tc>
        <w:tc>
          <w:tcPr>
            <w:tcW w:w="1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(188 )</w:t>
            </w:r>
          </w:p>
        </w:tc>
      </w:tr>
      <w:tr>
        <w:trPr>
          <w:trHeight w:val="209"/>
        </w:trPr>
        <w:tc>
          <w:tcPr>
            <w:tcW w:w="772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Total other expense</w:t>
            </w:r>
          </w:p>
        </w:tc>
        <w:tc>
          <w:tcPr>
            <w:tcW w:w="36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(56,859 )</w:t>
            </w:r>
          </w:p>
        </w:tc>
        <w:tc>
          <w:tcPr>
            <w:tcW w:w="16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(34,280 )</w:t>
            </w:r>
          </w:p>
        </w:tc>
      </w:tr>
      <w:tr>
        <w:trPr>
          <w:trHeight w:val="209"/>
        </w:trPr>
        <w:tc>
          <w:tcPr>
            <w:tcW w:w="7720" w:type="dxa"/>
            <w:vAlign w:val="bottom"/>
          </w:tcPr>
          <w:p>
            <w:pPr>
              <w:ind w:left="20"/>
              <w:spacing w:after="0" w:line="209" w:lineRule="exact"/>
              <w:rPr>
                <w:sz w:val="20"/>
                <w:szCs w:val="20"/>
                <w:color w:val="auto"/>
              </w:rPr>
            </w:pPr>
            <w:r>
              <w:rPr>
                <w:rFonts w:ascii="Calibri" w:cs="Calibri" w:eastAsia="Calibri" w:hAnsi="Calibri"/>
                <w:sz w:val="18"/>
                <w:szCs w:val="18"/>
                <w:color w:val="auto"/>
              </w:rPr>
              <w:t>Net loss and comprehensive loss</w:t>
            </w:r>
          </w:p>
        </w:tc>
        <w:tc>
          <w:tcPr>
            <w:tcW w:w="360" w:type="dxa"/>
            <w:vAlign w:val="bottom"/>
          </w:tcPr>
          <w:p>
            <w:pPr>
              <w:jc w:val="right"/>
              <w:ind w:right="170"/>
              <w:spacing w:after="0" w:line="209" w:lineRule="exact"/>
              <w:rPr>
                <w:sz w:val="20"/>
                <w:szCs w:val="20"/>
                <w:color w:val="auto"/>
              </w:rPr>
            </w:pPr>
            <w:r>
              <w:rPr>
                <w:rFonts w:ascii="Calibri" w:cs="Calibri" w:eastAsia="Calibri" w:hAnsi="Calibri"/>
                <w:sz w:val="18"/>
                <w:szCs w:val="18"/>
                <w:color w:val="auto"/>
                <w:w w:val="87"/>
              </w:rPr>
              <w:t>$</w:t>
            </w:r>
          </w:p>
        </w:tc>
        <w:tc>
          <w:tcPr>
            <w:tcW w:w="1320" w:type="dxa"/>
            <w:vAlign w:val="bottom"/>
          </w:tcPr>
          <w:p>
            <w:pPr>
              <w:jc w:val="right"/>
              <w:spacing w:after="0" w:line="209" w:lineRule="exact"/>
              <w:rPr>
                <w:sz w:val="20"/>
                <w:szCs w:val="20"/>
                <w:color w:val="auto"/>
              </w:rPr>
            </w:pPr>
            <w:r>
              <w:rPr>
                <w:rFonts w:ascii="Calibri" w:cs="Calibri" w:eastAsia="Calibri" w:hAnsi="Calibri"/>
                <w:sz w:val="18"/>
                <w:szCs w:val="18"/>
                <w:color w:val="auto"/>
              </w:rPr>
              <w:t>(334,326 )</w:t>
            </w:r>
          </w:p>
        </w:tc>
        <w:tc>
          <w:tcPr>
            <w:tcW w:w="660" w:type="dxa"/>
            <w:vAlign w:val="bottom"/>
            <w:gridSpan w:val="2"/>
          </w:tcPr>
          <w:p>
            <w:pPr>
              <w:jc w:val="right"/>
              <w:ind w:right="380"/>
              <w:spacing w:after="0" w:line="209" w:lineRule="exact"/>
              <w:rPr>
                <w:sz w:val="20"/>
                <w:szCs w:val="20"/>
                <w:color w:val="auto"/>
              </w:rPr>
            </w:pPr>
            <w:r>
              <w:rPr>
                <w:rFonts w:ascii="Calibri" w:cs="Calibri" w:eastAsia="Calibri" w:hAnsi="Calibri"/>
                <w:sz w:val="18"/>
                <w:szCs w:val="18"/>
                <w:color w:val="auto"/>
              </w:rPr>
              <w:t>$</w:t>
            </w:r>
          </w:p>
        </w:tc>
        <w:tc>
          <w:tcPr>
            <w:tcW w:w="1180" w:type="dxa"/>
            <w:vAlign w:val="bottom"/>
          </w:tcPr>
          <w:p>
            <w:pPr>
              <w:jc w:val="right"/>
              <w:spacing w:after="0" w:line="209" w:lineRule="exact"/>
              <w:rPr>
                <w:sz w:val="20"/>
                <w:szCs w:val="20"/>
                <w:color w:val="auto"/>
              </w:rPr>
            </w:pPr>
            <w:r>
              <w:rPr>
                <w:rFonts w:ascii="Calibri" w:cs="Calibri" w:eastAsia="Calibri" w:hAnsi="Calibri"/>
                <w:sz w:val="18"/>
                <w:szCs w:val="18"/>
                <w:color w:val="auto"/>
              </w:rPr>
              <w:t>(201,592 )</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Net loss per share, basic and diluted</w:t>
            </w:r>
          </w:p>
        </w:tc>
        <w:tc>
          <w:tcPr>
            <w:tcW w:w="360" w:type="dxa"/>
            <w:vAlign w:val="bottom"/>
            <w:shd w:val="clear" w:color="auto" w:fill="CFF0FC"/>
          </w:tcPr>
          <w:p>
            <w:pPr>
              <w:jc w:val="right"/>
              <w:ind w:right="170"/>
              <w:spacing w:after="0" w:line="196" w:lineRule="exact"/>
              <w:rPr>
                <w:sz w:val="20"/>
                <w:szCs w:val="20"/>
                <w:color w:val="auto"/>
              </w:rPr>
            </w:pPr>
            <w:r>
              <w:rPr>
                <w:rFonts w:ascii="Calibri" w:cs="Calibri" w:eastAsia="Calibri" w:hAnsi="Calibri"/>
                <w:sz w:val="18"/>
                <w:szCs w:val="18"/>
                <w:color w:val="auto"/>
                <w:w w:val="87"/>
              </w:rPr>
              <w:t>$</w:t>
            </w:r>
          </w:p>
        </w:tc>
        <w:tc>
          <w:tcPr>
            <w:tcW w:w="132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(5.29 )</w:t>
            </w:r>
          </w:p>
        </w:tc>
        <w:tc>
          <w:tcPr>
            <w:tcW w:w="660" w:type="dxa"/>
            <w:vAlign w:val="bottom"/>
            <w:gridSpan w:val="2"/>
            <w:shd w:val="clear" w:color="auto" w:fill="CFF0FC"/>
          </w:tcPr>
          <w:p>
            <w:pPr>
              <w:jc w:val="right"/>
              <w:ind w:right="380"/>
              <w:spacing w:after="0" w:line="196" w:lineRule="exact"/>
              <w:rPr>
                <w:sz w:val="20"/>
                <w:szCs w:val="20"/>
                <w:color w:val="auto"/>
              </w:rPr>
            </w:pPr>
            <w:r>
              <w:rPr>
                <w:rFonts w:ascii="Calibri" w:cs="Calibri" w:eastAsia="Calibri" w:hAnsi="Calibri"/>
                <w:sz w:val="18"/>
                <w:szCs w:val="18"/>
                <w:color w:val="auto"/>
              </w:rPr>
              <w:t>$</w:t>
            </w:r>
          </w:p>
        </w:tc>
        <w:tc>
          <w:tcPr>
            <w:tcW w:w="1180" w:type="dxa"/>
            <w:vAlign w:val="bottom"/>
            <w:shd w:val="clear" w:color="auto" w:fill="CFF0FC"/>
          </w:tcPr>
          <w:p>
            <w:pPr>
              <w:jc w:val="right"/>
              <w:spacing w:after="0" w:line="196" w:lineRule="exact"/>
              <w:rPr>
                <w:sz w:val="20"/>
                <w:szCs w:val="20"/>
                <w:color w:val="auto"/>
              </w:rPr>
            </w:pPr>
            <w:r>
              <w:rPr>
                <w:rFonts w:ascii="Calibri" w:cs="Calibri" w:eastAsia="Calibri" w:hAnsi="Calibri"/>
                <w:sz w:val="18"/>
                <w:szCs w:val="18"/>
                <w:color w:val="auto"/>
              </w:rPr>
              <w:t>(3.93 )</w:t>
            </w:r>
          </w:p>
        </w:tc>
      </w:tr>
      <w:tr>
        <w:trPr>
          <w:trHeight w:val="196"/>
        </w:trPr>
        <w:tc>
          <w:tcPr>
            <w:tcW w:w="772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color w:val="auto"/>
              </w:rPr>
              <w:t>Weighted-average shares of common stock outstanding, basic and diluted</w:t>
            </w:r>
          </w:p>
        </w:tc>
        <w:tc>
          <w:tcPr>
            <w:tcW w:w="36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Calibri" w:cs="Calibri" w:eastAsia="Calibri" w:hAnsi="Calibri"/>
                <w:sz w:val="18"/>
                <w:szCs w:val="18"/>
                <w:color w:val="auto"/>
              </w:rPr>
              <w:t>63,176,210</w:t>
            </w:r>
          </w:p>
        </w:tc>
        <w:tc>
          <w:tcPr>
            <w:tcW w:w="160" w:type="dxa"/>
            <w:vAlign w:val="bottom"/>
            <w:tcBorders>
              <w:top w:val="single" w:sz="8" w:color="CFF0FC"/>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30"/>
              <w:spacing w:after="0" w:line="196" w:lineRule="exact"/>
              <w:rPr>
                <w:sz w:val="20"/>
                <w:szCs w:val="20"/>
                <w:color w:val="auto"/>
              </w:rPr>
            </w:pPr>
            <w:r>
              <w:rPr>
                <w:rFonts w:ascii="Calibri" w:cs="Calibri" w:eastAsia="Calibri" w:hAnsi="Calibri"/>
                <w:sz w:val="18"/>
                <w:szCs w:val="18"/>
                <w:color w:val="auto"/>
              </w:rPr>
              <w:t>51,289,092</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-1345565</wp:posOffset>
            </wp:positionV>
            <wp:extent cx="11176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-496570</wp:posOffset>
            </wp:positionV>
            <wp:extent cx="11176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-187960</wp:posOffset>
            </wp:positionV>
            <wp:extent cx="11176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-170815</wp:posOffset>
            </wp:positionV>
            <wp:extent cx="11176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3" w:name="page124"/>
    <w:bookmarkEnd w:id="123"/>
    <w:p>
      <w:pPr>
        <w:jc w:val="center"/>
        <w:ind w:right="40"/>
        <w:spacing w:after="0"/>
        <w:rPr>
          <w:sz w:val="20"/>
          <w:szCs w:val="20"/>
          <w:color w:val="auto"/>
        </w:rPr>
      </w:pPr>
      <w:r>
        <w:rPr>
          <w:rFonts w:ascii="Calibri" w:cs="Calibri" w:eastAsia="Calibri" w:hAnsi="Calibri"/>
          <w:sz w:val="18"/>
          <w:szCs w:val="18"/>
          <w:b w:val="1"/>
          <w:bCs w:val="1"/>
          <w:color w:val="auto"/>
        </w:rPr>
        <w:t>PHATHOM PHARMACEUTICALS, INC.</w:t>
      </w:r>
    </w:p>
    <w:p>
      <w:pPr>
        <w:jc w:val="center"/>
        <w:spacing w:after="0" w:line="235" w:lineRule="auto"/>
        <w:rPr>
          <w:sz w:val="20"/>
          <w:szCs w:val="20"/>
          <w:color w:val="auto"/>
        </w:rPr>
      </w:pPr>
      <w:r>
        <w:rPr>
          <w:rFonts w:ascii="Calibri" w:cs="Calibri" w:eastAsia="Calibri" w:hAnsi="Calibri"/>
          <w:sz w:val="18"/>
          <w:szCs w:val="18"/>
          <w:b w:val="1"/>
          <w:bCs w:val="1"/>
          <w:color w:val="auto"/>
        </w:rPr>
        <w:t>Statements of Stockholders’ Defcit</w:t>
      </w:r>
    </w:p>
    <w:p>
      <w:pPr>
        <w:jc w:val="center"/>
        <w:ind w:right="40"/>
        <w:spacing w:after="0" w:line="236" w:lineRule="auto"/>
        <w:rPr>
          <w:sz w:val="20"/>
          <w:szCs w:val="20"/>
          <w:color w:val="auto"/>
        </w:rPr>
      </w:pPr>
      <w:r>
        <w:rPr>
          <w:rFonts w:ascii="Calibri" w:cs="Calibri" w:eastAsia="Calibri" w:hAnsi="Calibri"/>
          <w:sz w:val="18"/>
          <w:szCs w:val="18"/>
          <w:b w:val="1"/>
          <w:bCs w:val="1"/>
          <w:color w:val="auto"/>
        </w:rPr>
        <w:t>(in thousands, except share amounts)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80" w:type="dxa"/>
            <w:vAlign w:val="bottom"/>
          </w:tcPr>
          <w:p>
            <w:pPr>
              <w:spacing w:after="0"/>
              <w:rPr>
                <w:sz w:val="19"/>
                <w:szCs w:val="19"/>
                <w:color w:val="auto"/>
              </w:rPr>
            </w:pPr>
          </w:p>
        </w:tc>
        <w:tc>
          <w:tcPr>
            <w:tcW w:w="1840" w:type="dxa"/>
            <w:vAlign w:val="bottom"/>
            <w:gridSpan w:val="3"/>
            <w:vMerge w:val="restart"/>
          </w:tcPr>
          <w:p>
            <w:pPr>
              <w:jc w:val="right"/>
              <w:ind w:right="117"/>
              <w:spacing w:after="0"/>
              <w:rPr>
                <w:sz w:val="20"/>
                <w:szCs w:val="20"/>
                <w:color w:val="auto"/>
              </w:rPr>
            </w:pPr>
            <w:r>
              <w:rPr>
                <w:rFonts w:ascii="Calibri" w:cs="Calibri" w:eastAsia="Calibri" w:hAnsi="Calibri"/>
                <w:sz w:val="18"/>
                <w:szCs w:val="18"/>
                <w:b w:val="1"/>
                <w:bCs w:val="1"/>
                <w:color w:val="auto"/>
              </w:rPr>
              <w:t>Common Stock</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vMerge w:val="restart"/>
          </w:tcPr>
          <w:p>
            <w:pPr>
              <w:jc w:val="center"/>
              <w:spacing w:after="0"/>
              <w:rPr>
                <w:sz w:val="20"/>
                <w:szCs w:val="20"/>
                <w:color w:val="auto"/>
              </w:rPr>
            </w:pPr>
            <w:r>
              <w:rPr>
                <w:rFonts w:ascii="Calibri" w:cs="Calibri" w:eastAsia="Calibri" w:hAnsi="Calibri"/>
                <w:sz w:val="18"/>
                <w:szCs w:val="18"/>
                <w:b w:val="1"/>
                <w:bCs w:val="1"/>
                <w:color w:val="auto"/>
                <w:w w:val="98"/>
              </w:rPr>
              <w:t>Treasury Stock</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8"/>
              <w:spacing w:after="0"/>
              <w:rPr>
                <w:sz w:val="20"/>
                <w:szCs w:val="20"/>
                <w:color w:val="auto"/>
              </w:rPr>
            </w:pPr>
            <w:r>
              <w:rPr>
                <w:rFonts w:ascii="Calibri" w:cs="Calibri" w:eastAsia="Calibri" w:hAnsi="Calibri"/>
                <w:sz w:val="18"/>
                <w:szCs w:val="18"/>
                <w:b w:val="1"/>
                <w:bCs w:val="1"/>
                <w:color w:val="auto"/>
              </w:rPr>
              <w:t>Additonal</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center"/>
              <w:ind w:right="220"/>
              <w:spacing w:after="0"/>
              <w:rPr>
                <w:sz w:val="20"/>
                <w:szCs w:val="20"/>
                <w:color w:val="auto"/>
              </w:rPr>
            </w:pPr>
            <w:r>
              <w:rPr>
                <w:rFonts w:ascii="Calibri" w:cs="Calibri" w:eastAsia="Calibri" w:hAnsi="Calibri"/>
                <w:sz w:val="18"/>
                <w:szCs w:val="18"/>
                <w:b w:val="1"/>
                <w:bCs w:val="1"/>
                <w:color w:val="auto"/>
                <w:w w:val="94"/>
              </w:rPr>
              <w:t>Total</w:t>
            </w:r>
          </w:p>
        </w:tc>
        <w:tc>
          <w:tcPr>
            <w:tcW w:w="0" w:type="dxa"/>
            <w:vAlign w:val="bottom"/>
          </w:tcPr>
          <w:p>
            <w:pPr>
              <w:spacing w:after="0"/>
              <w:rPr>
                <w:sz w:val="1"/>
                <w:szCs w:val="1"/>
                <w:color w:val="auto"/>
              </w:rPr>
            </w:pPr>
          </w:p>
        </w:tc>
      </w:tr>
      <w:tr>
        <w:trPr>
          <w:trHeight w:val="220"/>
        </w:trPr>
        <w:tc>
          <w:tcPr>
            <w:tcW w:w="3380" w:type="dxa"/>
            <w:vAlign w:val="bottom"/>
          </w:tcPr>
          <w:p>
            <w:pPr>
              <w:spacing w:after="0"/>
              <w:rPr>
                <w:sz w:val="19"/>
                <w:szCs w:val="19"/>
                <w:color w:val="auto"/>
              </w:rPr>
            </w:pPr>
          </w:p>
        </w:tc>
        <w:tc>
          <w:tcPr>
            <w:tcW w:w="1840" w:type="dxa"/>
            <w:vAlign w:val="bottom"/>
            <w:tcBorders>
              <w:bottom w:val="single" w:sz="8" w:color="auto"/>
            </w:tcBorders>
            <w:gridSpan w:val="3"/>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center"/>
              <w:ind w:right="58"/>
              <w:spacing w:after="0" w:line="216" w:lineRule="exact"/>
              <w:rPr>
                <w:sz w:val="20"/>
                <w:szCs w:val="20"/>
                <w:color w:val="auto"/>
              </w:rPr>
            </w:pPr>
            <w:r>
              <w:rPr>
                <w:rFonts w:ascii="Calibri" w:cs="Calibri" w:eastAsia="Calibri" w:hAnsi="Calibri"/>
                <w:sz w:val="18"/>
                <w:szCs w:val="18"/>
                <w:b w:val="1"/>
                <w:bCs w:val="1"/>
                <w:color w:val="auto"/>
                <w:w w:val="99"/>
              </w:rPr>
              <w:t>Paid-in</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center"/>
              <w:ind w:right="340"/>
              <w:spacing w:after="0" w:line="216" w:lineRule="exact"/>
              <w:rPr>
                <w:sz w:val="20"/>
                <w:szCs w:val="20"/>
                <w:color w:val="auto"/>
              </w:rPr>
            </w:pPr>
            <w:r>
              <w:rPr>
                <w:rFonts w:ascii="Calibri" w:cs="Calibri" w:eastAsia="Calibri" w:hAnsi="Calibri"/>
                <w:sz w:val="18"/>
                <w:szCs w:val="18"/>
                <w:b w:val="1"/>
                <w:bCs w:val="1"/>
                <w:color w:val="auto"/>
                <w:w w:val="97"/>
              </w:rPr>
              <w:t>Accumulated</w:t>
            </w:r>
          </w:p>
        </w:tc>
        <w:tc>
          <w:tcPr>
            <w:tcW w:w="1260" w:type="dxa"/>
            <w:vAlign w:val="bottom"/>
            <w:gridSpan w:val="3"/>
          </w:tcPr>
          <w:p>
            <w:pPr>
              <w:jc w:val="center"/>
              <w:ind w:right="100"/>
              <w:spacing w:after="0" w:line="216" w:lineRule="exact"/>
              <w:rPr>
                <w:sz w:val="20"/>
                <w:szCs w:val="20"/>
                <w:color w:val="auto"/>
              </w:rPr>
            </w:pPr>
            <w:r>
              <w:rPr>
                <w:rFonts w:ascii="Calibri" w:cs="Calibri" w:eastAsia="Calibri" w:hAnsi="Calibri"/>
                <w:sz w:val="18"/>
                <w:szCs w:val="18"/>
                <w:b w:val="1"/>
                <w:bCs w:val="1"/>
                <w:color w:val="auto"/>
                <w:w w:val="98"/>
              </w:rPr>
              <w:t>Stockholders’</w:t>
            </w:r>
          </w:p>
        </w:tc>
        <w:tc>
          <w:tcPr>
            <w:tcW w:w="0" w:type="dxa"/>
            <w:vAlign w:val="bottom"/>
          </w:tcPr>
          <w:p>
            <w:pPr>
              <w:spacing w:after="0"/>
              <w:rPr>
                <w:sz w:val="1"/>
                <w:szCs w:val="1"/>
                <w:color w:val="auto"/>
              </w:rPr>
            </w:pPr>
          </w:p>
        </w:tc>
      </w:tr>
      <w:tr>
        <w:trPr>
          <w:trHeight w:val="215"/>
        </w:trPr>
        <w:tc>
          <w:tcPr>
            <w:tcW w:w="3380" w:type="dxa"/>
            <w:vAlign w:val="bottom"/>
          </w:tcPr>
          <w:p>
            <w:pPr>
              <w:spacing w:after="0"/>
              <w:rPr>
                <w:sz w:val="18"/>
                <w:szCs w:val="18"/>
                <w:color w:val="auto"/>
              </w:rPr>
            </w:pPr>
          </w:p>
        </w:tc>
        <w:tc>
          <w:tcPr>
            <w:tcW w:w="1200" w:type="dxa"/>
            <w:vAlign w:val="bottom"/>
            <w:tcBorders>
              <w:bottom w:val="single" w:sz="8" w:color="auto"/>
            </w:tcBorders>
          </w:tcPr>
          <w:p>
            <w:pPr>
              <w:jc w:val="right"/>
              <w:ind w:right="278"/>
              <w:spacing w:after="0" w:line="215" w:lineRule="exact"/>
              <w:rPr>
                <w:sz w:val="20"/>
                <w:szCs w:val="20"/>
                <w:color w:val="auto"/>
              </w:rPr>
            </w:pPr>
            <w:r>
              <w:rPr>
                <w:rFonts w:ascii="Calibri" w:cs="Calibri" w:eastAsia="Calibri" w:hAnsi="Calibri"/>
                <w:sz w:val="18"/>
                <w:szCs w:val="18"/>
                <w:b w:val="1"/>
                <w:bCs w:val="1"/>
                <w:color w:val="auto"/>
              </w:rPr>
              <w:t>Shares</w:t>
            </w:r>
          </w:p>
        </w:tc>
        <w:tc>
          <w:tcPr>
            <w:tcW w:w="260" w:type="dxa"/>
            <w:vAlign w:val="bottom"/>
          </w:tcPr>
          <w:p>
            <w:pPr>
              <w:spacing w:after="0"/>
              <w:rPr>
                <w:sz w:val="18"/>
                <w:szCs w:val="18"/>
                <w:color w:val="auto"/>
              </w:rPr>
            </w:pPr>
          </w:p>
        </w:tc>
        <w:tc>
          <w:tcPr>
            <w:tcW w:w="720" w:type="dxa"/>
            <w:vAlign w:val="bottom"/>
            <w:tcBorders>
              <w:bottom w:val="single" w:sz="8" w:color="auto"/>
            </w:tcBorders>
            <w:gridSpan w:val="2"/>
          </w:tcPr>
          <w:p>
            <w:pPr>
              <w:jc w:val="right"/>
              <w:spacing w:after="0" w:line="215" w:lineRule="exact"/>
              <w:rPr>
                <w:sz w:val="20"/>
                <w:szCs w:val="20"/>
                <w:color w:val="auto"/>
              </w:rPr>
            </w:pPr>
            <w:r>
              <w:rPr>
                <w:rFonts w:ascii="Calibri" w:cs="Calibri" w:eastAsia="Calibri" w:hAnsi="Calibri"/>
                <w:sz w:val="18"/>
                <w:szCs w:val="18"/>
                <w:b w:val="1"/>
                <w:bCs w:val="1"/>
                <w:color w:val="auto"/>
              </w:rPr>
              <w:t>Amount</w:t>
            </w:r>
          </w:p>
        </w:tc>
        <w:tc>
          <w:tcPr>
            <w:tcW w:w="220" w:type="dxa"/>
            <w:vAlign w:val="bottom"/>
          </w:tcPr>
          <w:p>
            <w:pPr>
              <w:spacing w:after="0"/>
              <w:rPr>
                <w:sz w:val="18"/>
                <w:szCs w:val="18"/>
                <w:color w:val="auto"/>
              </w:rPr>
            </w:pPr>
          </w:p>
        </w:tc>
        <w:tc>
          <w:tcPr>
            <w:tcW w:w="1180" w:type="dxa"/>
            <w:vAlign w:val="bottom"/>
            <w:tcBorders>
              <w:bottom w:val="single" w:sz="8" w:color="auto"/>
            </w:tcBorders>
          </w:tcPr>
          <w:p>
            <w:pPr>
              <w:jc w:val="center"/>
              <w:spacing w:after="0" w:line="215" w:lineRule="exact"/>
              <w:rPr>
                <w:sz w:val="20"/>
                <w:szCs w:val="20"/>
                <w:color w:val="auto"/>
              </w:rPr>
            </w:pPr>
            <w:r>
              <w:rPr>
                <w:rFonts w:ascii="Calibri" w:cs="Calibri" w:eastAsia="Calibri" w:hAnsi="Calibri"/>
                <w:sz w:val="18"/>
                <w:szCs w:val="18"/>
                <w:b w:val="1"/>
                <w:bCs w:val="1"/>
                <w:color w:val="auto"/>
                <w:w w:val="96"/>
              </w:rPr>
              <w:t>Shares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8"/>
              <w:spacing w:after="0" w:line="193" w:lineRule="exact"/>
              <w:rPr>
                <w:sz w:val="20"/>
                <w:szCs w:val="20"/>
                <w:color w:val="auto"/>
              </w:rPr>
            </w:pPr>
            <w:r>
              <w:rPr>
                <w:rFonts w:ascii="Calibri" w:cs="Calibri" w:eastAsia="Calibri" w:hAnsi="Calibri"/>
                <w:sz w:val="18"/>
                <w:szCs w:val="18"/>
                <w:b w:val="1"/>
                <w:bCs w:val="1"/>
                <w:color w:val="auto"/>
                <w:w w:val="99"/>
              </w:rPr>
              <w:t>Capital</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spacing w:after="0" w:line="193" w:lineRule="exact"/>
              <w:rPr>
                <w:sz w:val="20"/>
                <w:szCs w:val="20"/>
                <w:color w:val="auto"/>
              </w:rPr>
            </w:pPr>
            <w:r>
              <w:rPr>
                <w:rFonts w:ascii="Calibri" w:cs="Calibri" w:eastAsia="Calibri" w:hAnsi="Calibri"/>
                <w:sz w:val="18"/>
                <w:szCs w:val="18"/>
                <w:b w:val="1"/>
                <w:bCs w:val="1"/>
                <w:color w:val="auto"/>
              </w:rPr>
              <w:t>Defcit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8"/>
              <w:spacing w:after="0" w:line="193" w:lineRule="exact"/>
              <w:rPr>
                <w:sz w:val="20"/>
                <w:szCs w:val="20"/>
                <w:color w:val="auto"/>
              </w:rPr>
            </w:pPr>
            <w:r>
              <w:rPr>
                <w:rFonts w:ascii="Calibri" w:cs="Calibri" w:eastAsia="Calibri" w:hAnsi="Calibri"/>
                <w:sz w:val="18"/>
                <w:szCs w:val="18"/>
                <w:b w:val="1"/>
                <w:bCs w:val="1"/>
                <w:color w:val="auto"/>
              </w:rPr>
              <w:t>Defcit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38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Balance at December 31, 2023</w:t>
            </w:r>
          </w:p>
        </w:tc>
        <w:tc>
          <w:tcPr>
            <w:tcW w:w="12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57,970,044</w:t>
            </w:r>
          </w:p>
        </w:tc>
        <w:tc>
          <w:tcPr>
            <w:tcW w:w="640" w:type="dxa"/>
            <w:vAlign w:val="bottom"/>
            <w:gridSpan w:val="2"/>
            <w:shd w:val="clear" w:color="auto" w:fill="CFF0FC"/>
          </w:tcPr>
          <w:p>
            <w:pPr>
              <w:jc w:val="right"/>
              <w:ind w:right="197"/>
              <w:spacing w:after="0" w:line="193" w:lineRule="exact"/>
              <w:rPr>
                <w:sz w:val="20"/>
                <w:szCs w:val="20"/>
                <w:color w:val="auto"/>
              </w:rPr>
            </w:pPr>
            <w:r>
              <w:rPr>
                <w:rFonts w:ascii="Calibri" w:cs="Calibri" w:eastAsia="Calibri" w:hAnsi="Calibri"/>
                <w:sz w:val="16"/>
                <w:szCs w:val="16"/>
                <w:color w:val="auto"/>
              </w:rPr>
              <w:t>$</w:t>
            </w:r>
          </w:p>
        </w:tc>
        <w:tc>
          <w:tcPr>
            <w:tcW w:w="3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5</w:t>
            </w:r>
          </w:p>
        </w:tc>
        <w:tc>
          <w:tcPr>
            <w:tcW w:w="140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w:t>
            </w:r>
          </w:p>
        </w:tc>
        <w:tc>
          <w:tcPr>
            <w:tcW w:w="3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0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855,921</w:t>
            </w:r>
          </w:p>
        </w:tc>
        <w:tc>
          <w:tcPr>
            <w:tcW w:w="3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300" w:type="dxa"/>
            <w:vAlign w:val="bottom"/>
            <w:gridSpan w:val="2"/>
            <w:shd w:val="clear" w:color="auto" w:fill="CFF0FC"/>
          </w:tcPr>
          <w:p>
            <w:pPr>
              <w:jc w:val="right"/>
              <w:ind w:right="180"/>
              <w:spacing w:after="0" w:line="193" w:lineRule="exact"/>
              <w:rPr>
                <w:sz w:val="20"/>
                <w:szCs w:val="20"/>
                <w:color w:val="auto"/>
              </w:rPr>
            </w:pPr>
            <w:r>
              <w:rPr>
                <w:rFonts w:ascii="Calibri" w:cs="Calibri" w:eastAsia="Calibri" w:hAnsi="Calibri"/>
                <w:sz w:val="16"/>
                <w:szCs w:val="16"/>
                <w:color w:val="auto"/>
              </w:rPr>
              <w:t>(928,685 )</w:t>
            </w:r>
          </w:p>
        </w:tc>
        <w:tc>
          <w:tcPr>
            <w:tcW w:w="1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(72,759 )</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383,589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3,683</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3,683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Vestng of restricted stock units</w:t>
            </w:r>
          </w:p>
        </w:tc>
        <w:tc>
          <w:tcPr>
            <w:tcW w:w="12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965,681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Calibri" w:cs="Calibri" w:eastAsia="Calibri" w:hAnsi="Calibri"/>
                <w:sz w:val="16"/>
                <w:szCs w:val="16"/>
                <w:color w:val="auto"/>
              </w:rPr>
              <w:t>—</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24,047</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24,047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ESPP shares issued</w:t>
            </w:r>
          </w:p>
        </w:tc>
        <w:tc>
          <w:tcPr>
            <w:tcW w:w="12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375,381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2,401</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2,401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line="184" w:lineRule="exact"/>
              <w:rPr>
                <w:sz w:val="20"/>
                <w:szCs w:val="20"/>
                <w:color w:val="auto"/>
              </w:rPr>
            </w:pPr>
            <w:r>
              <w:rPr>
                <w:rFonts w:ascii="Calibri" w:cs="Calibri" w:eastAsia="Calibri" w:hAnsi="Calibri"/>
                <w:sz w:val="16"/>
                <w:szCs w:val="16"/>
                <w:color w:val="auto"/>
              </w:rPr>
              <w:t>Issuance of common stock from exercises of</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stock optons</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127,891</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1,599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1,599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3380" w:type="dxa"/>
            <w:vAlign w:val="bottom"/>
            <w:shd w:val="clear" w:color="auto" w:fill="CFF0FC"/>
          </w:tcPr>
          <w:p>
            <w:pPr>
              <w:ind w:left="20"/>
              <w:spacing w:after="0" w:line="184" w:lineRule="exact"/>
              <w:rPr>
                <w:sz w:val="20"/>
                <w:szCs w:val="20"/>
                <w:color w:val="auto"/>
              </w:rPr>
            </w:pPr>
            <w:r>
              <w:rPr>
                <w:rFonts w:ascii="Calibri" w:cs="Calibri" w:eastAsia="Calibri" w:hAnsi="Calibri"/>
                <w:sz w:val="16"/>
                <w:szCs w:val="16"/>
                <w:color w:val="auto"/>
              </w:rPr>
              <w:t>Issuance of common stock and pre-funded</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338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warrants in connecton with the underwriten</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380" w:type="dxa"/>
            <w:vAlign w:val="bottom"/>
            <w:tcBorders>
              <w:bottom w:val="single" w:sz="8" w:color="CFF0FC"/>
            </w:tcBorders>
            <w:shd w:val="clear" w:color="auto" w:fill="CFF0FC"/>
          </w:tcPr>
          <w:p>
            <w:pPr>
              <w:ind w:left="20"/>
              <w:spacing w:after="0"/>
              <w:rPr>
                <w:sz w:val="20"/>
                <w:szCs w:val="20"/>
                <w:color w:val="auto"/>
              </w:rPr>
            </w:pPr>
            <w:r>
              <w:rPr>
                <w:rFonts w:ascii="Calibri" w:cs="Calibri" w:eastAsia="Calibri" w:hAnsi="Calibri"/>
                <w:sz w:val="16"/>
                <w:szCs w:val="16"/>
                <w:color w:val="auto"/>
              </w:rPr>
              <w:t>public ofering, net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8,695,652</w:t>
            </w:r>
          </w:p>
        </w:tc>
        <w:tc>
          <w:tcPr>
            <w:tcW w:w="26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w:t>
            </w:r>
          </w:p>
        </w:tc>
        <w:tc>
          <w:tcPr>
            <w:tcW w:w="22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121,774</w:t>
            </w: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30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jc w:val="right"/>
              <w:spacing w:after="0"/>
              <w:rPr>
                <w:sz w:val="20"/>
                <w:szCs w:val="20"/>
                <w:color w:val="auto"/>
              </w:rPr>
            </w:pPr>
            <w:r>
              <w:rPr>
                <w:rFonts w:ascii="Calibri" w:cs="Calibri" w:eastAsia="Calibri" w:hAnsi="Calibri"/>
                <w:sz w:val="16"/>
                <w:szCs w:val="16"/>
                <w:color w:val="auto"/>
              </w:rPr>
              <w:t>121,775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(334,326 )</w:t>
            </w:r>
          </w:p>
        </w:tc>
        <w:tc>
          <w:tcPr>
            <w:tcW w:w="120" w:type="dxa"/>
            <w:vAlign w:val="bottom"/>
          </w:tcPr>
          <w:p>
            <w:pPr>
              <w:spacing w:after="0"/>
              <w:rPr>
                <w:sz w:val="17"/>
                <w:szCs w:val="17"/>
                <w:color w:val="auto"/>
              </w:rPr>
            </w:pP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(334,326 )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38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Balance at December 31, 2024</w:t>
            </w:r>
          </w:p>
        </w:tc>
        <w:tc>
          <w:tcPr>
            <w:tcW w:w="12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68,518,238</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7"/>
              <w:spacing w:after="0" w:line="193" w:lineRule="exact"/>
              <w:rPr>
                <w:sz w:val="20"/>
                <w:szCs w:val="20"/>
                <w:color w:val="auto"/>
              </w:rPr>
            </w:pPr>
            <w:r>
              <w:rPr>
                <w:rFonts w:ascii="Calibri" w:cs="Calibri" w:eastAsia="Calibri" w:hAnsi="Calibri"/>
                <w:sz w:val="16"/>
                <w:szCs w:val="16"/>
                <w:color w:val="auto"/>
                <w:w w:val="97"/>
              </w:rPr>
              <w:t>$</w:t>
            </w:r>
          </w:p>
        </w:tc>
        <w:tc>
          <w:tcPr>
            <w:tcW w:w="3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1,009,425</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73"/>
              </w:rPr>
              <w:t>$</w:t>
            </w:r>
          </w:p>
        </w:tc>
        <w:tc>
          <w:tcPr>
            <w:tcW w:w="1300" w:type="dxa"/>
            <w:vAlign w:val="bottom"/>
            <w:gridSpan w:val="2"/>
            <w:shd w:val="clear" w:color="auto" w:fill="CFF0FC"/>
          </w:tcPr>
          <w:p>
            <w:pPr>
              <w:jc w:val="right"/>
              <w:ind w:right="180"/>
              <w:spacing w:after="0" w:line="193" w:lineRule="exact"/>
              <w:rPr>
                <w:sz w:val="20"/>
                <w:szCs w:val="20"/>
                <w:color w:val="auto"/>
              </w:rPr>
            </w:pPr>
            <w:r>
              <w:rPr>
                <w:rFonts w:ascii="Calibri" w:cs="Calibri" w:eastAsia="Calibri" w:hAnsi="Calibri"/>
                <w:sz w:val="16"/>
                <w:szCs w:val="16"/>
                <w:color w:val="auto"/>
              </w:rPr>
              <w:t>(1,263,011 )</w:t>
            </w:r>
          </w:p>
        </w:tc>
        <w:tc>
          <w:tcPr>
            <w:tcW w:w="1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(253,580 )</w:t>
            </w:r>
          </w:p>
        </w:tc>
        <w:tc>
          <w:tcPr>
            <w:tcW w:w="0" w:type="dxa"/>
            <w:vAlign w:val="bottom"/>
          </w:tcPr>
          <w:p>
            <w:pPr>
              <w:spacing w:after="0"/>
              <w:rPr>
                <w:sz w:val="1"/>
                <w:szCs w:val="1"/>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2"/>
        </w:trPr>
        <w:tc>
          <w:tcPr>
            <w:tcW w:w="3380" w:type="dxa"/>
            <w:vAlign w:val="bottom"/>
          </w:tcPr>
          <w:p>
            <w:pPr>
              <w:spacing w:after="0"/>
              <w:rPr>
                <w:sz w:val="24"/>
                <w:szCs w:val="24"/>
                <w:color w:val="auto"/>
              </w:rPr>
            </w:pPr>
          </w:p>
        </w:tc>
        <w:tc>
          <w:tcPr>
            <w:tcW w:w="1840" w:type="dxa"/>
            <w:vAlign w:val="bottom"/>
            <w:gridSpan w:val="3"/>
            <w:vMerge w:val="restart"/>
          </w:tcPr>
          <w:p>
            <w:pPr>
              <w:jc w:val="right"/>
              <w:ind w:right="157"/>
              <w:spacing w:after="0"/>
              <w:rPr>
                <w:sz w:val="20"/>
                <w:szCs w:val="20"/>
                <w:color w:val="auto"/>
              </w:rPr>
            </w:pPr>
            <w:r>
              <w:rPr>
                <w:rFonts w:ascii="Calibri" w:cs="Calibri" w:eastAsia="Calibri" w:hAnsi="Calibri"/>
                <w:sz w:val="16"/>
                <w:szCs w:val="16"/>
                <w:b w:val="1"/>
                <w:bCs w:val="1"/>
                <w:color w:val="auto"/>
              </w:rPr>
              <w:t>Common Stock</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vMerge w:val="restart"/>
          </w:tcPr>
          <w:p>
            <w:pPr>
              <w:jc w:val="center"/>
              <w:spacing w:after="0"/>
              <w:rPr>
                <w:sz w:val="20"/>
                <w:szCs w:val="20"/>
                <w:color w:val="auto"/>
              </w:rPr>
            </w:pPr>
            <w:r>
              <w:rPr>
                <w:rFonts w:ascii="Calibri" w:cs="Calibri" w:eastAsia="Calibri" w:hAnsi="Calibri"/>
                <w:sz w:val="16"/>
                <w:szCs w:val="16"/>
                <w:b w:val="1"/>
                <w:bCs w:val="1"/>
                <w:color w:val="auto"/>
              </w:rPr>
              <w:t>Treasury Stock</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78"/>
              <w:spacing w:after="0"/>
              <w:rPr>
                <w:sz w:val="20"/>
                <w:szCs w:val="20"/>
                <w:color w:val="auto"/>
              </w:rPr>
            </w:pPr>
            <w:r>
              <w:rPr>
                <w:rFonts w:ascii="Calibri" w:cs="Calibri" w:eastAsia="Calibri" w:hAnsi="Calibri"/>
                <w:sz w:val="16"/>
                <w:szCs w:val="16"/>
                <w:b w:val="1"/>
                <w:bCs w:val="1"/>
                <w:color w:val="auto"/>
              </w:rPr>
              <w:t>Additonal</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center"/>
              <w:ind w:right="220"/>
              <w:spacing w:after="0"/>
              <w:rPr>
                <w:sz w:val="20"/>
                <w:szCs w:val="20"/>
                <w:color w:val="auto"/>
              </w:rPr>
            </w:pPr>
            <w:r>
              <w:rPr>
                <w:rFonts w:ascii="Calibri" w:cs="Calibri" w:eastAsia="Calibri" w:hAnsi="Calibri"/>
                <w:sz w:val="16"/>
                <w:szCs w:val="16"/>
                <w:b w:val="1"/>
                <w:bCs w:val="1"/>
                <w:color w:val="auto"/>
              </w:rPr>
              <w:t>Total</w:t>
            </w: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840" w:type="dxa"/>
            <w:vAlign w:val="bottom"/>
            <w:tcBorders>
              <w:bottom w:val="single" w:sz="8" w:color="auto"/>
            </w:tcBorders>
            <w:gridSpan w:val="3"/>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center"/>
              <w:ind w:right="58"/>
              <w:spacing w:after="0"/>
              <w:rPr>
                <w:sz w:val="20"/>
                <w:szCs w:val="20"/>
                <w:color w:val="auto"/>
              </w:rPr>
            </w:pPr>
            <w:r>
              <w:rPr>
                <w:rFonts w:ascii="Calibri" w:cs="Calibri" w:eastAsia="Calibri" w:hAnsi="Calibri"/>
                <w:sz w:val="16"/>
                <w:szCs w:val="16"/>
                <w:b w:val="1"/>
                <w:bCs w:val="1"/>
                <w:color w:val="auto"/>
              </w:rPr>
              <w:t>Paid-in</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Calibri" w:cs="Calibri" w:eastAsia="Calibri" w:hAnsi="Calibri"/>
                <w:sz w:val="16"/>
                <w:szCs w:val="16"/>
                <w:b w:val="1"/>
                <w:bCs w:val="1"/>
                <w:color w:val="auto"/>
              </w:rPr>
              <w:t>Accumulated</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Calibri" w:cs="Calibri" w:eastAsia="Calibri" w:hAnsi="Calibri"/>
                <w:sz w:val="16"/>
                <w:szCs w:val="16"/>
                <w:b w:val="1"/>
                <w:bCs w:val="1"/>
                <w:color w:val="auto"/>
              </w:rPr>
              <w:t>Stockholders’</w:t>
            </w:r>
          </w:p>
        </w:tc>
        <w:tc>
          <w:tcPr>
            <w:tcW w:w="0" w:type="dxa"/>
            <w:vAlign w:val="bottom"/>
          </w:tcPr>
          <w:p>
            <w:pPr>
              <w:spacing w:after="0"/>
              <w:rPr>
                <w:sz w:val="1"/>
                <w:szCs w:val="1"/>
                <w:color w:val="auto"/>
              </w:rPr>
            </w:pPr>
          </w:p>
        </w:tc>
      </w:tr>
      <w:tr>
        <w:trPr>
          <w:trHeight w:val="193"/>
        </w:trPr>
        <w:tc>
          <w:tcPr>
            <w:tcW w:w="3380" w:type="dxa"/>
            <w:vAlign w:val="bottom"/>
          </w:tcPr>
          <w:p>
            <w:pPr>
              <w:spacing w:after="0"/>
              <w:rPr>
                <w:sz w:val="16"/>
                <w:szCs w:val="16"/>
                <w:color w:val="auto"/>
              </w:rPr>
            </w:pPr>
          </w:p>
        </w:tc>
        <w:tc>
          <w:tcPr>
            <w:tcW w:w="1200" w:type="dxa"/>
            <w:vAlign w:val="bottom"/>
          </w:tcPr>
          <w:p>
            <w:pPr>
              <w:jc w:val="right"/>
              <w:ind w:right="298"/>
              <w:spacing w:after="0" w:line="193" w:lineRule="exact"/>
              <w:rPr>
                <w:sz w:val="20"/>
                <w:szCs w:val="20"/>
                <w:color w:val="auto"/>
              </w:rPr>
            </w:pPr>
            <w:r>
              <w:rPr>
                <w:rFonts w:ascii="Calibri" w:cs="Calibri" w:eastAsia="Calibri" w:hAnsi="Calibri"/>
                <w:sz w:val="16"/>
                <w:szCs w:val="16"/>
                <w:b w:val="1"/>
                <w:bCs w:val="1"/>
                <w:color w:val="auto"/>
              </w:rPr>
              <w:t>Shares</w:t>
            </w:r>
          </w:p>
        </w:tc>
        <w:tc>
          <w:tcPr>
            <w:tcW w:w="260" w:type="dxa"/>
            <w:vAlign w:val="bottom"/>
          </w:tcPr>
          <w:p>
            <w:pPr>
              <w:spacing w:after="0"/>
              <w:rPr>
                <w:sz w:val="16"/>
                <w:szCs w:val="16"/>
                <w:color w:val="auto"/>
              </w:rPr>
            </w:pPr>
          </w:p>
        </w:tc>
        <w:tc>
          <w:tcPr>
            <w:tcW w:w="720" w:type="dxa"/>
            <w:vAlign w:val="bottom"/>
            <w:gridSpan w:val="2"/>
          </w:tcPr>
          <w:p>
            <w:pPr>
              <w:jc w:val="right"/>
              <w:spacing w:after="0" w:line="193" w:lineRule="exact"/>
              <w:rPr>
                <w:sz w:val="20"/>
                <w:szCs w:val="20"/>
                <w:color w:val="auto"/>
              </w:rPr>
            </w:pPr>
            <w:r>
              <w:rPr>
                <w:rFonts w:ascii="Calibri" w:cs="Calibri" w:eastAsia="Calibri" w:hAnsi="Calibri"/>
                <w:sz w:val="16"/>
                <w:szCs w:val="16"/>
                <w:b w:val="1"/>
                <w:bCs w:val="1"/>
                <w:color w:val="auto"/>
              </w:rPr>
              <w:t>Amount</w:t>
            </w:r>
          </w:p>
        </w:tc>
        <w:tc>
          <w:tcPr>
            <w:tcW w:w="220" w:type="dxa"/>
            <w:vAlign w:val="bottom"/>
          </w:tcPr>
          <w:p>
            <w:pPr>
              <w:spacing w:after="0"/>
              <w:rPr>
                <w:sz w:val="16"/>
                <w:szCs w:val="16"/>
                <w:color w:val="auto"/>
              </w:rPr>
            </w:pPr>
          </w:p>
        </w:tc>
        <w:tc>
          <w:tcPr>
            <w:tcW w:w="1180" w:type="dxa"/>
            <w:vAlign w:val="bottom"/>
          </w:tcPr>
          <w:p>
            <w:pPr>
              <w:jc w:val="center"/>
              <w:spacing w:after="0" w:line="193" w:lineRule="exact"/>
              <w:rPr>
                <w:sz w:val="20"/>
                <w:szCs w:val="20"/>
                <w:color w:val="auto"/>
              </w:rPr>
            </w:pPr>
            <w:r>
              <w:rPr>
                <w:rFonts w:ascii="Calibri" w:cs="Calibri" w:eastAsia="Calibri" w:hAnsi="Calibri"/>
                <w:sz w:val="16"/>
                <w:szCs w:val="16"/>
                <w:b w:val="1"/>
                <w:bCs w:val="1"/>
                <w:color w:val="auto"/>
              </w:rPr>
              <w:t>Shares</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58"/>
              <w:spacing w:after="0" w:line="188" w:lineRule="exact"/>
              <w:rPr>
                <w:sz w:val="20"/>
                <w:szCs w:val="20"/>
                <w:color w:val="auto"/>
              </w:rPr>
            </w:pPr>
            <w:r>
              <w:rPr>
                <w:rFonts w:ascii="Calibri" w:cs="Calibri" w:eastAsia="Calibri" w:hAnsi="Calibri"/>
                <w:sz w:val="16"/>
                <w:szCs w:val="16"/>
                <w:b w:val="1"/>
                <w:bCs w:val="1"/>
                <w:color w:val="auto"/>
              </w:rPr>
              <w:t>Capital</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center"/>
              <w:ind w:right="340"/>
              <w:spacing w:after="0" w:line="188" w:lineRule="exact"/>
              <w:rPr>
                <w:sz w:val="20"/>
                <w:szCs w:val="20"/>
                <w:color w:val="auto"/>
              </w:rPr>
            </w:pPr>
            <w:r>
              <w:rPr>
                <w:rFonts w:ascii="Calibri" w:cs="Calibri" w:eastAsia="Calibri" w:hAnsi="Calibri"/>
                <w:sz w:val="16"/>
                <w:szCs w:val="16"/>
                <w:b w:val="1"/>
                <w:bCs w:val="1"/>
                <w:color w:val="auto"/>
              </w:rPr>
              <w:t>Defcit</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line="193" w:lineRule="exact"/>
              <w:rPr>
                <w:sz w:val="20"/>
                <w:szCs w:val="20"/>
                <w:color w:val="auto"/>
              </w:rPr>
            </w:pPr>
            <w:r>
              <w:rPr>
                <w:rFonts w:ascii="Calibri" w:cs="Calibri" w:eastAsia="Calibri" w:hAnsi="Calibri"/>
                <w:sz w:val="18"/>
                <w:szCs w:val="18"/>
                <w:b w:val="1"/>
                <w:bCs w:val="1"/>
                <w:color w:val="auto"/>
              </w:rPr>
              <w:t>Defcit</w:t>
            </w:r>
          </w:p>
        </w:tc>
        <w:tc>
          <w:tcPr>
            <w:tcW w:w="0" w:type="dxa"/>
            <w:vAlign w:val="bottom"/>
          </w:tcPr>
          <w:p>
            <w:pPr>
              <w:spacing w:after="0"/>
              <w:rPr>
                <w:sz w:val="1"/>
                <w:szCs w:val="1"/>
                <w:color w:val="auto"/>
              </w:rPr>
            </w:pPr>
          </w:p>
        </w:tc>
      </w:tr>
      <w:tr>
        <w:trPr>
          <w:trHeight w:val="23"/>
        </w:trPr>
        <w:tc>
          <w:tcPr>
            <w:tcW w:w="338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38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Balance at December 31, 2022</w:t>
            </w:r>
          </w:p>
        </w:tc>
        <w:tc>
          <w:tcPr>
            <w:tcW w:w="12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41,468,871</w:t>
            </w:r>
          </w:p>
        </w:tc>
        <w:tc>
          <w:tcPr>
            <w:tcW w:w="640" w:type="dxa"/>
            <w:vAlign w:val="bottom"/>
            <w:gridSpan w:val="2"/>
            <w:shd w:val="clear" w:color="auto" w:fill="CFF0FC"/>
          </w:tcPr>
          <w:p>
            <w:pPr>
              <w:jc w:val="right"/>
              <w:ind w:right="197"/>
              <w:spacing w:after="0" w:line="193" w:lineRule="exact"/>
              <w:rPr>
                <w:sz w:val="20"/>
                <w:szCs w:val="20"/>
                <w:color w:val="auto"/>
              </w:rPr>
            </w:pPr>
            <w:r>
              <w:rPr>
                <w:rFonts w:ascii="Calibri" w:cs="Calibri" w:eastAsia="Calibri" w:hAnsi="Calibri"/>
                <w:sz w:val="16"/>
                <w:szCs w:val="16"/>
                <w:color w:val="auto"/>
              </w:rPr>
              <w:t>$</w:t>
            </w:r>
          </w:p>
        </w:tc>
        <w:tc>
          <w:tcPr>
            <w:tcW w:w="3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3</w:t>
            </w:r>
          </w:p>
        </w:tc>
        <w:tc>
          <w:tcPr>
            <w:tcW w:w="140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19</w:t>
            </w:r>
          </w:p>
        </w:tc>
        <w:tc>
          <w:tcPr>
            <w:tcW w:w="38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0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652,276</w:t>
            </w:r>
          </w:p>
        </w:tc>
        <w:tc>
          <w:tcPr>
            <w:tcW w:w="320" w:type="dxa"/>
            <w:vAlign w:val="bottom"/>
            <w:gridSpan w:val="2"/>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1300" w:type="dxa"/>
            <w:vAlign w:val="bottom"/>
            <w:gridSpan w:val="2"/>
            <w:shd w:val="clear" w:color="auto" w:fill="CFF0FC"/>
          </w:tcPr>
          <w:p>
            <w:pPr>
              <w:jc w:val="right"/>
              <w:ind w:right="180"/>
              <w:spacing w:after="0" w:line="193" w:lineRule="exact"/>
              <w:rPr>
                <w:sz w:val="20"/>
                <w:szCs w:val="20"/>
                <w:color w:val="auto"/>
              </w:rPr>
            </w:pPr>
            <w:r>
              <w:rPr>
                <w:rFonts w:ascii="Calibri" w:cs="Calibri" w:eastAsia="Calibri" w:hAnsi="Calibri"/>
                <w:sz w:val="16"/>
                <w:szCs w:val="16"/>
                <w:color w:val="auto"/>
              </w:rPr>
              <w:t>(727,093 )</w:t>
            </w:r>
          </w:p>
        </w:tc>
        <w:tc>
          <w:tcPr>
            <w:tcW w:w="1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(74,814 )</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401(k) matching contributon</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135,956</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1,612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1,612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FF0FC"/>
          </w:tcPr>
          <w:p>
            <w:pPr>
              <w:ind w:left="20"/>
              <w:spacing w:after="0" w:line="188" w:lineRule="exact"/>
              <w:rPr>
                <w:sz w:val="20"/>
                <w:szCs w:val="20"/>
                <w:color w:val="auto"/>
              </w:rPr>
            </w:pPr>
            <w:r>
              <w:rPr>
                <w:rFonts w:ascii="Calibri" w:cs="Calibri" w:eastAsia="Calibri" w:hAnsi="Calibri"/>
                <w:sz w:val="16"/>
                <w:szCs w:val="16"/>
                <w:color w:val="auto"/>
              </w:rPr>
              <w:t>Vestng of restricted shares, performance stock</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units, and restricted stock units</w:t>
            </w: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1,843,954</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gridSpan w:val="2"/>
            <w:shd w:val="clear" w:color="auto" w:fill="CFF0FC"/>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6</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Stock-based compensaton</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Pr>
          <w:p>
            <w:pPr>
              <w:spacing w:after="0"/>
              <w:rPr>
                <w:sz w:val="17"/>
                <w:szCs w:val="17"/>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45,025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45,025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380" w:type="dxa"/>
            <w:vAlign w:val="bottom"/>
            <w:shd w:val="clear" w:color="auto" w:fill="CFF0FC"/>
          </w:tcPr>
          <w:p>
            <w:pPr>
              <w:ind w:left="20"/>
              <w:spacing w:after="0"/>
              <w:rPr>
                <w:sz w:val="20"/>
                <w:szCs w:val="20"/>
                <w:color w:val="auto"/>
              </w:rPr>
            </w:pPr>
            <w:r>
              <w:rPr>
                <w:rFonts w:ascii="Calibri" w:cs="Calibri" w:eastAsia="Calibri" w:hAnsi="Calibri"/>
                <w:sz w:val="16"/>
                <w:szCs w:val="16"/>
                <w:color w:val="auto"/>
              </w:rPr>
              <w:t>ESPP shares issued</w:t>
            </w:r>
          </w:p>
        </w:tc>
        <w:tc>
          <w:tcPr>
            <w:tcW w:w="120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196,873</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1,417</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60"/>
              <w:spacing w:after="0"/>
              <w:rPr>
                <w:sz w:val="20"/>
                <w:szCs w:val="20"/>
                <w:color w:val="auto"/>
              </w:rPr>
            </w:pPr>
            <w:r>
              <w:rPr>
                <w:rFonts w:ascii="Calibri" w:cs="Calibri" w:eastAsia="Calibri" w:hAnsi="Calibri"/>
                <w:sz w:val="16"/>
                <w:szCs w:val="16"/>
                <w:color w:val="auto"/>
              </w:rPr>
              <w:t>—</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Calibri" w:cs="Calibri" w:eastAsia="Calibri" w:hAnsi="Calibri"/>
                <w:sz w:val="16"/>
                <w:szCs w:val="16"/>
                <w:color w:val="auto"/>
              </w:rPr>
              <w:t>1,417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Issuance of common stock under ATM facility</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1,514,219</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220" w:type="dxa"/>
            <w:vAlign w:val="bottom"/>
          </w:tcPr>
          <w:p>
            <w:pPr>
              <w:spacing w:after="0"/>
              <w:rPr>
                <w:sz w:val="17"/>
                <w:szCs w:val="17"/>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14,072</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7"/>
                <w:szCs w:val="17"/>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14,073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380" w:type="dxa"/>
            <w:vAlign w:val="bottom"/>
            <w:shd w:val="clear" w:color="auto" w:fill="CFF0FC"/>
          </w:tcPr>
          <w:p>
            <w:pPr>
              <w:ind w:left="20"/>
              <w:spacing w:after="0" w:line="188" w:lineRule="exact"/>
              <w:rPr>
                <w:sz w:val="20"/>
                <w:szCs w:val="20"/>
                <w:color w:val="auto"/>
              </w:rPr>
            </w:pPr>
            <w:r>
              <w:rPr>
                <w:rFonts w:ascii="Calibri" w:cs="Calibri" w:eastAsia="Calibri" w:hAnsi="Calibri"/>
                <w:sz w:val="16"/>
                <w:szCs w:val="16"/>
                <w:color w:val="auto"/>
              </w:rPr>
              <w:t>Issuance of common stock from exercises of</w:t>
            </w:r>
          </w:p>
        </w:tc>
        <w:tc>
          <w:tcPr>
            <w:tcW w:w="12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380" w:type="dxa"/>
            <w:vAlign w:val="bottom"/>
            <w:tcBorders>
              <w:bottom w:val="single" w:sz="8" w:color="CFF0FC"/>
            </w:tcBorders>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stock optons</w:t>
            </w:r>
          </w:p>
        </w:tc>
        <w:tc>
          <w:tcPr>
            <w:tcW w:w="120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16,421</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18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124</w:t>
            </w:r>
          </w:p>
        </w:tc>
        <w:tc>
          <w:tcPr>
            <w:tcW w:w="2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300" w:type="dxa"/>
            <w:vAlign w:val="bottom"/>
            <w:tcBorders>
              <w:bottom w:val="single" w:sz="8" w:color="CFF0FC"/>
            </w:tcBorders>
            <w:gridSpan w:val="2"/>
            <w:shd w:val="clear" w:color="auto" w:fill="CFF0FC"/>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40" w:type="dxa"/>
            <w:vAlign w:val="bottom"/>
            <w:tcBorders>
              <w:bottom w:val="single" w:sz="8" w:color="CFF0FC"/>
            </w:tcBorders>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124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380" w:type="dxa"/>
            <w:vAlign w:val="bottom"/>
          </w:tcPr>
          <w:p>
            <w:pPr>
              <w:ind w:left="20"/>
              <w:spacing w:after="0" w:line="184" w:lineRule="exact"/>
              <w:rPr>
                <w:sz w:val="20"/>
                <w:szCs w:val="20"/>
                <w:color w:val="auto"/>
              </w:rPr>
            </w:pPr>
            <w:r>
              <w:rPr>
                <w:rFonts w:ascii="Calibri" w:cs="Calibri" w:eastAsia="Calibri" w:hAnsi="Calibri"/>
                <w:sz w:val="16"/>
                <w:szCs w:val="16"/>
                <w:color w:val="auto"/>
              </w:rPr>
              <w:t>Issuance of common stock in connecton with</w:t>
            </w: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underwriten public ofering, net</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12,793,750</w:t>
            </w: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1</w:t>
            </w:r>
          </w:p>
        </w:tc>
        <w:tc>
          <w:tcPr>
            <w:tcW w:w="220" w:type="dxa"/>
            <w:vAlign w:val="bottom"/>
          </w:tcPr>
          <w:p>
            <w:pPr>
              <w:spacing w:after="0"/>
              <w:rPr>
                <w:sz w:val="16"/>
                <w:szCs w:val="16"/>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141,389</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jc w:val="right"/>
              <w:ind w:right="260"/>
              <w:spacing w:after="0" w:line="193" w:lineRule="exact"/>
              <w:rPr>
                <w:sz w:val="20"/>
                <w:szCs w:val="20"/>
                <w:color w:val="auto"/>
              </w:rPr>
            </w:pPr>
            <w:r>
              <w:rPr>
                <w:rFonts w:ascii="Calibri" w:cs="Calibri" w:eastAsia="Calibri" w:hAnsi="Calibri"/>
                <w:sz w:val="16"/>
                <w:szCs w:val="16"/>
                <w:color w:val="auto"/>
              </w:rPr>
              <w:t>—</w:t>
            </w:r>
          </w:p>
        </w:tc>
        <w:tc>
          <w:tcPr>
            <w:tcW w:w="120" w:type="dxa"/>
            <w:vAlign w:val="bottom"/>
          </w:tcPr>
          <w:p>
            <w:pPr>
              <w:spacing w:after="0"/>
              <w:rPr>
                <w:sz w:val="16"/>
                <w:szCs w:val="16"/>
                <w:color w:val="auto"/>
              </w:rPr>
            </w:pPr>
          </w:p>
        </w:tc>
        <w:tc>
          <w:tcPr>
            <w:tcW w:w="1040" w:type="dxa"/>
            <w:vAlign w:val="bottom"/>
          </w:tcPr>
          <w:p>
            <w:pPr>
              <w:jc w:val="right"/>
              <w:spacing w:after="0" w:line="193" w:lineRule="exact"/>
              <w:rPr>
                <w:sz w:val="20"/>
                <w:szCs w:val="20"/>
                <w:color w:val="auto"/>
              </w:rPr>
            </w:pPr>
            <w:r>
              <w:rPr>
                <w:rFonts w:ascii="Calibri" w:cs="Calibri" w:eastAsia="Calibri" w:hAnsi="Calibri"/>
                <w:sz w:val="16"/>
                <w:szCs w:val="16"/>
                <w:color w:val="auto"/>
              </w:rPr>
              <w:t>141,390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
        </w:trPr>
        <w:tc>
          <w:tcPr>
            <w:tcW w:w="3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8"/>
        </w:trPr>
        <w:tc>
          <w:tcPr>
            <w:tcW w:w="3380" w:type="dxa"/>
            <w:vAlign w:val="bottom"/>
            <w:shd w:val="clear" w:color="auto" w:fill="CFF0FC"/>
          </w:tcPr>
          <w:p>
            <w:pPr>
              <w:ind w:left="20"/>
              <w:spacing w:after="0" w:line="193" w:lineRule="exact"/>
              <w:rPr>
                <w:sz w:val="20"/>
                <w:szCs w:val="20"/>
                <w:color w:val="auto"/>
              </w:rPr>
            </w:pPr>
            <w:r>
              <w:rPr>
                <w:rFonts w:ascii="Calibri" w:cs="Calibri" w:eastAsia="Calibri" w:hAnsi="Calibri"/>
                <w:sz w:val="16"/>
                <w:szCs w:val="16"/>
                <w:color w:val="auto"/>
              </w:rPr>
              <w:t>Net loss</w:t>
            </w:r>
          </w:p>
        </w:tc>
        <w:tc>
          <w:tcPr>
            <w:tcW w:w="120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3" w:lineRule="exact"/>
              <w:rPr>
                <w:sz w:val="20"/>
                <w:szCs w:val="20"/>
                <w:color w:val="auto"/>
              </w:rPr>
            </w:pPr>
            <w:r>
              <w:rPr>
                <w:rFonts w:ascii="Calibri" w:cs="Calibri" w:eastAsia="Calibri" w:hAnsi="Calibri"/>
                <w:sz w:val="16"/>
                <w:szCs w:val="16"/>
                <w:color w:val="auto"/>
              </w:rPr>
              <w:t>—</w:t>
            </w:r>
          </w:p>
        </w:tc>
        <w:tc>
          <w:tcPr>
            <w:tcW w:w="2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180"/>
              <w:spacing w:after="0" w:line="193" w:lineRule="exact"/>
              <w:rPr>
                <w:sz w:val="20"/>
                <w:szCs w:val="20"/>
                <w:color w:val="auto"/>
              </w:rPr>
            </w:pPr>
            <w:r>
              <w:rPr>
                <w:rFonts w:ascii="Calibri" w:cs="Calibri" w:eastAsia="Calibri" w:hAnsi="Calibri"/>
                <w:sz w:val="16"/>
                <w:szCs w:val="16"/>
                <w:color w:val="auto"/>
              </w:rPr>
              <w:t>(201,592 )</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40"/>
              <w:spacing w:after="0" w:line="193" w:lineRule="exact"/>
              <w:rPr>
                <w:sz w:val="20"/>
                <w:szCs w:val="20"/>
                <w:color w:val="auto"/>
              </w:rPr>
            </w:pPr>
            <w:r>
              <w:rPr>
                <w:rFonts w:ascii="Calibri" w:cs="Calibri" w:eastAsia="Calibri" w:hAnsi="Calibri"/>
                <w:sz w:val="16"/>
                <w:szCs w:val="16"/>
                <w:color w:val="auto"/>
              </w:rPr>
              <w:t>(201,592 )</w:t>
            </w:r>
          </w:p>
        </w:tc>
        <w:tc>
          <w:tcPr>
            <w:tcW w:w="0" w:type="dxa"/>
            <w:vAlign w:val="bottom"/>
          </w:tcPr>
          <w:p>
            <w:pPr>
              <w:spacing w:after="0"/>
              <w:rPr>
                <w:sz w:val="1"/>
                <w:szCs w:val="1"/>
                <w:color w:val="auto"/>
              </w:rPr>
            </w:pPr>
          </w:p>
        </w:tc>
      </w:tr>
      <w:tr>
        <w:trPr>
          <w:trHeight w:val="20"/>
        </w:trPr>
        <w:tc>
          <w:tcPr>
            <w:tcW w:w="338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80" w:type="dxa"/>
            <w:vAlign w:val="bottom"/>
          </w:tcPr>
          <w:p>
            <w:pPr>
              <w:ind w:left="20"/>
              <w:spacing w:after="0" w:line="193" w:lineRule="exact"/>
              <w:rPr>
                <w:sz w:val="20"/>
                <w:szCs w:val="20"/>
                <w:color w:val="auto"/>
              </w:rPr>
            </w:pPr>
            <w:r>
              <w:rPr>
                <w:rFonts w:ascii="Calibri" w:cs="Calibri" w:eastAsia="Calibri" w:hAnsi="Calibri"/>
                <w:sz w:val="16"/>
                <w:szCs w:val="16"/>
                <w:color w:val="auto"/>
              </w:rPr>
              <w:t>Balance at December 31, 2023</w:t>
            </w:r>
          </w:p>
        </w:tc>
        <w:tc>
          <w:tcPr>
            <w:tcW w:w="1200" w:type="dxa"/>
            <w:vAlign w:val="bottom"/>
          </w:tcPr>
          <w:p>
            <w:pPr>
              <w:jc w:val="right"/>
              <w:spacing w:after="0" w:line="193" w:lineRule="exact"/>
              <w:rPr>
                <w:sz w:val="20"/>
                <w:szCs w:val="20"/>
                <w:color w:val="auto"/>
              </w:rPr>
            </w:pPr>
            <w:r>
              <w:rPr>
                <w:rFonts w:ascii="Calibri" w:cs="Calibri" w:eastAsia="Calibri" w:hAnsi="Calibri"/>
                <w:sz w:val="16"/>
                <w:szCs w:val="16"/>
                <w:color w:val="auto"/>
              </w:rPr>
              <w:t>57,970,044</w:t>
            </w:r>
          </w:p>
        </w:tc>
        <w:tc>
          <w:tcPr>
            <w:tcW w:w="260" w:type="dxa"/>
            <w:vAlign w:val="bottom"/>
          </w:tcPr>
          <w:p>
            <w:pPr>
              <w:spacing w:after="0"/>
              <w:rPr>
                <w:sz w:val="17"/>
                <w:szCs w:val="17"/>
                <w:color w:val="auto"/>
              </w:rPr>
            </w:pPr>
          </w:p>
        </w:tc>
        <w:tc>
          <w:tcPr>
            <w:tcW w:w="380" w:type="dxa"/>
            <w:vAlign w:val="bottom"/>
          </w:tcPr>
          <w:p>
            <w:pPr>
              <w:jc w:val="right"/>
              <w:ind w:right="197"/>
              <w:spacing w:after="0" w:line="193" w:lineRule="exact"/>
              <w:rPr>
                <w:sz w:val="20"/>
                <w:szCs w:val="20"/>
                <w:color w:val="auto"/>
              </w:rPr>
            </w:pPr>
            <w:r>
              <w:rPr>
                <w:rFonts w:ascii="Calibri" w:cs="Calibri" w:eastAsia="Calibri" w:hAnsi="Calibri"/>
                <w:sz w:val="16"/>
                <w:szCs w:val="16"/>
                <w:color w:val="auto"/>
                <w:w w:val="97"/>
              </w:rPr>
              <w:t>$</w:t>
            </w:r>
          </w:p>
        </w:tc>
        <w:tc>
          <w:tcPr>
            <w:tcW w:w="340" w:type="dxa"/>
            <w:vAlign w:val="bottom"/>
          </w:tcPr>
          <w:p>
            <w:pPr>
              <w:jc w:val="right"/>
              <w:spacing w:after="0" w:line="193" w:lineRule="exact"/>
              <w:rPr>
                <w:sz w:val="20"/>
                <w:szCs w:val="20"/>
                <w:color w:val="auto"/>
              </w:rPr>
            </w:pPr>
            <w:r>
              <w:rPr>
                <w:rFonts w:ascii="Calibri" w:cs="Calibri" w:eastAsia="Calibri" w:hAnsi="Calibri"/>
                <w:sz w:val="16"/>
                <w:szCs w:val="16"/>
                <w:color w:val="auto"/>
              </w:rPr>
              <w:t>5</w:t>
            </w:r>
          </w:p>
        </w:tc>
        <w:tc>
          <w:tcPr>
            <w:tcW w:w="220" w:type="dxa"/>
            <w:vAlign w:val="bottom"/>
          </w:tcPr>
          <w:p>
            <w:pPr>
              <w:spacing w:after="0"/>
              <w:rPr>
                <w:sz w:val="17"/>
                <w:szCs w:val="17"/>
                <w:color w:val="auto"/>
              </w:rPr>
            </w:pPr>
          </w:p>
        </w:tc>
        <w:tc>
          <w:tcPr>
            <w:tcW w:w="1180" w:type="dxa"/>
            <w:vAlign w:val="bottom"/>
          </w:tcPr>
          <w:p>
            <w:pPr>
              <w:jc w:val="right"/>
              <w:spacing w:after="0" w:line="193" w:lineRule="exact"/>
              <w:rPr>
                <w:sz w:val="20"/>
                <w:szCs w:val="20"/>
                <w:color w:val="auto"/>
              </w:rPr>
            </w:pPr>
            <w:r>
              <w:rPr>
                <w:rFonts w:ascii="Calibri" w:cs="Calibri" w:eastAsia="Calibri" w:hAnsi="Calibri"/>
                <w:sz w:val="16"/>
                <w:szCs w:val="16"/>
                <w:color w:val="auto"/>
              </w:rPr>
              <w:t>19</w:t>
            </w:r>
          </w:p>
        </w:tc>
        <w:tc>
          <w:tcPr>
            <w:tcW w:w="240" w:type="dxa"/>
            <w:vAlign w:val="bottom"/>
          </w:tcPr>
          <w:p>
            <w:pPr>
              <w:spacing w:after="0"/>
              <w:rPr>
                <w:sz w:val="17"/>
                <w:szCs w:val="17"/>
                <w:color w:val="auto"/>
              </w:rPr>
            </w:pPr>
          </w:p>
        </w:tc>
        <w:tc>
          <w:tcPr>
            <w:tcW w:w="14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020" w:type="dxa"/>
            <w:vAlign w:val="bottom"/>
          </w:tcPr>
          <w:p>
            <w:pPr>
              <w:jc w:val="right"/>
              <w:spacing w:after="0" w:line="193" w:lineRule="exact"/>
              <w:rPr>
                <w:sz w:val="20"/>
                <w:szCs w:val="20"/>
                <w:color w:val="auto"/>
              </w:rPr>
            </w:pPr>
            <w:r>
              <w:rPr>
                <w:rFonts w:ascii="Calibri" w:cs="Calibri" w:eastAsia="Calibri" w:hAnsi="Calibri"/>
                <w:sz w:val="16"/>
                <w:szCs w:val="16"/>
                <w:color w:val="auto"/>
              </w:rPr>
              <w:t>855,921</w:t>
            </w:r>
          </w:p>
        </w:tc>
        <w:tc>
          <w:tcPr>
            <w:tcW w:w="240" w:type="dxa"/>
            <w:vAlign w:val="bottom"/>
          </w:tcPr>
          <w:p>
            <w:pPr>
              <w:spacing w:after="0"/>
              <w:rPr>
                <w:sz w:val="17"/>
                <w:szCs w:val="17"/>
                <w:color w:val="auto"/>
              </w:rPr>
            </w:pPr>
          </w:p>
        </w:tc>
        <w:tc>
          <w:tcPr>
            <w:tcW w:w="80" w:type="dxa"/>
            <w:vAlign w:val="bottom"/>
          </w:tcPr>
          <w:p>
            <w:pPr>
              <w:jc w:val="right"/>
              <w:spacing w:after="0" w:line="193" w:lineRule="exact"/>
              <w:rPr>
                <w:sz w:val="20"/>
                <w:szCs w:val="20"/>
                <w:color w:val="auto"/>
              </w:rPr>
            </w:pPr>
            <w:r>
              <w:rPr>
                <w:rFonts w:ascii="Calibri" w:cs="Calibri" w:eastAsia="Calibri" w:hAnsi="Calibri"/>
                <w:sz w:val="16"/>
                <w:szCs w:val="16"/>
                <w:color w:val="auto"/>
                <w:w w:val="73"/>
              </w:rPr>
              <w:t>$</w:t>
            </w:r>
          </w:p>
        </w:tc>
        <w:tc>
          <w:tcPr>
            <w:tcW w:w="1300" w:type="dxa"/>
            <w:vAlign w:val="bottom"/>
            <w:gridSpan w:val="2"/>
          </w:tcPr>
          <w:p>
            <w:pPr>
              <w:jc w:val="right"/>
              <w:ind w:right="180"/>
              <w:spacing w:after="0" w:line="193" w:lineRule="exact"/>
              <w:rPr>
                <w:sz w:val="20"/>
                <w:szCs w:val="20"/>
                <w:color w:val="auto"/>
              </w:rPr>
            </w:pPr>
            <w:r>
              <w:rPr>
                <w:rFonts w:ascii="Calibri" w:cs="Calibri" w:eastAsia="Calibri" w:hAnsi="Calibri"/>
                <w:sz w:val="16"/>
                <w:szCs w:val="16"/>
                <w:color w:val="auto"/>
              </w:rPr>
              <w:t>(928,685 )</w:t>
            </w:r>
          </w:p>
        </w:tc>
        <w:tc>
          <w:tcPr>
            <w:tcW w:w="120" w:type="dxa"/>
            <w:vAlign w:val="bottom"/>
          </w:tcPr>
          <w:p>
            <w:pPr>
              <w:jc w:val="right"/>
              <w:spacing w:after="0" w:line="193" w:lineRule="exact"/>
              <w:rPr>
                <w:sz w:val="20"/>
                <w:szCs w:val="20"/>
                <w:color w:val="auto"/>
              </w:rPr>
            </w:pPr>
            <w:r>
              <w:rPr>
                <w:rFonts w:ascii="Calibri" w:cs="Calibri" w:eastAsia="Calibri" w:hAnsi="Calibri"/>
                <w:sz w:val="16"/>
                <w:szCs w:val="16"/>
                <w:color w:val="auto"/>
                <w:w w:val="97"/>
              </w:rPr>
              <w:t>$</w:t>
            </w:r>
          </w:p>
        </w:tc>
        <w:tc>
          <w:tcPr>
            <w:tcW w:w="1140" w:type="dxa"/>
            <w:vAlign w:val="bottom"/>
            <w:gridSpan w:val="2"/>
          </w:tcPr>
          <w:p>
            <w:pPr>
              <w:jc w:val="right"/>
              <w:ind w:right="40"/>
              <w:spacing w:after="0" w:line="193" w:lineRule="exact"/>
              <w:rPr>
                <w:sz w:val="20"/>
                <w:szCs w:val="20"/>
                <w:color w:val="auto"/>
              </w:rPr>
            </w:pPr>
            <w:r>
              <w:rPr>
                <w:rFonts w:ascii="Calibri" w:cs="Calibri" w:eastAsia="Calibri" w:hAnsi="Calibri"/>
                <w:sz w:val="16"/>
                <w:szCs w:val="16"/>
                <w:color w:val="auto"/>
              </w:rPr>
              <w:t>(72,759 )</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-2407920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-2391410</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-2407920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-2391410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-2407920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-2391410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-2407920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-2391410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-2407920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-2391410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-2391410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-162560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-162560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-162560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-162560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-162560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20"/>
        </w:trPr>
        <w:tc>
          <w:tcPr>
            <w:tcW w:w="7780" w:type="dxa"/>
            <w:vAlign w:val="bottom"/>
          </w:tcPr>
          <w:p>
            <w:pPr>
              <w:jc w:val="center"/>
              <w:ind w:left="3350"/>
              <w:spacing w:after="0"/>
              <w:rPr>
                <w:sz w:val="20"/>
                <w:szCs w:val="20"/>
                <w:color w:val="auto"/>
              </w:rPr>
            </w:pPr>
            <w:r>
              <w:rPr>
                <w:rFonts w:ascii="Calibri" w:cs="Calibri" w:eastAsia="Calibri" w:hAnsi="Calibri"/>
                <w:sz w:val="18"/>
                <w:szCs w:val="18"/>
                <w:b w:val="1"/>
                <w:bCs w:val="1"/>
                <w:color w:val="auto"/>
                <w:w w:val="97"/>
              </w:rPr>
              <w:t>PHATHOM PHARMACEUTICALS, INC.</w:t>
            </w:r>
          </w:p>
        </w:tc>
        <w:tc>
          <w:tcPr>
            <w:tcW w:w="3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7780" w:type="dxa"/>
            <w:vAlign w:val="bottom"/>
          </w:tcPr>
          <w:p>
            <w:pPr>
              <w:jc w:val="center"/>
              <w:ind w:left="3350"/>
              <w:spacing w:after="0" w:line="216" w:lineRule="exact"/>
              <w:rPr>
                <w:sz w:val="20"/>
                <w:szCs w:val="20"/>
                <w:color w:val="auto"/>
              </w:rPr>
            </w:pPr>
            <w:r>
              <w:rPr>
                <w:rFonts w:ascii="Calibri" w:cs="Calibri" w:eastAsia="Calibri" w:hAnsi="Calibri"/>
                <w:sz w:val="18"/>
                <w:szCs w:val="18"/>
                <w:b w:val="1"/>
                <w:bCs w:val="1"/>
                <w:color w:val="auto"/>
                <w:w w:val="97"/>
              </w:rPr>
              <w:t>Statements of Cash Flows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80" w:type="dxa"/>
            <w:vAlign w:val="bottom"/>
          </w:tcPr>
          <w:p>
            <w:pPr>
              <w:jc w:val="center"/>
              <w:ind w:left="3330"/>
              <w:spacing w:after="0" w:line="216" w:lineRule="exact"/>
              <w:rPr>
                <w:sz w:val="20"/>
                <w:szCs w:val="20"/>
                <w:color w:val="auto"/>
              </w:rPr>
            </w:pPr>
            <w:r>
              <w:rPr>
                <w:rFonts w:ascii="Calibri" w:cs="Calibri" w:eastAsia="Calibri" w:hAnsi="Calibri"/>
                <w:sz w:val="18"/>
                <w:szCs w:val="18"/>
                <w:b w:val="1"/>
                <w:bCs w:val="1"/>
                <w:color w:val="auto"/>
                <w:w w:val="96"/>
              </w:rPr>
              <w:t>(in thousands)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3"/>
          </w:tcPr>
          <w:p>
            <w:pPr>
              <w:jc w:val="right"/>
              <w:ind w:right="90"/>
              <w:spacing w:after="0" w:line="216" w:lineRule="exact"/>
              <w:rPr>
                <w:sz w:val="20"/>
                <w:szCs w:val="20"/>
                <w:color w:val="auto"/>
              </w:rPr>
            </w:pPr>
            <w:r>
              <w:rPr>
                <w:rFonts w:ascii="Calibri" w:cs="Calibri" w:eastAsia="Calibri" w:hAnsi="Calibri"/>
                <w:sz w:val="18"/>
                <w:szCs w:val="18"/>
                <w:b w:val="1"/>
                <w:bCs w:val="1"/>
                <w:color w:val="auto"/>
              </w:rPr>
              <w:t>Years Ended</w:t>
            </w:r>
          </w:p>
        </w:tc>
        <w:tc>
          <w:tcPr>
            <w:tcW w:w="1160" w:type="dxa"/>
            <w:vAlign w:val="bottom"/>
          </w:tcPr>
          <w:p>
            <w:pPr>
              <w:spacing w:after="0"/>
              <w:rPr>
                <w:sz w:val="18"/>
                <w:szCs w:val="18"/>
                <w:color w:val="auto"/>
              </w:rPr>
            </w:pPr>
          </w:p>
        </w:tc>
      </w:tr>
      <w:tr>
        <w:trPr>
          <w:trHeight w:val="216"/>
        </w:trPr>
        <w:tc>
          <w:tcPr>
            <w:tcW w:w="7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60" w:type="dxa"/>
            <w:vAlign w:val="bottom"/>
            <w:gridSpan w:val="3"/>
          </w:tcPr>
          <w:p>
            <w:pPr>
              <w:jc w:val="right"/>
              <w:ind w:right="30"/>
              <w:spacing w:after="0" w:line="216" w:lineRule="exact"/>
              <w:rPr>
                <w:sz w:val="20"/>
                <w:szCs w:val="20"/>
                <w:color w:val="auto"/>
              </w:rPr>
            </w:pPr>
            <w:r>
              <w:rPr>
                <w:rFonts w:ascii="Calibri" w:cs="Calibri" w:eastAsia="Calibri" w:hAnsi="Calibri"/>
                <w:sz w:val="18"/>
                <w:szCs w:val="18"/>
                <w:b w:val="1"/>
                <w:bCs w:val="1"/>
                <w:color w:val="auto"/>
              </w:rPr>
              <w:t>December 31,</w:t>
            </w:r>
          </w:p>
        </w:tc>
        <w:tc>
          <w:tcPr>
            <w:tcW w:w="1160" w:type="dxa"/>
            <w:vAlign w:val="bottom"/>
          </w:tcPr>
          <w:p>
            <w:pPr>
              <w:spacing w:after="0"/>
              <w:rPr>
                <w:sz w:val="18"/>
                <w:szCs w:val="18"/>
                <w:color w:val="auto"/>
              </w:rPr>
            </w:pPr>
          </w:p>
        </w:tc>
      </w:tr>
      <w:tr>
        <w:trPr>
          <w:trHeight w:val="23"/>
        </w:trPr>
        <w:tc>
          <w:tcPr>
            <w:tcW w:w="77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9"/>
        </w:trPr>
        <w:tc>
          <w:tcPr>
            <w:tcW w:w="77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10"/>
              <w:spacing w:after="0" w:line="209" w:lineRule="exact"/>
              <w:rPr>
                <w:sz w:val="20"/>
                <w:szCs w:val="20"/>
                <w:color w:val="auto"/>
              </w:rPr>
            </w:pPr>
            <w:r>
              <w:rPr>
                <w:rFonts w:ascii="Calibri" w:cs="Calibri" w:eastAsia="Calibri" w:hAnsi="Calibri"/>
                <w:sz w:val="18"/>
                <w:szCs w:val="18"/>
                <w:b w:val="1"/>
                <w:bCs w:val="1"/>
                <w:color w:val="auto"/>
              </w:rPr>
              <w:t>2024</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0"/>
              <w:spacing w:after="0" w:line="209" w:lineRule="exact"/>
              <w:rPr>
                <w:sz w:val="20"/>
                <w:szCs w:val="20"/>
                <w:color w:val="auto"/>
              </w:rPr>
            </w:pPr>
            <w:r>
              <w:rPr>
                <w:rFonts w:ascii="Calibri" w:cs="Calibri" w:eastAsia="Calibri" w:hAnsi="Calibri"/>
                <w:sz w:val="18"/>
                <w:szCs w:val="18"/>
                <w:b w:val="1"/>
                <w:bCs w:val="1"/>
                <w:color w:val="auto"/>
              </w:rPr>
              <w:t>2023</w:t>
            </w:r>
          </w:p>
        </w:tc>
      </w:tr>
      <w:tr>
        <w:trPr>
          <w:trHeight w:val="210"/>
        </w:trPr>
        <w:tc>
          <w:tcPr>
            <w:tcW w:w="77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Cash fows from operatng actvites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Net loss</w:t>
            </w:r>
          </w:p>
        </w:tc>
        <w:tc>
          <w:tcPr>
            <w:tcW w:w="340" w:type="dxa"/>
            <w:vAlign w:val="bottom"/>
          </w:tcPr>
          <w:p>
            <w:pPr>
              <w:jc w:val="right"/>
              <w:ind w:right="15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(334,326 )</w:t>
            </w:r>
          </w:p>
        </w:tc>
        <w:tc>
          <w:tcPr>
            <w:tcW w:w="660" w:type="dxa"/>
            <w:vAlign w:val="bottom"/>
            <w:gridSpan w:val="2"/>
          </w:tcPr>
          <w:p>
            <w:pPr>
              <w:jc w:val="right"/>
              <w:ind w:right="290"/>
              <w:spacing w:after="0" w:line="215"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(201,592 )</w:t>
            </w:r>
          </w:p>
        </w:tc>
      </w:tr>
      <w:tr>
        <w:trPr>
          <w:trHeight w:val="217"/>
        </w:trPr>
        <w:tc>
          <w:tcPr>
            <w:tcW w:w="77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Adjustments to reconcile net loss to net cash used in operatng actvites: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Depreciaton and amortzaton</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795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575</w:t>
            </w:r>
          </w:p>
        </w:tc>
      </w:tr>
      <w:tr>
        <w:trPr>
          <w:trHeight w:val="217"/>
        </w:trPr>
        <w:tc>
          <w:tcPr>
            <w:tcW w:w="778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Stock-based compensaton</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24,047</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45,025</w:t>
            </w: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Issuance of PIK interest debt</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3,775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3,583</w:t>
            </w:r>
          </w:p>
        </w:tc>
      </w:tr>
      <w:tr>
        <w:trPr>
          <w:trHeight w:val="217"/>
        </w:trPr>
        <w:tc>
          <w:tcPr>
            <w:tcW w:w="778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Accrued interest on revenue interest fnancing liability</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46,111</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24,727</w:t>
            </w: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Amortzaton of debt discount</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2,192</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1,877</w:t>
            </w:r>
          </w:p>
        </w:tc>
      </w:tr>
      <w:tr>
        <w:trPr>
          <w:trHeight w:val="217"/>
        </w:trPr>
        <w:tc>
          <w:tcPr>
            <w:tcW w:w="778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Inventory reserve</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836</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7780" w:type="dxa"/>
            <w:vAlign w:val="bottom"/>
          </w:tcPr>
          <w:p>
            <w:pPr>
              <w:ind w:left="200"/>
              <w:spacing w:after="0" w:line="215" w:lineRule="exact"/>
              <w:rPr>
                <w:sz w:val="20"/>
                <w:szCs w:val="20"/>
                <w:color w:val="auto"/>
              </w:rPr>
            </w:pPr>
            <w:r>
              <w:rPr>
                <w:rFonts w:ascii="Calibri" w:cs="Calibri" w:eastAsia="Calibri" w:hAnsi="Calibri"/>
                <w:sz w:val="18"/>
                <w:szCs w:val="18"/>
                <w:color w:val="auto"/>
              </w:rPr>
              <w:t>Other</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5,098</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1,869</w:t>
            </w:r>
          </w:p>
        </w:tc>
      </w:tr>
      <w:tr>
        <w:trPr>
          <w:trHeight w:val="217"/>
        </w:trPr>
        <w:tc>
          <w:tcPr>
            <w:tcW w:w="7780" w:type="dxa"/>
            <w:vAlign w:val="bottom"/>
            <w:shd w:val="clear" w:color="auto" w:fill="CFF0FC"/>
          </w:tcPr>
          <w:p>
            <w:pPr>
              <w:ind w:left="200"/>
              <w:spacing w:after="0" w:line="216" w:lineRule="exact"/>
              <w:rPr>
                <w:sz w:val="20"/>
                <w:szCs w:val="20"/>
                <w:color w:val="auto"/>
              </w:rPr>
            </w:pPr>
            <w:r>
              <w:rPr>
                <w:rFonts w:ascii="Calibri" w:cs="Calibri" w:eastAsia="Calibri" w:hAnsi="Calibri"/>
                <w:sz w:val="18"/>
                <w:szCs w:val="18"/>
                <w:color w:val="auto"/>
              </w:rPr>
              <w:t>Changes in operatng assets and liabilites: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7780" w:type="dxa"/>
            <w:vAlign w:val="bottom"/>
          </w:tcPr>
          <w:p>
            <w:pPr>
              <w:ind w:left="380"/>
              <w:spacing w:after="0" w:line="215" w:lineRule="exact"/>
              <w:rPr>
                <w:sz w:val="20"/>
                <w:szCs w:val="20"/>
                <w:color w:val="auto"/>
              </w:rPr>
            </w:pPr>
            <w:r>
              <w:rPr>
                <w:rFonts w:ascii="Calibri" w:cs="Calibri" w:eastAsia="Calibri" w:hAnsi="Calibri"/>
                <w:sz w:val="18"/>
                <w:szCs w:val="18"/>
                <w:color w:val="auto"/>
              </w:rPr>
              <w:t>Prepaid expenses and other current assets</w:t>
            </w:r>
          </w:p>
        </w:tc>
        <w:tc>
          <w:tcPr>
            <w:tcW w:w="340" w:type="dxa"/>
            <w:vAlign w:val="bottom"/>
          </w:tcPr>
          <w:p>
            <w:pPr>
              <w:spacing w:after="0"/>
              <w:rPr>
                <w:sz w:val="18"/>
                <w:szCs w:val="18"/>
                <w:color w:val="auto"/>
              </w:rPr>
            </w:pPr>
          </w:p>
        </w:tc>
        <w:tc>
          <w:tcPr>
            <w:tcW w:w="1300" w:type="dxa"/>
            <w:vAlign w:val="bottom"/>
          </w:tcPr>
          <w:p>
            <w:pPr>
              <w:jc w:val="right"/>
              <w:spacing w:after="0" w:line="215" w:lineRule="exact"/>
              <w:rPr>
                <w:sz w:val="20"/>
                <w:szCs w:val="20"/>
                <w:color w:val="auto"/>
              </w:rPr>
            </w:pPr>
            <w:r>
              <w:rPr>
                <w:rFonts w:ascii="Calibri" w:cs="Calibri" w:eastAsia="Calibri" w:hAnsi="Calibri"/>
                <w:sz w:val="18"/>
                <w:szCs w:val="18"/>
                <w:color w:val="auto"/>
              </w:rPr>
              <w:t>(7,672 )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spacing w:after="0" w:line="215" w:lineRule="exact"/>
              <w:rPr>
                <w:sz w:val="20"/>
                <w:szCs w:val="20"/>
                <w:color w:val="auto"/>
              </w:rPr>
            </w:pPr>
            <w:r>
              <w:rPr>
                <w:rFonts w:ascii="Calibri" w:cs="Calibri" w:eastAsia="Calibri" w:hAnsi="Calibri"/>
                <w:sz w:val="18"/>
                <w:szCs w:val="18"/>
                <w:color w:val="auto"/>
              </w:rPr>
              <w:t>(8,067 )</w:t>
            </w:r>
          </w:p>
        </w:tc>
      </w:tr>
      <w:tr>
        <w:trPr>
          <w:trHeight w:val="217"/>
        </w:trPr>
        <w:tc>
          <w:tcPr>
            <w:tcW w:w="778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Accounts receivable, net</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(37,160 )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(1,637 )</w:t>
            </w:r>
          </w:p>
        </w:tc>
      </w:tr>
      <w:tr>
        <w:trPr>
          <w:trHeight w:val="215"/>
        </w:trPr>
        <w:tc>
          <w:tcPr>
            <w:tcW w:w="7780" w:type="dxa"/>
            <w:vAlign w:val="bottom"/>
          </w:tcPr>
          <w:p>
            <w:pPr>
              <w:ind w:left="380"/>
              <w:spacing w:after="0" w:line="215" w:lineRule="exact"/>
              <w:rPr>
                <w:sz w:val="20"/>
                <w:szCs w:val="20"/>
                <w:color w:val="auto"/>
              </w:rPr>
            </w:pPr>
            <w:r>
              <w:rPr>
                <w:rFonts w:ascii="Calibri" w:cs="Calibri" w:eastAsia="Calibri" w:hAnsi="Calibri"/>
                <w:sz w:val="18"/>
                <w:szCs w:val="18"/>
                <w:color w:val="auto"/>
              </w:rPr>
              <w:t>Accounts payable and accrued expenses</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34,936</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6,410</w:t>
            </w:r>
          </w:p>
        </w:tc>
      </w:tr>
      <w:tr>
        <w:trPr>
          <w:trHeight w:val="217"/>
        </w:trPr>
        <w:tc>
          <w:tcPr>
            <w:tcW w:w="778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Accrued interest</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565</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292</w:t>
            </w:r>
          </w:p>
        </w:tc>
      </w:tr>
      <w:tr>
        <w:trPr>
          <w:trHeight w:val="215"/>
        </w:trPr>
        <w:tc>
          <w:tcPr>
            <w:tcW w:w="7780" w:type="dxa"/>
            <w:vAlign w:val="bottom"/>
          </w:tcPr>
          <w:p>
            <w:pPr>
              <w:ind w:left="380"/>
              <w:spacing w:after="0" w:line="215" w:lineRule="exact"/>
              <w:rPr>
                <w:sz w:val="20"/>
                <w:szCs w:val="20"/>
                <w:color w:val="auto"/>
              </w:rPr>
            </w:pPr>
            <w:r>
              <w:rPr>
                <w:rFonts w:ascii="Calibri" w:cs="Calibri" w:eastAsia="Calibri" w:hAnsi="Calibri"/>
                <w:sz w:val="18"/>
                <w:szCs w:val="18"/>
                <w:color w:val="auto"/>
              </w:rPr>
              <w:t>Operatng right-of-use assets and lease liabilites</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175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194</w:t>
            </w:r>
          </w:p>
        </w:tc>
      </w:tr>
      <w:tr>
        <w:trPr>
          <w:trHeight w:val="217"/>
        </w:trPr>
        <w:tc>
          <w:tcPr>
            <w:tcW w:w="7780" w:type="dxa"/>
            <w:vAlign w:val="bottom"/>
            <w:shd w:val="clear" w:color="auto" w:fill="CFF0FC"/>
          </w:tcPr>
          <w:p>
            <w:pPr>
              <w:ind w:left="380"/>
              <w:spacing w:after="0" w:line="216" w:lineRule="exact"/>
              <w:rPr>
                <w:sz w:val="20"/>
                <w:szCs w:val="20"/>
                <w:color w:val="auto"/>
              </w:rPr>
            </w:pPr>
            <w:r>
              <w:rPr>
                <w:rFonts w:ascii="Calibri" w:cs="Calibri" w:eastAsia="Calibri" w:hAnsi="Calibri"/>
                <w:sz w:val="18"/>
                <w:szCs w:val="18"/>
                <w:color w:val="auto"/>
              </w:rPr>
              <w:t>Inventory</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(6,142 )</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(9,442 )</w:t>
            </w:r>
          </w:p>
        </w:tc>
      </w:tr>
      <w:tr>
        <w:trPr>
          <w:trHeight w:val="215"/>
        </w:trPr>
        <w:tc>
          <w:tcPr>
            <w:tcW w:w="7780" w:type="dxa"/>
            <w:vAlign w:val="bottom"/>
          </w:tcPr>
          <w:p>
            <w:pPr>
              <w:ind w:left="380"/>
              <w:spacing w:after="0" w:line="215" w:lineRule="exact"/>
              <w:rPr>
                <w:sz w:val="20"/>
                <w:szCs w:val="20"/>
                <w:color w:val="auto"/>
              </w:rPr>
            </w:pPr>
            <w:r>
              <w:rPr>
                <w:rFonts w:ascii="Calibri" w:cs="Calibri" w:eastAsia="Calibri" w:hAnsi="Calibri"/>
                <w:sz w:val="18"/>
                <w:szCs w:val="18"/>
                <w:color w:val="auto"/>
              </w:rPr>
              <w:t>Other long-term assets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(1,394 )</w:t>
            </w:r>
          </w:p>
        </w:tc>
      </w:tr>
      <w:tr>
        <w:trPr>
          <w:trHeight w:val="210"/>
        </w:trPr>
        <w:tc>
          <w:tcPr>
            <w:tcW w:w="778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cash used in operatng actvites</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(266,770 )</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(137,580 )</w:t>
            </w:r>
          </w:p>
        </w:tc>
      </w:tr>
      <w:tr>
        <w:trPr>
          <w:trHeight w:val="209"/>
        </w:trPr>
        <w:tc>
          <w:tcPr>
            <w:tcW w:w="7780" w:type="dxa"/>
            <w:vAlign w:val="bottom"/>
          </w:tcPr>
          <w:p>
            <w:pPr>
              <w:ind w:left="20"/>
              <w:spacing w:after="0" w:line="209" w:lineRule="exact"/>
              <w:rPr>
                <w:sz w:val="20"/>
                <w:szCs w:val="20"/>
                <w:color w:val="auto"/>
              </w:rPr>
            </w:pPr>
            <w:r>
              <w:rPr>
                <w:rFonts w:ascii="Calibri" w:cs="Calibri" w:eastAsia="Calibri" w:hAnsi="Calibri"/>
                <w:sz w:val="18"/>
                <w:szCs w:val="18"/>
                <w:b w:val="1"/>
                <w:bCs w:val="1"/>
                <w:color w:val="auto"/>
              </w:rPr>
              <w:t>Cash fows from investng actvites</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7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Cash paid for property and equipment</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(135 )</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(1,634 )</w:t>
            </w:r>
          </w:p>
        </w:tc>
      </w:tr>
      <w:tr>
        <w:trPr>
          <w:trHeight w:val="210"/>
        </w:trPr>
        <w:tc>
          <w:tcPr>
            <w:tcW w:w="7780" w:type="dxa"/>
            <w:vAlign w:val="bottom"/>
          </w:tcPr>
          <w:p>
            <w:pPr>
              <w:ind w:left="20"/>
              <w:spacing w:after="0" w:line="209" w:lineRule="exact"/>
              <w:rPr>
                <w:sz w:val="20"/>
                <w:szCs w:val="20"/>
                <w:color w:val="auto"/>
              </w:rPr>
            </w:pPr>
            <w:r>
              <w:rPr>
                <w:rFonts w:ascii="Calibri" w:cs="Calibri" w:eastAsia="Calibri" w:hAnsi="Calibri"/>
                <w:sz w:val="18"/>
                <w:szCs w:val="18"/>
                <w:color w:val="auto"/>
              </w:rPr>
              <w:t>Net cash used in investng actvites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(135 )</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(1,634 )</w:t>
            </w:r>
          </w:p>
        </w:tc>
      </w:tr>
      <w:tr>
        <w:trPr>
          <w:trHeight w:val="210"/>
        </w:trPr>
        <w:tc>
          <w:tcPr>
            <w:tcW w:w="7780" w:type="dxa"/>
            <w:vAlign w:val="bottom"/>
            <w:shd w:val="clear" w:color="auto" w:fill="CFF0FC"/>
          </w:tcPr>
          <w:p>
            <w:pPr>
              <w:ind w:left="20"/>
              <w:spacing w:after="0" w:line="210" w:lineRule="exact"/>
              <w:rPr>
                <w:sz w:val="20"/>
                <w:szCs w:val="20"/>
                <w:color w:val="auto"/>
              </w:rPr>
            </w:pPr>
            <w:r>
              <w:rPr>
                <w:rFonts w:ascii="Calibri" w:cs="Calibri" w:eastAsia="Calibri" w:hAnsi="Calibri"/>
                <w:sz w:val="18"/>
                <w:szCs w:val="18"/>
                <w:b w:val="1"/>
                <w:bCs w:val="1"/>
                <w:color w:val="auto"/>
              </w:rPr>
              <w:t>Cash fows from fnancing actvites</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Proceeds from issuance of common stock from exercise of stock optons</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1,599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124</w:t>
            </w:r>
          </w:p>
        </w:tc>
      </w:tr>
      <w:tr>
        <w:trPr>
          <w:trHeight w:val="217"/>
        </w:trPr>
        <w:tc>
          <w:tcPr>
            <w:tcW w:w="77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proceeds from issuance of debt</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59,400</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39,318</w:t>
            </w: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Net proceeds from underwriten public ofering</w:t>
            </w:r>
          </w:p>
        </w:tc>
        <w:tc>
          <w:tcPr>
            <w:tcW w:w="340" w:type="dxa"/>
            <w:vAlign w:val="bottom"/>
          </w:tcPr>
          <w:p>
            <w:pPr>
              <w:spacing w:after="0"/>
              <w:rPr>
                <w:sz w:val="18"/>
                <w:szCs w:val="18"/>
                <w:color w:val="auto"/>
              </w:rPr>
            </w:pPr>
          </w:p>
        </w:tc>
        <w:tc>
          <w:tcPr>
            <w:tcW w:w="130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121,775</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141,390</w:t>
            </w:r>
          </w:p>
        </w:tc>
      </w:tr>
      <w:tr>
        <w:trPr>
          <w:trHeight w:val="217"/>
        </w:trPr>
        <w:tc>
          <w:tcPr>
            <w:tcW w:w="77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Net proceeds from revenue interest fnancing transacton</w:t>
            </w: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172,675</w:t>
            </w: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color w:val="auto"/>
              </w:rPr>
              <w:t>Net proceeds from issuance of common stock under ATM facility</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line="215" w:lineRule="exact"/>
              <w:rPr>
                <w:sz w:val="20"/>
                <w:szCs w:val="20"/>
                <w:color w:val="auto"/>
              </w:rPr>
            </w:pPr>
            <w:r>
              <w:rPr>
                <w:rFonts w:ascii="Calibri" w:cs="Calibri" w:eastAsia="Calibri" w:hAnsi="Calibri"/>
                <w:sz w:val="18"/>
                <w:szCs w:val="18"/>
                <w:color w:val="auto"/>
              </w:rPr>
              <w:t>14,073</w:t>
            </w:r>
          </w:p>
        </w:tc>
      </w:tr>
      <w:tr>
        <w:trPr>
          <w:trHeight w:val="209"/>
        </w:trPr>
        <w:tc>
          <w:tcPr>
            <w:tcW w:w="7780" w:type="dxa"/>
            <w:vAlign w:val="bottom"/>
            <w:tcBorders>
              <w:bottom w:val="single" w:sz="8" w:color="CFF0FC"/>
            </w:tcBorders>
            <w:shd w:val="clear" w:color="auto" w:fill="CFF0FC"/>
          </w:tcPr>
          <w:p>
            <w:pPr>
              <w:ind w:left="20"/>
              <w:spacing w:after="0" w:line="209" w:lineRule="exact"/>
              <w:rPr>
                <w:sz w:val="20"/>
                <w:szCs w:val="20"/>
                <w:color w:val="auto"/>
              </w:rPr>
            </w:pPr>
            <w:r>
              <w:rPr>
                <w:rFonts w:ascii="Calibri" w:cs="Calibri" w:eastAsia="Calibri" w:hAnsi="Calibri"/>
                <w:sz w:val="18"/>
                <w:szCs w:val="18"/>
                <w:color w:val="auto"/>
              </w:rPr>
              <w:t>Net cash provided by fnancing actvites</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182,774</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367,580</w:t>
            </w:r>
          </w:p>
        </w:tc>
      </w:tr>
      <w:tr>
        <w:trPr>
          <w:trHeight w:val="210"/>
        </w:trPr>
        <w:tc>
          <w:tcPr>
            <w:tcW w:w="7780" w:type="dxa"/>
            <w:vAlign w:val="bottom"/>
          </w:tcPr>
          <w:p>
            <w:pPr>
              <w:ind w:left="20"/>
              <w:spacing w:after="0" w:line="209" w:lineRule="exact"/>
              <w:rPr>
                <w:sz w:val="20"/>
                <w:szCs w:val="20"/>
                <w:color w:val="auto"/>
              </w:rPr>
            </w:pPr>
            <w:r>
              <w:rPr>
                <w:rFonts w:ascii="Calibri" w:cs="Calibri" w:eastAsia="Calibri" w:hAnsi="Calibri"/>
                <w:sz w:val="18"/>
                <w:szCs w:val="18"/>
                <w:color w:val="auto"/>
              </w:rPr>
              <w:t>Net (decrease) increase in cash and cash equivalents and restricted cash</w:t>
            </w:r>
          </w:p>
        </w:tc>
        <w:tc>
          <w:tcPr>
            <w:tcW w:w="340" w:type="dxa"/>
            <w:vAlign w:val="bottom"/>
          </w:tcPr>
          <w:p>
            <w:pPr>
              <w:spacing w:after="0"/>
              <w:rPr>
                <w:sz w:val="18"/>
                <w:szCs w:val="18"/>
                <w:color w:val="auto"/>
              </w:rPr>
            </w:pPr>
          </w:p>
        </w:tc>
        <w:tc>
          <w:tcPr>
            <w:tcW w:w="1300" w:type="dxa"/>
            <w:vAlign w:val="bottom"/>
          </w:tcPr>
          <w:p>
            <w:pPr>
              <w:jc w:val="right"/>
              <w:spacing w:after="0" w:line="209" w:lineRule="exact"/>
              <w:rPr>
                <w:sz w:val="20"/>
                <w:szCs w:val="20"/>
                <w:color w:val="auto"/>
              </w:rPr>
            </w:pPr>
            <w:r>
              <w:rPr>
                <w:rFonts w:ascii="Calibri" w:cs="Calibri" w:eastAsia="Calibri" w:hAnsi="Calibri"/>
                <w:sz w:val="18"/>
                <w:szCs w:val="18"/>
                <w:color w:val="auto"/>
              </w:rPr>
              <w:t>(84,131 )</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228,366</w:t>
            </w:r>
          </w:p>
        </w:tc>
      </w:tr>
      <w:tr>
        <w:trPr>
          <w:trHeight w:val="216"/>
        </w:trPr>
        <w:tc>
          <w:tcPr>
            <w:tcW w:w="77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Cash and cash equivalents and restricted cash – beginning of period</w:t>
            </w:r>
          </w:p>
        </w:tc>
        <w:tc>
          <w:tcPr>
            <w:tcW w:w="34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384,256</w:t>
            </w:r>
          </w:p>
        </w:tc>
        <w:tc>
          <w:tcPr>
            <w:tcW w:w="1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155,890</w:t>
            </w:r>
          </w:p>
        </w:tc>
      </w:tr>
      <w:tr>
        <w:trPr>
          <w:trHeight w:val="209"/>
        </w:trPr>
        <w:tc>
          <w:tcPr>
            <w:tcW w:w="7780" w:type="dxa"/>
            <w:vAlign w:val="bottom"/>
          </w:tcPr>
          <w:p>
            <w:pPr>
              <w:ind w:left="20"/>
              <w:spacing w:after="0" w:line="209" w:lineRule="exact"/>
              <w:rPr>
                <w:sz w:val="20"/>
                <w:szCs w:val="20"/>
                <w:color w:val="auto"/>
              </w:rPr>
            </w:pPr>
            <w:r>
              <w:rPr>
                <w:rFonts w:ascii="Calibri" w:cs="Calibri" w:eastAsia="Calibri" w:hAnsi="Calibri"/>
                <w:sz w:val="18"/>
                <w:szCs w:val="18"/>
                <w:color w:val="auto"/>
              </w:rPr>
              <w:t>Cash and cash equivalents and restricted cash – end of period</w:t>
            </w:r>
          </w:p>
        </w:tc>
        <w:tc>
          <w:tcPr>
            <w:tcW w:w="340" w:type="dxa"/>
            <w:vAlign w:val="bottom"/>
          </w:tcPr>
          <w:p>
            <w:pPr>
              <w:jc w:val="right"/>
              <w:ind w:right="150"/>
              <w:spacing w:after="0" w:line="209" w:lineRule="exact"/>
              <w:rPr>
                <w:sz w:val="20"/>
                <w:szCs w:val="20"/>
                <w:color w:val="auto"/>
              </w:rPr>
            </w:pPr>
            <w:r>
              <w:rPr>
                <w:rFonts w:ascii="Calibri" w:cs="Calibri" w:eastAsia="Calibri" w:hAnsi="Calibri"/>
                <w:sz w:val="18"/>
                <w:szCs w:val="18"/>
                <w:color w:val="auto"/>
                <w:w w:val="87"/>
              </w:rPr>
              <w:t>$</w:t>
            </w:r>
          </w:p>
        </w:tc>
        <w:tc>
          <w:tcPr>
            <w:tcW w:w="130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300,125</w:t>
            </w:r>
          </w:p>
        </w:tc>
        <w:tc>
          <w:tcPr>
            <w:tcW w:w="660" w:type="dxa"/>
            <w:vAlign w:val="bottom"/>
            <w:gridSpan w:val="2"/>
          </w:tcPr>
          <w:p>
            <w:pPr>
              <w:jc w:val="right"/>
              <w:ind w:right="290"/>
              <w:spacing w:after="0" w:line="209"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384,256</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77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r>
      <w:tr>
        <w:trPr>
          <w:trHeight w:val="215"/>
        </w:trPr>
        <w:tc>
          <w:tcPr>
            <w:tcW w:w="7780" w:type="dxa"/>
            <w:vAlign w:val="bottom"/>
          </w:tcPr>
          <w:p>
            <w:pPr>
              <w:ind w:left="20"/>
              <w:spacing w:after="0" w:line="215" w:lineRule="exact"/>
              <w:rPr>
                <w:sz w:val="20"/>
                <w:szCs w:val="20"/>
                <w:color w:val="auto"/>
              </w:rPr>
            </w:pPr>
            <w:r>
              <w:rPr>
                <w:rFonts w:ascii="Calibri" w:cs="Calibri" w:eastAsia="Calibri" w:hAnsi="Calibri"/>
                <w:sz w:val="18"/>
                <w:szCs w:val="18"/>
                <w:b w:val="1"/>
                <w:bCs w:val="1"/>
                <w:color w:val="auto"/>
              </w:rPr>
              <w:t>Supplemental disclosure of cash fow informaton</w:t>
            </w: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56"/>
        </w:trPr>
        <w:tc>
          <w:tcPr>
            <w:tcW w:w="7780" w:type="dxa"/>
            <w:vAlign w:val="bottom"/>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Interest paid</w:t>
            </w:r>
          </w:p>
        </w:tc>
        <w:tc>
          <w:tcPr>
            <w:tcW w:w="340" w:type="dxa"/>
            <w:vAlign w:val="bottom"/>
            <w:shd w:val="clear" w:color="auto" w:fill="CFF0FC"/>
          </w:tcPr>
          <w:p>
            <w:pPr>
              <w:jc w:val="right"/>
              <w:ind w:right="150"/>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17,293</w:t>
            </w:r>
          </w:p>
        </w:tc>
        <w:tc>
          <w:tcPr>
            <w:tcW w:w="660" w:type="dxa"/>
            <w:vAlign w:val="bottom"/>
            <w:gridSpan w:val="2"/>
            <w:shd w:val="clear" w:color="auto" w:fill="CFF0FC"/>
          </w:tcPr>
          <w:p>
            <w:pPr>
              <w:jc w:val="right"/>
              <w:ind w:right="290"/>
              <w:spacing w:after="0" w:line="216" w:lineRule="exact"/>
              <w:rPr>
                <w:sz w:val="20"/>
                <w:szCs w:val="20"/>
                <w:color w:val="auto"/>
              </w:rPr>
            </w:pPr>
            <w:r>
              <w:rPr>
                <w:rFonts w:ascii="Calibri" w:cs="Calibri" w:eastAsia="Calibri" w:hAnsi="Calibri"/>
                <w:sz w:val="18"/>
                <w:szCs w:val="18"/>
                <w:color w:val="auto"/>
              </w:rPr>
              <w:t>$</w:t>
            </w:r>
          </w:p>
        </w:tc>
        <w:tc>
          <w:tcPr>
            <w:tcW w:w="116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11,133</w:t>
            </w:r>
          </w:p>
        </w:tc>
      </w:tr>
      <w:tr>
        <w:trPr>
          <w:trHeight w:val="197"/>
        </w:trPr>
        <w:tc>
          <w:tcPr>
            <w:tcW w:w="7780" w:type="dxa"/>
            <w:vAlign w:val="bottom"/>
            <w:tcBorders>
              <w:top w:val="single" w:sz="8" w:color="CFF0FC"/>
            </w:tcBorders>
          </w:tcPr>
          <w:p>
            <w:pPr>
              <w:ind w:left="20"/>
              <w:spacing w:after="0" w:line="196" w:lineRule="exact"/>
              <w:rPr>
                <w:sz w:val="20"/>
                <w:szCs w:val="20"/>
                <w:color w:val="auto"/>
              </w:rPr>
            </w:pPr>
            <w:r>
              <w:rPr>
                <w:rFonts w:ascii="Calibri" w:cs="Calibri" w:eastAsia="Calibri" w:hAnsi="Calibri"/>
                <w:sz w:val="18"/>
                <w:szCs w:val="18"/>
                <w:b w:val="1"/>
                <w:bCs w:val="1"/>
                <w:color w:val="auto"/>
              </w:rPr>
              <w:t>Supplemental disclosure of noncash investng and fnancing actvites:</w:t>
            </w:r>
          </w:p>
        </w:tc>
        <w:tc>
          <w:tcPr>
            <w:tcW w:w="3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256"/>
        </w:trPr>
        <w:tc>
          <w:tcPr>
            <w:tcW w:w="7780" w:type="dxa"/>
            <w:vAlign w:val="bottom"/>
            <w:tcBorders>
              <w:bottom w:val="single" w:sz="8" w:color="CFF0FC"/>
            </w:tcBorders>
            <w:shd w:val="clear" w:color="auto" w:fill="CFF0FC"/>
          </w:tcPr>
          <w:p>
            <w:pPr>
              <w:ind w:left="20"/>
              <w:spacing w:after="0" w:line="216" w:lineRule="exact"/>
              <w:rPr>
                <w:sz w:val="20"/>
                <w:szCs w:val="20"/>
                <w:color w:val="auto"/>
              </w:rPr>
            </w:pPr>
            <w:r>
              <w:rPr>
                <w:rFonts w:ascii="Calibri" w:cs="Calibri" w:eastAsia="Calibri" w:hAnsi="Calibri"/>
                <w:sz w:val="18"/>
                <w:szCs w:val="18"/>
                <w:color w:val="auto"/>
              </w:rPr>
              <w:t>Property and equipment purchases included in accounts payable and accrued expenses</w:t>
            </w:r>
          </w:p>
        </w:tc>
        <w:tc>
          <w:tcPr>
            <w:tcW w:w="340" w:type="dxa"/>
            <w:vAlign w:val="bottom"/>
            <w:tcBorders>
              <w:bottom w:val="single" w:sz="8" w:color="auto"/>
            </w:tcBorders>
            <w:shd w:val="clear" w:color="auto" w:fill="CFF0FC"/>
          </w:tcPr>
          <w:p>
            <w:pPr>
              <w:jc w:val="right"/>
              <w:ind w:right="150"/>
              <w:spacing w:after="0" w:line="216"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8</w:t>
            </w:r>
          </w:p>
        </w:tc>
        <w:tc>
          <w:tcPr>
            <w:tcW w:w="180" w:type="dxa"/>
            <w:vAlign w:val="bottom"/>
            <w:tcBorders>
              <w:bottom w:val="single" w:sz="8" w:color="CFF0FC"/>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ind w:right="290"/>
              <w:spacing w:after="0" w:line="216"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18</w:t>
            </w:r>
          </w:p>
        </w:tc>
      </w:tr>
      <w:tr>
        <w:trPr>
          <w:trHeight w:val="197"/>
        </w:trPr>
        <w:tc>
          <w:tcPr>
            <w:tcW w:w="7780" w:type="dxa"/>
            <w:vAlign w:val="bottom"/>
          </w:tcPr>
          <w:p>
            <w:pPr>
              <w:ind w:left="20"/>
              <w:spacing w:after="0" w:line="196" w:lineRule="exact"/>
              <w:rPr>
                <w:sz w:val="20"/>
                <w:szCs w:val="20"/>
                <w:color w:val="auto"/>
              </w:rPr>
            </w:pPr>
            <w:r>
              <w:rPr>
                <w:rFonts w:ascii="Calibri" w:cs="Calibri" w:eastAsia="Calibri" w:hAnsi="Calibri"/>
                <w:sz w:val="18"/>
                <w:szCs w:val="18"/>
                <w:color w:val="auto"/>
              </w:rPr>
              <w:t>Final interest payment fee</w:t>
            </w:r>
          </w:p>
        </w:tc>
        <w:tc>
          <w:tcPr>
            <w:tcW w:w="3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w w:val="87"/>
              </w:rPr>
              <w:t>$</w:t>
            </w:r>
          </w:p>
        </w:tc>
        <w:tc>
          <w:tcPr>
            <w:tcW w:w="1300" w:type="dxa"/>
            <w:vAlign w:val="bottom"/>
          </w:tcPr>
          <w:p>
            <w:pPr>
              <w:jc w:val="right"/>
              <w:ind w:right="30"/>
              <w:spacing w:after="0" w:line="196" w:lineRule="exact"/>
              <w:rPr>
                <w:sz w:val="20"/>
                <w:szCs w:val="20"/>
                <w:color w:val="auto"/>
              </w:rPr>
            </w:pPr>
            <w:r>
              <w:rPr>
                <w:rFonts w:ascii="Calibri" w:cs="Calibri" w:eastAsia="Calibri" w:hAnsi="Calibri"/>
                <w:sz w:val="18"/>
                <w:szCs w:val="18"/>
                <w:color w:val="auto"/>
              </w:rPr>
              <w:t>1,800</w:t>
            </w:r>
          </w:p>
        </w:tc>
        <w:tc>
          <w:tcPr>
            <w:tcW w:w="660" w:type="dxa"/>
            <w:vAlign w:val="bottom"/>
            <w:gridSpan w:val="2"/>
          </w:tcPr>
          <w:p>
            <w:pPr>
              <w:jc w:val="right"/>
              <w:ind w:right="290"/>
              <w:spacing w:after="0" w:line="196"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196" w:lineRule="exact"/>
              <w:rPr>
                <w:sz w:val="20"/>
                <w:szCs w:val="20"/>
                <w:color w:val="auto"/>
              </w:rPr>
            </w:pPr>
            <w:r>
              <w:rPr>
                <w:rFonts w:ascii="Calibri" w:cs="Calibri" w:eastAsia="Calibri" w:hAnsi="Calibri"/>
                <w:sz w:val="18"/>
                <w:szCs w:val="18"/>
                <w:color w:val="auto"/>
              </w:rPr>
              <w:t>2,200</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r>
        <w:trPr>
          <w:trHeight w:val="237"/>
        </w:trPr>
        <w:tc>
          <w:tcPr>
            <w:tcW w:w="7780" w:type="dxa"/>
            <w:vAlign w:val="bottom"/>
            <w:tcBorders>
              <w:bottom w:val="single" w:sz="8" w:color="CFF0FC"/>
            </w:tcBorders>
            <w:shd w:val="clear" w:color="auto" w:fill="CFF0FC"/>
          </w:tcPr>
          <w:p>
            <w:pPr>
              <w:ind w:left="20"/>
              <w:spacing w:after="0" w:line="196" w:lineRule="exact"/>
              <w:rPr>
                <w:sz w:val="20"/>
                <w:szCs w:val="20"/>
                <w:color w:val="auto"/>
              </w:rPr>
            </w:pPr>
            <w:r>
              <w:rPr>
                <w:rFonts w:ascii="Calibri" w:cs="Calibri" w:eastAsia="Calibri" w:hAnsi="Calibri"/>
                <w:sz w:val="18"/>
                <w:szCs w:val="18"/>
                <w:color w:val="auto"/>
              </w:rPr>
              <w:t>Setlement of ESPP liability in common stock</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Calibri" w:cs="Calibri" w:eastAsia="Calibri" w:hAnsi="Calibri"/>
                <w:sz w:val="18"/>
                <w:szCs w:val="18"/>
                <w:color w:val="auto"/>
              </w:rPr>
              <w:t>2,401</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jc w:val="right"/>
              <w:ind w:right="290"/>
              <w:spacing w:after="0" w:line="196" w:lineRule="exact"/>
              <w:rPr>
                <w:sz w:val="20"/>
                <w:szCs w:val="20"/>
                <w:color w:val="auto"/>
              </w:rPr>
            </w:pPr>
            <w:r>
              <w:rPr>
                <w:rFonts w:ascii="Calibri" w:cs="Calibri" w:eastAsia="Calibri" w:hAnsi="Calibri"/>
                <w:sz w:val="18"/>
                <w:szCs w:val="18"/>
                <w:color w:val="auto"/>
                <w:w w:val="87"/>
              </w:rPr>
              <w:t>$</w:t>
            </w:r>
          </w:p>
        </w:tc>
        <w:tc>
          <w:tcPr>
            <w:tcW w:w="116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Calibri" w:cs="Calibri" w:eastAsia="Calibri" w:hAnsi="Calibri"/>
                <w:sz w:val="18"/>
                <w:szCs w:val="18"/>
                <w:color w:val="auto"/>
              </w:rPr>
              <w:t>1,417</w:t>
            </w:r>
          </w:p>
        </w:tc>
      </w:tr>
      <w:tr>
        <w:trPr>
          <w:trHeight w:val="196"/>
        </w:trPr>
        <w:tc>
          <w:tcPr>
            <w:tcW w:w="7780" w:type="dxa"/>
            <w:vAlign w:val="bottom"/>
          </w:tcPr>
          <w:p>
            <w:pPr>
              <w:ind w:left="20"/>
              <w:spacing w:after="0" w:line="196" w:lineRule="exact"/>
              <w:rPr>
                <w:sz w:val="20"/>
                <w:szCs w:val="20"/>
                <w:color w:val="auto"/>
              </w:rPr>
            </w:pPr>
            <w:r>
              <w:rPr>
                <w:rFonts w:ascii="Calibri" w:cs="Calibri" w:eastAsia="Calibri" w:hAnsi="Calibri"/>
                <w:sz w:val="18"/>
                <w:szCs w:val="18"/>
                <w:color w:val="auto"/>
              </w:rPr>
              <w:t>Setlement of 401(k) liability in common stock</w:t>
            </w:r>
          </w:p>
        </w:tc>
        <w:tc>
          <w:tcPr>
            <w:tcW w:w="340" w:type="dxa"/>
            <w:vAlign w:val="bottom"/>
          </w:tcPr>
          <w:p>
            <w:pPr>
              <w:jc w:val="right"/>
              <w:ind w:right="150"/>
              <w:spacing w:after="0" w:line="196" w:lineRule="exact"/>
              <w:rPr>
                <w:sz w:val="20"/>
                <w:szCs w:val="20"/>
                <w:color w:val="auto"/>
              </w:rPr>
            </w:pPr>
            <w:r>
              <w:rPr>
                <w:rFonts w:ascii="Calibri" w:cs="Calibri" w:eastAsia="Calibri" w:hAnsi="Calibri"/>
                <w:sz w:val="18"/>
                <w:szCs w:val="18"/>
                <w:color w:val="auto"/>
                <w:w w:val="87"/>
              </w:rPr>
              <w:t>$</w:t>
            </w:r>
          </w:p>
        </w:tc>
        <w:tc>
          <w:tcPr>
            <w:tcW w:w="1300" w:type="dxa"/>
            <w:vAlign w:val="bottom"/>
          </w:tcPr>
          <w:p>
            <w:pPr>
              <w:jc w:val="right"/>
              <w:ind w:right="30"/>
              <w:spacing w:after="0" w:line="196" w:lineRule="exact"/>
              <w:rPr>
                <w:sz w:val="20"/>
                <w:szCs w:val="20"/>
                <w:color w:val="auto"/>
              </w:rPr>
            </w:pPr>
            <w:r>
              <w:rPr>
                <w:rFonts w:ascii="Calibri" w:cs="Calibri" w:eastAsia="Calibri" w:hAnsi="Calibri"/>
                <w:sz w:val="18"/>
                <w:szCs w:val="18"/>
                <w:color w:val="auto"/>
              </w:rPr>
              <w:t>3,683</w:t>
            </w:r>
          </w:p>
        </w:tc>
        <w:tc>
          <w:tcPr>
            <w:tcW w:w="660" w:type="dxa"/>
            <w:vAlign w:val="bottom"/>
            <w:gridSpan w:val="2"/>
          </w:tcPr>
          <w:p>
            <w:pPr>
              <w:jc w:val="right"/>
              <w:ind w:right="290"/>
              <w:spacing w:after="0" w:line="196" w:lineRule="exact"/>
              <w:rPr>
                <w:sz w:val="20"/>
                <w:szCs w:val="20"/>
                <w:color w:val="auto"/>
              </w:rPr>
            </w:pPr>
            <w:r>
              <w:rPr>
                <w:rFonts w:ascii="Calibri" w:cs="Calibri" w:eastAsia="Calibri" w:hAnsi="Calibri"/>
                <w:sz w:val="18"/>
                <w:szCs w:val="18"/>
                <w:color w:val="auto"/>
              </w:rPr>
              <w:t>$</w:t>
            </w:r>
          </w:p>
        </w:tc>
        <w:tc>
          <w:tcPr>
            <w:tcW w:w="1160" w:type="dxa"/>
            <w:vAlign w:val="bottom"/>
          </w:tcPr>
          <w:p>
            <w:pPr>
              <w:jc w:val="right"/>
              <w:ind w:right="30"/>
              <w:spacing w:after="0" w:line="196" w:lineRule="exact"/>
              <w:rPr>
                <w:sz w:val="20"/>
                <w:szCs w:val="20"/>
                <w:color w:val="auto"/>
              </w:rPr>
            </w:pPr>
            <w:r>
              <w:rPr>
                <w:rFonts w:ascii="Calibri" w:cs="Calibri" w:eastAsia="Calibri" w:hAnsi="Calibri"/>
                <w:sz w:val="18"/>
                <w:szCs w:val="18"/>
                <w:color w:val="auto"/>
              </w:rPr>
              <w:t>1,612</w:t>
            </w:r>
          </w:p>
        </w:tc>
      </w:tr>
      <w:tr>
        <w:trPr>
          <w:trHeight w:val="20"/>
        </w:trPr>
        <w:tc>
          <w:tcPr>
            <w:tcW w:w="7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-3085465</wp:posOffset>
            </wp:positionV>
            <wp:extent cx="11112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-2802255</wp:posOffset>
            </wp:positionV>
            <wp:extent cx="1111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-1679575</wp:posOffset>
            </wp:positionV>
            <wp:extent cx="11112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-1396365</wp:posOffset>
            </wp:positionV>
            <wp:extent cx="11112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-814070</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-796290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-513715</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-496570</wp:posOffset>
            </wp:positionV>
            <wp:extent cx="11112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11112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25" w:name="page126"/>
    <w:bookmarkEnd w:id="125"/>
    <w:p>
      <w:pPr>
        <w:jc w:val="center"/>
        <w:spacing w:after="0"/>
        <w:rPr>
          <w:sz w:val="20"/>
          <w:szCs w:val="20"/>
          <w:color w:val="auto"/>
        </w:rPr>
      </w:pPr>
      <w:r>
        <w:rPr>
          <w:rFonts w:ascii="Calibri" w:cs="Calibri" w:eastAsia="Calibri" w:hAnsi="Calibri"/>
          <w:sz w:val="18"/>
          <w:szCs w:val="18"/>
          <w:b w:val="1"/>
          <w:bCs w:val="1"/>
          <w:color w:val="auto"/>
        </w:rPr>
        <w:t>PHATHOM PHARMACEUTICALS, INC.</w:t>
      </w:r>
    </w:p>
    <w:p>
      <w:pPr>
        <w:spacing w:after="0" w:line="104" w:lineRule="exact"/>
        <w:rPr>
          <w:sz w:val="20"/>
          <w:szCs w:val="20"/>
          <w:color w:val="auto"/>
        </w:rPr>
      </w:pPr>
    </w:p>
    <w:p>
      <w:pPr>
        <w:jc w:val="center"/>
        <w:spacing w:after="0"/>
        <w:rPr>
          <w:sz w:val="20"/>
          <w:szCs w:val="20"/>
          <w:color w:val="auto"/>
        </w:rPr>
      </w:pPr>
      <w:r>
        <w:rPr>
          <w:rFonts w:ascii="Calibri" w:cs="Calibri" w:eastAsia="Calibri" w:hAnsi="Calibri"/>
          <w:sz w:val="18"/>
          <w:szCs w:val="18"/>
          <w:b w:val="1"/>
          <w:bCs w:val="1"/>
          <w:color w:val="auto"/>
        </w:rPr>
        <w:t>Notes to Financial Statements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 Organizaton, Basis of Presentaton and Summary of Signifcant Accountng Policies</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Organizaton and Basis of Presentaton</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Phathom Pharmaceutcals, Inc., or the Company or Phathom, was incorporated in the state of Delaware in January 2018. The Company is a biopharmaceutcal company focused on developing and commercializing novel treatments for gastrointestnal diseases. The Company’s fnancial statements are prepared in accordance with U.S. generally accepted accountng principles, or GAAP.</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 xml:space="preserve">On October 27, 2023, the U.S. Food and Drug Administraton, or FDA, approved the prior approval supplements to the Company's new drug applicatons, or NDAs, for VOQUEZNA TRIPLE PAK and VOQUEZNA DUAL PAK. Additonally, on November 1, 2023, the FDA approved the Company's NDA for VOQUEZNA tablets. The Company initated commercial launch for VOQUEZNA for both the Erosive GERD and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indicatons, and VOQUEZNA TRIPLE PAK and VOQUEZNA DUAL PAK for treatment of </w:t>
      </w:r>
      <w:r>
        <w:rPr>
          <w:rFonts w:ascii="Calibri" w:cs="Calibri" w:eastAsia="Calibri" w:hAnsi="Calibri"/>
          <w:sz w:val="18"/>
          <w:szCs w:val="18"/>
          <w:i w:val="1"/>
          <w:iCs w:val="1"/>
          <w:color w:val="auto"/>
        </w:rPr>
        <w:t>H. pylori</w:t>
      </w:r>
      <w:r>
        <w:rPr>
          <w:rFonts w:ascii="Calibri" w:cs="Calibri" w:eastAsia="Calibri" w:hAnsi="Calibri"/>
          <w:sz w:val="18"/>
          <w:szCs w:val="18"/>
          <w:color w:val="auto"/>
        </w:rPr>
        <w:t xml:space="preserve"> infecton in the fourth quarter of 2023. Additonally, on July 17, 2024, the FDA approved VOQUEZNA 10 mg tablets for the relief of heartburn associated with Non-Erosive GERD.</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Liquidity and Capital Resources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From incepton to December 31, 2024, the Company has devoted substantally all of its eforts to organizing and stafng the Company, business planning, raising capital, in-licensing its inital and approved product candidate, vonoprazan, meetng with regulatory authorites, managing the clinical trials of vonoprazan, preparing for commercializaton of its inital products containing vonoprazan, commercially launching its approved products, and providing other selling, general and administratve support for these operatons. The Company has a limited operatng history, has generated limited revenue to date, and the sales and income potental of its business is unproven. The Company has incurred net losses and negatve cash fows from operatng actvites since its incepton and expects to contnue to incur additonal net losses in the future. The Company has funded its operatons primarily through commercial bank debt, the revenue interest fnancing debt and various equity oferings, including the Company's at-the-market, or ATM, oferings. In August 2024, the Company closed an underwriten public ofering of 8,695,652 shares of its common stock and 2,608,922 pre-funded warrants for net proceeds of approximately $121.8 million (see Note 7 for additonal informaton). From incepton through December 31, 2024, the Company sold 34,737,032 shares of common stock and 2,608,922 pre-funded warrants, generatng net proceeds of approximately $543.3 million, afer deductng underwritng discounts, commissions and ofering costs.</w:t>
      </w:r>
    </w:p>
    <w:p>
      <w:pPr>
        <w:spacing w:after="0" w:line="185"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The accompanying fnancial statements have been prepared assuming the Company will contnue as a going concern, which contemplates the realizaton of assets and the satsfacton of liabilites in the normal course of business, and do not include any adjustments to refect the possible future efects on the recoverability and classifcaton of assets or amounts and classifcaton of liabilites in accordance with GAAP. Management is required to perform a two-step analysis over the Company’s ability to contnue as a going concern. Management must frst evaluate whether there are conditons and events that raise substantal doubt about the Company’s ability to contnue as a going concern (Step 1). If management concludes that substantal doubt is raised, management is also required to consider whether its plans alleviate that doubt (Step 2).</w:t>
      </w:r>
    </w:p>
    <w:p>
      <w:pPr>
        <w:spacing w:after="0" w:line="194"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Management believes that it has sufcient working capital on hand to fund operatons through at least the next twelve months from the date these fnancial statements were issued. There can be no assurance that the Company will be successful in acquiring additonal funding, if needed, that the Company’s projectons of its future working capital needs will prove accurate, or that any additonal funding would be sufcient to contnue operatons in future years.</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Use of Estmates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preparaton of the Company’s fnancial statements requires management to make estmates and assumptons that impact the reported amounts of assets, liabilites, revenues and expenses, and the disclosure of contngent assets and liabilites in the Company’s fnancial statements and accompanying notes. The most signifcant estmates in the Company’s fnancial statements relate to accruals for net product revenues and the valuaton for the revenue interest fnancing liability. In additon, management’s assessment of the Company’s ability to contnue as a going concern involves the estmaton of the amount and tming of future cash infows and outlows. Although these estmates are based on the Company’s knowledge of current events and actons it may undertake in the future, actual results could difer materially from those estmates and assumptons.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126" w:name="page127"/>
    <w:bookmarkEnd w:id="126"/>
    <w:p>
      <w:pPr>
        <w:spacing w:after="0"/>
        <w:rPr>
          <w:sz w:val="20"/>
          <w:szCs w:val="20"/>
          <w:color w:val="auto"/>
        </w:rPr>
      </w:pPr>
      <w:r>
        <w:rPr>
          <w:rFonts w:ascii="Calibri" w:cs="Calibri" w:eastAsia="Calibri" w:hAnsi="Calibri"/>
          <w:sz w:val="18"/>
          <w:szCs w:val="18"/>
          <w:b w:val="1"/>
          <w:bCs w:val="1"/>
          <w:i w:val="1"/>
          <w:iCs w:val="1"/>
          <w:color w:val="auto"/>
        </w:rPr>
        <w:t>Fair Value Measurements</w:t>
      </w:r>
    </w:p>
    <w:p>
      <w:pPr>
        <w:spacing w:after="0" w:line="190" w:lineRule="exact"/>
        <w:rPr>
          <w:sz w:val="20"/>
          <w:szCs w:val="20"/>
          <w:color w:val="auto"/>
        </w:rPr>
      </w:pPr>
    </w:p>
    <w:p>
      <w:pPr>
        <w:jc w:val="both"/>
        <w:ind w:right="140" w:firstLine="509"/>
        <w:spacing w:after="0" w:line="251" w:lineRule="auto"/>
        <w:rPr>
          <w:sz w:val="20"/>
          <w:szCs w:val="20"/>
          <w:color w:val="auto"/>
        </w:rPr>
      </w:pPr>
      <w:r>
        <w:rPr>
          <w:rFonts w:ascii="Calibri" w:cs="Calibri" w:eastAsia="Calibri" w:hAnsi="Calibri"/>
          <w:sz w:val="17"/>
          <w:szCs w:val="17"/>
          <w:color w:val="auto"/>
        </w:rPr>
        <w:t>The accountng guidance defnes fair value, establishes a consistent framework for measuring fair value and expands disclosure for each major asset and liability category measured at fair value on either a recurring or non-recurring basis. Fair value is defned as an exit price, representng the amount that would be received to sell an asset or paid to transfer a liability in an orderly transacton between market partcipants. As such, fair value is a market-based measurement that should be determined based on assumptons that market partcipants would use in pricing an asset or liability. As a basis for considering such assumptons, the accountng guidance establishes a three-ter fair value hierarchy, which prioritzes the inputs used in measuring fair value as follows:</w:t>
      </w:r>
    </w:p>
    <w:p>
      <w:pPr>
        <w:spacing w:after="0" w:line="166"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Level 1: Observable inputs such as quoted prices in actve markets.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Level 2: Inputs, other than the quoted prices in actve markets that are observable either directly or indirectly.</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Level 3: Unobservable inputs in which there is litle or no market data, which require the reportng entty to develop its own assumptons.</w:t>
      </w:r>
    </w:p>
    <w:p>
      <w:pPr>
        <w:spacing w:after="0" w:line="17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carrying amounts of the Company’s fnancial instruments, including cash and cash equivalents, are classifed within the Level 1 designaton discussed above, while accounts receivable, prepaid and other current assets, accounts payable, and accrued liabilites, approximate fair value due to their short-term maturites.</w:t>
      </w:r>
    </w:p>
    <w:p>
      <w:pPr>
        <w:spacing w:after="0" w:line="17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has no fnancial assets measured at fair value on a recurring basis. None of the Company’s non-fnancial assets or liabilites are recorded at fair value on a non-recurring basis. No transfers between levels have occurred during the periods presented.</w:t>
      </w:r>
    </w:p>
    <w:p>
      <w:pPr>
        <w:spacing w:after="0" w:line="19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As of December 31, 2024 and 2023, the estmated fair value of the Company’s long-term debt approximated the carrying amount given its foatng interest rate basis. The fair value of the Company’s long-term debt was estmated for disclosure purposes only and was determined based on quoted market data for valuaton, and thus categorized as Level 2 in the fair value hierarchy.</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Cash and Cash Equivalents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considers all highly liquid investments with original maturites of three months or less when purchased to be cash equivalents. Cash and cash equivalents include cash in readily available checking accounts and money market funds. Restricted cash primarily consists of cash deposited by the Company to secure corporate leased vehicles.</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Accounts Receivable, Net</w:t>
      </w:r>
    </w:p>
    <w:p>
      <w:pPr>
        <w:spacing w:after="0" w:line="177" w:lineRule="exact"/>
        <w:rPr>
          <w:sz w:val="20"/>
          <w:szCs w:val="20"/>
          <w:color w:val="auto"/>
        </w:rPr>
      </w:pPr>
    </w:p>
    <w:p>
      <w:pPr>
        <w:ind w:right="20" w:firstLine="549"/>
        <w:spacing w:after="0" w:line="235" w:lineRule="auto"/>
        <w:rPr>
          <w:sz w:val="20"/>
          <w:szCs w:val="20"/>
          <w:color w:val="auto"/>
        </w:rPr>
      </w:pPr>
      <w:r>
        <w:rPr>
          <w:rFonts w:ascii="Calibri" w:cs="Calibri" w:eastAsia="Calibri" w:hAnsi="Calibri"/>
          <w:sz w:val="18"/>
          <w:szCs w:val="18"/>
          <w:color w:val="auto"/>
        </w:rPr>
        <w:t>Accounts receivable consists of amounts due from customers, primarily wholesale distributors, net of customer allowances for prompt pay discounts, distributon service fees, and other adjustments. Our contracts with customers have standard payment terms. The Company assesses the need for an allowance for credit losses primarily based on creditworthiness, historical payment experience and general economic conditons. The Company has not experienced any credit losses to date given our limited commercial operatons with any of its customers, and has not currently recognized a material allowance for credit losses.</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Concentratons of Credit Risk</w:t>
      </w:r>
    </w:p>
    <w:p>
      <w:pPr>
        <w:spacing w:after="0" w:line="19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Financial instruments that potentally subject the Company to signifcant concentratons of credit risk consist primarily of cash and cash equivalents. The Company maintains deposits in federally insured fnancial insttutons in excess of federally insured limits. The Company has not experienced any losses in such accounts and management believes that the Company is not exposed to signifcant credit risk due to the fnancial positon of the depository insttutons in which those deposits are held.</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is also subject to credit risk from our accounts receivable related to our product sales. The Company monitors exposure within accounts receivable and records an allowance for credit losses as necessary. The Company extends credit primarily to wholesale distributors. Customer creditworthiness is monitored and collateral is not required. The allowance for credit losses refects the best estmate of expected credit losses of the accounts receivable portolio determined on the basis of historical experience, current informaton, and forecasts of future economic conditons. The Company determines its allowance methodology by pooling receivable balances at the customer level. The Company considers various factors, including its previous loss history, individual credit risk associated to each customer, and the current and future conditons of the general economy. These credit risk factors are monitored on a quarterly basis and updated as necessary. To the extent that any individual debtor is identfed whose credit quality has deteriorated, the Company establishes allowances based on the individual risk characteristcs of such customer.</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27" w:name="page128"/>
    <w:bookmarkEnd w:id="127"/>
    <w:p>
      <w:pPr>
        <w:ind w:right="20"/>
        <w:spacing w:after="0" w:line="235" w:lineRule="auto"/>
        <w:rPr>
          <w:sz w:val="20"/>
          <w:szCs w:val="20"/>
          <w:color w:val="auto"/>
        </w:rPr>
      </w:pPr>
      <w:r>
        <w:rPr>
          <w:rFonts w:ascii="Calibri" w:cs="Calibri" w:eastAsia="Calibri" w:hAnsi="Calibri"/>
          <w:sz w:val="18"/>
          <w:szCs w:val="18"/>
          <w:color w:val="auto"/>
        </w:rPr>
        <w:t>The Company makes concerted eforts to collect all outstanding balances due from customers; however, account balances are charged of against the allowance when management believes it is probable the receivable will not be recovered. The Company does not have any of-balance-sheet credit exposure related to customers.</w:t>
      </w:r>
    </w:p>
    <w:p>
      <w:pPr>
        <w:spacing w:after="0" w:line="19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As of December 31, 2024, three customers accounted for 81% of the accounts receivable balance, with each of these individual customers ranging from 25% to 31% of the accounts receivable balance. As of December 31, 2023, three customers accounted for 87% of the accounts receivable balance, with each of these individual customers ranging from 28% to 30% of the accounts receivable balance. For the year ended December 31, 2024, three customers accounted for 69% of the product sales, with each of these individual customers ranging from 22% to 25% of the product sales. For the year ended December 31, 2023, three customers accounted for 86% of the product sales, with each of these individual customers ranging from 27% to 30% of the product sales.</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Inventory</w:t>
      </w:r>
    </w:p>
    <w:p>
      <w:pPr>
        <w:spacing w:after="0" w:line="177" w:lineRule="exact"/>
        <w:rPr>
          <w:sz w:val="20"/>
          <w:szCs w:val="20"/>
          <w:color w:val="auto"/>
        </w:rPr>
      </w:pPr>
    </w:p>
    <w:p>
      <w:pPr>
        <w:ind w:right="240" w:firstLine="549"/>
        <w:spacing w:after="0" w:line="235" w:lineRule="auto"/>
        <w:rPr>
          <w:sz w:val="20"/>
          <w:szCs w:val="20"/>
          <w:color w:val="auto"/>
        </w:rPr>
      </w:pPr>
      <w:r>
        <w:rPr>
          <w:rFonts w:ascii="Calibri" w:cs="Calibri" w:eastAsia="Calibri" w:hAnsi="Calibri"/>
          <w:sz w:val="18"/>
          <w:szCs w:val="18"/>
          <w:color w:val="auto"/>
        </w:rPr>
        <w:t>The Company capitalizes inventory costs related to products to be sold in the ordinary course of business. The Company makes a determinaton of capitalizing inventory costs for a product based on, among other factors, status of regulatory approval, informaton regarding safety, efcacy and expectatons relatng to commercial sales and recoverability of costs. Inventory consists of bulk actve pharmaceutcal ingredients that are used to manufacture vonoprazan tablets and fnished goods. Inventory related to indicatons prior to regulatory approval has been included in research and development expense in the period of purchase.</w:t>
      </w:r>
    </w:p>
    <w:p>
      <w:pPr>
        <w:spacing w:after="0" w:line="193" w:lineRule="exact"/>
        <w:rPr>
          <w:sz w:val="20"/>
          <w:szCs w:val="20"/>
          <w:color w:val="auto"/>
        </w:rPr>
      </w:pPr>
    </w:p>
    <w:p>
      <w:pPr>
        <w:ind w:right="60" w:firstLine="509"/>
        <w:spacing w:after="0" w:line="252" w:lineRule="auto"/>
        <w:rPr>
          <w:sz w:val="20"/>
          <w:szCs w:val="20"/>
          <w:color w:val="auto"/>
        </w:rPr>
      </w:pPr>
      <w:r>
        <w:rPr>
          <w:rFonts w:ascii="Calibri" w:cs="Calibri" w:eastAsia="Calibri" w:hAnsi="Calibri"/>
          <w:sz w:val="17"/>
          <w:szCs w:val="17"/>
          <w:color w:val="auto"/>
        </w:rPr>
        <w:t>The Company states its inventory at the lower of cost or net realizable value. The Company measures inventory cost using actual cost under a frst-in, frst-out basis. The Company assesses recoverability of inventory each reportng period to determine any write-down to net realizable value resultng from excess or obsolete inventories. During the year ended December 31, 2024, the Company recorded approximately $0.8 million of charges for inventory not expected to be sold prior to its expiraton date. No inventory adjustments or charges were recorded during the year ended December 31, 2023.</w:t>
      </w:r>
    </w:p>
    <w:p>
      <w:pPr>
        <w:spacing w:after="0" w:line="16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Property and Equipment, Net</w:t>
      </w:r>
    </w:p>
    <w:p>
      <w:pPr>
        <w:spacing w:after="0" w:line="177" w:lineRule="exact"/>
        <w:rPr>
          <w:sz w:val="20"/>
          <w:szCs w:val="20"/>
          <w:color w:val="auto"/>
        </w:rPr>
      </w:pPr>
    </w:p>
    <w:p>
      <w:pPr>
        <w:ind w:right="60" w:firstLine="509"/>
        <w:spacing w:after="0" w:line="251" w:lineRule="auto"/>
        <w:rPr>
          <w:sz w:val="20"/>
          <w:szCs w:val="20"/>
          <w:color w:val="auto"/>
        </w:rPr>
      </w:pPr>
      <w:r>
        <w:rPr>
          <w:rFonts w:ascii="Calibri" w:cs="Calibri" w:eastAsia="Calibri" w:hAnsi="Calibri"/>
          <w:sz w:val="17"/>
          <w:szCs w:val="17"/>
          <w:color w:val="auto"/>
        </w:rPr>
        <w:t>Property and equipment are recorded at cost, less accumulated depreciaton. Depreciaton expense is recognized using the straight-line method over the useful life of the asset. Computer equipment and related sofware are depreciated over two to three years. Equipment is depreciated over fve years. Furniture and fxtures are depreciated over three years. Leasehold improvements are amortzed over the lesser of the lease term or the estmated useful lives of the related assets. Expenditures for repairs and maintenance of assets are charged to expense as incurred. Upon retrement or sale, the cost and related accumulated depreciaton of assets disposed of are removed from the accounts and any resultng gain or loss is included in loss from operatons.</w:t>
      </w:r>
    </w:p>
    <w:p>
      <w:pPr>
        <w:spacing w:after="0" w:line="17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Impairment of Long-Lived Assets</w:t>
      </w:r>
    </w:p>
    <w:p>
      <w:pPr>
        <w:spacing w:after="0" w:line="177"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Company reviews long-lived assets, including property and equipment, for impairment whenever events or changes in business circumstances indicate that the carrying amount of the assets may not be fully recoverable. An impairment loss would be recognized when estmated undiscounted future cash fows expected to result from the use of the asset and its eventual dispositon are less than the carrying amount. The impairment loss, if recognized, would be based on the excess of the carrying value of the impaired asset over its respectve fair value. No impairment losses have been recorded for the years ended December 31, 2024 and 2023.</w:t>
      </w:r>
    </w:p>
    <w:p>
      <w:pPr>
        <w:spacing w:after="0" w:line="17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Other Long-Term Assets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Other long-term assets consist of deposits relatng to our copay and patent support programs and security deposits on our leased propertes.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Leases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At the incepton of a contractual arrangement, the Company determines whether the contract contains a lease by assessing whether there is an identfed asset and whether the contract conveys the right to control the use of the identfed asset in exchange for consideraton over a period of tme.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additonally evaluates leases at their incepton to determine if they are to be accounted for as an operatng lease or a fnance lease. A lease is accounted for as a fnance lease if it meets one of the following fve criteria: the lease has a purchase opton that is reasonably certain of being exercised, the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28" w:name="page129"/>
    <w:bookmarkEnd w:id="128"/>
    <w:p>
      <w:pPr>
        <w:spacing w:after="0" w:line="235" w:lineRule="auto"/>
        <w:rPr>
          <w:sz w:val="20"/>
          <w:szCs w:val="20"/>
          <w:color w:val="auto"/>
        </w:rPr>
      </w:pPr>
      <w:r>
        <w:rPr>
          <w:rFonts w:ascii="Calibri" w:cs="Calibri" w:eastAsia="Calibri" w:hAnsi="Calibri"/>
          <w:sz w:val="18"/>
          <w:szCs w:val="18"/>
          <w:color w:val="auto"/>
        </w:rPr>
        <w:t>present value of the future cash fows is substantally all of the fair market value of the underlying asset, the lease term is for a signifcant porton of the remaining economic life of the underlying asset, the ttle to the underlying asset transfers at the end of the lease term, or if the underlying asset is of such a specialized nature that it is expected to have no alternatve uses to the lessor at the end of the term. Leases that do not meet the fnance lease criteria are accounted for as an operatng lease. Operatng lease assets represent a right to use an underlying asset for the lease term and operatng lease liabilites represent an obligaton to make lease payments arising from the lease. Operatng lease liabilites with a term greater than one year and their corresponding right-of-use assets are recognized on the balance sheet at the commencement date of the lease based on the present value of lease payments over the expected lease term. Certain adjustments to the right-of-use asset may be required for items such as inital direct costs paid or incentves received. As the Company’s leases do not typically provide an implicit rate, the Company utlizes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operatng expenses in the period in which the obligaton for those payments is incurred. Variable lease payments primarily include common area maintenance, utlites, real estate taxes, insurance, and other operatng costs that are passed on from the lessor in proporton to the space leased by the Company. The Company has elected the practcal expedient to not separate between lease and non-lease components.</w:t>
      </w:r>
    </w:p>
    <w:p>
      <w:pPr>
        <w:spacing w:after="0" w:line="19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Interest Financing Liability</w:t>
      </w:r>
    </w:p>
    <w:p>
      <w:pPr>
        <w:spacing w:after="0" w:line="177"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The Company entered into a revenue interest fnancing agreement, or the Revenue Interest Financing Agreement, with enttes managed or advised by NovaQuest Capital Management, or NQ, Sagard Holdings Manager LP, or Sagard, and Hercules Capital, Inc., or Hercules, together with NQ and Sagard, the Inital Investors, in which the Company received funds in return for royaltes on net sales of products containing vonoprazan, in May 2022. Subsequently, in October 2022, the Company entered into a Joinder Agreement with the Inital Investors and CO Finance LVS XXXVII LLC, or the Additonal Investor, together as the Investors. On December 23, 2024, CO Finance LVS XXXVII LLC agreed to assign and transfer to OC III LVS LX LP all of its rights, ttle and interest as an Additonal Investor and in connecton therewith, OC III LVS LX LP executed a Joinder Agreement. The net proceeds received under the transactons are recognized as short-term and long-term liabilites with interest expense based on an imputed efectve rate derived from the expected future payments to the Investors. The Company recalculates the efectve interest rate each period based on the current carrying value and the revised estmated future payments to the Investors. Changes in future payments to the Investors from previous estmates are included in current and future interest expense.</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Revenue Recogniton</w:t>
      </w:r>
    </w:p>
    <w:p>
      <w:pPr>
        <w:spacing w:after="0" w:line="190" w:lineRule="exact"/>
        <w:rPr>
          <w:sz w:val="20"/>
          <w:szCs w:val="20"/>
          <w:color w:val="auto"/>
        </w:rPr>
      </w:pPr>
    </w:p>
    <w:p>
      <w:pPr>
        <w:ind w:right="20" w:firstLine="509"/>
        <w:spacing w:after="0" w:line="250" w:lineRule="auto"/>
        <w:rPr>
          <w:sz w:val="20"/>
          <w:szCs w:val="20"/>
          <w:color w:val="auto"/>
        </w:rPr>
      </w:pPr>
      <w:r>
        <w:rPr>
          <w:rFonts w:ascii="Calibri" w:cs="Calibri" w:eastAsia="Calibri" w:hAnsi="Calibri"/>
          <w:sz w:val="17"/>
          <w:szCs w:val="17"/>
          <w:color w:val="auto"/>
        </w:rPr>
        <w:t>Pursuant to Accountng Standards Codifcaton 606, Revenue from Contracts with Customers, or ASC 606, the Company recognizes revenue when a customer obtains control of promised goods or services. The Company records the amount of revenue that refects the consideraton that it expects to receive in exchange for those goods or services. The Company applies the following fve-step model in order to determine this amount: (i) identfcaton of the promised goods or services in the contract; (ii) determinaton of whether the promised goods or services are performance obligatons, including whether they are distnct in the context of the contract; (iii) measurement of the transacton price, including the constraint on variable consideraton; (iv) allocaton of the transacton price to the performance obligatons; and (v) recogniton of revenue when (or as) the Company satsfes each performance obligaton. The Company only applies the fve-step model to contracts when it is probable that it will collect the consideraton to which it is enttled in exchange for the goods or services that it transfers to the customer. Once a contract is determined to be within the scope of ASC 606 at contract incepton, the Company reviews the contract to determine which performance obligatons it must deliver and which of these performance obligatons are distnct. The Company recognizes as revenue the amount of the transacton price that is allocated to each performance obligaton when that performance obligaton is satsfed or as it is satsfed. Generally, the Company’s performance obligatons are transferred to customers at a point in tme, typically upon delivery.</w:t>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Product Revenue, Net</w:t>
      </w:r>
    </w:p>
    <w:p>
      <w:pPr>
        <w:spacing w:after="0" w:line="177" w:lineRule="exact"/>
        <w:rPr>
          <w:sz w:val="20"/>
          <w:szCs w:val="20"/>
          <w:color w:val="auto"/>
        </w:rPr>
      </w:pPr>
    </w:p>
    <w:p>
      <w:pPr>
        <w:ind w:right="160" w:firstLine="509"/>
        <w:spacing w:after="0" w:line="235" w:lineRule="auto"/>
        <w:rPr>
          <w:sz w:val="20"/>
          <w:szCs w:val="20"/>
          <w:color w:val="auto"/>
        </w:rPr>
      </w:pPr>
      <w:r>
        <w:rPr>
          <w:rFonts w:ascii="Calibri" w:cs="Calibri" w:eastAsia="Calibri" w:hAnsi="Calibri"/>
          <w:sz w:val="18"/>
          <w:szCs w:val="18"/>
          <w:color w:val="auto"/>
        </w:rPr>
        <w:t>The Company sells its product to its customers, primarily wholesale distributors, in the United States. The Company’s customers subsequently resell the products to pharmacies and health care providers. In accordance with ASC 606, the Company recognizes net product revenues from sales when the customers obtain control of the Company’s products, which typically occurs upon delivery to the customer.</w:t>
      </w:r>
    </w:p>
    <w:p>
      <w:pPr>
        <w:spacing w:after="0" w:line="192"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Revenues from product sales are recorded at the net sales price, or transacton price, which includes estmates of variable consideraton that result from (a) invoice discounts for prompt payment and distributon service fees, (b) government and private payor rebates, chargebacks, discounts and fees, (c) product returns and (d) costs of co-pay assistance programs for patents, as well</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29" w:name="page130"/>
    <w:bookmarkEnd w:id="129"/>
    <w:p>
      <w:pPr>
        <w:ind w:right="20"/>
        <w:spacing w:after="0" w:line="235" w:lineRule="auto"/>
        <w:rPr>
          <w:sz w:val="20"/>
          <w:szCs w:val="20"/>
          <w:color w:val="auto"/>
        </w:rPr>
      </w:pPr>
      <w:r>
        <w:rPr>
          <w:rFonts w:ascii="Calibri" w:cs="Calibri" w:eastAsia="Calibri" w:hAnsi="Calibri"/>
          <w:sz w:val="18"/>
          <w:szCs w:val="18"/>
          <w:color w:val="auto"/>
        </w:rPr>
        <w:t>as other incentves for certain indirect customers. Reserves are established for the estmates of variable consideraton based on the amounts earned or to be claimed on the related sales. The reserves are classifed as reductons to accounts receivable, net if payable to a customer or accrued expenses if payable to a third-party or related to product returns. Where appropriate, the Company utlizes the expected value method to determine the appropriate amount for estmates of variable consideraton based on factors such as current contractual and statutory requirements, specifc known market events and trends, industry data and forecasted customer buying and payment paterns. The amount of variable consideraton that is included in the transacton price may be constrained and is included in net product revenues only to the extent that it is probable that a signifcant reversal in the amount of the cumulatve revenue recognized will not occur in a future period. Actual amounts of consideraton ultmately received may difer from the Company’s estmates. If actual results vary from the Company’s estmates, the Company will adjust these estmates, which would afect net product revenue and earnings in the period such variances become known.</w:t>
      </w:r>
    </w:p>
    <w:p>
      <w:pPr>
        <w:spacing w:after="0" w:line="19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i w:val="1"/>
          <w:iCs w:val="1"/>
          <w:color w:val="auto"/>
        </w:rPr>
        <w:t xml:space="preserve">Distributon Service Fees: </w:t>
      </w:r>
      <w:r>
        <w:rPr>
          <w:rFonts w:ascii="Calibri" w:cs="Calibri" w:eastAsia="Calibri" w:hAnsi="Calibri"/>
          <w:sz w:val="18"/>
          <w:szCs w:val="18"/>
          <w:color w:val="auto"/>
        </w:rPr>
        <w:t>The Company engages with wholesalers to distribute its products to end customers. The Company pays the wholesalers a</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fee for services such as: Data Reportng, Inventory Management, Chargeback Administraton and Service Level Commitment. The Company estmates the amount of distributon services fees to be paid to the customers based on a contractually fxed percentage of wholesaler acquisiton costs and are calculated at the tme of sale based on the purchase amount and the transacton price is adjusted with the amount of such estmate at the tme of sale to the customer. Estmated distributon service fees are recorded within accounts receivable, net on the balance sheets.</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i w:val="1"/>
          <w:iCs w:val="1"/>
          <w:color w:val="auto"/>
        </w:rPr>
        <w:t xml:space="preserve">Prompt Pay Discounts: </w:t>
      </w:r>
      <w:r>
        <w:rPr>
          <w:rFonts w:ascii="Calibri" w:cs="Calibri" w:eastAsia="Calibri" w:hAnsi="Calibri"/>
          <w:sz w:val="18"/>
          <w:szCs w:val="18"/>
          <w:color w:val="auto"/>
        </w:rPr>
        <w:t>The Company provides its customers with a percentage discount on their invoice if the customers pay within the agreed upon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tmeframe. The Company estmates the probability of customers paying promptly and the percentage of discount outlined in the agreement, and deducts the full amount of these discounts. Estmated prompt pay discounts are recorded within accounts receivable, net on the balance sheets.</w:t>
      </w:r>
    </w:p>
    <w:p>
      <w:pPr>
        <w:spacing w:after="0" w:line="178"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i w:val="1"/>
          <w:iCs w:val="1"/>
          <w:color w:val="auto"/>
        </w:rPr>
        <w:t xml:space="preserve">Product Returns: </w:t>
      </w:r>
      <w:r>
        <w:rPr>
          <w:rFonts w:ascii="Calibri" w:cs="Calibri" w:eastAsia="Calibri" w:hAnsi="Calibri"/>
          <w:sz w:val="18"/>
          <w:szCs w:val="18"/>
          <w:color w:val="auto"/>
        </w:rPr>
        <w:t>The Company provides customers a return credit in the amount of the purchase price paid by customers for all products returned in</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accordance with the Company’s returned goods policy. In the inital sales period, the Company estmates its provision for sales returns based on available industry data including visibility into the inventory remaining in the distributon channel, and adjusts the transacton price with such estmate at the tme of sale to the customer. Once sufcient history has been collected for product returns, the Company will utlize that history to inform its estmate assumptons. Once the product is returned, it is destroyed. The Company does not record a right-of-return asset. Estmated product returns are recorded as accrued expenses on the balance sheets.</w:t>
      </w:r>
    </w:p>
    <w:p>
      <w:pPr>
        <w:spacing w:after="0" w:line="194"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i w:val="1"/>
          <w:iCs w:val="1"/>
          <w:color w:val="auto"/>
        </w:rPr>
        <w:t xml:space="preserve">Chargebacks: </w:t>
      </w:r>
      <w:r>
        <w:rPr>
          <w:rFonts w:ascii="Calibri" w:cs="Calibri" w:eastAsia="Calibri" w:hAnsi="Calibri"/>
          <w:sz w:val="18"/>
          <w:szCs w:val="18"/>
          <w:color w:val="auto"/>
        </w:rPr>
        <w:t>A chargeback is the diference between the manufacturer's invoice price to the wholesaler and the contract price the wholesaler’s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customer has negotated directly with the manufacturer. The wholesaler tracks these sales and "charges back" the manufacturer for the diference between the negotated prices paid between the wholesaler's customers and wholesaler's acquisiton cost. The Company estmates the percentage of goods sold that are eligible for chargeback and adjusts the transacton price for such discount at the tme of sale to the customer. Estmated chargebacks are recorded within accounts receivable, net on the balance sheets.</w:t>
      </w:r>
    </w:p>
    <w:p>
      <w:pPr>
        <w:spacing w:after="0" w:line="18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i w:val="1"/>
          <w:iCs w:val="1"/>
          <w:color w:val="auto"/>
        </w:rPr>
        <w:t xml:space="preserve">Administraton Fees: </w:t>
      </w:r>
      <w:r>
        <w:rPr>
          <w:rFonts w:ascii="Calibri" w:cs="Calibri" w:eastAsia="Calibri" w:hAnsi="Calibri"/>
          <w:sz w:val="18"/>
          <w:szCs w:val="18"/>
          <w:color w:val="auto"/>
        </w:rPr>
        <w:t>The Company engages with Pharmacy Beneft Managers, or PBMs, to administer prescripton-drug plans for people with third-party insurance through a self-insured employer, health insurance plan, labor union or government plan. The Company pays PBMs “administratve fees” for their role in providing utlizaton data, administering rebates, and administering claims payments. The Company estmates the amount of administraton fees to be paid to PBMs and adjusts the transacton price with the amount of such estmate at the tme of sale to the customer. Estmated administraton fees are recorded within accrued expenses on the balance sheets.</w:t>
      </w:r>
    </w:p>
    <w:p>
      <w:pPr>
        <w:spacing w:after="0" w:line="175" w:lineRule="exact"/>
        <w:rPr>
          <w:sz w:val="20"/>
          <w:szCs w:val="20"/>
          <w:color w:val="auto"/>
        </w:rPr>
      </w:pPr>
    </w:p>
    <w:p>
      <w:pPr>
        <w:ind w:left="520"/>
        <w:spacing w:after="0"/>
        <w:rPr>
          <w:sz w:val="20"/>
          <w:szCs w:val="20"/>
          <w:color w:val="auto"/>
        </w:rPr>
      </w:pPr>
      <w:r>
        <w:rPr>
          <w:rFonts w:ascii="Calibri" w:cs="Calibri" w:eastAsia="Calibri" w:hAnsi="Calibri"/>
          <w:sz w:val="18"/>
          <w:szCs w:val="18"/>
          <w:i w:val="1"/>
          <w:iCs w:val="1"/>
          <w:color w:val="auto"/>
        </w:rPr>
        <w:t>Rebates</w:t>
      </w:r>
      <w:r>
        <w:rPr>
          <w:rFonts w:ascii="Calibri" w:cs="Calibri" w:eastAsia="Calibri" w:hAnsi="Calibri"/>
          <w:sz w:val="18"/>
          <w:szCs w:val="18"/>
          <w:color w:val="auto"/>
        </w:rPr>
        <w:t>: Rebates apply to:</w:t>
      </w:r>
    </w:p>
    <w:p>
      <w:pPr>
        <w:spacing w:after="0" w:line="123" w:lineRule="exact"/>
        <w:rPr>
          <w:sz w:val="20"/>
          <w:szCs w:val="20"/>
          <w:color w:val="auto"/>
        </w:rPr>
      </w:pPr>
    </w:p>
    <w:p>
      <w:pPr>
        <w:ind w:left="1020" w:right="680" w:hanging="503"/>
        <w:spacing w:after="0" w:line="235" w:lineRule="auto"/>
        <w:tabs>
          <w:tab w:leader="none" w:pos="1020" w:val="left"/>
        </w:tabs>
        <w:numPr>
          <w:ilvl w:val="0"/>
          <w:numId w:val="61"/>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Medicaid, managed care, and supplemental rebates to all applicable states as defned by the statutory government pricing calculaton requirements under the Medicaid Drug Rebate Program, and</w:t>
      </w:r>
    </w:p>
    <w:p>
      <w:pPr>
        <w:spacing w:after="0" w:line="123" w:lineRule="exact"/>
        <w:rPr>
          <w:rFonts w:ascii="Times New Roman" w:cs="Times New Roman" w:eastAsia="Times New Roman" w:hAnsi="Times New Roman"/>
          <w:sz w:val="18"/>
          <w:szCs w:val="18"/>
          <w:color w:val="auto"/>
        </w:rPr>
      </w:pPr>
    </w:p>
    <w:p>
      <w:pPr>
        <w:jc w:val="both"/>
        <w:ind w:left="1020" w:hanging="503"/>
        <w:spacing w:after="0" w:line="235" w:lineRule="auto"/>
        <w:tabs>
          <w:tab w:leader="none" w:pos="1020" w:val="left"/>
        </w:tabs>
        <w:numPr>
          <w:ilvl w:val="0"/>
          <w:numId w:val="61"/>
        </w:numPr>
        <w:rPr>
          <w:rFonts w:ascii="Times New Roman" w:cs="Times New Roman" w:eastAsia="Times New Roman" w:hAnsi="Times New Roman"/>
          <w:sz w:val="18"/>
          <w:szCs w:val="18"/>
          <w:color w:val="auto"/>
        </w:rPr>
      </w:pPr>
      <w:r>
        <w:rPr>
          <w:rFonts w:ascii="Calibri" w:cs="Calibri" w:eastAsia="Calibri" w:hAnsi="Calibri"/>
          <w:sz w:val="18"/>
          <w:szCs w:val="18"/>
          <w:color w:val="auto"/>
        </w:rPr>
        <w:t>Medicare Part D and Commercial Managed Care rebates are paid based on the contracts with PBMs and Managed Care Organizatons. Rebates are paid to these enttes upon receipt of an invoice from the contracted entty which is based on the utlizaton of the product by the members of the contracted entty.</w:t>
      </w:r>
    </w:p>
    <w:p>
      <w:pPr>
        <w:spacing w:after="0" w:line="192"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The Company estmates the percentage of goods sold that are eligible for rebates and adjusts the transacton price for such discounts at the tme of sale to the customers. Estmated rebates are recorded as accrued expenses on the balance sheets.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30" w:name="page131"/>
    <w:bookmarkEnd w:id="130"/>
    <w:p>
      <w:pPr>
        <w:ind w:right="40" w:firstLine="509"/>
        <w:spacing w:after="0" w:line="235" w:lineRule="auto"/>
        <w:rPr>
          <w:sz w:val="20"/>
          <w:szCs w:val="20"/>
          <w:color w:val="auto"/>
        </w:rPr>
      </w:pPr>
      <w:r>
        <w:rPr>
          <w:rFonts w:ascii="Calibri" w:cs="Calibri" w:eastAsia="Calibri" w:hAnsi="Calibri"/>
          <w:sz w:val="18"/>
          <w:szCs w:val="18"/>
          <w:i w:val="1"/>
          <w:iCs w:val="1"/>
          <w:color w:val="auto"/>
        </w:rPr>
        <w:t xml:space="preserve">Coverage Gap: </w:t>
      </w:r>
      <w:r>
        <w:rPr>
          <w:rFonts w:ascii="Calibri" w:cs="Calibri" w:eastAsia="Calibri" w:hAnsi="Calibri"/>
          <w:sz w:val="18"/>
          <w:szCs w:val="18"/>
          <w:color w:val="auto"/>
        </w:rPr>
        <w:t>The Medicare Part D coverage gap, also called the donut hole, is a period of consumer payment for prescripton medicaton costs</w:t>
      </w:r>
      <w:r>
        <w:rPr>
          <w:rFonts w:ascii="Calibri" w:cs="Calibri" w:eastAsia="Calibri" w:hAnsi="Calibri"/>
          <w:sz w:val="18"/>
          <w:szCs w:val="18"/>
          <w:i w:val="1"/>
          <w:iCs w:val="1"/>
          <w:color w:val="auto"/>
        </w:rPr>
        <w:t xml:space="preserve"> </w:t>
      </w:r>
      <w:r>
        <w:rPr>
          <w:rFonts w:ascii="Calibri" w:cs="Calibri" w:eastAsia="Calibri" w:hAnsi="Calibri"/>
          <w:sz w:val="18"/>
          <w:szCs w:val="18"/>
          <w:color w:val="auto"/>
        </w:rPr>
        <w:t>which lies between the inital coverage limit and the catastrophic-coverage threshold, when the patent is a member of a Medicare Part D prescripton-drug program administered by the Centers for Medicare &amp; Medicaid Services. The Company estmates the percentage of goods sold under Coverage Gap and adjusts the transacton price for such discount at the tme of sale to the customer. Estmated coverage gap accruals are recorded as accrued expenses on the balance sheets.</w:t>
      </w:r>
    </w:p>
    <w:p>
      <w:pPr>
        <w:spacing w:after="0" w:line="19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Company makes signifcant estmates and judgments that materially afect its recogniton of net product revenue. Claims by third-party payors for rebates, chargebacks and discounts frequently are submited to the Company signifcantly afer the related sales, potentally resultng in adjustments in the period in which the new informaton becomes known. The Company will adjust its estmates based on new informaton, including informaton regarding actual rebates, chargebacks, co-pays and discounts for its products, as it becomes available.</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Cost of Revenue</w:t>
      </w:r>
    </w:p>
    <w:p>
      <w:pPr>
        <w:spacing w:after="0" w:line="177"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Cost of revenue includes the cost of producing and distributng inventories that are related to product sales. This also includes royaltes payable to Takeda Pharmaceutcal Company Limited, or Takeda, pursuant to the Takeda License Agreement (Refer to Note 3 for further details). In additon, shipping and handling costs for product sales are recorded as incurred. Cost of revenue also includes costs related to excess or obsolete inventory adjustment charges and other inventory write-ofs.</w:t>
      </w:r>
    </w:p>
    <w:p>
      <w:pPr>
        <w:spacing w:after="0" w:line="192" w:lineRule="exact"/>
        <w:rPr>
          <w:sz w:val="20"/>
          <w:szCs w:val="20"/>
          <w:color w:val="auto"/>
        </w:rPr>
      </w:pPr>
    </w:p>
    <w:p>
      <w:pPr>
        <w:ind w:right="180" w:firstLine="509"/>
        <w:spacing w:after="0" w:line="235" w:lineRule="auto"/>
        <w:rPr>
          <w:sz w:val="20"/>
          <w:szCs w:val="20"/>
          <w:color w:val="auto"/>
        </w:rPr>
      </w:pPr>
      <w:r>
        <w:rPr>
          <w:rFonts w:ascii="Calibri" w:cs="Calibri" w:eastAsia="Calibri" w:hAnsi="Calibri"/>
          <w:sz w:val="18"/>
          <w:szCs w:val="18"/>
          <w:color w:val="auto"/>
        </w:rPr>
        <w:t>In connecton with the FDA approvals of VOQUEZNA, VOQUEZNA TRIPLE PAK, and VOQUEZNA DUAL PAK, the Company began capitalizing inventory manufactured by or purchased from third partes. Prior to receiving FDA approvals, manufacturing costs related to inventory purchased were expensed as research and development expense and therefore are excluded from cost of revenue during the current year. The exclusion of these previously expensed costs did not have a material impact on cost of revenue in the current year.</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Research and Development Expenses and Accruals</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All research and development costs are expensed in the period incurred and consist primarily of salaries, payroll taxes, employee benefts, stock-based compensaton charges for those individuals involved in research and development eforts, external research and development costs incurred under agreements with contract research organizatons, or CROs, and consultants to conduct and support the Company’s ongoing clinical trials of vonoprazan, and costs related to manufacturing vonoprazan for clinical trials.</w:t>
      </w:r>
    </w:p>
    <w:p>
      <w:pPr>
        <w:spacing w:after="0" w:line="192" w:lineRule="exact"/>
        <w:rPr>
          <w:sz w:val="20"/>
          <w:szCs w:val="20"/>
          <w:color w:val="auto"/>
        </w:rPr>
      </w:pPr>
    </w:p>
    <w:p>
      <w:pPr>
        <w:ind w:firstLine="509"/>
        <w:spacing w:after="0" w:line="251" w:lineRule="auto"/>
        <w:rPr>
          <w:sz w:val="20"/>
          <w:szCs w:val="20"/>
          <w:color w:val="auto"/>
        </w:rPr>
      </w:pPr>
      <w:r>
        <w:rPr>
          <w:rFonts w:ascii="Calibri" w:cs="Calibri" w:eastAsia="Calibri" w:hAnsi="Calibri"/>
          <w:sz w:val="17"/>
          <w:szCs w:val="17"/>
          <w:color w:val="auto"/>
        </w:rPr>
        <w:t>The Company has entered into various research and development contracts with clinical research organizatons, clinical manufacturing organizatons and other companies. Payments for these actvites are based on the terms of the individual agreements, which may difer from the patern of costs incurred, and payments made in advance of or afer performance are refected in the accompanying balance sheets as prepaid expenses or accrued liabilites, respectvely. The Company records accruals for estmated costs incurred for ongoing research and development actvites. When evaluatng the adequacy of the accrued liabilites, the Company analyzes progress of the services, including the phase or completon of events, invoices received and contracted costs.</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Selling, General and Administratve Expenses</w:t>
      </w:r>
    </w:p>
    <w:p>
      <w:pPr>
        <w:spacing w:after="0" w:line="177" w:lineRule="exact"/>
        <w:rPr>
          <w:sz w:val="20"/>
          <w:szCs w:val="20"/>
          <w:color w:val="auto"/>
        </w:rPr>
      </w:pPr>
    </w:p>
    <w:p>
      <w:pPr>
        <w:ind w:right="340" w:firstLine="509"/>
        <w:spacing w:after="0" w:line="235" w:lineRule="auto"/>
        <w:rPr>
          <w:sz w:val="20"/>
          <w:szCs w:val="20"/>
          <w:color w:val="auto"/>
        </w:rPr>
      </w:pPr>
      <w:r>
        <w:rPr>
          <w:rFonts w:ascii="Calibri" w:cs="Calibri" w:eastAsia="Calibri" w:hAnsi="Calibri"/>
          <w:sz w:val="18"/>
          <w:szCs w:val="18"/>
          <w:color w:val="auto"/>
        </w:rPr>
        <w:t>Selling, general and administratve expenses consist of salaries and employee-related costs, including stock-based compensaton, for personnel in commercial, executve, fnance, accountng, informaton technology, legal, medical afairs and human resources functons.</w:t>
      </w:r>
    </w:p>
    <w:p>
      <w:pPr>
        <w:spacing w:after="0" w:line="18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Advertsing and Marketng Costs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Advertsing and marketng costs are expensed as incurred. Advertsing and marketng costs for the year ended December 31, 2024 was approximately $61.3 million, and are included in selling, general and administratve expenses. Advertsing and marketng costs were not material for the year ended December 31, 2023.</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w:t>
      </w:r>
    </w:p>
    <w:p>
      <w:pPr>
        <w:spacing w:after="0" w:line="190"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Stock-based compensaton expense represents the cost of the grant date fair value of equity awards recognized over the requisite service period of the awards (generally the vestng period) on a straight-line basis with forfeitures recognized as they occur.</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31" w:name="page132"/>
    <w:bookmarkEnd w:id="131"/>
    <w:p>
      <w:pPr>
        <w:ind w:firstLine="509"/>
        <w:spacing w:after="0" w:line="254" w:lineRule="auto"/>
        <w:rPr>
          <w:sz w:val="20"/>
          <w:szCs w:val="20"/>
          <w:color w:val="auto"/>
        </w:rPr>
      </w:pPr>
      <w:r>
        <w:rPr>
          <w:rFonts w:ascii="Calibri" w:cs="Calibri" w:eastAsia="Calibri" w:hAnsi="Calibri"/>
          <w:sz w:val="17"/>
          <w:szCs w:val="17"/>
          <w:color w:val="auto"/>
        </w:rPr>
        <w:t>The Company also maintains an employee stock purchase program, or ESPP, under which it may issue shares. The Company estmates the fair value of shares that will be issued under the ESPP, and of stock optons using the Black-Scholes valuaton model, which requires the use of estmates. The Company recognizes stock-based compensaton cost for shares that it will issue under the ESPP on a straight-line basis over the requisite service period of the award.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Income Taxes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accounts for income taxes under the asset and liability method, which requires the recogniton of deferred tax assets and liabilites for the expected future tax consequences of events that have been included in the fnancial statements. Under this method, deferred tax assets and liabilites are determined on the basis of the diferences between the fnancial statements and tax basis of assets and liabilites using enacted tax rates in efect for the year in which the diferences are expected to reverse. The efect of a change in tax rates on deferred tax assets and liabilites is recognized in the statements of operatons in the period that includes the enactment date.</w:t>
      </w:r>
    </w:p>
    <w:p>
      <w:pPr>
        <w:spacing w:after="0" w:line="180"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Company recognizes net deferred tax assets to the extent that the Company believes these assets are more likely than not to be realized. In making such a determinaton, management considers all available positve and negatve evidence, including future reversals of existng taxable temporary diferences, projected future taxable income, tax-planning strategies, and results of recent operatons. If management determines that the Company would be able to realize its deferred tax assets in the future in excess of their net recorded amount, management would make an adjustment to the deferred tax asset valuaton allowance, which would reduce the provision for income taxes.</w:t>
      </w:r>
    </w:p>
    <w:p>
      <w:pPr>
        <w:spacing w:after="0" w:line="19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Company records uncertain tax positons on the basis of a two-step process whereby (i) management determines whether it is more likely than not that the tax positons will be sustained on the basis of the technical merits of the positon and (ii) for those tax positons that meet the more-likely-than-not recogniton threshold, management recognizes the largest amount of tax beneft that is more than 50 percent likely to be realized upon ultmate setlement with the related tax authority. The Company recognizes interest and penaltes related to unrecognized tax benefts within income tax expense. Any accrued interest and penaltes are included within the related tax liability.</w:t>
      </w:r>
    </w:p>
    <w:p>
      <w:pPr>
        <w:spacing w:after="0" w:line="18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Beginning in 2022, the Tax Cuts and Jobs Act eliminates the opton to deduct research and development expenditures currently and requires taxpayers to amortze domestc and foreign research and development expenditures over 5 years and 15 years, respectvely. The requirement did not impact cash from operatons in the periods presented.</w:t>
      </w:r>
    </w:p>
    <w:p>
      <w:pPr>
        <w:spacing w:after="0" w:line="173"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Comprehensive Loss</w:t>
      </w:r>
    </w:p>
    <w:p>
      <w:pPr>
        <w:spacing w:after="0" w:line="190"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Comprehensive loss is defned as a change in equity during a period from transactons and other events and circumstances from non-owner sources.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auto"/>
        </w:rPr>
        <w:t>The Company’s comprehensive loss was the same as its reported net loss for all periods presented.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Pre-funded Warrants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Company issued pre-funded warrants in connecton with an underwriten public ofering that were accounted for as a freestanding equity-linked fnancial instrument that met the criteria for equity classifcaton under ASC 480, Distnguishing Liabilites from Equity, and ASC 815, Derivatves and Hedging. Accordingly, the Company classifed the pre-funded warrants as a component of shareholders’ equity within additonal paid-in capital. The Company valued the pre-funded warrants at issuance, concluding that their sales price approximated their fair value, and allocated the net proceeds from the ofering proportonately to the common shares and pre-funded warrants. See Note 7 for further discussion related to the ofering.</w:t>
      </w:r>
    </w:p>
    <w:p>
      <w:pPr>
        <w:spacing w:after="0" w:line="188"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Net Loss Per Share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Basic net loss per share is computed by dividing the net loss by the weighted-average number of common shares outstanding and pre-funded warrants for the period, without consideraton for other potentally dilutve securites. For the year ended December 31, 2024, basic shares outstanding includes the weighted average efect of the Company’s outstanding pre-funded warrants, the exercise of which requires litle or no consideraton for the delivery of shares of common stock. For the years ended December 31, 2024 and 2023, the Company had no weighted-average unvested shares and 34,503, respectvely, to exclude from the weighted-average number of common shares outstanding. Diluted net loss per share is computed by dividing the net loss by the weighted-average number of common shares and dilutve common stock equivalents outstanding for the period determined using the treasury-stock and if-converted methods. Dilutve common stock equivalents are comprised of unvested common stock, optons and warrants. For the periods presented, there is no diference in the number of shares used to calculate basic and diluted shares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32" w:name="page133"/>
    <w:bookmarkEnd w:id="132"/>
    <w:p>
      <w:pPr>
        <w:spacing w:after="0"/>
        <w:rPr>
          <w:sz w:val="20"/>
          <w:szCs w:val="20"/>
          <w:color w:val="auto"/>
        </w:rPr>
      </w:pPr>
      <w:r>
        <w:rPr>
          <w:rFonts w:ascii="Calibri" w:cs="Calibri" w:eastAsia="Calibri" w:hAnsi="Calibri"/>
          <w:sz w:val="18"/>
          <w:szCs w:val="18"/>
          <w:color w:val="auto"/>
        </w:rPr>
        <w:t>outstanding as inclusion of the potentally dilutve securites (warrants, stock optons, and restricted stock units) would be antdilutve.</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Adopted Accountng Standards</w:t>
      </w:r>
    </w:p>
    <w:p>
      <w:pPr>
        <w:spacing w:after="0" w:line="17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In November 2023, the FASB issued ASU 2023-07 – Segment Reportng (Topic 280) – Improvements to Reportable Segment Disclosures, which improves segment disclosure requirements, primarily through enhanced disclosure requirements for signifcant segment expenses. The improved disclosure requirements apply to all public enttes that are required to report segment informaton, including those with only one reportable segment. The Company adopted the guidance in the fscal year beginning January 1, 2024 using a retrospectve method. See Note 10 for further detail.</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Recently Issued Accountng Pronouncements</w:t>
      </w:r>
    </w:p>
    <w:p>
      <w:pPr>
        <w:spacing w:after="0" w:line="190"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December 2023, the FASB issued ASU 2023-09 – Income Taxes (Topic 740) – Improvements to Income Tax Disclosures, which improves income tax disclosures primarily relatng to the rate reconciliaton and income taxes paid informaton. This includes a tabular reconciliaton using both percentages and reportng currency amounts, covering various tax and reconciling items, and disaggregated summaries of income taxes paid during the period. For public business enttes, the guidance is efectve for annual periods beginning afer December 15, 2024, with early adopton permited. The Company intends to adopt the guidance in the fscal year beginning January 1, 2025. The Company is currently evaluatng the efect of adoptng this pronouncement on our fnancial statements and disclosures.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spacing w:after="0"/>
              <w:rPr>
                <w:sz w:val="20"/>
                <w:szCs w:val="20"/>
                <w:color w:val="auto"/>
              </w:rPr>
            </w:pPr>
            <w:r>
              <w:rPr>
                <w:rFonts w:ascii="Calibri" w:cs="Calibri" w:eastAsia="Calibri" w:hAnsi="Calibri"/>
                <w:sz w:val="18"/>
                <w:szCs w:val="18"/>
                <w:b w:val="1"/>
                <w:bCs w:val="1"/>
                <w:color w:val="auto"/>
              </w:rPr>
              <w:t>2. Balance Sheet Details</w:t>
            </w:r>
          </w:p>
        </w:tc>
        <w:tc>
          <w:tcPr>
            <w:tcW w:w="1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392"/>
        </w:trPr>
        <w:tc>
          <w:tcPr>
            <w:tcW w:w="5820" w:type="dxa"/>
            <w:vAlign w:val="bottom"/>
            <w:gridSpan w:val="2"/>
          </w:tcPr>
          <w:p>
            <w:pPr>
              <w:spacing w:after="0"/>
              <w:rPr>
                <w:sz w:val="20"/>
                <w:szCs w:val="20"/>
                <w:color w:val="auto"/>
              </w:rPr>
            </w:pPr>
            <w:r>
              <w:rPr>
                <w:rFonts w:ascii="Calibri" w:cs="Calibri" w:eastAsia="Calibri" w:hAnsi="Calibri"/>
                <w:sz w:val="18"/>
                <w:szCs w:val="18"/>
                <w:b w:val="1"/>
                <w:bCs w:val="1"/>
                <w:i w:val="1"/>
                <w:iCs w:val="1"/>
                <w:color w:val="auto"/>
              </w:rPr>
              <w:t>Property and Equipment, net</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05"/>
        </w:trPr>
        <w:tc>
          <w:tcPr>
            <w:tcW w:w="5820" w:type="dxa"/>
            <w:vAlign w:val="bottom"/>
            <w:gridSpan w:val="2"/>
          </w:tcPr>
          <w:p>
            <w:pPr>
              <w:ind w:left="520"/>
              <w:spacing w:after="0"/>
              <w:rPr>
                <w:sz w:val="20"/>
                <w:szCs w:val="20"/>
                <w:color w:val="auto"/>
              </w:rPr>
            </w:pPr>
            <w:r>
              <w:rPr>
                <w:rFonts w:ascii="Calibri" w:cs="Calibri" w:eastAsia="Calibri" w:hAnsi="Calibri"/>
                <w:sz w:val="18"/>
                <w:szCs w:val="18"/>
                <w:color w:val="auto"/>
              </w:rPr>
              <w:t>Property and equipment, net, consist of the following (in thousands):</w:t>
            </w:r>
          </w:p>
        </w:tc>
        <w:tc>
          <w:tcPr>
            <w:tcW w:w="1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gridSpan w:val="3"/>
          </w:tcPr>
          <w:p>
            <w:pPr>
              <w:jc w:val="right"/>
              <w:ind w:right="70"/>
              <w:spacing w:after="0"/>
              <w:rPr>
                <w:sz w:val="20"/>
                <w:szCs w:val="20"/>
                <w:color w:val="auto"/>
              </w:rPr>
            </w:pPr>
            <w:r>
              <w:rPr>
                <w:rFonts w:ascii="Calibri" w:cs="Calibri" w:eastAsia="Calibri" w:hAnsi="Calibri"/>
                <w:sz w:val="18"/>
                <w:szCs w:val="18"/>
                <w:b w:val="1"/>
                <w:bCs w:val="1"/>
                <w:color w:val="auto"/>
              </w:rPr>
              <w:t>December 31,</w:t>
            </w:r>
          </w:p>
        </w:tc>
        <w:tc>
          <w:tcPr>
            <w:tcW w:w="1380" w:type="dxa"/>
            <w:vAlign w:val="bottom"/>
          </w:tcPr>
          <w:p>
            <w:pPr>
              <w:spacing w:after="0"/>
              <w:rPr>
                <w:sz w:val="24"/>
                <w:szCs w:val="24"/>
                <w:color w:val="auto"/>
              </w:rPr>
            </w:pPr>
          </w:p>
        </w:tc>
      </w:tr>
      <w:tr>
        <w:trPr>
          <w:trHeight w:val="23"/>
        </w:trPr>
        <w:tc>
          <w:tcPr>
            <w:tcW w:w="14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09"/>
        </w:trPr>
        <w:tc>
          <w:tcPr>
            <w:tcW w:w="14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40" w:type="dxa"/>
            <w:vAlign w:val="bottom"/>
            <w:tcBorders>
              <w:bottom w:val="single" w:sz="8" w:color="auto"/>
            </w:tcBorders>
          </w:tcPr>
          <w:p>
            <w:pPr>
              <w:jc w:val="right"/>
              <w:ind w:right="50"/>
              <w:spacing w:after="0" w:line="209" w:lineRule="exact"/>
              <w:rPr>
                <w:sz w:val="20"/>
                <w:szCs w:val="20"/>
                <w:color w:val="auto"/>
              </w:rPr>
            </w:pPr>
            <w:r>
              <w:rPr>
                <w:rFonts w:ascii="Calibri" w:cs="Calibri" w:eastAsia="Calibri" w:hAnsi="Calibri"/>
                <w:sz w:val="18"/>
                <w:szCs w:val="18"/>
                <w:b w:val="1"/>
                <w:bCs w:val="1"/>
                <w:color w:val="auto"/>
              </w:rPr>
              <w:t>2024</w:t>
            </w:r>
          </w:p>
        </w:tc>
        <w:tc>
          <w:tcPr>
            <w:tcW w:w="7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rPr>
              <w:t>2023</w:t>
            </w:r>
          </w:p>
        </w:tc>
      </w:tr>
      <w:tr>
        <w:trPr>
          <w:trHeight w:val="210"/>
        </w:trPr>
        <w:tc>
          <w:tcPr>
            <w:tcW w:w="1420" w:type="dxa"/>
            <w:vAlign w:val="bottom"/>
          </w:tcPr>
          <w:p>
            <w:pPr>
              <w:spacing w:after="0"/>
              <w:rPr>
                <w:sz w:val="18"/>
                <w:szCs w:val="18"/>
                <w:color w:val="auto"/>
              </w:rPr>
            </w:pPr>
          </w:p>
        </w:tc>
        <w:tc>
          <w:tcPr>
            <w:tcW w:w="44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Computer equipment and sofware</w:t>
            </w:r>
          </w:p>
        </w:tc>
        <w:tc>
          <w:tcPr>
            <w:tcW w:w="1240" w:type="dxa"/>
            <w:vAlign w:val="bottom"/>
            <w:shd w:val="clear" w:color="auto" w:fill="CFF0FC"/>
          </w:tcPr>
          <w:p>
            <w:pPr>
              <w:jc w:val="right"/>
              <w:ind w:right="1050"/>
              <w:spacing w:after="0" w:line="210" w:lineRule="exact"/>
              <w:rPr>
                <w:sz w:val="20"/>
                <w:szCs w:val="20"/>
                <w:color w:val="auto"/>
              </w:rPr>
            </w:pPr>
            <w:r>
              <w:rPr>
                <w:rFonts w:ascii="Calibri" w:cs="Calibri" w:eastAsia="Calibri" w:hAnsi="Calibri"/>
                <w:sz w:val="18"/>
                <w:szCs w:val="18"/>
                <w:color w:val="auto"/>
                <w:w w:val="87"/>
              </w:rPr>
              <w:t>$</w:t>
            </w:r>
          </w:p>
        </w:tc>
        <w:tc>
          <w:tcPr>
            <w:tcW w:w="70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1,546</w:t>
            </w:r>
          </w:p>
        </w:tc>
        <w:tc>
          <w:tcPr>
            <w:tcW w:w="700" w:type="dxa"/>
            <w:vAlign w:val="bottom"/>
            <w:gridSpan w:val="2"/>
            <w:shd w:val="clear" w:color="auto" w:fill="CFF0FC"/>
          </w:tcPr>
          <w:p>
            <w:pPr>
              <w:jc w:val="right"/>
              <w:ind w:right="370"/>
              <w:spacing w:after="0" w:line="210"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1,477</w:t>
            </w:r>
          </w:p>
        </w:tc>
      </w:tr>
      <w:tr>
        <w:trPr>
          <w:trHeight w:val="215"/>
        </w:trPr>
        <w:tc>
          <w:tcPr>
            <w:tcW w:w="142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Furniture and fxtures</w:t>
            </w:r>
          </w:p>
        </w:tc>
        <w:tc>
          <w:tcPr>
            <w:tcW w:w="1240" w:type="dxa"/>
            <w:vAlign w:val="bottom"/>
          </w:tcPr>
          <w:p>
            <w:pPr>
              <w:spacing w:after="0"/>
              <w:rPr>
                <w:sz w:val="18"/>
                <w:szCs w:val="18"/>
                <w:color w:val="auto"/>
              </w:rPr>
            </w:pPr>
          </w:p>
        </w:tc>
        <w:tc>
          <w:tcPr>
            <w:tcW w:w="7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1,124</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1,089</w:t>
            </w:r>
          </w:p>
        </w:tc>
      </w:tr>
      <w:tr>
        <w:trPr>
          <w:trHeight w:val="217"/>
        </w:trPr>
        <w:tc>
          <w:tcPr>
            <w:tcW w:w="1420" w:type="dxa"/>
            <w:vAlign w:val="bottom"/>
          </w:tcPr>
          <w:p>
            <w:pPr>
              <w:spacing w:after="0"/>
              <w:rPr>
                <w:sz w:val="18"/>
                <w:szCs w:val="18"/>
                <w:color w:val="auto"/>
              </w:rPr>
            </w:pPr>
          </w:p>
        </w:tc>
        <w:tc>
          <w:tcPr>
            <w:tcW w:w="44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Leasehold improvements</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160</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139</w:t>
            </w:r>
          </w:p>
        </w:tc>
      </w:tr>
      <w:tr>
        <w:trPr>
          <w:trHeight w:val="215"/>
        </w:trPr>
        <w:tc>
          <w:tcPr>
            <w:tcW w:w="1420" w:type="dxa"/>
            <w:vAlign w:val="bottom"/>
          </w:tcPr>
          <w:p>
            <w:pPr>
              <w:spacing w:after="0"/>
              <w:rPr>
                <w:sz w:val="18"/>
                <w:szCs w:val="18"/>
                <w:color w:val="auto"/>
              </w:rPr>
            </w:pPr>
          </w:p>
        </w:tc>
        <w:tc>
          <w:tcPr>
            <w:tcW w:w="4400" w:type="dxa"/>
            <w:vAlign w:val="bottom"/>
            <w:tcBorders>
              <w:bottom w:val="single" w:sz="8" w:color="CFF0FC"/>
            </w:tcBorders>
          </w:tcPr>
          <w:p>
            <w:pPr>
              <w:spacing w:after="0" w:line="215" w:lineRule="exact"/>
              <w:rPr>
                <w:sz w:val="20"/>
                <w:szCs w:val="20"/>
                <w:color w:val="auto"/>
              </w:rPr>
            </w:pPr>
            <w:r>
              <w:rPr>
                <w:rFonts w:ascii="Calibri" w:cs="Calibri" w:eastAsia="Calibri" w:hAnsi="Calibri"/>
                <w:sz w:val="18"/>
                <w:szCs w:val="18"/>
                <w:color w:val="auto"/>
              </w:rPr>
              <w:t>Equipment</w:t>
            </w:r>
          </w:p>
        </w:tc>
        <w:tc>
          <w:tcPr>
            <w:tcW w:w="1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1,487</w:t>
            </w:r>
          </w:p>
        </w:tc>
        <w:tc>
          <w:tcPr>
            <w:tcW w:w="140" w:type="dxa"/>
            <w:vAlign w:val="bottom"/>
            <w:tcBorders>
              <w:bottom w:val="single" w:sz="8" w:color="CFF0FC"/>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1,487</w:t>
            </w:r>
          </w:p>
        </w:tc>
      </w:tr>
      <w:tr>
        <w:trPr>
          <w:trHeight w:val="210"/>
        </w:trPr>
        <w:tc>
          <w:tcPr>
            <w:tcW w:w="1420" w:type="dxa"/>
            <w:vAlign w:val="bottom"/>
          </w:tcPr>
          <w:p>
            <w:pPr>
              <w:spacing w:after="0"/>
              <w:rPr>
                <w:sz w:val="18"/>
                <w:szCs w:val="18"/>
                <w:color w:val="auto"/>
              </w:rPr>
            </w:pPr>
          </w:p>
        </w:tc>
        <w:tc>
          <w:tcPr>
            <w:tcW w:w="4400" w:type="dxa"/>
            <w:vAlign w:val="bottom"/>
            <w:shd w:val="clear" w:color="auto" w:fill="CFF0FC"/>
          </w:tcPr>
          <w:p>
            <w:pPr>
              <w:spacing w:after="0" w:line="196" w:lineRule="exact"/>
              <w:rPr>
                <w:sz w:val="20"/>
                <w:szCs w:val="20"/>
                <w:color w:val="auto"/>
              </w:rPr>
            </w:pPr>
            <w:r>
              <w:rPr>
                <w:rFonts w:ascii="Calibri" w:cs="Calibri" w:eastAsia="Calibri" w:hAnsi="Calibri"/>
                <w:sz w:val="18"/>
                <w:szCs w:val="18"/>
                <w:color w:val="auto"/>
              </w:rPr>
              <w:t>Total property and equipment, gross</w:t>
            </w:r>
          </w:p>
        </w:tc>
        <w:tc>
          <w:tcPr>
            <w:tcW w:w="1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4,317</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4,192</w:t>
            </w:r>
          </w:p>
        </w:tc>
      </w:tr>
      <w:tr>
        <w:trPr>
          <w:trHeight w:val="215"/>
        </w:trPr>
        <w:tc>
          <w:tcPr>
            <w:tcW w:w="142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Less: accumulated depreciaton and amortzaton</w:t>
            </w:r>
          </w:p>
        </w:tc>
        <w:tc>
          <w:tcPr>
            <w:tcW w:w="1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(2,841 )</w:t>
            </w: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(2,046 )</w:t>
            </w:r>
          </w:p>
        </w:tc>
      </w:tr>
      <w:tr>
        <w:trPr>
          <w:trHeight w:val="250"/>
        </w:trPr>
        <w:tc>
          <w:tcPr>
            <w:tcW w:w="142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 property and equipment, net</w:t>
            </w:r>
          </w:p>
        </w:tc>
        <w:tc>
          <w:tcPr>
            <w:tcW w:w="1240" w:type="dxa"/>
            <w:vAlign w:val="bottom"/>
            <w:tcBorders>
              <w:bottom w:val="single" w:sz="8" w:color="auto"/>
            </w:tcBorders>
            <w:shd w:val="clear" w:color="auto" w:fill="CFF0FC"/>
          </w:tcPr>
          <w:p>
            <w:pPr>
              <w:jc w:val="right"/>
              <w:ind w:right="1050"/>
              <w:spacing w:after="0" w:line="209" w:lineRule="exact"/>
              <w:rPr>
                <w:sz w:val="20"/>
                <w:szCs w:val="20"/>
                <w:color w:val="auto"/>
              </w:rPr>
            </w:pPr>
            <w:r>
              <w:rPr>
                <w:rFonts w:ascii="Calibri" w:cs="Calibri" w:eastAsia="Calibri" w:hAnsi="Calibri"/>
                <w:sz w:val="18"/>
                <w:szCs w:val="18"/>
                <w:color w:val="auto"/>
                <w:w w:val="87"/>
              </w:rPr>
              <w:t>$</w:t>
            </w:r>
          </w:p>
        </w:tc>
        <w:tc>
          <w:tcPr>
            <w:tcW w:w="7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1,476</w:t>
            </w:r>
          </w:p>
        </w:tc>
        <w:tc>
          <w:tcPr>
            <w:tcW w:w="14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line="209"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2,146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-453390</wp:posOffset>
            </wp:positionV>
            <wp:extent cx="857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8572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857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3" w:lineRule="exact"/>
        <w:rPr>
          <w:sz w:val="20"/>
          <w:szCs w:val="20"/>
          <w:color w:val="auto"/>
        </w:rPr>
      </w:pPr>
    </w:p>
    <w:p>
      <w:pPr>
        <w:ind w:right="840" w:firstLine="509"/>
        <w:spacing w:after="0" w:line="235" w:lineRule="auto"/>
        <w:rPr>
          <w:sz w:val="20"/>
          <w:szCs w:val="20"/>
          <w:color w:val="auto"/>
        </w:rPr>
      </w:pPr>
      <w:r>
        <w:rPr>
          <w:rFonts w:ascii="Calibri" w:cs="Calibri" w:eastAsia="Calibri" w:hAnsi="Calibri"/>
          <w:sz w:val="18"/>
          <w:szCs w:val="18"/>
          <w:color w:val="auto"/>
        </w:rPr>
        <w:t>Depreciaton and amortzaton expense for the years ended December 31, 2024 and 2023 was approximately $0.8 million and $0.6 million, respectvely. No property or equipment was disposed of during the years ended December 31, 2024 and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060" w:type="dxa"/>
            <w:vAlign w:val="bottom"/>
            <w:gridSpan w:val="2"/>
          </w:tcPr>
          <w:p>
            <w:pPr>
              <w:spacing w:after="0"/>
              <w:rPr>
                <w:sz w:val="20"/>
                <w:szCs w:val="20"/>
                <w:color w:val="auto"/>
              </w:rPr>
            </w:pPr>
            <w:r>
              <w:rPr>
                <w:rFonts w:ascii="Calibri" w:cs="Calibri" w:eastAsia="Calibri" w:hAnsi="Calibri"/>
                <w:sz w:val="18"/>
                <w:szCs w:val="18"/>
                <w:b w:val="1"/>
                <w:bCs w:val="1"/>
                <w:i w:val="1"/>
                <w:iCs w:val="1"/>
                <w:color w:val="auto"/>
              </w:rPr>
              <w:t>Accrued Expenses</w:t>
            </w:r>
          </w:p>
        </w:tc>
        <w:tc>
          <w:tcPr>
            <w:tcW w:w="7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5060" w:type="dxa"/>
            <w:vAlign w:val="bottom"/>
            <w:gridSpan w:val="2"/>
          </w:tcPr>
          <w:p>
            <w:pPr>
              <w:ind w:left="520"/>
              <w:spacing w:after="0"/>
              <w:rPr>
                <w:sz w:val="20"/>
                <w:szCs w:val="20"/>
                <w:color w:val="auto"/>
              </w:rPr>
            </w:pPr>
            <w:r>
              <w:rPr>
                <w:rFonts w:ascii="Calibri" w:cs="Calibri" w:eastAsia="Calibri" w:hAnsi="Calibri"/>
                <w:sz w:val="18"/>
                <w:szCs w:val="18"/>
                <w:color w:val="auto"/>
              </w:rPr>
              <w:t>Accrued expenses consist of the following (in thousands):</w:t>
            </w: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gridSpan w:val="3"/>
          </w:tcPr>
          <w:p>
            <w:pPr>
              <w:jc w:val="right"/>
              <w:ind w:right="70"/>
              <w:spacing w:after="0"/>
              <w:rPr>
                <w:sz w:val="20"/>
                <w:szCs w:val="20"/>
                <w:color w:val="auto"/>
              </w:rPr>
            </w:pPr>
            <w:r>
              <w:rPr>
                <w:rFonts w:ascii="Calibri" w:cs="Calibri" w:eastAsia="Calibri" w:hAnsi="Calibri"/>
                <w:sz w:val="18"/>
                <w:szCs w:val="18"/>
                <w:b w:val="1"/>
                <w:bCs w:val="1"/>
                <w:color w:val="auto"/>
              </w:rPr>
              <w:t>December 31,</w:t>
            </w: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760" w:type="dxa"/>
            <w:vAlign w:val="bottom"/>
            <w:vMerge w:val="restart"/>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22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2024</w:t>
            </w:r>
          </w:p>
        </w:tc>
        <w:tc>
          <w:tcPr>
            <w:tcW w:w="7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rPr>
              <w:t>2023</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64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Accrued compensaton expenses</w:t>
            </w:r>
          </w:p>
        </w:tc>
        <w:tc>
          <w:tcPr>
            <w:tcW w:w="1980" w:type="dxa"/>
            <w:vAlign w:val="bottom"/>
            <w:gridSpan w:val="2"/>
            <w:shd w:val="clear" w:color="auto" w:fill="CFF0FC"/>
          </w:tcPr>
          <w:p>
            <w:pPr>
              <w:jc w:val="right"/>
              <w:ind w:right="1030"/>
              <w:spacing w:after="0" w:line="210"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16,659</w:t>
            </w:r>
          </w:p>
        </w:tc>
        <w:tc>
          <w:tcPr>
            <w:tcW w:w="700" w:type="dxa"/>
            <w:vAlign w:val="bottom"/>
            <w:gridSpan w:val="2"/>
            <w:shd w:val="clear" w:color="auto" w:fill="CFF0FC"/>
          </w:tcPr>
          <w:p>
            <w:pPr>
              <w:jc w:val="right"/>
              <w:ind w:right="370"/>
              <w:spacing w:after="0" w:line="210" w:lineRule="exact"/>
              <w:rPr>
                <w:sz w:val="20"/>
                <w:szCs w:val="20"/>
                <w:color w:val="auto"/>
              </w:rPr>
            </w:pPr>
            <w:r>
              <w:rPr>
                <w:rFonts w:ascii="Calibri" w:cs="Calibri" w:eastAsia="Calibri" w:hAnsi="Calibri"/>
                <w:sz w:val="18"/>
                <w:szCs w:val="18"/>
                <w:color w:val="auto"/>
              </w:rPr>
              <w:t>$</w:t>
            </w:r>
          </w:p>
        </w:tc>
        <w:tc>
          <w:tcPr>
            <w:tcW w:w="138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13,318</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Accrued professional &amp; consultng expenses</w:t>
            </w: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1,203</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1,771</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6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Accrued research and development expenses</w:t>
            </w:r>
          </w:p>
        </w:tc>
        <w:tc>
          <w:tcPr>
            <w:tcW w:w="7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72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2,339</w:t>
            </w:r>
          </w:p>
        </w:tc>
        <w:tc>
          <w:tcPr>
            <w:tcW w:w="1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8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1,009</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640" w:type="dxa"/>
            <w:vAlign w:val="bottom"/>
          </w:tcPr>
          <w:p>
            <w:pPr>
              <w:spacing w:after="0" w:line="215" w:lineRule="exact"/>
              <w:rPr>
                <w:sz w:val="20"/>
                <w:szCs w:val="20"/>
                <w:color w:val="auto"/>
              </w:rPr>
            </w:pPr>
            <w:r>
              <w:rPr>
                <w:rFonts w:ascii="Calibri" w:cs="Calibri" w:eastAsia="Calibri" w:hAnsi="Calibri"/>
                <w:sz w:val="18"/>
                <w:szCs w:val="18"/>
                <w:color w:val="auto"/>
              </w:rPr>
              <w:t>Accrued revenue allowances</w:t>
            </w:r>
          </w:p>
        </w:tc>
        <w:tc>
          <w:tcPr>
            <w:tcW w:w="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29,987</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982</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64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Accrued other</w:t>
            </w:r>
          </w:p>
        </w:tc>
        <w:tc>
          <w:tcPr>
            <w:tcW w:w="76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720" w:type="dxa"/>
            <w:vAlign w:val="bottom"/>
            <w:tcBorders>
              <w:bottom w:val="single" w:sz="8" w:color="auto"/>
            </w:tcBorders>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3,044</w:t>
            </w:r>
          </w:p>
        </w:tc>
        <w:tc>
          <w:tcPr>
            <w:tcW w:w="1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117</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640" w:type="dxa"/>
            <w:vAlign w:val="bottom"/>
          </w:tcPr>
          <w:p>
            <w:pPr>
              <w:spacing w:after="0" w:line="209" w:lineRule="exact"/>
              <w:rPr>
                <w:sz w:val="20"/>
                <w:szCs w:val="20"/>
                <w:color w:val="auto"/>
              </w:rPr>
            </w:pPr>
            <w:r>
              <w:rPr>
                <w:rFonts w:ascii="Calibri" w:cs="Calibri" w:eastAsia="Calibri" w:hAnsi="Calibri"/>
                <w:sz w:val="18"/>
                <w:szCs w:val="18"/>
                <w:color w:val="auto"/>
              </w:rPr>
              <w:t>Total accrued expenses</w:t>
            </w:r>
          </w:p>
        </w:tc>
        <w:tc>
          <w:tcPr>
            <w:tcW w:w="760" w:type="dxa"/>
            <w:vAlign w:val="bottom"/>
          </w:tcPr>
          <w:p>
            <w:pPr>
              <w:spacing w:after="0"/>
              <w:rPr>
                <w:sz w:val="18"/>
                <w:szCs w:val="18"/>
                <w:color w:val="auto"/>
              </w:rPr>
            </w:pPr>
          </w:p>
        </w:tc>
        <w:tc>
          <w:tcPr>
            <w:tcW w:w="1220" w:type="dxa"/>
            <w:vAlign w:val="bottom"/>
            <w:tcBorders>
              <w:bottom w:val="single" w:sz="8" w:color="auto"/>
            </w:tcBorders>
          </w:tcPr>
          <w:p>
            <w:pPr>
              <w:jc w:val="right"/>
              <w:ind w:right="1030"/>
              <w:spacing w:after="0" w:line="209"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color w:val="auto"/>
              </w:rPr>
              <w:t>53,232</w:t>
            </w:r>
          </w:p>
        </w:tc>
        <w:tc>
          <w:tcPr>
            <w:tcW w:w="14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line="209" w:lineRule="exact"/>
              <w:rPr>
                <w:sz w:val="20"/>
                <w:szCs w:val="20"/>
                <w:color w:val="auto"/>
              </w:rPr>
            </w:pPr>
            <w:r>
              <w:rPr>
                <w:rFonts w:ascii="Calibri" w:cs="Calibri" w:eastAsia="Calibri" w:hAnsi="Calibri"/>
                <w:sz w:val="18"/>
                <w:szCs w:val="18"/>
                <w:color w:val="auto"/>
                <w:w w:val="87"/>
              </w:rPr>
              <w:t>$</w:t>
            </w:r>
          </w:p>
        </w:tc>
        <w:tc>
          <w:tcPr>
            <w:tcW w:w="1380" w:type="dxa"/>
            <w:vAlign w:val="bottom"/>
            <w:tcBorders>
              <w:bottom w:val="single" w:sz="8" w:color="auto"/>
            </w:tcBorders>
          </w:tcPr>
          <w:p>
            <w:pPr>
              <w:jc w:val="right"/>
              <w:ind w:right="10"/>
              <w:spacing w:after="0" w:line="209" w:lineRule="exact"/>
              <w:rPr>
                <w:sz w:val="20"/>
                <w:szCs w:val="20"/>
                <w:color w:val="auto"/>
              </w:rPr>
            </w:pPr>
            <w:r>
              <w:rPr>
                <w:rFonts w:ascii="Calibri" w:cs="Calibri" w:eastAsia="Calibri" w:hAnsi="Calibri"/>
                <w:sz w:val="18"/>
                <w:szCs w:val="18"/>
                <w:color w:val="auto"/>
              </w:rPr>
              <w:t>17,197</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980" w:type="dxa"/>
            <w:vAlign w:val="bottom"/>
            <w:gridSpan w:val="2"/>
          </w:tcPr>
          <w:p>
            <w:pPr>
              <w:jc w:val="right"/>
              <w:ind w:right="1150"/>
              <w:spacing w:after="0"/>
              <w:rPr>
                <w:sz w:val="20"/>
                <w:szCs w:val="20"/>
                <w:color w:val="auto"/>
              </w:rPr>
            </w:pPr>
            <w:r>
              <w:rPr>
                <w:rFonts w:ascii="Times New Roman" w:cs="Times New Roman" w:eastAsia="Times New Roman" w:hAnsi="Times New Roman"/>
                <w:sz w:val="18"/>
                <w:szCs w:val="18"/>
                <w:color w:val="auto"/>
              </w:rPr>
              <w:t>F-15</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6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-1079500</wp:posOffset>
            </wp:positionV>
            <wp:extent cx="857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20"/>
        </w:trPr>
        <w:tc>
          <w:tcPr>
            <w:tcW w:w="5820" w:type="dxa"/>
            <w:vAlign w:val="bottom"/>
            <w:gridSpan w:val="2"/>
          </w:tcPr>
          <w:p>
            <w:pPr>
              <w:spacing w:after="0"/>
              <w:rPr>
                <w:sz w:val="20"/>
                <w:szCs w:val="20"/>
                <w:color w:val="auto"/>
              </w:rPr>
            </w:pPr>
            <w:r>
              <w:rPr>
                <w:rFonts w:ascii="Calibri" w:cs="Calibri" w:eastAsia="Calibri" w:hAnsi="Calibri"/>
                <w:sz w:val="18"/>
                <w:szCs w:val="18"/>
                <w:b w:val="1"/>
                <w:bCs w:val="1"/>
                <w:i w:val="1"/>
                <w:iCs w:val="1"/>
                <w:color w:val="auto"/>
              </w:rPr>
              <w:t>Inventory</w:t>
            </w:r>
          </w:p>
        </w:tc>
        <w:tc>
          <w:tcPr>
            <w:tcW w:w="1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5"/>
        </w:trPr>
        <w:tc>
          <w:tcPr>
            <w:tcW w:w="5820" w:type="dxa"/>
            <w:vAlign w:val="bottom"/>
            <w:gridSpan w:val="2"/>
          </w:tcPr>
          <w:p>
            <w:pPr>
              <w:ind w:left="520"/>
              <w:spacing w:after="0"/>
              <w:rPr>
                <w:sz w:val="20"/>
                <w:szCs w:val="20"/>
                <w:color w:val="auto"/>
              </w:rPr>
            </w:pPr>
            <w:r>
              <w:rPr>
                <w:rFonts w:ascii="Calibri" w:cs="Calibri" w:eastAsia="Calibri" w:hAnsi="Calibri"/>
                <w:sz w:val="18"/>
                <w:szCs w:val="18"/>
                <w:color w:val="auto"/>
              </w:rPr>
              <w:t>Inventory consist of the following (in thousands):</w:t>
            </w: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20" w:type="dxa"/>
            <w:vAlign w:val="bottom"/>
            <w:gridSpan w:val="3"/>
          </w:tcPr>
          <w:p>
            <w:pPr>
              <w:jc w:val="right"/>
              <w:ind w:right="70"/>
              <w:spacing w:after="0"/>
              <w:rPr>
                <w:sz w:val="20"/>
                <w:szCs w:val="20"/>
                <w:color w:val="auto"/>
              </w:rPr>
            </w:pPr>
            <w:r>
              <w:rPr>
                <w:rFonts w:ascii="Calibri" w:cs="Calibri" w:eastAsia="Calibri" w:hAnsi="Calibri"/>
                <w:sz w:val="18"/>
                <w:szCs w:val="18"/>
                <w:b w:val="1"/>
                <w:bCs w:val="1"/>
                <w:color w:val="auto"/>
              </w:rPr>
              <w:t>December 31,</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
        </w:trPr>
        <w:tc>
          <w:tcPr>
            <w:tcW w:w="14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14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2024</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70"/>
              <w:spacing w:after="0" w:line="209"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44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Finished goods</w:t>
            </w:r>
          </w:p>
        </w:tc>
        <w:tc>
          <w:tcPr>
            <w:tcW w:w="1220" w:type="dxa"/>
            <w:vAlign w:val="bottom"/>
            <w:shd w:val="clear" w:color="auto" w:fill="CFF0FC"/>
          </w:tcPr>
          <w:p>
            <w:pPr>
              <w:jc w:val="right"/>
              <w:ind w:right="1030"/>
              <w:spacing w:after="0" w:line="210" w:lineRule="exact"/>
              <w:rPr>
                <w:sz w:val="20"/>
                <w:szCs w:val="20"/>
                <w:color w:val="auto"/>
              </w:rPr>
            </w:pPr>
            <w:r>
              <w:rPr>
                <w:rFonts w:ascii="Calibri" w:cs="Calibri" w:eastAsia="Calibri" w:hAnsi="Calibri"/>
                <w:sz w:val="18"/>
                <w:szCs w:val="18"/>
                <w:color w:val="auto"/>
                <w:w w:val="87"/>
              </w:rPr>
              <w:t>$</w:t>
            </w: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1,479</w:t>
            </w:r>
          </w:p>
        </w:tc>
        <w:tc>
          <w:tcPr>
            <w:tcW w:w="780" w:type="dxa"/>
            <w:vAlign w:val="bottom"/>
            <w:gridSpan w:val="2"/>
            <w:shd w:val="clear" w:color="auto" w:fill="CFF0FC"/>
          </w:tcPr>
          <w:p>
            <w:pPr>
              <w:jc w:val="right"/>
              <w:ind w:right="370"/>
              <w:spacing w:after="0" w:line="210" w:lineRule="exact"/>
              <w:rPr>
                <w:sz w:val="20"/>
                <w:szCs w:val="20"/>
                <w:color w:val="auto"/>
              </w:rPr>
            </w:pPr>
            <w:r>
              <w:rPr>
                <w:rFonts w:ascii="Calibri" w:cs="Calibri" w:eastAsia="Calibri" w:hAnsi="Calibri"/>
                <w:sz w:val="18"/>
                <w:szCs w:val="18"/>
                <w:color w:val="auto"/>
              </w:rPr>
              <w:t>$</w:t>
            </w: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647</w:t>
            </w:r>
          </w:p>
        </w:tc>
        <w:tc>
          <w:tcPr>
            <w:tcW w:w="80" w:type="dxa"/>
            <w:vAlign w:val="bottom"/>
            <w:shd w:val="clear" w:color="auto" w:fill="CFF0FC"/>
          </w:tcPr>
          <w:p>
            <w:pPr>
              <w:spacing w:after="0"/>
              <w:rPr>
                <w:sz w:val="18"/>
                <w:szCs w:val="18"/>
                <w:color w:val="auto"/>
              </w:rPr>
            </w:pPr>
          </w:p>
        </w:tc>
      </w:tr>
      <w:tr>
        <w:trPr>
          <w:trHeight w:val="215"/>
        </w:trPr>
        <w:tc>
          <w:tcPr>
            <w:tcW w:w="142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Raw materials</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1,729</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561</w:t>
            </w:r>
          </w:p>
        </w:tc>
        <w:tc>
          <w:tcPr>
            <w:tcW w:w="80" w:type="dxa"/>
            <w:vAlign w:val="bottom"/>
          </w:tcPr>
          <w:p>
            <w:pPr>
              <w:spacing w:after="0"/>
              <w:rPr>
                <w:sz w:val="18"/>
                <w:szCs w:val="18"/>
                <w:color w:val="auto"/>
              </w:rPr>
            </w:pPr>
          </w:p>
        </w:tc>
      </w:tr>
      <w:tr>
        <w:trPr>
          <w:trHeight w:val="210"/>
        </w:trPr>
        <w:tc>
          <w:tcPr>
            <w:tcW w:w="1420" w:type="dxa"/>
            <w:vAlign w:val="bottom"/>
          </w:tcPr>
          <w:p>
            <w:pPr>
              <w:spacing w:after="0"/>
              <w:rPr>
                <w:sz w:val="18"/>
                <w:szCs w:val="18"/>
                <w:color w:val="auto"/>
              </w:rPr>
            </w:pPr>
          </w:p>
        </w:tc>
        <w:tc>
          <w:tcPr>
            <w:tcW w:w="44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Total inventory, current</w:t>
            </w:r>
          </w:p>
        </w:tc>
        <w:tc>
          <w:tcPr>
            <w:tcW w:w="1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3,208</w:t>
            </w:r>
          </w:p>
        </w:tc>
        <w:tc>
          <w:tcPr>
            <w:tcW w:w="2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1,208</w:t>
            </w:r>
          </w:p>
        </w:tc>
        <w:tc>
          <w:tcPr>
            <w:tcW w:w="80" w:type="dxa"/>
            <w:vAlign w:val="bottom"/>
            <w:shd w:val="clear" w:color="auto" w:fill="CFF0FC"/>
          </w:tcPr>
          <w:p>
            <w:pPr>
              <w:spacing w:after="0"/>
              <w:rPr>
                <w:sz w:val="18"/>
                <w:szCs w:val="18"/>
                <w:color w:val="auto"/>
              </w:rPr>
            </w:pPr>
          </w:p>
        </w:tc>
      </w:tr>
      <w:tr>
        <w:trPr>
          <w:trHeight w:val="215"/>
        </w:trPr>
        <w:tc>
          <w:tcPr>
            <w:tcW w:w="142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Raw materials, non-current</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11,540</w:t>
            </w:r>
          </w:p>
        </w:tc>
        <w:tc>
          <w:tcPr>
            <w:tcW w:w="2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8,234</w:t>
            </w:r>
          </w:p>
        </w:tc>
        <w:tc>
          <w:tcPr>
            <w:tcW w:w="80" w:type="dxa"/>
            <w:vAlign w:val="bottom"/>
          </w:tcPr>
          <w:p>
            <w:pPr>
              <w:spacing w:after="0"/>
              <w:rPr>
                <w:sz w:val="18"/>
                <w:szCs w:val="18"/>
                <w:color w:val="auto"/>
              </w:rPr>
            </w:pPr>
          </w:p>
        </w:tc>
      </w:tr>
      <w:tr>
        <w:trPr>
          <w:trHeight w:val="249"/>
        </w:trPr>
        <w:tc>
          <w:tcPr>
            <w:tcW w:w="142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 inventory</w:t>
            </w:r>
          </w:p>
        </w:tc>
        <w:tc>
          <w:tcPr>
            <w:tcW w:w="1220" w:type="dxa"/>
            <w:vAlign w:val="bottom"/>
            <w:tcBorders>
              <w:bottom w:val="single" w:sz="8" w:color="auto"/>
            </w:tcBorders>
            <w:shd w:val="clear" w:color="auto" w:fill="CFF0FC"/>
          </w:tcPr>
          <w:p>
            <w:pPr>
              <w:jc w:val="right"/>
              <w:ind w:right="1030"/>
              <w:spacing w:after="0" w:line="209" w:lineRule="exact"/>
              <w:rPr>
                <w:sz w:val="20"/>
                <w:szCs w:val="20"/>
                <w:color w:val="auto"/>
              </w:rPr>
            </w:pPr>
            <w:r>
              <w:rPr>
                <w:rFonts w:ascii="Calibri" w:cs="Calibri" w:eastAsia="Calibri" w:hAnsi="Calibri"/>
                <w:sz w:val="18"/>
                <w:szCs w:val="18"/>
                <w:color w:val="auto"/>
                <w:w w:val="87"/>
              </w:rPr>
              <w:t>$</w:t>
            </w:r>
          </w:p>
        </w:tc>
        <w:tc>
          <w:tcPr>
            <w:tcW w:w="64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14,748</w:t>
            </w:r>
          </w:p>
        </w:tc>
        <w:tc>
          <w:tcPr>
            <w:tcW w:w="22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70"/>
              <w:spacing w:after="0" w:line="209"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9,442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4874260</wp:posOffset>
            </wp:positionH>
            <wp:positionV relativeFrom="paragraph">
              <wp:posOffset>-25400</wp:posOffset>
            </wp:positionV>
            <wp:extent cx="5143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-7620</wp:posOffset>
            </wp:positionV>
            <wp:extent cx="514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514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3"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Raw materials consist of materials, including actve pharmaceutcal ingredients, to be consumed in the producton of inventory related to FDA-approved products. Inventory that is used for clinical development purposes is expensed to research and development expense when consumed. Inventory, noncurrent includes inventory expected to remain on-hand beyond one year from the balance sheet dates presented.</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3. Commitments and Contngencies</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License Agreement</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On May 7, 2019, the Company entered into a license agreement with Takeda pursuant to which it was granted an exclusive license to commercialize vonoprazan fumarate in the United States, Canada and Europe, or the Takeda License. The Company also has the right to sublicense its rights under the agreement, subject to certain conditons. The agreement will remain in efect, on a country-by-country and product-by-product basis, untl the later of (i) the expiraton of the last to expire valid patent claim covering vonoprazan fumarate alone or in combinaton with at least one other therapeutcally actve ingredient, (ii) the expiraton of the applicable regulatory exclusivity and (iii) 15 years from the date of frst commercial sale, unless earlier terminated. The Company may terminate the Takeda License upon six months’ writen notce. The Company and Takeda may terminate the Takeda License in the case of the other party’s insolvency or material uncured breach. Takeda may terminate the Takeda License if the Company challenges, or assists in challenging, licensed patents.</w:t>
      </w:r>
    </w:p>
    <w:p>
      <w:pPr>
        <w:spacing w:after="0" w:line="196"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consideraton of the Takeda License, the Company (i) paid Takeda $25 million in cash, (ii) issued Takeda 1,084,000 shares of its common stock at a fair value of $5.9 million, (iii) issued the Takeda Warrant to purchase 7,588,000 shares of its common stock at an exercise price of $0.00004613 per share at an inital fair value of $47.9 million, and (iv) issued a right to receive an additonal common stock warrant, or the Takeda Warrant Right, should Takeda’s fully-diluted ownership of the Company represent less than a certain specifed percentage of the fully-diluted capitalizaton, including shares issuable upon conversion of then outstanding convertble promissory notes, calculated immediately before the closing of the Company’s inital public ofering, or IPO, with a nominal inital fair value due to the low probability of issuance. The Takeda Warrant Right expired without efect since no fair value had been allocated to it upon completon of the IPO, and no additonal warrant was issued. In additon, the Company is obligated to pay Takeda up to an aggregate of $250 million in sales milestones upon the achievement of specifed levels of product sales, and a low double-digit royalty rate on aggregate net sales of licensed products, subject to certain adjustments. The Takeda Warrant had an exercise price of $0.00004613 per share, and was to expire on May 7, 2029 and became exercisable upon the consummaton of the IPO. All Takeda Warrants were exercised by March 2022.</w:t>
      </w:r>
    </w:p>
    <w:p>
      <w:pPr>
        <w:spacing w:after="0" w:line="184"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During the years ended December 31, 2024 and 2023, the Company recorded $5.5 million and $0.1 million, respectvely, of royalty expense under the Takeda License, of which $3.0 million is included within accrued expenses as of December 31, 2024.</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Purchase Commitments</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December 2020, the Company entered into a supply agreement with Sandoz pursuant to which Sandoz will supply commercial quanttes of amoxicillin capsules and clarithromycin tablets, package these antbiotcs with vonoprazan, and provide in fnished convenience packs. The supply agreement commits the Company to a minimum purchase obligaton of €2.9 million, or approximately $3.2 million, in the frst 24-month period following the launch of the fnal product. The Company incurred $0.3 million of expenses under the agreement during each of the years ended December 31, 2024 and 2023. As of December 31, 2024, €1.8 million, or approximately $1.9 million, remains of the minimum purchase obligaton.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34" w:name="page135"/>
    <w:bookmarkEnd w:id="134"/>
    <w:p>
      <w:pPr>
        <w:spacing w:after="0"/>
        <w:rPr>
          <w:sz w:val="20"/>
          <w:szCs w:val="20"/>
          <w:color w:val="auto"/>
        </w:rPr>
      </w:pPr>
      <w:r>
        <w:rPr>
          <w:rFonts w:ascii="Calibri" w:cs="Calibri" w:eastAsia="Calibri" w:hAnsi="Calibri"/>
          <w:sz w:val="18"/>
          <w:szCs w:val="18"/>
          <w:b w:val="1"/>
          <w:bCs w:val="1"/>
          <w:i w:val="1"/>
          <w:iCs w:val="1"/>
          <w:color w:val="auto"/>
        </w:rPr>
        <w:t>Contngencies</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the event the Company becomes subject to claims or suits arising in the ordinary course of business, the Company would accrue a liability for such maters when it is probable that future expenditures will be made and such expenditures can be reasonably estmated.</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4. Lease Commitments</w:t>
      </w:r>
    </w:p>
    <w:p>
      <w:pPr>
        <w:spacing w:after="0" w:line="177"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31, 2024, the Company had operatng leases for ofce space in both Bufalo Grove, Illinois and Florham Park, New Jersey, with weighted average remaining lease terms of 0.3 years and 0.7 years, respectvely. All operatng leases contain an opton to extend the term for one additonal fve-year period, which was not considered in the determinaton of the right-of-use asset or lease liability as the Company did not consider it reasonably certain that it would exercise such optons.</w:t>
      </w:r>
    </w:p>
    <w:p>
      <w:pPr>
        <w:spacing w:after="0" w:line="192" w:lineRule="exact"/>
        <w:rPr>
          <w:sz w:val="20"/>
          <w:szCs w:val="20"/>
          <w:color w:val="auto"/>
        </w:rPr>
      </w:pPr>
    </w:p>
    <w:p>
      <w:pPr>
        <w:ind w:firstLine="509"/>
        <w:spacing w:after="0" w:line="258" w:lineRule="auto"/>
        <w:rPr>
          <w:sz w:val="20"/>
          <w:szCs w:val="20"/>
          <w:color w:val="auto"/>
        </w:rPr>
      </w:pPr>
      <w:r>
        <w:rPr>
          <w:rFonts w:ascii="Calibri" w:cs="Calibri" w:eastAsia="Calibri" w:hAnsi="Calibri"/>
          <w:sz w:val="17"/>
          <w:szCs w:val="17"/>
          <w:color w:val="auto"/>
        </w:rPr>
        <w:t>The total rent expense for each of the years ended December 31, 2024 and 2023 was approximately $1.1 million. Total short-term lease costs relatng to leased vehicles was approximately $8.8 million for the year ended December 31, 2024, and was not material for the year ended December 31, 2023.</w:t>
      </w:r>
    </w:p>
    <w:p>
      <w:pPr>
        <w:spacing w:after="0" w:line="197"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2024, the future minimum annual lease payments under the operatng leases were as follows (in thousands):</w:t>
      </w:r>
    </w:p>
    <w:p>
      <w:pPr>
        <w:spacing w:after="0" w:line="236"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5780" w:type="dxa"/>
            <w:vAlign w:val="bottom"/>
            <w:shd w:val="clear" w:color="auto" w:fill="CFF0FC"/>
          </w:tcPr>
          <w:p>
            <w:pPr>
              <w:spacing w:after="0"/>
              <w:rPr>
                <w:sz w:val="20"/>
                <w:szCs w:val="20"/>
                <w:color w:val="auto"/>
              </w:rPr>
            </w:pPr>
            <w:r>
              <w:rPr>
                <w:rFonts w:ascii="Calibri" w:cs="Calibri" w:eastAsia="Calibri" w:hAnsi="Calibri"/>
                <w:sz w:val="18"/>
                <w:szCs w:val="18"/>
                <w:color w:val="auto"/>
              </w:rPr>
              <w:t>Year ending December 31:</w:t>
            </w:r>
          </w:p>
        </w:tc>
        <w:tc>
          <w:tcPr>
            <w:tcW w:w="112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r>
      <w:tr>
        <w:trPr>
          <w:trHeight w:val="215"/>
        </w:trPr>
        <w:tc>
          <w:tcPr>
            <w:tcW w:w="5780" w:type="dxa"/>
            <w:vAlign w:val="bottom"/>
          </w:tcPr>
          <w:p>
            <w:pPr>
              <w:ind w:left="180"/>
              <w:spacing w:after="0" w:line="215" w:lineRule="exact"/>
              <w:rPr>
                <w:sz w:val="20"/>
                <w:szCs w:val="20"/>
                <w:color w:val="auto"/>
              </w:rPr>
            </w:pPr>
            <w:r>
              <w:rPr>
                <w:rFonts w:ascii="Calibri" w:cs="Calibri" w:eastAsia="Calibri" w:hAnsi="Calibri"/>
                <w:sz w:val="18"/>
                <w:szCs w:val="18"/>
                <w:color w:val="auto"/>
              </w:rPr>
              <w:t>2025</w:t>
            </w:r>
          </w:p>
        </w:tc>
        <w:tc>
          <w:tcPr>
            <w:tcW w:w="1120" w:type="dxa"/>
            <w:vAlign w:val="bottom"/>
            <w:tcBorders>
              <w:bottom w:val="single" w:sz="8" w:color="auto"/>
            </w:tcBorders>
          </w:tcPr>
          <w:p>
            <w:pPr>
              <w:jc w:val="right"/>
              <w:ind w:right="930"/>
              <w:spacing w:after="0" w:line="215" w:lineRule="exact"/>
              <w:rPr>
                <w:sz w:val="20"/>
                <w:szCs w:val="20"/>
                <w:color w:val="auto"/>
              </w:rPr>
            </w:pPr>
            <w:r>
              <w:rPr>
                <w:rFonts w:ascii="Calibri" w:cs="Calibri" w:eastAsia="Calibri" w:hAnsi="Calibri"/>
                <w:sz w:val="18"/>
                <w:szCs w:val="18"/>
                <w:color w:val="auto"/>
                <w:w w:val="87"/>
              </w:rPr>
              <w:t>$</w:t>
            </w:r>
          </w:p>
        </w:tc>
        <w:tc>
          <w:tcPr>
            <w:tcW w:w="1520" w:type="dxa"/>
            <w:vAlign w:val="bottom"/>
            <w:tcBorders>
              <w:bottom w:val="single" w:sz="8" w:color="auto"/>
            </w:tcBorders>
          </w:tcPr>
          <w:p>
            <w:pPr>
              <w:jc w:val="right"/>
              <w:ind w:right="90"/>
              <w:spacing w:after="0" w:line="215" w:lineRule="exact"/>
              <w:rPr>
                <w:sz w:val="20"/>
                <w:szCs w:val="20"/>
                <w:color w:val="auto"/>
              </w:rPr>
            </w:pPr>
            <w:r>
              <w:rPr>
                <w:rFonts w:ascii="Calibri" w:cs="Calibri" w:eastAsia="Calibri" w:hAnsi="Calibri"/>
                <w:sz w:val="18"/>
                <w:szCs w:val="18"/>
                <w:color w:val="auto"/>
              </w:rPr>
              <w:t>513</w:t>
            </w:r>
          </w:p>
        </w:tc>
      </w:tr>
      <w:tr>
        <w:trPr>
          <w:trHeight w:val="210"/>
        </w:trPr>
        <w:tc>
          <w:tcPr>
            <w:tcW w:w="578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Total minimum lease payments</w:t>
            </w:r>
          </w:p>
        </w:tc>
        <w:tc>
          <w:tcPr>
            <w:tcW w:w="1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513</w:t>
            </w:r>
          </w:p>
        </w:tc>
      </w:tr>
      <w:tr>
        <w:trPr>
          <w:trHeight w:val="215"/>
        </w:trPr>
        <w:tc>
          <w:tcPr>
            <w:tcW w:w="5780" w:type="dxa"/>
            <w:vAlign w:val="bottom"/>
          </w:tcPr>
          <w:p>
            <w:pPr>
              <w:spacing w:after="0" w:line="215" w:lineRule="exact"/>
              <w:rPr>
                <w:sz w:val="20"/>
                <w:szCs w:val="20"/>
                <w:color w:val="auto"/>
              </w:rPr>
            </w:pPr>
            <w:r>
              <w:rPr>
                <w:rFonts w:ascii="Calibri" w:cs="Calibri" w:eastAsia="Calibri" w:hAnsi="Calibri"/>
                <w:sz w:val="18"/>
                <w:szCs w:val="18"/>
                <w:color w:val="auto"/>
              </w:rPr>
              <w:t>Less: amount representng interest</w:t>
            </w:r>
          </w:p>
        </w:tc>
        <w:tc>
          <w:tcPr>
            <w:tcW w:w="1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(12 )</w:t>
            </w:r>
          </w:p>
        </w:tc>
      </w:tr>
      <w:tr>
        <w:trPr>
          <w:trHeight w:val="210"/>
        </w:trPr>
        <w:tc>
          <w:tcPr>
            <w:tcW w:w="578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Present value of operatng lease liabilites</w:t>
            </w:r>
          </w:p>
        </w:tc>
        <w:tc>
          <w:tcPr>
            <w:tcW w:w="1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90"/>
              <w:spacing w:after="0" w:line="210" w:lineRule="exact"/>
              <w:rPr>
                <w:sz w:val="20"/>
                <w:szCs w:val="20"/>
                <w:color w:val="auto"/>
              </w:rPr>
            </w:pPr>
            <w:r>
              <w:rPr>
                <w:rFonts w:ascii="Calibri" w:cs="Calibri" w:eastAsia="Calibri" w:hAnsi="Calibri"/>
                <w:sz w:val="18"/>
                <w:szCs w:val="18"/>
                <w:color w:val="auto"/>
              </w:rPr>
              <w:t>501</w:t>
            </w:r>
          </w:p>
        </w:tc>
      </w:tr>
      <w:tr>
        <w:trPr>
          <w:trHeight w:val="215"/>
        </w:trPr>
        <w:tc>
          <w:tcPr>
            <w:tcW w:w="5780" w:type="dxa"/>
            <w:vAlign w:val="bottom"/>
          </w:tcPr>
          <w:p>
            <w:pPr>
              <w:spacing w:after="0" w:line="215" w:lineRule="exact"/>
              <w:rPr>
                <w:sz w:val="20"/>
                <w:szCs w:val="20"/>
                <w:color w:val="auto"/>
              </w:rPr>
            </w:pPr>
            <w:r>
              <w:rPr>
                <w:rFonts w:ascii="Calibri" w:cs="Calibri" w:eastAsia="Calibri" w:hAnsi="Calibri"/>
                <w:sz w:val="18"/>
                <w:szCs w:val="18"/>
                <w:color w:val="auto"/>
              </w:rPr>
              <w:t>Less: operatng lease liabilites, current</w:t>
            </w:r>
          </w:p>
        </w:tc>
        <w:tc>
          <w:tcPr>
            <w:tcW w:w="1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(501 )</w:t>
            </w:r>
          </w:p>
        </w:tc>
      </w:tr>
      <w:tr>
        <w:trPr>
          <w:trHeight w:val="249"/>
        </w:trPr>
        <w:tc>
          <w:tcPr>
            <w:tcW w:w="578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Operatng lease liabilites, non-current</w:t>
            </w:r>
          </w:p>
        </w:tc>
        <w:tc>
          <w:tcPr>
            <w:tcW w:w="1120" w:type="dxa"/>
            <w:vAlign w:val="bottom"/>
            <w:tcBorders>
              <w:bottom w:val="single" w:sz="8" w:color="auto"/>
            </w:tcBorders>
            <w:shd w:val="clear" w:color="auto" w:fill="CFF0FC"/>
          </w:tcPr>
          <w:p>
            <w:pPr>
              <w:jc w:val="right"/>
              <w:ind w:right="930"/>
              <w:spacing w:after="0" w:line="209" w:lineRule="exact"/>
              <w:rPr>
                <w:sz w:val="20"/>
                <w:szCs w:val="20"/>
                <w:color w:val="auto"/>
              </w:rPr>
            </w:pPr>
            <w:r>
              <w:rPr>
                <w:rFonts w:ascii="Calibri" w:cs="Calibri" w:eastAsia="Calibri" w:hAnsi="Calibri"/>
                <w:sz w:val="18"/>
                <w:szCs w:val="18"/>
                <w:color w:val="auto"/>
                <w:w w:val="87"/>
              </w:rPr>
              <w:t>$</w:t>
            </w:r>
          </w:p>
        </w:tc>
        <w:tc>
          <w:tcPr>
            <w:tcW w:w="1520" w:type="dxa"/>
            <w:vAlign w:val="bottom"/>
            <w:tcBorders>
              <w:bottom w:val="single" w:sz="8" w:color="auto"/>
            </w:tcBorders>
            <w:shd w:val="clear" w:color="auto" w:fill="CFF0FC"/>
          </w:tcPr>
          <w:p>
            <w:pPr>
              <w:jc w:val="right"/>
              <w:ind w:right="90"/>
              <w:spacing w:after="0" w:line="209" w:lineRule="exact"/>
              <w:rPr>
                <w:sz w:val="20"/>
                <w:szCs w:val="20"/>
                <w:color w:val="auto"/>
              </w:rPr>
            </w:pPr>
            <w:r>
              <w:rPr>
                <w:rFonts w:ascii="Calibri" w:cs="Calibri" w:eastAsia="Calibri" w:hAnsi="Calibri"/>
                <w:sz w:val="18"/>
                <w:szCs w:val="18"/>
                <w:color w:val="auto"/>
              </w:rPr>
              <w:t>—</w:t>
            </w:r>
          </w:p>
        </w:tc>
      </w:tr>
      <w:tr>
        <w:trPr>
          <w:trHeight w:val="197"/>
        </w:trPr>
        <w:tc>
          <w:tcPr>
            <w:tcW w:w="5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16"/>
        </w:trPr>
        <w:tc>
          <w:tcPr>
            <w:tcW w:w="578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Weighted-average remaining lease term (in years)</w:t>
            </w:r>
          </w:p>
        </w:tc>
        <w:tc>
          <w:tcPr>
            <w:tcW w:w="1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90"/>
              <w:spacing w:after="0" w:line="215" w:lineRule="exact"/>
              <w:rPr>
                <w:sz w:val="20"/>
                <w:szCs w:val="20"/>
                <w:color w:val="auto"/>
              </w:rPr>
            </w:pPr>
            <w:r>
              <w:rPr>
                <w:rFonts w:ascii="Calibri" w:cs="Calibri" w:eastAsia="Calibri" w:hAnsi="Calibri"/>
                <w:sz w:val="18"/>
                <w:szCs w:val="18"/>
                <w:color w:val="auto"/>
              </w:rPr>
              <w:t>0.61</w:t>
            </w:r>
          </w:p>
        </w:tc>
      </w:tr>
      <w:tr>
        <w:trPr>
          <w:trHeight w:val="215"/>
        </w:trPr>
        <w:tc>
          <w:tcPr>
            <w:tcW w:w="5780" w:type="dxa"/>
            <w:vAlign w:val="bottom"/>
          </w:tcPr>
          <w:p>
            <w:pPr>
              <w:spacing w:after="0" w:line="215" w:lineRule="exact"/>
              <w:rPr>
                <w:sz w:val="20"/>
                <w:szCs w:val="20"/>
                <w:color w:val="auto"/>
              </w:rPr>
            </w:pPr>
            <w:r>
              <w:rPr>
                <w:rFonts w:ascii="Calibri" w:cs="Calibri" w:eastAsia="Calibri" w:hAnsi="Calibri"/>
                <w:sz w:val="18"/>
                <w:szCs w:val="18"/>
                <w:color w:val="auto"/>
              </w:rPr>
              <w:t>Weighted-average incremental borrowing rate</w:t>
            </w:r>
          </w:p>
        </w:tc>
        <w:tc>
          <w:tcPr>
            <w:tcW w:w="112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8.28 %</w:t>
            </w:r>
          </w:p>
        </w:tc>
      </w:tr>
    </w:tbl>
    <w:p>
      <w:pPr>
        <w:spacing w:after="0" w:line="195"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Operatng cash fows for the years ended December 31, 2024 and 2023 included cash payments for operatng leases of $1.0 million and $1.1 million, respectvely, of which $0.1 million as of December 31, 2024 and 2023 were prepaid lease payments.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980" w:type="dxa"/>
            <w:vAlign w:val="bottom"/>
            <w:gridSpan w:val="2"/>
          </w:tcPr>
          <w:p>
            <w:pPr>
              <w:spacing w:after="0"/>
              <w:rPr>
                <w:sz w:val="20"/>
                <w:szCs w:val="20"/>
                <w:color w:val="auto"/>
              </w:rPr>
            </w:pPr>
            <w:r>
              <w:rPr>
                <w:rFonts w:ascii="Calibri" w:cs="Calibri" w:eastAsia="Calibri" w:hAnsi="Calibri"/>
                <w:sz w:val="18"/>
                <w:szCs w:val="18"/>
                <w:b w:val="1"/>
                <w:bCs w:val="1"/>
                <w:color w:val="auto"/>
              </w:rPr>
              <w:t>5. Debt</w:t>
            </w:r>
          </w:p>
        </w:tc>
        <w:tc>
          <w:tcPr>
            <w:tcW w:w="1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392"/>
        </w:trPr>
        <w:tc>
          <w:tcPr>
            <w:tcW w:w="5980" w:type="dxa"/>
            <w:vAlign w:val="bottom"/>
            <w:gridSpan w:val="2"/>
          </w:tcPr>
          <w:p>
            <w:pPr>
              <w:ind w:left="520"/>
              <w:spacing w:after="0"/>
              <w:rPr>
                <w:sz w:val="20"/>
                <w:szCs w:val="20"/>
                <w:color w:val="auto"/>
              </w:rPr>
            </w:pPr>
            <w:r>
              <w:rPr>
                <w:rFonts w:ascii="Calibri" w:cs="Calibri" w:eastAsia="Calibri" w:hAnsi="Calibri"/>
                <w:sz w:val="18"/>
                <w:szCs w:val="18"/>
                <w:color w:val="auto"/>
              </w:rPr>
              <w:t>Total debt consists of the following (in thousands):</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86"/>
        </w:trPr>
        <w:tc>
          <w:tcPr>
            <w:tcW w:w="14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Calibri" w:cs="Calibri" w:eastAsia="Calibri" w:hAnsi="Calibri"/>
                <w:sz w:val="18"/>
                <w:szCs w:val="18"/>
                <w:b w:val="1"/>
                <w:bCs w:val="1"/>
                <w:color w:val="auto"/>
              </w:rPr>
              <w:t>December 31,</w:t>
            </w:r>
          </w:p>
        </w:tc>
        <w:tc>
          <w:tcPr>
            <w:tcW w:w="1300" w:type="dxa"/>
            <w:vAlign w:val="bottom"/>
          </w:tcPr>
          <w:p>
            <w:pPr>
              <w:spacing w:after="0"/>
              <w:rPr>
                <w:sz w:val="24"/>
                <w:szCs w:val="24"/>
                <w:color w:val="auto"/>
              </w:rPr>
            </w:pPr>
          </w:p>
        </w:tc>
      </w:tr>
      <w:tr>
        <w:trPr>
          <w:trHeight w:val="23"/>
        </w:trPr>
        <w:tc>
          <w:tcPr>
            <w:tcW w:w="14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9"/>
        </w:trPr>
        <w:tc>
          <w:tcPr>
            <w:tcW w:w="14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7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90"/>
              <w:spacing w:after="0" w:line="209" w:lineRule="exact"/>
              <w:rPr>
                <w:sz w:val="20"/>
                <w:szCs w:val="20"/>
                <w:color w:val="auto"/>
              </w:rPr>
            </w:pPr>
            <w:r>
              <w:rPr>
                <w:rFonts w:ascii="Calibri" w:cs="Calibri" w:eastAsia="Calibri" w:hAnsi="Calibri"/>
                <w:sz w:val="18"/>
                <w:szCs w:val="18"/>
                <w:b w:val="1"/>
                <w:bCs w:val="1"/>
                <w:color w:val="auto"/>
              </w:rPr>
              <w:t>2023</w:t>
            </w:r>
          </w:p>
        </w:tc>
      </w:tr>
      <w:tr>
        <w:trPr>
          <w:trHeight w:val="210"/>
        </w:trPr>
        <w:tc>
          <w:tcPr>
            <w:tcW w:w="1420" w:type="dxa"/>
            <w:vAlign w:val="bottom"/>
          </w:tcPr>
          <w:p>
            <w:pPr>
              <w:spacing w:after="0"/>
              <w:rPr>
                <w:sz w:val="18"/>
                <w:szCs w:val="18"/>
                <w:color w:val="auto"/>
              </w:rPr>
            </w:pPr>
          </w:p>
        </w:tc>
        <w:tc>
          <w:tcPr>
            <w:tcW w:w="456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Long-term debt, current porton</w:t>
            </w:r>
          </w:p>
        </w:tc>
        <w:tc>
          <w:tcPr>
            <w:tcW w:w="1120" w:type="dxa"/>
            <w:vAlign w:val="bottom"/>
            <w:shd w:val="clear" w:color="auto" w:fill="CFF0FC"/>
          </w:tcPr>
          <w:p>
            <w:pPr>
              <w:jc w:val="right"/>
              <w:ind w:right="910"/>
              <w:spacing w:after="0" w:line="210" w:lineRule="exact"/>
              <w:rPr>
                <w:sz w:val="20"/>
                <w:szCs w:val="20"/>
                <w:color w:val="auto"/>
              </w:rPr>
            </w:pPr>
            <w:r>
              <w:rPr>
                <w:rFonts w:ascii="Calibri" w:cs="Calibri" w:eastAsia="Calibri" w:hAnsi="Calibri"/>
                <w:sz w:val="18"/>
                <w:szCs w:val="18"/>
                <w:color w:val="auto"/>
              </w:rPr>
              <w:t>$</w:t>
            </w:r>
          </w:p>
        </w:tc>
        <w:tc>
          <w:tcPr>
            <w:tcW w:w="74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w:t>
            </w:r>
          </w:p>
        </w:tc>
        <w:tc>
          <w:tcPr>
            <w:tcW w:w="700" w:type="dxa"/>
            <w:vAlign w:val="bottom"/>
            <w:gridSpan w:val="2"/>
            <w:shd w:val="clear" w:color="auto" w:fill="CFF0FC"/>
          </w:tcPr>
          <w:p>
            <w:pPr>
              <w:jc w:val="right"/>
              <w:ind w:right="440"/>
              <w:spacing w:after="0" w:line="210" w:lineRule="exact"/>
              <w:rPr>
                <w:sz w:val="20"/>
                <w:szCs w:val="20"/>
                <w:color w:val="auto"/>
              </w:rPr>
            </w:pPr>
            <w:r>
              <w:rPr>
                <w:rFonts w:ascii="Calibri" w:cs="Calibri" w:eastAsia="Calibri" w:hAnsi="Calibri"/>
                <w:sz w:val="18"/>
                <w:szCs w:val="18"/>
                <w:color w:val="auto"/>
              </w:rPr>
              <w:t>$</w:t>
            </w:r>
          </w:p>
        </w:tc>
        <w:tc>
          <w:tcPr>
            <w:tcW w:w="130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w:t>
            </w:r>
          </w:p>
        </w:tc>
      </w:tr>
      <w:tr>
        <w:trPr>
          <w:trHeight w:val="215"/>
        </w:trPr>
        <w:tc>
          <w:tcPr>
            <w:tcW w:w="1420" w:type="dxa"/>
            <w:vAlign w:val="bottom"/>
          </w:tcPr>
          <w:p>
            <w:pPr>
              <w:spacing w:after="0"/>
              <w:rPr>
                <w:sz w:val="18"/>
                <w:szCs w:val="18"/>
                <w:color w:val="auto"/>
              </w:rPr>
            </w:pPr>
          </w:p>
        </w:tc>
        <w:tc>
          <w:tcPr>
            <w:tcW w:w="4560" w:type="dxa"/>
            <w:vAlign w:val="bottom"/>
          </w:tcPr>
          <w:p>
            <w:pPr>
              <w:spacing w:after="0" w:line="215" w:lineRule="exact"/>
              <w:rPr>
                <w:sz w:val="20"/>
                <w:szCs w:val="20"/>
                <w:color w:val="auto"/>
              </w:rPr>
            </w:pPr>
            <w:r>
              <w:rPr>
                <w:rFonts w:ascii="Calibri" w:cs="Calibri" w:eastAsia="Calibri" w:hAnsi="Calibri"/>
                <w:sz w:val="18"/>
                <w:szCs w:val="18"/>
                <w:color w:val="auto"/>
              </w:rPr>
              <w:t>Long-term debt, non-current porton</w:t>
            </w:r>
          </w:p>
        </w:tc>
        <w:tc>
          <w:tcPr>
            <w:tcW w:w="1120" w:type="dxa"/>
            <w:vAlign w:val="bottom"/>
          </w:tcPr>
          <w:p>
            <w:pPr>
              <w:spacing w:after="0"/>
              <w:rPr>
                <w:sz w:val="18"/>
                <w:szCs w:val="18"/>
                <w:color w:val="auto"/>
              </w:rPr>
            </w:pPr>
          </w:p>
        </w:tc>
        <w:tc>
          <w:tcPr>
            <w:tcW w:w="74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211,831</w:t>
            </w: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148,057</w:t>
            </w:r>
          </w:p>
        </w:tc>
      </w:tr>
      <w:tr>
        <w:trPr>
          <w:trHeight w:val="216"/>
        </w:trPr>
        <w:tc>
          <w:tcPr>
            <w:tcW w:w="1420" w:type="dxa"/>
            <w:vAlign w:val="bottom"/>
          </w:tcPr>
          <w:p>
            <w:pPr>
              <w:spacing w:after="0"/>
              <w:rPr>
                <w:sz w:val="18"/>
                <w:szCs w:val="18"/>
                <w:color w:val="auto"/>
              </w:rPr>
            </w:pPr>
          </w:p>
        </w:tc>
        <w:tc>
          <w:tcPr>
            <w:tcW w:w="456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Unamortzed debt discount</w:t>
            </w:r>
          </w:p>
        </w:tc>
        <w:tc>
          <w:tcPr>
            <w:tcW w:w="112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(10,422 )</w:t>
            </w:r>
          </w:p>
        </w:tc>
        <w:tc>
          <w:tcPr>
            <w:tcW w:w="14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(10,215 )</w:t>
            </w:r>
          </w:p>
        </w:tc>
      </w:tr>
      <w:tr>
        <w:trPr>
          <w:trHeight w:val="210"/>
        </w:trPr>
        <w:tc>
          <w:tcPr>
            <w:tcW w:w="1420" w:type="dxa"/>
            <w:vAlign w:val="bottom"/>
          </w:tcPr>
          <w:p>
            <w:pPr>
              <w:spacing w:after="0"/>
              <w:rPr>
                <w:sz w:val="18"/>
                <w:szCs w:val="18"/>
                <w:color w:val="auto"/>
              </w:rPr>
            </w:pPr>
          </w:p>
        </w:tc>
        <w:tc>
          <w:tcPr>
            <w:tcW w:w="4560" w:type="dxa"/>
            <w:vAlign w:val="bottom"/>
          </w:tcPr>
          <w:p>
            <w:pPr>
              <w:spacing w:after="0" w:line="209" w:lineRule="exact"/>
              <w:rPr>
                <w:sz w:val="20"/>
                <w:szCs w:val="20"/>
                <w:color w:val="auto"/>
              </w:rPr>
            </w:pPr>
            <w:r>
              <w:rPr>
                <w:rFonts w:ascii="Calibri" w:cs="Calibri" w:eastAsia="Calibri" w:hAnsi="Calibri"/>
                <w:sz w:val="18"/>
                <w:szCs w:val="18"/>
                <w:color w:val="auto"/>
              </w:rPr>
              <w:t>Total debt, net of debt discount</w:t>
            </w:r>
          </w:p>
        </w:tc>
        <w:tc>
          <w:tcPr>
            <w:tcW w:w="1120" w:type="dxa"/>
            <w:vAlign w:val="bottom"/>
          </w:tcPr>
          <w:p>
            <w:pPr>
              <w:jc w:val="right"/>
              <w:ind w:right="910"/>
              <w:spacing w:after="0" w:line="209" w:lineRule="exact"/>
              <w:rPr>
                <w:sz w:val="20"/>
                <w:szCs w:val="20"/>
                <w:color w:val="auto"/>
              </w:rPr>
            </w:pPr>
            <w:r>
              <w:rPr>
                <w:rFonts w:ascii="Calibri" w:cs="Calibri" w:eastAsia="Calibri" w:hAnsi="Calibri"/>
                <w:sz w:val="18"/>
                <w:szCs w:val="18"/>
                <w:color w:val="auto"/>
              </w:rPr>
              <w:t>$</w:t>
            </w:r>
          </w:p>
        </w:tc>
        <w:tc>
          <w:tcPr>
            <w:tcW w:w="74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201,409</w:t>
            </w:r>
          </w:p>
        </w:tc>
        <w:tc>
          <w:tcPr>
            <w:tcW w:w="700" w:type="dxa"/>
            <w:vAlign w:val="bottom"/>
            <w:gridSpan w:val="2"/>
          </w:tcPr>
          <w:p>
            <w:pPr>
              <w:jc w:val="right"/>
              <w:ind w:right="440"/>
              <w:spacing w:after="0" w:line="209" w:lineRule="exact"/>
              <w:rPr>
                <w:sz w:val="20"/>
                <w:szCs w:val="20"/>
                <w:color w:val="auto"/>
              </w:rPr>
            </w:pPr>
            <w:r>
              <w:rPr>
                <w:rFonts w:ascii="Calibri" w:cs="Calibri" w:eastAsia="Calibri" w:hAnsi="Calibri"/>
                <w:sz w:val="18"/>
                <w:szCs w:val="18"/>
                <w:color w:val="auto"/>
              </w:rPr>
              <w:t>$</w:t>
            </w:r>
          </w:p>
        </w:tc>
        <w:tc>
          <w:tcPr>
            <w:tcW w:w="130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137,842</w:t>
            </w:r>
          </w:p>
        </w:tc>
      </w:tr>
      <w:tr>
        <w:trPr>
          <w:trHeight w:val="20"/>
        </w:trPr>
        <w:tc>
          <w:tcPr>
            <w:tcW w:w="14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-170815</wp:posOffset>
            </wp:positionV>
            <wp:extent cx="939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14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On September 17, 2021, or the Closing Date, the Company entered into a Loan and Security Agreement, or, the Loan Agreement, with Hercules Capital, Inc., in its capacity as administratve agent and collateral agent and as a lender, or, in such capacity, the Agent or Hercules, and the other fnancial insttutons that from tme to tme become partes to the Loan Agreement as lenders, or, collectvely, the Lenders.</w:t>
      </w:r>
    </w:p>
    <w:p>
      <w:pPr>
        <w:spacing w:after="0" w:line="178"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Loan Agreement provides for term loans in an aggregate principal amount of up to $200 million, or the Term Loan, under multple tranches. The tranches consist of (i) a frst tranche consistng of term loans in an aggregate principal amount of $100 million, all of which was funded on the Closing Date, or the First Advance, (ii) a second tranche consistng of up to an additonal $50 million, (iii) a third and fourth tranches consistng of an additonal total $50 million, which became available in May 2022.</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2" w:right="399" w:bottom="1440" w:gutter="0" w:footer="0" w:header="0"/>
        </w:sectPr>
      </w:pPr>
    </w:p>
    <w:bookmarkStart w:id="135" w:name="page136"/>
    <w:bookmarkEnd w:id="135"/>
    <w:p>
      <w:pPr>
        <w:ind w:right="180" w:firstLine="509"/>
        <w:spacing w:after="0" w:line="258" w:lineRule="auto"/>
        <w:rPr>
          <w:sz w:val="20"/>
          <w:szCs w:val="20"/>
          <w:color w:val="auto"/>
        </w:rPr>
      </w:pPr>
      <w:r>
        <w:rPr>
          <w:rFonts w:ascii="Calibri" w:cs="Calibri" w:eastAsia="Calibri" w:hAnsi="Calibri"/>
          <w:sz w:val="17"/>
          <w:szCs w:val="17"/>
          <w:color w:val="auto"/>
        </w:rPr>
        <w:t>On September 27, 2022, the Company entered into an amendment to the Loan Agreement, or the Second Loan Amendment, pursuant to which the date the second tranche of funding of $50 million was available to the Company and has been moved untl May 15, 2023, rather than December 15, 2022.</w:t>
      </w:r>
    </w:p>
    <w:p>
      <w:pPr>
        <w:spacing w:after="0" w:line="161" w:lineRule="exact"/>
        <w:rPr>
          <w:sz w:val="20"/>
          <w:szCs w:val="20"/>
          <w:color w:val="auto"/>
        </w:rPr>
      </w:pPr>
    </w:p>
    <w:p>
      <w:pPr>
        <w:ind w:firstLine="509"/>
        <w:spacing w:after="0" w:line="249" w:lineRule="auto"/>
        <w:rPr>
          <w:sz w:val="20"/>
          <w:szCs w:val="20"/>
          <w:color w:val="auto"/>
        </w:rPr>
      </w:pPr>
      <w:r>
        <w:rPr>
          <w:rFonts w:ascii="Calibri" w:cs="Calibri" w:eastAsia="Calibri" w:hAnsi="Calibri"/>
          <w:sz w:val="17"/>
          <w:szCs w:val="17"/>
          <w:color w:val="auto"/>
        </w:rPr>
        <w:t>On May 9, 2023, the Company entered into the Third Amendment to Loan and Security Agreement, or the Third Loan Amendment, with the lenders, pursuant to which, among other things, (i) the second tranche availability was extended from through May 15, 2023, to through December 15, 2023, and became available on October 1, 2023, (ii) the third tranche availability was extended from through September 30, 2023, to through December 15, 2023, and became available on October 1, 2023, (iii) the efectve date of the performance covenants was amended to provide an opton to extend the covenant trigger date to May 15, 2024, subject to the achievement of the FDA approval of vonoprazan for Erosive GERD or the EE Milestone, prior to February 15, 2024, and</w:t>
      </w:r>
    </w:p>
    <w:p>
      <w:pPr>
        <w:spacing w:after="0" w:line="3" w:lineRule="exact"/>
        <w:rPr>
          <w:sz w:val="20"/>
          <w:szCs w:val="20"/>
          <w:color w:val="auto"/>
        </w:rPr>
      </w:pPr>
    </w:p>
    <w:p>
      <w:pPr>
        <w:ind w:right="80" w:firstLine="8"/>
        <w:spacing w:after="0" w:line="235" w:lineRule="auto"/>
        <w:tabs>
          <w:tab w:leader="none" w:pos="266" w:val="left"/>
        </w:tabs>
        <w:numPr>
          <w:ilvl w:val="0"/>
          <w:numId w:val="62"/>
        </w:numPr>
        <w:rPr>
          <w:rFonts w:ascii="Calibri" w:cs="Calibri" w:eastAsia="Calibri" w:hAnsi="Calibri"/>
          <w:sz w:val="18"/>
          <w:szCs w:val="18"/>
          <w:color w:val="auto"/>
        </w:rPr>
      </w:pPr>
      <w:r>
        <w:rPr>
          <w:rFonts w:ascii="Calibri" w:cs="Calibri" w:eastAsia="Calibri" w:hAnsi="Calibri"/>
          <w:sz w:val="18"/>
          <w:szCs w:val="18"/>
          <w:color w:val="auto"/>
        </w:rPr>
        <w:t>the warrant agreement with Hercules was amended as described below. On November 1, 2023, the EE Milestone was achieved and the covenant trigger date was extended to May 15, 2024. In connecton with the Third Loan Amendment, a tranche extension amendment fee of $150,000 and a covenant extension amendment fee of $100,000 was paid to the Agent. These fees have been recorded as debt discount and are being amortzed to interest expense using the efectve interest method over the remaining term of the Term Loan.</w:t>
      </w:r>
    </w:p>
    <w:p>
      <w:pPr>
        <w:spacing w:after="0" w:line="192" w:lineRule="exact"/>
        <w:rPr>
          <w:sz w:val="20"/>
          <w:szCs w:val="20"/>
          <w:color w:val="auto"/>
        </w:rPr>
      </w:pPr>
    </w:p>
    <w:p>
      <w:pPr>
        <w:ind w:right="60" w:firstLine="509"/>
        <w:spacing w:after="0" w:line="249" w:lineRule="auto"/>
        <w:rPr>
          <w:sz w:val="20"/>
          <w:szCs w:val="20"/>
          <w:color w:val="auto"/>
        </w:rPr>
      </w:pPr>
      <w:r>
        <w:rPr>
          <w:rFonts w:ascii="Calibri" w:cs="Calibri" w:eastAsia="Calibri" w:hAnsi="Calibri"/>
          <w:sz w:val="17"/>
          <w:szCs w:val="17"/>
          <w:color w:val="auto"/>
        </w:rPr>
        <w:t>On December 14, 2023, the Company entered into a Fourth Amendment to Loan and Security Agreement, or the Fourth Loan Amendment, with the lenders, which, among other things, (i) increases the aggregate principal amount of the term loans from $200 million to $300 million; (ii) provides for the possibility of accessing the remaining $200 million commitment through fve tranches referred to as the second through sixth tranches, which are available subject to certain milestones and conditons: (a) Second Tranche: $50 million, $40 million of which was funded on December 14, 2023, available through March 15, 2024, (b) Third Tranche: $25 million available through June 15, 2024, (c) Fourth Tranche: $25 million available through December 15, 2024, (d) Fifh Tranche: $50 million available, subject to the achievement of a specifed revenue milestone, or the Fifh Tranche milestone, through June 30, 2025, and</w:t>
      </w:r>
    </w:p>
    <w:p>
      <w:pPr>
        <w:spacing w:after="0" w:line="4" w:lineRule="exact"/>
        <w:rPr>
          <w:sz w:val="20"/>
          <w:szCs w:val="20"/>
          <w:color w:val="auto"/>
        </w:rPr>
      </w:pPr>
    </w:p>
    <w:p>
      <w:pPr>
        <w:ind w:right="40" w:firstLine="8"/>
        <w:spacing w:after="0" w:line="251" w:lineRule="auto"/>
        <w:tabs>
          <w:tab w:leader="none" w:pos="233" w:val="left"/>
        </w:tabs>
        <w:numPr>
          <w:ilvl w:val="0"/>
          <w:numId w:val="63"/>
        </w:numPr>
        <w:rPr>
          <w:rFonts w:ascii="Calibri" w:cs="Calibri" w:eastAsia="Calibri" w:hAnsi="Calibri"/>
          <w:sz w:val="17"/>
          <w:szCs w:val="17"/>
          <w:color w:val="auto"/>
        </w:rPr>
      </w:pPr>
      <w:r>
        <w:rPr>
          <w:rFonts w:ascii="Calibri" w:cs="Calibri" w:eastAsia="Calibri" w:hAnsi="Calibri"/>
          <w:sz w:val="17"/>
          <w:szCs w:val="17"/>
          <w:color w:val="auto"/>
        </w:rPr>
        <w:t>Sixth Tranche: $50 million available, subject to the achievement of a specifc revenue milestone, or the Sixth Tranche milestone, through December 31, 2025; (iii) extends the interest only period and the maturity date from October 2026 to December 2027, (iv) reduces the cash interest rate from 10.75% (foatng annual rate equal to the greater of (a) 5.50% and (b) the Prime Rate (as reported in the Wall Street Journal) plus 2.25% to 9.85% (foatng rate based on the greater of (a) 9.85% or (b) US WSJ Prime + 1.35%), provided that the cash interest rate shall be capped at 10.35% and upon the Company achieving the Sixth Tranche milestone, the cash interest foatng rated shall be decreased by 0.35% to 9.50%, and (v) decreases the payment-in-kind interest rate from 3.35% per annum to 2.15% per annum. In connecton with the Fourth Loan Amendment, an amendment fee of $250,000 was paid to the Agent and was recorded as a debt discount and is being amortzed to interest expense using the efectve interest method over the remaining term of the Term Loan.</w:t>
      </w:r>
    </w:p>
    <w:p>
      <w:pPr>
        <w:spacing w:after="0" w:line="168"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March 15, 2024, the Company drew down on the remaining $10 million available under the Second Tranche. On June 14, 2024, the Company drew down the $25 million available under the Third Tranche. In additon, on December 14, 2024, the Company drew down the $25 million available under the Fourth Tranche.</w:t>
      </w:r>
    </w:p>
    <w:p>
      <w:pPr>
        <w:spacing w:after="0" w:line="178" w:lineRule="exact"/>
        <w:rPr>
          <w:sz w:val="20"/>
          <w:szCs w:val="20"/>
          <w:color w:val="auto"/>
        </w:rPr>
      </w:pPr>
    </w:p>
    <w:p>
      <w:pPr>
        <w:ind w:right="60" w:firstLine="549"/>
        <w:spacing w:after="0" w:line="235" w:lineRule="auto"/>
        <w:rPr>
          <w:sz w:val="20"/>
          <w:szCs w:val="20"/>
          <w:color w:val="auto"/>
        </w:rPr>
      </w:pPr>
      <w:r>
        <w:rPr>
          <w:rFonts w:ascii="Calibri" w:cs="Calibri" w:eastAsia="Calibri" w:hAnsi="Calibri"/>
          <w:sz w:val="18"/>
          <w:szCs w:val="18"/>
          <w:color w:val="auto"/>
        </w:rPr>
        <w:t>The Term Loan will mature on December 1, 2027, or the Maturity Date. The Term Loan bears (i) cash interest at a variable annual rate equal to the greater of (a) 9.85% and (b) the Prime Rate (as reported in the Wall Street Journal) plus 1.35%, or the Interest Rate, and (ii) payment-in-kind interest at a per annum rate of interest equal to 2.15%. The Company may make payments of interest only through the Maturity Date. Afer the interest-only period, the principal balance and related interest will be required to be repaid in full on the Maturity Date.</w:t>
      </w:r>
    </w:p>
    <w:p>
      <w:pPr>
        <w:spacing w:after="0" w:line="192"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In additon, the Company is obligated to pay a fnal payment fee of 7.50% of the original principal amount of amounts actually advanced under the Term Loan, or each a Term Loan Advance and together, the Term Loan Advances. In connecton with the Fourth Loan Amendment, the fnal payment fee was amended to be $1 million plus 3.00% of any future tranche drawdowns under the agreement, due upon fnal maturity. Additonally, the inital fnal payment fee for the frst Term Loan Advance was amended to become payable on October 1, 2026. As of December 31, 2024, the aggregate $11.5 million of fnal payment fees includes the frst Term Loan Advance of $7.5 million, $2.5 million for the second Term Loan Advance, $0.8 million for the third Term Loan Advance, and $0.7 million for the fourth Term Loan Advance have been recorded within other long-term liabilites.</w:t>
      </w:r>
    </w:p>
    <w:p>
      <w:pPr>
        <w:spacing w:after="0" w:line="181" w:lineRule="exact"/>
        <w:rPr>
          <w:sz w:val="20"/>
          <w:szCs w:val="20"/>
          <w:color w:val="auto"/>
        </w:rPr>
      </w:pPr>
    </w:p>
    <w:p>
      <w:pPr>
        <w:ind w:right="200" w:firstLine="509"/>
        <w:spacing w:after="0" w:line="254" w:lineRule="auto"/>
        <w:rPr>
          <w:sz w:val="20"/>
          <w:szCs w:val="20"/>
          <w:color w:val="auto"/>
        </w:rPr>
      </w:pPr>
      <w:r>
        <w:rPr>
          <w:rFonts w:ascii="Calibri" w:cs="Calibri" w:eastAsia="Calibri" w:hAnsi="Calibri"/>
          <w:sz w:val="17"/>
          <w:szCs w:val="17"/>
          <w:color w:val="auto"/>
        </w:rPr>
        <w:t>Under the Fourth Loan Amendment the Company may elect to prepay all or a porton of the Term Loan Advances prior to maturity, subject to a prepayment fee of up to 1.25% of the then outstanding principal balance of the Term Loan Advances being prepaid when such prepayment occurs prior to October 1, 2026, or 0.50% if such prepayment occurs on or afer October 1, 2026. Afer repayment, no Term Loan amounts may be borrowed again.</w:t>
      </w: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36" w:name="page137"/>
    <w:bookmarkEnd w:id="136"/>
    <w:p>
      <w:pPr>
        <w:ind w:right="120" w:firstLine="509"/>
        <w:spacing w:after="0" w:line="235" w:lineRule="auto"/>
        <w:rPr>
          <w:sz w:val="20"/>
          <w:szCs w:val="20"/>
          <w:color w:val="auto"/>
        </w:rPr>
      </w:pPr>
      <w:r>
        <w:rPr>
          <w:rFonts w:ascii="Calibri" w:cs="Calibri" w:eastAsia="Calibri" w:hAnsi="Calibri"/>
          <w:sz w:val="18"/>
          <w:szCs w:val="18"/>
          <w:color w:val="auto"/>
        </w:rPr>
        <w:t>As collateral for the obligatons, the Company has granted to Hercules a senior security interest in all of Company’s right, ttle, and interest in, to and under substantally all of Company’s property, inclusive of intellectual property.</w:t>
      </w:r>
    </w:p>
    <w:p>
      <w:pPr>
        <w:spacing w:after="0" w:line="191" w:lineRule="exact"/>
        <w:rPr>
          <w:sz w:val="20"/>
          <w:szCs w:val="20"/>
          <w:color w:val="auto"/>
        </w:rPr>
      </w:pPr>
    </w:p>
    <w:p>
      <w:pPr>
        <w:ind w:right="580" w:firstLine="509"/>
        <w:spacing w:after="0" w:line="235" w:lineRule="auto"/>
        <w:rPr>
          <w:sz w:val="20"/>
          <w:szCs w:val="20"/>
          <w:color w:val="auto"/>
        </w:rPr>
      </w:pPr>
      <w:r>
        <w:rPr>
          <w:rFonts w:ascii="Calibri" w:cs="Calibri" w:eastAsia="Calibri" w:hAnsi="Calibri"/>
          <w:sz w:val="18"/>
          <w:szCs w:val="18"/>
          <w:color w:val="auto"/>
        </w:rPr>
        <w:t>The Loan Agreement contains customary closing fees, prepayment fees and provisions, events of default, and representatons, warrantes and covenants, including fnancial covenants. The fnancial covenants under the Fourth Loan Amendment include (i) a minimum cash covenant and (ii) a performance covenant as follows:</w:t>
      </w:r>
    </w:p>
    <w:p>
      <w:pPr>
        <w:spacing w:after="0" w:line="111" w:lineRule="exact"/>
        <w:rPr>
          <w:sz w:val="20"/>
          <w:szCs w:val="20"/>
          <w:color w:val="auto"/>
        </w:rPr>
      </w:pPr>
    </w:p>
    <w:p>
      <w:pPr>
        <w:ind w:left="1020" w:hanging="503"/>
        <w:spacing w:after="0" w:line="235" w:lineRule="auto"/>
        <w:tabs>
          <w:tab w:leader="none" w:pos="1020" w:val="left"/>
        </w:tabs>
        <w:numPr>
          <w:ilvl w:val="0"/>
          <w:numId w:val="64"/>
        </w:numPr>
        <w:rPr>
          <w:rFonts w:ascii="Calibri" w:cs="Calibri" w:eastAsia="Calibri" w:hAnsi="Calibri"/>
          <w:sz w:val="18"/>
          <w:szCs w:val="18"/>
          <w:color w:val="auto"/>
        </w:rPr>
      </w:pPr>
      <w:r>
        <w:rPr>
          <w:rFonts w:ascii="Calibri" w:cs="Calibri" w:eastAsia="Calibri" w:hAnsi="Calibri"/>
          <w:sz w:val="18"/>
          <w:szCs w:val="18"/>
          <w:color w:val="auto"/>
        </w:rPr>
        <w:t>Minimum cash covenant - The Company must maintain a minimum cash balance of 20% of the outstanding principal balance at all tmes. The minimum cash balance may be increased to 35% or 50% under performance covenant (b) below if the performance covenants (a) or (c) are not met beginning September 30, 2024 and all tmes thereafer.</w:t>
      </w:r>
    </w:p>
    <w:p>
      <w:pPr>
        <w:spacing w:after="0" w:line="105" w:lineRule="exact"/>
        <w:rPr>
          <w:rFonts w:ascii="Calibri" w:cs="Calibri" w:eastAsia="Calibri" w:hAnsi="Calibri"/>
          <w:sz w:val="18"/>
          <w:szCs w:val="18"/>
          <w:color w:val="auto"/>
        </w:rPr>
      </w:pPr>
    </w:p>
    <w:p>
      <w:pPr>
        <w:ind w:left="1020" w:hanging="503"/>
        <w:spacing w:after="0"/>
        <w:tabs>
          <w:tab w:leader="none" w:pos="1020" w:val="left"/>
        </w:tabs>
        <w:numPr>
          <w:ilvl w:val="0"/>
          <w:numId w:val="64"/>
        </w:numPr>
        <w:rPr>
          <w:rFonts w:ascii="Calibri" w:cs="Calibri" w:eastAsia="Calibri" w:hAnsi="Calibri"/>
          <w:sz w:val="18"/>
          <w:szCs w:val="18"/>
          <w:color w:val="auto"/>
        </w:rPr>
      </w:pPr>
      <w:r>
        <w:rPr>
          <w:rFonts w:ascii="Calibri" w:cs="Calibri" w:eastAsia="Calibri" w:hAnsi="Calibri"/>
          <w:sz w:val="18"/>
          <w:szCs w:val="18"/>
          <w:color w:val="auto"/>
        </w:rPr>
        <w:t>Performance covenant- Beginning September 30, 2024 and all tmes thereafer the Company must satsfy any one of the following:</w:t>
      </w:r>
    </w:p>
    <w:p>
      <w:pPr>
        <w:spacing w:after="0" w:line="104" w:lineRule="exact"/>
        <w:rPr>
          <w:rFonts w:ascii="Calibri" w:cs="Calibri" w:eastAsia="Calibri" w:hAnsi="Calibri"/>
          <w:sz w:val="18"/>
          <w:szCs w:val="18"/>
          <w:color w:val="auto"/>
        </w:rPr>
      </w:pPr>
    </w:p>
    <w:p>
      <w:pPr>
        <w:ind w:left="1540" w:hanging="514"/>
        <w:spacing w:after="0"/>
        <w:tabs>
          <w:tab w:leader="none" w:pos="154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Market capitalizaton exceeding $900 million;</w:t>
      </w:r>
    </w:p>
    <w:p>
      <w:pPr>
        <w:spacing w:after="0" w:line="109" w:lineRule="exact"/>
        <w:rPr>
          <w:rFonts w:ascii="Calibri" w:cs="Calibri" w:eastAsia="Calibri" w:hAnsi="Calibri"/>
          <w:sz w:val="18"/>
          <w:szCs w:val="18"/>
          <w:color w:val="auto"/>
        </w:rPr>
      </w:pPr>
    </w:p>
    <w:p>
      <w:pPr>
        <w:ind w:left="1540" w:right="200" w:hanging="514"/>
        <w:spacing w:after="0" w:line="235" w:lineRule="auto"/>
        <w:tabs>
          <w:tab w:leader="none" w:pos="154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Minimum cash balance exceeding (x) outstanding principal amount of term loans, multplied by (y) (A) 50%, prior to achieving trailing three months net product revenue of greater than $35 million, and (B) 35% thereafer; or</w:t>
      </w:r>
    </w:p>
    <w:p>
      <w:pPr>
        <w:spacing w:after="0" w:line="109" w:lineRule="exact"/>
        <w:rPr>
          <w:rFonts w:ascii="Calibri" w:cs="Calibri" w:eastAsia="Calibri" w:hAnsi="Calibri"/>
          <w:sz w:val="18"/>
          <w:szCs w:val="18"/>
          <w:color w:val="auto"/>
        </w:rPr>
      </w:pPr>
    </w:p>
    <w:p>
      <w:pPr>
        <w:ind w:left="1540" w:right="220" w:hanging="514"/>
        <w:spacing w:after="0" w:line="235" w:lineRule="auto"/>
        <w:tabs>
          <w:tab w:leader="none" w:pos="1540" w:val="left"/>
        </w:tabs>
        <w:numPr>
          <w:ilvl w:val="1"/>
          <w:numId w:val="64"/>
        </w:numPr>
        <w:rPr>
          <w:rFonts w:ascii="Calibri" w:cs="Calibri" w:eastAsia="Calibri" w:hAnsi="Calibri"/>
          <w:sz w:val="18"/>
          <w:szCs w:val="18"/>
          <w:color w:val="auto"/>
        </w:rPr>
      </w:pPr>
      <w:r>
        <w:rPr>
          <w:rFonts w:ascii="Calibri" w:cs="Calibri" w:eastAsia="Calibri" w:hAnsi="Calibri"/>
          <w:sz w:val="18"/>
          <w:szCs w:val="18"/>
          <w:color w:val="auto"/>
        </w:rPr>
        <w:t>Trailing three months net product revenue of at least (x) 30% of agreed upon projected net revenues for periods in the calendar year 2024 and 25% for all periods thereafer or (y) $120 million.</w:t>
      </w:r>
    </w:p>
    <w:p>
      <w:pPr>
        <w:spacing w:after="0" w:line="177" w:lineRule="exact"/>
        <w:rPr>
          <w:sz w:val="20"/>
          <w:szCs w:val="20"/>
          <w:color w:val="auto"/>
        </w:rPr>
      </w:pPr>
    </w:p>
    <w:p>
      <w:pPr>
        <w:ind w:right="220" w:firstLine="509"/>
        <w:spacing w:after="0" w:line="235" w:lineRule="auto"/>
        <w:rPr>
          <w:sz w:val="20"/>
          <w:szCs w:val="20"/>
          <w:color w:val="auto"/>
        </w:rPr>
      </w:pPr>
      <w:r>
        <w:rPr>
          <w:rFonts w:ascii="Calibri" w:cs="Calibri" w:eastAsia="Calibri" w:hAnsi="Calibri"/>
          <w:sz w:val="18"/>
          <w:szCs w:val="18"/>
          <w:color w:val="auto"/>
        </w:rPr>
        <w:t>Upon the occurrence of an event of default, subject to any specifed cure periods, all amounts owed by the Company may be declared immediately due and payable by Hercules, as collateral agent.</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As of December 31, 2024, the Company was in compliance with all applicable covenants under the Loan Agreement.</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connecton with the entry into the Loan Agreement, the Company issued to Hercules a warrant, or the Warrant, to purchase a number of shares of the Company’s common stock equal to 2.5% of the aggregate amount of the Term Loan advances funded, and will issue to Hercules additonal warrants when future Term Loan advances are funded. On the Closing Date, the Company issued a Warrant for 74,782 shares of common stock. The Warrant will be exercisable for a period of seven years from the date of issuance at a per-share exercise price equal to $33.43, which was the closing price of the Company’s common stock on September 16, 2021. In connecton with the entry into the Third Loan Amendment, the Company amended the form of warrants to be issued upon drawdowns of future tranches such that the exercise price of such warrants shall be equal to the lesser (i) of $11.6783, which was the trailing ten-day VWAP prior to entering into the Third Loan Amendment and (ii) the trailing ten-day VWAP preceding the date on which the Company drawdown future tranches. In connecton with the entry into the Fourth Loan Amendment, the Company eliminated the warrant agreement for all future tranches. The Warrant issued with the inital tranche was not modifed as part of this amendment. The exercise price and terms of the outstanding Warrant remain unchanged.</w:t>
      </w:r>
    </w:p>
    <w:p>
      <w:pPr>
        <w:spacing w:after="0" w:line="184" w:lineRule="exact"/>
        <w:rPr>
          <w:sz w:val="20"/>
          <w:szCs w:val="20"/>
          <w:color w:val="auto"/>
        </w:rPr>
      </w:pPr>
    </w:p>
    <w:p>
      <w:pPr>
        <w:ind w:right="500" w:firstLine="509"/>
        <w:spacing w:after="0" w:line="258" w:lineRule="auto"/>
        <w:rPr>
          <w:sz w:val="20"/>
          <w:szCs w:val="20"/>
          <w:color w:val="auto"/>
        </w:rPr>
      </w:pPr>
      <w:r>
        <w:rPr>
          <w:rFonts w:ascii="Calibri" w:cs="Calibri" w:eastAsia="Calibri" w:hAnsi="Calibri"/>
          <w:sz w:val="17"/>
          <w:szCs w:val="17"/>
          <w:color w:val="auto"/>
        </w:rPr>
        <w:t>The inital $1.3 million fair value of the Warrant, the $11.5 million fnal interest payment fees and $4.6 million of debt issuance costs have been recorded as debt discount and are being amortzed to interest expense using the efectve interest method over the term of the Loan Agreement.</w:t>
      </w:r>
    </w:p>
    <w:p>
      <w:pPr>
        <w:spacing w:after="0" w:line="161" w:lineRule="exact"/>
        <w:rPr>
          <w:sz w:val="20"/>
          <w:szCs w:val="20"/>
          <w:color w:val="auto"/>
        </w:rPr>
      </w:pPr>
    </w:p>
    <w:p>
      <w:pPr>
        <w:ind w:left="520"/>
        <w:spacing w:after="0"/>
        <w:rPr>
          <w:sz w:val="20"/>
          <w:szCs w:val="20"/>
          <w:color w:val="auto"/>
        </w:rPr>
      </w:pPr>
      <w:r>
        <w:rPr>
          <w:rFonts w:ascii="Calibri" w:cs="Calibri" w:eastAsia="Calibri" w:hAnsi="Calibri"/>
          <w:sz w:val="17"/>
          <w:szCs w:val="17"/>
          <w:color w:val="auto"/>
        </w:rPr>
        <w:t>Future minimum principal payments under the Term Loan, including the fnal payment fees, as of December 31, 2024 are as follows (in thousands):</w:t>
      </w:r>
    </w:p>
    <w:p>
      <w:pPr>
        <w:spacing w:after="0" w:line="243"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6380" w:type="dxa"/>
            <w:vAlign w:val="bottom"/>
            <w:shd w:val="clear" w:color="auto" w:fill="CFF0FC"/>
          </w:tcPr>
          <w:p>
            <w:pPr>
              <w:spacing w:after="0"/>
              <w:rPr>
                <w:sz w:val="20"/>
                <w:szCs w:val="20"/>
                <w:color w:val="auto"/>
              </w:rPr>
            </w:pPr>
            <w:r>
              <w:rPr>
                <w:rFonts w:ascii="Calibri" w:cs="Calibri" w:eastAsia="Calibri" w:hAnsi="Calibri"/>
                <w:sz w:val="18"/>
                <w:szCs w:val="18"/>
                <w:color w:val="auto"/>
              </w:rPr>
              <w:t>Year ending December 31:</w:t>
            </w:r>
          </w:p>
        </w:tc>
        <w:tc>
          <w:tcPr>
            <w:tcW w:w="7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r>
      <w:tr>
        <w:trPr>
          <w:trHeight w:val="215"/>
        </w:trPr>
        <w:tc>
          <w:tcPr>
            <w:tcW w:w="6380" w:type="dxa"/>
            <w:vAlign w:val="bottom"/>
          </w:tcPr>
          <w:p>
            <w:pPr>
              <w:ind w:left="180"/>
              <w:spacing w:after="0" w:line="215" w:lineRule="exact"/>
              <w:rPr>
                <w:sz w:val="20"/>
                <w:szCs w:val="20"/>
                <w:color w:val="auto"/>
              </w:rPr>
            </w:pPr>
            <w:r>
              <w:rPr>
                <w:rFonts w:ascii="Calibri" w:cs="Calibri" w:eastAsia="Calibri" w:hAnsi="Calibri"/>
                <w:sz w:val="18"/>
                <w:szCs w:val="18"/>
                <w:color w:val="auto"/>
              </w:rPr>
              <w:t>2025</w:t>
            </w:r>
          </w:p>
        </w:tc>
        <w:tc>
          <w:tcPr>
            <w:tcW w:w="740" w:type="dxa"/>
            <w:vAlign w:val="bottom"/>
          </w:tcPr>
          <w:p>
            <w:pPr>
              <w:jc w:val="right"/>
              <w:ind w:right="550"/>
              <w:spacing w:after="0" w:line="215" w:lineRule="exact"/>
              <w:rPr>
                <w:sz w:val="20"/>
                <w:szCs w:val="20"/>
                <w:color w:val="auto"/>
              </w:rPr>
            </w:pPr>
            <w:r>
              <w:rPr>
                <w:rFonts w:ascii="Calibri" w:cs="Calibri" w:eastAsia="Calibri" w:hAnsi="Calibri"/>
                <w:sz w:val="18"/>
                <w:szCs w:val="18"/>
                <w:color w:val="auto"/>
                <w:w w:val="87"/>
              </w:rPr>
              <w:t>$</w:t>
            </w:r>
          </w:p>
        </w:tc>
        <w:tc>
          <w:tcPr>
            <w:tcW w:w="130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638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2026</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7,500</w:t>
            </w:r>
          </w:p>
        </w:tc>
      </w:tr>
      <w:tr>
        <w:trPr>
          <w:trHeight w:val="215"/>
        </w:trPr>
        <w:tc>
          <w:tcPr>
            <w:tcW w:w="6380" w:type="dxa"/>
            <w:vAlign w:val="bottom"/>
            <w:tcBorders>
              <w:bottom w:val="single" w:sz="8" w:color="CFF0FC"/>
            </w:tcBorders>
          </w:tcPr>
          <w:p>
            <w:pPr>
              <w:ind w:left="180"/>
              <w:spacing w:after="0" w:line="215" w:lineRule="exact"/>
              <w:rPr>
                <w:sz w:val="20"/>
                <w:szCs w:val="20"/>
                <w:color w:val="auto"/>
              </w:rPr>
            </w:pPr>
            <w:r>
              <w:rPr>
                <w:rFonts w:ascii="Calibri" w:cs="Calibri" w:eastAsia="Calibri" w:hAnsi="Calibri"/>
                <w:sz w:val="18"/>
                <w:szCs w:val="18"/>
                <w:color w:val="auto"/>
              </w:rPr>
              <w:t>2027</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229,706</w:t>
            </w:r>
          </w:p>
        </w:tc>
      </w:tr>
      <w:tr>
        <w:trPr>
          <w:trHeight w:val="210"/>
        </w:trPr>
        <w:tc>
          <w:tcPr>
            <w:tcW w:w="6380" w:type="dxa"/>
            <w:vAlign w:val="bottom"/>
            <w:shd w:val="clear" w:color="auto" w:fill="CFF0FC"/>
          </w:tcPr>
          <w:p>
            <w:pPr>
              <w:spacing w:after="0" w:line="196" w:lineRule="exact"/>
              <w:rPr>
                <w:sz w:val="20"/>
                <w:szCs w:val="20"/>
                <w:color w:val="auto"/>
              </w:rPr>
            </w:pPr>
            <w:r>
              <w:rPr>
                <w:rFonts w:ascii="Calibri" w:cs="Calibri" w:eastAsia="Calibri" w:hAnsi="Calibri"/>
                <w:sz w:val="18"/>
                <w:szCs w:val="18"/>
                <w:color w:val="auto"/>
              </w:rPr>
              <w:t>Total principal and interest payments</w:t>
            </w:r>
          </w:p>
        </w:tc>
        <w:tc>
          <w:tcPr>
            <w:tcW w:w="74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237,206</w:t>
            </w:r>
          </w:p>
        </w:tc>
      </w:tr>
      <w:tr>
        <w:trPr>
          <w:trHeight w:val="215"/>
        </w:trPr>
        <w:tc>
          <w:tcPr>
            <w:tcW w:w="6380" w:type="dxa"/>
            <w:vAlign w:val="bottom"/>
          </w:tcPr>
          <w:p>
            <w:pPr>
              <w:spacing w:after="0" w:line="215" w:lineRule="exact"/>
              <w:rPr>
                <w:sz w:val="20"/>
                <w:szCs w:val="20"/>
                <w:color w:val="auto"/>
              </w:rPr>
            </w:pPr>
            <w:r>
              <w:rPr>
                <w:rFonts w:ascii="Calibri" w:cs="Calibri" w:eastAsia="Calibri" w:hAnsi="Calibri"/>
                <w:sz w:val="18"/>
                <w:szCs w:val="18"/>
                <w:color w:val="auto"/>
              </w:rPr>
              <w:t>Less: payment-in-kind and fnal payment fee</w:t>
            </w:r>
          </w:p>
        </w:tc>
        <w:tc>
          <w:tcPr>
            <w:tcW w:w="7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(37,206 )</w:t>
            </w:r>
          </w:p>
        </w:tc>
      </w:tr>
      <w:tr>
        <w:trPr>
          <w:trHeight w:val="250"/>
        </w:trPr>
        <w:tc>
          <w:tcPr>
            <w:tcW w:w="638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 term loan borrowings</w:t>
            </w:r>
          </w:p>
        </w:tc>
        <w:tc>
          <w:tcPr>
            <w:tcW w:w="740" w:type="dxa"/>
            <w:vAlign w:val="bottom"/>
            <w:tcBorders>
              <w:bottom w:val="single" w:sz="8" w:color="auto"/>
            </w:tcBorders>
            <w:shd w:val="clear" w:color="auto" w:fill="CFF0FC"/>
          </w:tcPr>
          <w:p>
            <w:pPr>
              <w:jc w:val="right"/>
              <w:ind w:right="550"/>
              <w:spacing w:after="0" w:line="209" w:lineRule="exact"/>
              <w:rPr>
                <w:sz w:val="20"/>
                <w:szCs w:val="20"/>
                <w:color w:val="auto"/>
              </w:rPr>
            </w:pPr>
            <w:r>
              <w:rPr>
                <w:rFonts w:ascii="Calibri" w:cs="Calibri" w:eastAsia="Calibri" w:hAnsi="Calibri"/>
                <w:sz w:val="18"/>
                <w:szCs w:val="18"/>
                <w:color w:val="auto"/>
                <w:w w:val="87"/>
              </w:rPr>
              <w:t>$</w:t>
            </w:r>
          </w:p>
        </w:tc>
        <w:tc>
          <w:tcPr>
            <w:tcW w:w="130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200,000</w:t>
            </w:r>
          </w:p>
        </w:tc>
      </w:tr>
    </w:tbl>
    <w:p>
      <w:pPr>
        <w:spacing w:after="0" w:line="16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During the years ended December 31, 2024 and 2023, the Company recognized $23.2 million and $17.1 million, respectvely, of interest expense, including amortzaton of the debt discount, in connecton with the Loan Agreement. As of December 31, 2024 and 2023, the Company had outstanding loan balance of $211.8 million and $148.1 million, respectvely, and accrued interest of $1.7 and $1.1 million, respectvely.</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37" w:name="page138"/>
    <w:bookmarkEnd w:id="137"/>
    <w:p>
      <w:pPr>
        <w:spacing w:after="0"/>
        <w:rPr>
          <w:sz w:val="20"/>
          <w:szCs w:val="20"/>
          <w:color w:val="auto"/>
        </w:rPr>
      </w:pPr>
      <w:r>
        <w:rPr>
          <w:rFonts w:ascii="Calibri" w:cs="Calibri" w:eastAsia="Calibri" w:hAnsi="Calibri"/>
          <w:sz w:val="18"/>
          <w:szCs w:val="18"/>
          <w:b w:val="1"/>
          <w:bCs w:val="1"/>
          <w:color w:val="auto"/>
        </w:rPr>
        <w:t>6. Revenue Interest Financing Liability</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May 3, 2022, the Company entered into a Revenue Interest Financing Agreement with Inital Investors NQ, Sagard, and Hercules pursuant to which the Company will receive up to $260 million in funding from the Inital Investors. Under the terms of the Revenue Interest Financing Agreement, the Company received $100 million at the inital closing and received an additonal $160 million upon FDA approval of VOQUEZNA for treatment of Erosive GERD during the fourth quarter of 2023.</w:t>
      </w:r>
    </w:p>
    <w:p>
      <w:pPr>
        <w:spacing w:after="0" w:line="179"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Additonally, on October 31, 2022, the Company entered into a Joinder Agreement with the Inital Investors and CO Finance LVS XXXVII LLC, or the Additonal Investor, and Hercules, together as the investors. Under the terms of the Joinder Agreement, the Company received $15 million in additonal funding upon FDA approval of vonoprazan for Erosive GERD, or Approval Additonal Funding, during the fourth quarter of 2023, and provides for $25 million in additonal funding for achievement of a sales milestone, or Milestone Additonal Funding, and, together with the Approval Additonal Funding, or the Additonal Investor Funding. The Inital Investors waived their rights of frst ofer regarding the Additonal Investor Funding and the Additonal Investor and joined the Revenue Interest Financing Agreement to extend commitments for the Additonal Investor Funding. On December 23, 2024, CO Finance LVS XXXVII LLC agreed to assign and transfer to OC III LVS LX LP all of its rights, ttle and interest as an Additonal Investor and in connecton therewith, OC III LVS LX LP executed a Joinder Agreement. The total amount funded by the Inital Investors and any subsequent investors is referred to herein as the Investment Amount. As of December 31, 2024, no additonal funding is available under the Revenue Interest Financing Agreement.</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Under the Revenue Interest Financing Agreement, the investors are enttled to receive a 10% royalty on net sales of products containing vonoprazan. The royalty rate is subject to a step-down on net sales exceeding certain annual thresholds and when the Company received FDA approval for vonoprazan for an indicaton relatng to the treatment of heartburn associated with Non-Erosive GERD, which occurred on July 17, 2024. The investors’ right to receive royaltes on net sales will terminate when the investors have aggregate payments equal to 200% of the Investment Amount. In additon, at any tme afer April 30, 2024, the Company has the right to make a cap payment equal to 200% of the Investment Amount less any royaltes already paid, at which tme the agreement will terminate.</w:t>
      </w:r>
    </w:p>
    <w:p>
      <w:pPr>
        <w:spacing w:after="0" w:line="194" w:lineRule="exact"/>
        <w:rPr>
          <w:sz w:val="20"/>
          <w:szCs w:val="20"/>
          <w:color w:val="auto"/>
        </w:rPr>
      </w:pPr>
    </w:p>
    <w:p>
      <w:pPr>
        <w:jc w:val="both"/>
        <w:ind w:right="260" w:firstLine="509"/>
        <w:spacing w:after="0" w:line="235" w:lineRule="auto"/>
        <w:rPr>
          <w:sz w:val="20"/>
          <w:szCs w:val="20"/>
          <w:color w:val="auto"/>
        </w:rPr>
      </w:pPr>
      <w:r>
        <w:rPr>
          <w:rFonts w:ascii="Calibri" w:cs="Calibri" w:eastAsia="Calibri" w:hAnsi="Calibri"/>
          <w:sz w:val="18"/>
          <w:szCs w:val="18"/>
          <w:color w:val="auto"/>
        </w:rPr>
        <w:t>If the investors have not received aggregate payments of at least 100% of the Investment Amount by December 31, 2028, and at least 200% of the Investment Amount by December 31, 2037, each a Minimum Amount, then the Company will be obligated to make a cash payment to the investors in an amount sufcient to gross the investors up to the applicable Minimum Amount.</w:t>
      </w:r>
    </w:p>
    <w:p>
      <w:pPr>
        <w:spacing w:after="0" w:line="178" w:lineRule="exact"/>
        <w:rPr>
          <w:sz w:val="20"/>
          <w:szCs w:val="20"/>
          <w:color w:val="auto"/>
        </w:rPr>
      </w:pPr>
    </w:p>
    <w:p>
      <w:pPr>
        <w:ind w:right="300" w:firstLine="509"/>
        <w:spacing w:after="0" w:line="235" w:lineRule="auto"/>
        <w:rPr>
          <w:sz w:val="20"/>
          <w:szCs w:val="20"/>
          <w:color w:val="auto"/>
        </w:rPr>
      </w:pPr>
      <w:r>
        <w:rPr>
          <w:rFonts w:ascii="Calibri" w:cs="Calibri" w:eastAsia="Calibri" w:hAnsi="Calibri"/>
          <w:sz w:val="18"/>
          <w:szCs w:val="18"/>
          <w:color w:val="auto"/>
        </w:rPr>
        <w:t>Upon the occurrence of an event of default taking place prior to April 1, 2025, between April 1, 2025 and April 1, 2028, and afer April 1, 2028, the Company is obligated to pay 1.30 tmes Investment Amount, 1.65 tmes Investment Amount, and 2.0 tmes investment amount, respectvely, less any amounts the Company previously paid pursuant to the agreement.</w:t>
      </w:r>
    </w:p>
    <w:p>
      <w:pPr>
        <w:spacing w:after="0" w:line="178"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During the year ended December 31, 2023, the Company received gross proceeds of $175.0 million before deductng transacton costs of $2.3 million, which resulted in net proceeds of $172.7 million.</w:t>
      </w:r>
    </w:p>
    <w:p>
      <w:pPr>
        <w:spacing w:after="0" w:line="191"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has evaluated the terms of the Revenue Interest Financing Agreement and concluded that the features of the Investment Amount are similar to those of a debt instrument. Accordingly, the Company has accounted for the transacton as a debt obligaton with interest expense based on an imputed efectve rate derived from the inital carrying value of the obligaton and the expected future payments. The Company recalculates the efectve interest rate each period based on the current carrying value and the revised estmated future payments. As of December 31, 2024, the efectve interest rate of the revenue interest fnancing liability was approximately 12.51%. Changes in future payments from previous estmates are included in the current and future interest expense. The carrying value of the revenue interest fnancing liability was $353.0 million and $306.9 million as of December 31, 2024 and 2023, respectvely.</w:t>
      </w: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2" w:right="359" w:bottom="1440" w:gutter="0" w:footer="0" w:header="0"/>
        </w:sectPr>
      </w:pPr>
    </w:p>
    <w:bookmarkStart w:id="138" w:name="page139"/>
    <w:bookmarkEnd w:id="138"/>
    <w:tbl>
      <w:tblPr>
        <w:tblLayout w:type="fixed"/>
        <w:tblInd w:w="520" w:type="dxa"/>
        <w:tblCellMar>
          <w:top w:w="0" w:type="dxa"/>
          <w:left w:w="0" w:type="dxa"/>
          <w:bottom w:w="0" w:type="dxa"/>
          <w:right w:w="0" w:type="dxa"/>
        </w:tblCellMar>
      </w:tblPr>
      <w:tr>
        <w:trPr>
          <w:trHeight w:val="220"/>
        </w:trPr>
        <w:tc>
          <w:tcPr>
            <w:tcW w:w="6520" w:type="dxa"/>
            <w:vAlign w:val="bottom"/>
            <w:gridSpan w:val="2"/>
          </w:tcPr>
          <w:p>
            <w:pPr>
              <w:spacing w:after="0"/>
              <w:rPr>
                <w:sz w:val="20"/>
                <w:szCs w:val="20"/>
                <w:color w:val="auto"/>
              </w:rPr>
            </w:pPr>
            <w:r>
              <w:rPr>
                <w:rFonts w:ascii="Calibri" w:cs="Calibri" w:eastAsia="Calibri" w:hAnsi="Calibri"/>
                <w:sz w:val="18"/>
                <w:szCs w:val="18"/>
                <w:color w:val="auto"/>
              </w:rPr>
              <w:t>Total revenue interest fnancing liability consists of the following (in thousands):</w:t>
            </w:r>
          </w:p>
        </w:tc>
        <w:tc>
          <w:tcPr>
            <w:tcW w:w="11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9"/>
        </w:trPr>
        <w:tc>
          <w:tcPr>
            <w:tcW w:w="90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00" w:type="dxa"/>
            <w:vAlign w:val="bottom"/>
          </w:tcPr>
          <w:p>
            <w:pPr>
              <w:spacing w:after="0"/>
              <w:rPr>
                <w:sz w:val="18"/>
                <w:szCs w:val="18"/>
                <w:color w:val="auto"/>
              </w:rPr>
            </w:pPr>
          </w:p>
        </w:tc>
        <w:tc>
          <w:tcPr>
            <w:tcW w:w="562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Liability balance as of January 1, 2023</w:t>
            </w:r>
          </w:p>
        </w:tc>
        <w:tc>
          <w:tcPr>
            <w:tcW w:w="1120" w:type="dxa"/>
            <w:vAlign w:val="bottom"/>
            <w:shd w:val="clear" w:color="auto" w:fill="CFF0FC"/>
          </w:tcPr>
          <w:p>
            <w:pPr>
              <w:jc w:val="right"/>
              <w:ind w:right="930"/>
              <w:spacing w:after="0" w:line="215" w:lineRule="exact"/>
              <w:rPr>
                <w:sz w:val="20"/>
                <w:szCs w:val="20"/>
                <w:color w:val="auto"/>
              </w:rPr>
            </w:pPr>
            <w:r>
              <w:rPr>
                <w:rFonts w:ascii="Calibri" w:cs="Calibri" w:eastAsia="Calibri" w:hAnsi="Calibri"/>
                <w:sz w:val="18"/>
                <w:szCs w:val="18"/>
                <w:color w:val="auto"/>
                <w:w w:val="87"/>
              </w:rPr>
              <w:t>$</w:t>
            </w:r>
          </w:p>
        </w:tc>
        <w:tc>
          <w:tcPr>
            <w:tcW w:w="1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109,525</w:t>
            </w:r>
          </w:p>
        </w:tc>
        <w:tc>
          <w:tcPr>
            <w:tcW w:w="80" w:type="dxa"/>
            <w:vAlign w:val="bottom"/>
            <w:shd w:val="clear" w:color="auto" w:fill="CFF0FC"/>
          </w:tcPr>
          <w:p>
            <w:pPr>
              <w:spacing w:after="0"/>
              <w:rPr>
                <w:sz w:val="18"/>
                <w:szCs w:val="18"/>
                <w:color w:val="auto"/>
              </w:rPr>
            </w:pPr>
          </w:p>
        </w:tc>
      </w:tr>
      <w:tr>
        <w:trPr>
          <w:trHeight w:val="215"/>
        </w:trPr>
        <w:tc>
          <w:tcPr>
            <w:tcW w:w="900" w:type="dxa"/>
            <w:vAlign w:val="bottom"/>
          </w:tcPr>
          <w:p>
            <w:pPr>
              <w:spacing w:after="0"/>
              <w:rPr>
                <w:sz w:val="18"/>
                <w:szCs w:val="18"/>
                <w:color w:val="auto"/>
              </w:rPr>
            </w:pPr>
          </w:p>
        </w:tc>
        <w:tc>
          <w:tcPr>
            <w:tcW w:w="5620" w:type="dxa"/>
            <w:vAlign w:val="bottom"/>
          </w:tcPr>
          <w:p>
            <w:pPr>
              <w:spacing w:after="0" w:line="215" w:lineRule="exact"/>
              <w:rPr>
                <w:sz w:val="20"/>
                <w:szCs w:val="20"/>
                <w:color w:val="auto"/>
              </w:rPr>
            </w:pPr>
            <w:r>
              <w:rPr>
                <w:rFonts w:ascii="Calibri" w:cs="Calibri" w:eastAsia="Calibri" w:hAnsi="Calibri"/>
                <w:sz w:val="18"/>
                <w:szCs w:val="18"/>
                <w:color w:val="auto"/>
              </w:rPr>
              <w:t>Proceeds from the Revenue Interest Financing Agreement</w:t>
            </w:r>
          </w:p>
        </w:tc>
        <w:tc>
          <w:tcPr>
            <w:tcW w:w="1120" w:type="dxa"/>
            <w:vAlign w:val="bottom"/>
          </w:tcPr>
          <w:p>
            <w:pPr>
              <w:spacing w:after="0"/>
              <w:rPr>
                <w:sz w:val="18"/>
                <w:szCs w:val="18"/>
                <w:color w:val="auto"/>
              </w:rPr>
            </w:pPr>
          </w:p>
        </w:tc>
        <w:tc>
          <w:tcPr>
            <w:tcW w:w="1600" w:type="dxa"/>
            <w:vAlign w:val="bottom"/>
          </w:tcPr>
          <w:p>
            <w:pPr>
              <w:jc w:val="right"/>
              <w:spacing w:after="0" w:line="215" w:lineRule="exact"/>
              <w:rPr>
                <w:sz w:val="20"/>
                <w:szCs w:val="20"/>
                <w:color w:val="auto"/>
              </w:rPr>
            </w:pPr>
            <w:r>
              <w:rPr>
                <w:rFonts w:ascii="Calibri" w:cs="Calibri" w:eastAsia="Calibri" w:hAnsi="Calibri"/>
                <w:sz w:val="18"/>
                <w:szCs w:val="18"/>
                <w:color w:val="auto"/>
              </w:rPr>
              <w:t>175,000</w:t>
            </w:r>
          </w:p>
        </w:tc>
        <w:tc>
          <w:tcPr>
            <w:tcW w:w="80" w:type="dxa"/>
            <w:vAlign w:val="bottom"/>
          </w:tcPr>
          <w:p>
            <w:pPr>
              <w:spacing w:after="0"/>
              <w:rPr>
                <w:sz w:val="18"/>
                <w:szCs w:val="18"/>
                <w:color w:val="auto"/>
              </w:rPr>
            </w:pPr>
          </w:p>
        </w:tc>
      </w:tr>
      <w:tr>
        <w:trPr>
          <w:trHeight w:val="217"/>
        </w:trPr>
        <w:tc>
          <w:tcPr>
            <w:tcW w:w="900" w:type="dxa"/>
            <w:vAlign w:val="bottom"/>
          </w:tcPr>
          <w:p>
            <w:pPr>
              <w:spacing w:after="0"/>
              <w:rPr>
                <w:sz w:val="18"/>
                <w:szCs w:val="18"/>
                <w:color w:val="auto"/>
              </w:rPr>
            </w:pPr>
          </w:p>
        </w:tc>
        <w:tc>
          <w:tcPr>
            <w:tcW w:w="56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Less: transacton costs</w:t>
            </w:r>
          </w:p>
        </w:tc>
        <w:tc>
          <w:tcPr>
            <w:tcW w:w="1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(2,325 )</w:t>
            </w:r>
          </w:p>
        </w:tc>
      </w:tr>
      <w:tr>
        <w:trPr>
          <w:trHeight w:val="215"/>
        </w:trPr>
        <w:tc>
          <w:tcPr>
            <w:tcW w:w="900" w:type="dxa"/>
            <w:vAlign w:val="bottom"/>
          </w:tcPr>
          <w:p>
            <w:pPr>
              <w:spacing w:after="0"/>
              <w:rPr>
                <w:sz w:val="18"/>
                <w:szCs w:val="18"/>
                <w:color w:val="auto"/>
              </w:rPr>
            </w:pPr>
          </w:p>
        </w:tc>
        <w:tc>
          <w:tcPr>
            <w:tcW w:w="5620" w:type="dxa"/>
            <w:vAlign w:val="bottom"/>
          </w:tcPr>
          <w:p>
            <w:pPr>
              <w:spacing w:after="0" w:line="215" w:lineRule="exact"/>
              <w:rPr>
                <w:sz w:val="20"/>
                <w:szCs w:val="20"/>
                <w:color w:val="auto"/>
              </w:rPr>
            </w:pPr>
            <w:r>
              <w:rPr>
                <w:rFonts w:ascii="Calibri" w:cs="Calibri" w:eastAsia="Calibri" w:hAnsi="Calibri"/>
                <w:sz w:val="18"/>
                <w:szCs w:val="18"/>
                <w:color w:val="auto"/>
              </w:rPr>
              <w:t>Less: royalty payments and payables</w:t>
            </w:r>
          </w:p>
        </w:tc>
        <w:tc>
          <w:tcPr>
            <w:tcW w:w="1120" w:type="dxa"/>
            <w:vAlign w:val="bottom"/>
          </w:tcPr>
          <w:p>
            <w:pPr>
              <w:spacing w:after="0"/>
              <w:rPr>
                <w:sz w:val="18"/>
                <w:szCs w:val="18"/>
                <w:color w:val="auto"/>
              </w:rPr>
            </w:pPr>
          </w:p>
        </w:tc>
        <w:tc>
          <w:tcPr>
            <w:tcW w:w="16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6"/>
        </w:trPr>
        <w:tc>
          <w:tcPr>
            <w:tcW w:w="900" w:type="dxa"/>
            <w:vAlign w:val="bottom"/>
          </w:tcPr>
          <w:p>
            <w:pPr>
              <w:spacing w:after="0"/>
              <w:rPr>
                <w:sz w:val="18"/>
                <w:szCs w:val="18"/>
                <w:color w:val="auto"/>
              </w:rPr>
            </w:pPr>
          </w:p>
        </w:tc>
        <w:tc>
          <w:tcPr>
            <w:tcW w:w="562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Plus: interest expense</w:t>
            </w:r>
          </w:p>
        </w:tc>
        <w:tc>
          <w:tcPr>
            <w:tcW w:w="1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24,727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5620" w:type="dxa"/>
            <w:vAlign w:val="bottom"/>
          </w:tcPr>
          <w:p>
            <w:pPr>
              <w:spacing w:after="0" w:line="209" w:lineRule="exact"/>
              <w:rPr>
                <w:sz w:val="20"/>
                <w:szCs w:val="20"/>
                <w:color w:val="auto"/>
              </w:rPr>
            </w:pPr>
            <w:r>
              <w:rPr>
                <w:rFonts w:ascii="Calibri" w:cs="Calibri" w:eastAsia="Calibri" w:hAnsi="Calibri"/>
                <w:sz w:val="18"/>
                <w:szCs w:val="18"/>
                <w:color w:val="auto"/>
              </w:rPr>
              <w:t>Ending liability balance as of December 31, 2023</w:t>
            </w:r>
          </w:p>
        </w:tc>
        <w:tc>
          <w:tcPr>
            <w:tcW w:w="1120" w:type="dxa"/>
            <w:vAlign w:val="bottom"/>
          </w:tcPr>
          <w:p>
            <w:pPr>
              <w:spacing w:after="0"/>
              <w:rPr>
                <w:sz w:val="18"/>
                <w:szCs w:val="18"/>
                <w:color w:val="auto"/>
              </w:rPr>
            </w:pPr>
          </w:p>
        </w:tc>
        <w:tc>
          <w:tcPr>
            <w:tcW w:w="1600" w:type="dxa"/>
            <w:vAlign w:val="bottom"/>
          </w:tcPr>
          <w:p>
            <w:pPr>
              <w:jc w:val="right"/>
              <w:spacing w:after="0" w:line="209" w:lineRule="exact"/>
              <w:rPr>
                <w:sz w:val="20"/>
                <w:szCs w:val="20"/>
                <w:color w:val="auto"/>
              </w:rPr>
            </w:pPr>
            <w:r>
              <w:rPr>
                <w:rFonts w:ascii="Calibri" w:cs="Calibri" w:eastAsia="Calibri" w:hAnsi="Calibri"/>
                <w:sz w:val="18"/>
                <w:szCs w:val="18"/>
                <w:color w:val="auto"/>
              </w:rPr>
              <w:t>306,927</w:t>
            </w:r>
          </w:p>
        </w:tc>
        <w:tc>
          <w:tcPr>
            <w:tcW w:w="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6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Less: current porton</w:t>
            </w:r>
          </w:p>
        </w:tc>
        <w:tc>
          <w:tcPr>
            <w:tcW w:w="1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(7,111 )</w:t>
            </w:r>
          </w:p>
        </w:tc>
      </w:tr>
      <w:tr>
        <w:trPr>
          <w:trHeight w:val="209"/>
        </w:trPr>
        <w:tc>
          <w:tcPr>
            <w:tcW w:w="900" w:type="dxa"/>
            <w:vAlign w:val="bottom"/>
          </w:tcPr>
          <w:p>
            <w:pPr>
              <w:spacing w:after="0"/>
              <w:rPr>
                <w:sz w:val="18"/>
                <w:szCs w:val="18"/>
                <w:color w:val="auto"/>
              </w:rPr>
            </w:pPr>
          </w:p>
        </w:tc>
        <w:tc>
          <w:tcPr>
            <w:tcW w:w="5620" w:type="dxa"/>
            <w:vAlign w:val="bottom"/>
            <w:tcBorders>
              <w:top w:val="single" w:sz="8" w:color="CFF0FC"/>
            </w:tcBorders>
          </w:tcPr>
          <w:p>
            <w:pPr>
              <w:spacing w:after="0" w:line="209" w:lineRule="exact"/>
              <w:rPr>
                <w:sz w:val="20"/>
                <w:szCs w:val="20"/>
                <w:color w:val="auto"/>
              </w:rPr>
            </w:pPr>
            <w:r>
              <w:rPr>
                <w:rFonts w:ascii="Calibri" w:cs="Calibri" w:eastAsia="Calibri" w:hAnsi="Calibri"/>
                <w:sz w:val="18"/>
                <w:szCs w:val="18"/>
                <w:color w:val="auto"/>
              </w:rPr>
              <w:t>Long-term liability balance as of December 31, 2023</w:t>
            </w:r>
          </w:p>
        </w:tc>
        <w:tc>
          <w:tcPr>
            <w:tcW w:w="1120" w:type="dxa"/>
            <w:vAlign w:val="bottom"/>
            <w:tcBorders>
              <w:top w:val="single" w:sz="8" w:color="auto"/>
              <w:bottom w:val="single" w:sz="8" w:color="auto"/>
            </w:tcBorders>
          </w:tcPr>
          <w:p>
            <w:pPr>
              <w:jc w:val="right"/>
              <w:ind w:right="930"/>
              <w:spacing w:after="0" w:line="209" w:lineRule="exact"/>
              <w:rPr>
                <w:sz w:val="20"/>
                <w:szCs w:val="20"/>
                <w:color w:val="auto"/>
              </w:rPr>
            </w:pPr>
            <w:r>
              <w:rPr>
                <w:rFonts w:ascii="Calibri" w:cs="Calibri" w:eastAsia="Calibri" w:hAnsi="Calibri"/>
                <w:sz w:val="18"/>
                <w:szCs w:val="18"/>
                <w:color w:val="auto"/>
                <w:w w:val="87"/>
              </w:rPr>
              <w:t>$</w:t>
            </w:r>
          </w:p>
        </w:tc>
        <w:tc>
          <w:tcPr>
            <w:tcW w:w="16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299,816</w:t>
            </w:r>
          </w:p>
        </w:tc>
        <w:tc>
          <w:tcPr>
            <w:tcW w:w="80" w:type="dxa"/>
            <w:vAlign w:val="bottom"/>
            <w:tcBorders>
              <w:top w:val="single" w:sz="8" w:color="CFF0FC"/>
            </w:tcBorders>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900" w:type="dxa"/>
            <w:vAlign w:val="bottom"/>
          </w:tcPr>
          <w:p>
            <w:pPr>
              <w:spacing w:after="0"/>
              <w:rPr>
                <w:sz w:val="17"/>
                <w:szCs w:val="17"/>
                <w:color w:val="auto"/>
              </w:rPr>
            </w:pPr>
          </w:p>
        </w:tc>
        <w:tc>
          <w:tcPr>
            <w:tcW w:w="56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00" w:type="dxa"/>
            <w:vAlign w:val="bottom"/>
          </w:tcPr>
          <w:p>
            <w:pPr>
              <w:spacing w:after="0"/>
              <w:rPr>
                <w:sz w:val="18"/>
                <w:szCs w:val="18"/>
                <w:color w:val="auto"/>
              </w:rPr>
            </w:pPr>
          </w:p>
        </w:tc>
        <w:tc>
          <w:tcPr>
            <w:tcW w:w="562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Liability balance as of January 1, 2024</w:t>
            </w:r>
          </w:p>
        </w:tc>
        <w:tc>
          <w:tcPr>
            <w:tcW w:w="1120" w:type="dxa"/>
            <w:vAlign w:val="bottom"/>
            <w:shd w:val="clear" w:color="auto" w:fill="CFF0FC"/>
          </w:tcPr>
          <w:p>
            <w:pPr>
              <w:jc w:val="right"/>
              <w:ind w:right="930"/>
              <w:spacing w:after="0" w:line="215" w:lineRule="exact"/>
              <w:rPr>
                <w:sz w:val="20"/>
                <w:szCs w:val="20"/>
                <w:color w:val="auto"/>
              </w:rPr>
            </w:pPr>
            <w:r>
              <w:rPr>
                <w:rFonts w:ascii="Calibri" w:cs="Calibri" w:eastAsia="Calibri" w:hAnsi="Calibri"/>
                <w:sz w:val="18"/>
                <w:szCs w:val="18"/>
                <w:color w:val="auto"/>
                <w:w w:val="87"/>
              </w:rPr>
              <w:t>$</w:t>
            </w:r>
          </w:p>
        </w:tc>
        <w:tc>
          <w:tcPr>
            <w:tcW w:w="1600" w:type="dxa"/>
            <w:vAlign w:val="bottom"/>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306,927</w:t>
            </w:r>
          </w:p>
        </w:tc>
        <w:tc>
          <w:tcPr>
            <w:tcW w:w="80" w:type="dxa"/>
            <w:vAlign w:val="bottom"/>
            <w:shd w:val="clear" w:color="auto" w:fill="CFF0FC"/>
          </w:tcPr>
          <w:p>
            <w:pPr>
              <w:spacing w:after="0"/>
              <w:rPr>
                <w:sz w:val="18"/>
                <w:szCs w:val="18"/>
                <w:color w:val="auto"/>
              </w:rPr>
            </w:pPr>
          </w:p>
        </w:tc>
      </w:tr>
      <w:tr>
        <w:trPr>
          <w:trHeight w:val="215"/>
        </w:trPr>
        <w:tc>
          <w:tcPr>
            <w:tcW w:w="900" w:type="dxa"/>
            <w:vAlign w:val="bottom"/>
          </w:tcPr>
          <w:p>
            <w:pPr>
              <w:spacing w:after="0"/>
              <w:rPr>
                <w:sz w:val="18"/>
                <w:szCs w:val="18"/>
                <w:color w:val="auto"/>
              </w:rPr>
            </w:pPr>
          </w:p>
        </w:tc>
        <w:tc>
          <w:tcPr>
            <w:tcW w:w="5620" w:type="dxa"/>
            <w:vAlign w:val="bottom"/>
          </w:tcPr>
          <w:p>
            <w:pPr>
              <w:spacing w:after="0" w:line="215" w:lineRule="exact"/>
              <w:rPr>
                <w:sz w:val="20"/>
                <w:szCs w:val="20"/>
                <w:color w:val="auto"/>
              </w:rPr>
            </w:pPr>
            <w:r>
              <w:rPr>
                <w:rFonts w:ascii="Calibri" w:cs="Calibri" w:eastAsia="Calibri" w:hAnsi="Calibri"/>
                <w:sz w:val="18"/>
                <w:szCs w:val="18"/>
                <w:color w:val="auto"/>
              </w:rPr>
              <w:t>Proceeds from the Revenue Interest Financing Agreement</w:t>
            </w:r>
          </w:p>
        </w:tc>
        <w:tc>
          <w:tcPr>
            <w:tcW w:w="1120" w:type="dxa"/>
            <w:vAlign w:val="bottom"/>
          </w:tcPr>
          <w:p>
            <w:pPr>
              <w:spacing w:after="0"/>
              <w:rPr>
                <w:sz w:val="18"/>
                <w:szCs w:val="18"/>
                <w:color w:val="auto"/>
              </w:rPr>
            </w:pPr>
          </w:p>
        </w:tc>
        <w:tc>
          <w:tcPr>
            <w:tcW w:w="1680" w:type="dxa"/>
            <w:vAlign w:val="bottom"/>
            <w:gridSpan w:val="2"/>
          </w:tcPr>
          <w:p>
            <w:pPr>
              <w:jc w:val="right"/>
              <w:ind w:right="100"/>
              <w:spacing w:after="0" w:line="215" w:lineRule="exact"/>
              <w:rPr>
                <w:sz w:val="20"/>
                <w:szCs w:val="20"/>
                <w:color w:val="auto"/>
              </w:rPr>
            </w:pPr>
            <w:r>
              <w:rPr>
                <w:rFonts w:ascii="Calibri" w:cs="Calibri" w:eastAsia="Calibri" w:hAnsi="Calibri"/>
                <w:sz w:val="18"/>
                <w:szCs w:val="18"/>
                <w:color w:val="auto"/>
              </w:rPr>
              <w:t>—</w:t>
            </w:r>
          </w:p>
        </w:tc>
      </w:tr>
      <w:tr>
        <w:trPr>
          <w:trHeight w:val="217"/>
        </w:trPr>
        <w:tc>
          <w:tcPr>
            <w:tcW w:w="900" w:type="dxa"/>
            <w:vAlign w:val="bottom"/>
          </w:tcPr>
          <w:p>
            <w:pPr>
              <w:spacing w:after="0"/>
              <w:rPr>
                <w:sz w:val="18"/>
                <w:szCs w:val="18"/>
                <w:color w:val="auto"/>
              </w:rPr>
            </w:pPr>
          </w:p>
        </w:tc>
        <w:tc>
          <w:tcPr>
            <w:tcW w:w="56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Less: transacton costs</w:t>
            </w:r>
          </w:p>
        </w:tc>
        <w:tc>
          <w:tcPr>
            <w:tcW w:w="1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100"/>
              <w:spacing w:after="0" w:line="216" w:lineRule="exact"/>
              <w:rPr>
                <w:sz w:val="20"/>
                <w:szCs w:val="20"/>
                <w:color w:val="auto"/>
              </w:rPr>
            </w:pPr>
            <w:r>
              <w:rPr>
                <w:rFonts w:ascii="Calibri" w:cs="Calibri" w:eastAsia="Calibri" w:hAnsi="Calibri"/>
                <w:sz w:val="18"/>
                <w:szCs w:val="18"/>
                <w:color w:val="auto"/>
              </w:rPr>
              <w:t>—</w:t>
            </w:r>
          </w:p>
        </w:tc>
      </w:tr>
      <w:tr>
        <w:trPr>
          <w:trHeight w:val="215"/>
        </w:trPr>
        <w:tc>
          <w:tcPr>
            <w:tcW w:w="900" w:type="dxa"/>
            <w:vAlign w:val="bottom"/>
          </w:tcPr>
          <w:p>
            <w:pPr>
              <w:spacing w:after="0"/>
              <w:rPr>
                <w:sz w:val="18"/>
                <w:szCs w:val="18"/>
                <w:color w:val="auto"/>
              </w:rPr>
            </w:pPr>
          </w:p>
        </w:tc>
        <w:tc>
          <w:tcPr>
            <w:tcW w:w="5620" w:type="dxa"/>
            <w:vAlign w:val="bottom"/>
          </w:tcPr>
          <w:p>
            <w:pPr>
              <w:spacing w:after="0" w:line="215" w:lineRule="exact"/>
              <w:rPr>
                <w:sz w:val="20"/>
                <w:szCs w:val="20"/>
                <w:color w:val="auto"/>
              </w:rPr>
            </w:pPr>
            <w:r>
              <w:rPr>
                <w:rFonts w:ascii="Calibri" w:cs="Calibri" w:eastAsia="Calibri" w:hAnsi="Calibri"/>
                <w:sz w:val="18"/>
                <w:szCs w:val="18"/>
                <w:color w:val="auto"/>
              </w:rPr>
              <w:t>Less: royalty payments and payables</w:t>
            </w:r>
          </w:p>
        </w:tc>
        <w:tc>
          <w:tcPr>
            <w:tcW w:w="1120" w:type="dxa"/>
            <w:vAlign w:val="bottom"/>
          </w:tcPr>
          <w:p>
            <w:pPr>
              <w:spacing w:after="0"/>
              <w:rPr>
                <w:sz w:val="18"/>
                <w:szCs w:val="18"/>
                <w:color w:val="auto"/>
              </w:rPr>
            </w:pPr>
          </w:p>
        </w:tc>
        <w:tc>
          <w:tcPr>
            <w:tcW w:w="168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(2,627 )</w:t>
            </w:r>
          </w:p>
        </w:tc>
      </w:tr>
      <w:tr>
        <w:trPr>
          <w:trHeight w:val="216"/>
        </w:trPr>
        <w:tc>
          <w:tcPr>
            <w:tcW w:w="900" w:type="dxa"/>
            <w:vAlign w:val="bottom"/>
          </w:tcPr>
          <w:p>
            <w:pPr>
              <w:spacing w:after="0"/>
              <w:rPr>
                <w:sz w:val="18"/>
                <w:szCs w:val="18"/>
                <w:color w:val="auto"/>
              </w:rPr>
            </w:pPr>
          </w:p>
        </w:tc>
        <w:tc>
          <w:tcPr>
            <w:tcW w:w="562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Plus: interest expense</w:t>
            </w:r>
          </w:p>
        </w:tc>
        <w:tc>
          <w:tcPr>
            <w:tcW w:w="112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48,738</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900" w:type="dxa"/>
            <w:vAlign w:val="bottom"/>
          </w:tcPr>
          <w:p>
            <w:pPr>
              <w:spacing w:after="0"/>
              <w:rPr>
                <w:sz w:val="18"/>
                <w:szCs w:val="18"/>
                <w:color w:val="auto"/>
              </w:rPr>
            </w:pPr>
          </w:p>
        </w:tc>
        <w:tc>
          <w:tcPr>
            <w:tcW w:w="5620" w:type="dxa"/>
            <w:vAlign w:val="bottom"/>
          </w:tcPr>
          <w:p>
            <w:pPr>
              <w:spacing w:after="0" w:line="209" w:lineRule="exact"/>
              <w:rPr>
                <w:sz w:val="20"/>
                <w:szCs w:val="20"/>
                <w:color w:val="auto"/>
              </w:rPr>
            </w:pPr>
            <w:r>
              <w:rPr>
                <w:rFonts w:ascii="Calibri" w:cs="Calibri" w:eastAsia="Calibri" w:hAnsi="Calibri"/>
                <w:sz w:val="18"/>
                <w:szCs w:val="18"/>
                <w:color w:val="auto"/>
              </w:rPr>
              <w:t>Ending liability balance as of December 31, 2024</w:t>
            </w:r>
          </w:p>
        </w:tc>
        <w:tc>
          <w:tcPr>
            <w:tcW w:w="1120" w:type="dxa"/>
            <w:vAlign w:val="bottom"/>
          </w:tcPr>
          <w:p>
            <w:pPr>
              <w:spacing w:after="0"/>
              <w:rPr>
                <w:sz w:val="18"/>
                <w:szCs w:val="18"/>
                <w:color w:val="auto"/>
              </w:rPr>
            </w:pPr>
          </w:p>
        </w:tc>
        <w:tc>
          <w:tcPr>
            <w:tcW w:w="1600" w:type="dxa"/>
            <w:vAlign w:val="bottom"/>
          </w:tcPr>
          <w:p>
            <w:pPr>
              <w:jc w:val="right"/>
              <w:spacing w:after="0" w:line="209" w:lineRule="exact"/>
              <w:rPr>
                <w:sz w:val="20"/>
                <w:szCs w:val="20"/>
                <w:color w:val="auto"/>
              </w:rPr>
            </w:pPr>
            <w:r>
              <w:rPr>
                <w:rFonts w:ascii="Calibri" w:cs="Calibri" w:eastAsia="Calibri" w:hAnsi="Calibri"/>
                <w:sz w:val="18"/>
                <w:szCs w:val="18"/>
                <w:color w:val="auto"/>
              </w:rPr>
              <w:t>353,038</w:t>
            </w:r>
          </w:p>
        </w:tc>
        <w:tc>
          <w:tcPr>
            <w:tcW w:w="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56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Less: current porton</w:t>
            </w:r>
          </w:p>
        </w:tc>
        <w:tc>
          <w:tcPr>
            <w:tcW w:w="112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(19,777 )</w:t>
            </w:r>
          </w:p>
        </w:tc>
      </w:tr>
      <w:tr>
        <w:trPr>
          <w:trHeight w:val="210"/>
        </w:trPr>
        <w:tc>
          <w:tcPr>
            <w:tcW w:w="900" w:type="dxa"/>
            <w:vAlign w:val="bottom"/>
          </w:tcPr>
          <w:p>
            <w:pPr>
              <w:spacing w:after="0"/>
              <w:rPr>
                <w:sz w:val="18"/>
                <w:szCs w:val="18"/>
                <w:color w:val="auto"/>
              </w:rPr>
            </w:pPr>
          </w:p>
        </w:tc>
        <w:tc>
          <w:tcPr>
            <w:tcW w:w="5620" w:type="dxa"/>
            <w:vAlign w:val="bottom"/>
            <w:tcBorders>
              <w:top w:val="single" w:sz="8" w:color="CFF0FC"/>
            </w:tcBorders>
          </w:tcPr>
          <w:p>
            <w:pPr>
              <w:spacing w:after="0" w:line="209" w:lineRule="exact"/>
              <w:rPr>
                <w:sz w:val="20"/>
                <w:szCs w:val="20"/>
                <w:color w:val="auto"/>
              </w:rPr>
            </w:pPr>
            <w:r>
              <w:rPr>
                <w:rFonts w:ascii="Calibri" w:cs="Calibri" w:eastAsia="Calibri" w:hAnsi="Calibri"/>
                <w:sz w:val="18"/>
                <w:szCs w:val="18"/>
                <w:color w:val="auto"/>
              </w:rPr>
              <w:t>Long-term liability balance as of December 31, 2024</w:t>
            </w:r>
          </w:p>
        </w:tc>
        <w:tc>
          <w:tcPr>
            <w:tcW w:w="1120" w:type="dxa"/>
            <w:vAlign w:val="bottom"/>
            <w:tcBorders>
              <w:top w:val="single" w:sz="8" w:color="auto"/>
              <w:bottom w:val="single" w:sz="8" w:color="auto"/>
            </w:tcBorders>
          </w:tcPr>
          <w:p>
            <w:pPr>
              <w:jc w:val="right"/>
              <w:ind w:right="930"/>
              <w:spacing w:after="0" w:line="209" w:lineRule="exact"/>
              <w:rPr>
                <w:sz w:val="20"/>
                <w:szCs w:val="20"/>
                <w:color w:val="auto"/>
              </w:rPr>
            </w:pPr>
            <w:r>
              <w:rPr>
                <w:rFonts w:ascii="Calibri" w:cs="Calibri" w:eastAsia="Calibri" w:hAnsi="Calibri"/>
                <w:sz w:val="18"/>
                <w:szCs w:val="18"/>
                <w:color w:val="auto"/>
                <w:w w:val="87"/>
              </w:rPr>
              <w:t>$</w:t>
            </w:r>
          </w:p>
        </w:tc>
        <w:tc>
          <w:tcPr>
            <w:tcW w:w="16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333,261</w:t>
            </w:r>
          </w:p>
        </w:tc>
        <w:tc>
          <w:tcPr>
            <w:tcW w:w="80" w:type="dxa"/>
            <w:vAlign w:val="bottom"/>
            <w:tcBorders>
              <w:top w:val="single" w:sz="8" w:color="CFF0FC"/>
            </w:tcBorders>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6194425</wp:posOffset>
            </wp:positionH>
            <wp:positionV relativeFrom="paragraph">
              <wp:posOffset>-1731010</wp:posOffset>
            </wp:positionV>
            <wp:extent cx="514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-1447800</wp:posOffset>
            </wp:positionV>
            <wp:extent cx="514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-453390</wp:posOffset>
            </wp:positionV>
            <wp:extent cx="514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47" w:lineRule="exact"/>
        <w:rPr>
          <w:sz w:val="20"/>
          <w:szCs w:val="20"/>
          <w:color w:val="auto"/>
        </w:rPr>
      </w:pPr>
    </w:p>
    <w:p>
      <w:pPr>
        <w:ind w:right="200" w:firstLine="509"/>
        <w:spacing w:after="0" w:line="235" w:lineRule="auto"/>
        <w:rPr>
          <w:sz w:val="20"/>
          <w:szCs w:val="20"/>
          <w:color w:val="auto"/>
        </w:rPr>
      </w:pPr>
      <w:r>
        <w:rPr>
          <w:rFonts w:ascii="Calibri" w:cs="Calibri" w:eastAsia="Calibri" w:hAnsi="Calibri"/>
          <w:sz w:val="18"/>
          <w:szCs w:val="18"/>
          <w:color w:val="auto"/>
        </w:rPr>
        <w:t>During the years ended December 31, 2024 and 2023, the Company recognized $48.7 million and $24.7 million, respectvely, of interest expense in connecton with the revenue interest fnancing liability.</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The Company will record liabilites associated with achievement of the sales milestone when such contngent event occurs. To determine the accreton of the liability related to the Revenue Interest Financing Agreement, the Company is required to estmate the total amount of future royalty payments and estmated tming of such payments based on the Company’s revenue projectons. As royalty payments are made, the balance of the debt obligaton will be efectvely repaid. Based on the Company’s periodic review, the exact tming of repayment is likely to be diferent in each reportng period as compared to those estmated in the Company’s inital revenue projectons. A signifcant increase or decrease in actual net sales of vonoprazan compared to the Company’s revenue projectons could impact the interest expense associated with the revenue interest fnancing liability. Also, the Company’s total obligaton can vary depending on default events and achievement of the sales milestone.</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7. Stockholders’ Equity</w:t>
      </w:r>
    </w:p>
    <w:p>
      <w:pPr>
        <w:spacing w:after="0" w:line="185"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Common Stock</w:t>
      </w:r>
    </w:p>
    <w:p>
      <w:pPr>
        <w:spacing w:after="0" w:line="177" w:lineRule="exact"/>
        <w:rPr>
          <w:sz w:val="20"/>
          <w:szCs w:val="20"/>
          <w:color w:val="auto"/>
        </w:rPr>
      </w:pPr>
    </w:p>
    <w:p>
      <w:pPr>
        <w:ind w:right="140" w:firstLine="509"/>
        <w:spacing w:after="0" w:line="235" w:lineRule="auto"/>
        <w:rPr>
          <w:sz w:val="20"/>
          <w:szCs w:val="20"/>
          <w:color w:val="auto"/>
        </w:rPr>
      </w:pPr>
      <w:r>
        <w:rPr>
          <w:rFonts w:ascii="Calibri" w:cs="Calibri" w:eastAsia="Calibri" w:hAnsi="Calibri"/>
          <w:sz w:val="18"/>
          <w:szCs w:val="18"/>
          <w:color w:val="auto"/>
        </w:rPr>
        <w:t>In March 2019, the founders granted the Company a repurchase right for the 3,373,408 shares of common stock originally purchased in 2018. The Company has the right, but not the obligaton, to repurchase unvested shares in the event the founder’s relatonship with the Company is terminated, subject to certain limitatons, at the original purchase price of the stock. The repurchase right lapsed for 843,352 shares in March 2019 and the repurchase right for the remaining 2,530,056 shares lapses in equal monthly amounts over the following 48-month period ended March 2023. The fair value of the founder shares at the date the repurchase right was granted was recognized as stock-based compensaton expense on a straight-line basis over the vestng period. As of December 31, 2024 and 2023, no shares of common stock were subject to repurchase by the Company. The amount of recognized and unrecognized stock-based compensaton related to the founder stock was immaterial for all periods presented.</w:t>
      </w: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Underwriten Public Oferings</w:t>
      </w:r>
    </w:p>
    <w:p>
      <w:pPr>
        <w:spacing w:after="0" w:line="190" w:lineRule="exact"/>
        <w:rPr>
          <w:sz w:val="20"/>
          <w:szCs w:val="20"/>
          <w:color w:val="auto"/>
        </w:rPr>
      </w:pPr>
    </w:p>
    <w:p>
      <w:pPr>
        <w:ind w:right="320" w:firstLine="509"/>
        <w:spacing w:after="0" w:line="235" w:lineRule="auto"/>
        <w:rPr>
          <w:sz w:val="20"/>
          <w:szCs w:val="20"/>
          <w:color w:val="auto"/>
        </w:rPr>
      </w:pPr>
      <w:r>
        <w:rPr>
          <w:rFonts w:ascii="Calibri" w:cs="Calibri" w:eastAsia="Calibri" w:hAnsi="Calibri"/>
          <w:sz w:val="18"/>
          <w:szCs w:val="18"/>
          <w:color w:val="auto"/>
        </w:rPr>
        <w:t>In May 2023, the Company sold 12,793,750 shares of its common stock, which included the exercise in full by the underwriters of their opton to purchase 1,668,750 shares, at a price of $11.75 per share for total gross proceeds of $150.3 million. The net purchase price afer deductng underwritng discounts and commissions was $11.08 per share, which generated net proceeds of $141.8 million. The Company incurred an additonal $0.4 million of ofering expenses in connecton with this public ofering.</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August 2024, the Company sold 8,695,652 shares of common stock at a price of $11.50 per share and pre-funded warrants to purchase 2,608,922 shares of common stock at a price of $11.499 per pre-funded warrant for total gross proceeds of $130.0 million. The net purchase price afer deductng the underwritng discounts and commissions and other ofering expenses, was $10.77 per share, which generated net proceeds of $121.8 million. Certain afliates of Frazier Life Sciences IX, L.P. (collectvely, "Frazier"), a signifcant stockholder and Dr. James Topper, who currently serves on the Company's Board of Directors, shares votng</w:t>
      </w: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52" w:right="399" w:bottom="1440" w:gutter="0" w:footer="0" w:header="0"/>
        </w:sectPr>
      </w:pPr>
    </w:p>
    <w:bookmarkStart w:id="139" w:name="page140"/>
    <w:bookmarkEnd w:id="139"/>
    <w:p>
      <w:pPr>
        <w:ind w:right="80"/>
        <w:spacing w:after="0" w:line="235" w:lineRule="auto"/>
        <w:rPr>
          <w:sz w:val="20"/>
          <w:szCs w:val="20"/>
          <w:color w:val="auto"/>
        </w:rPr>
      </w:pPr>
      <w:r>
        <w:rPr>
          <w:rFonts w:ascii="Calibri" w:cs="Calibri" w:eastAsia="Calibri" w:hAnsi="Calibri"/>
          <w:sz w:val="18"/>
          <w:szCs w:val="18"/>
          <w:color w:val="auto"/>
        </w:rPr>
        <w:t>and investment power of the securites held by Frazier. Frazier partcipated in the ofering by purchasing pre-funded warrants on the same terms as all other investors at a purchase price of $11.499, which represents the per share public ofering price for the common stock less the $0.001 per share exercise price for each pre-funded warrant. Each pre-funded warrant became exercisable upon issuance and will not expire untl exercised in full. The pre-funded warrants may not be exercised if the aggregate number of ordinary shares benefcially owned by the holders thereof immediately following such exercise would exceed a specifed benefcial ownership limitaton.</w:t>
      </w:r>
    </w:p>
    <w:p>
      <w:pPr>
        <w:spacing w:after="0" w:line="193"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pre-funded warrants were classifed as a component of equity in the Company's balance sheets as they are freestanding fnancial instruments that are immediately exercisable, do not embody an obligaton for the Company to repurchase its own shares and permit the holders to receive a fxed number of shares of common stock upon exercise. The Company valued the pre-funded warrants at issuance, concluding that their sales price approximated their fair value, and allocated net proceeds from the sale proportonately to the common stock and pre-funded warrants, of which $28.2 million was allocated to the pre-funded warrants and recorded as a component of additonal paid-in capital. As of December 31, 2024, none of the pre-funded warrants have been exercised.</w:t>
      </w:r>
    </w:p>
    <w:p>
      <w:pPr>
        <w:spacing w:after="0" w:line="176"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ATM Agreements</w:t>
      </w:r>
    </w:p>
    <w:p>
      <w:pPr>
        <w:spacing w:after="0" w:line="193" w:lineRule="exact"/>
        <w:rPr>
          <w:sz w:val="20"/>
          <w:szCs w:val="20"/>
          <w:color w:val="auto"/>
        </w:rPr>
      </w:pPr>
    </w:p>
    <w:p>
      <w:pPr>
        <w:ind w:right="220" w:firstLine="509"/>
        <w:spacing w:after="0" w:line="215" w:lineRule="auto"/>
        <w:rPr>
          <w:sz w:val="20"/>
          <w:szCs w:val="20"/>
          <w:color w:val="auto"/>
        </w:rPr>
      </w:pPr>
      <w:r>
        <w:rPr>
          <w:rFonts w:ascii="Calibri" w:cs="Calibri" w:eastAsia="Calibri" w:hAnsi="Calibri"/>
          <w:sz w:val="18"/>
          <w:szCs w:val="18"/>
          <w:color w:val="auto"/>
        </w:rPr>
        <w:t>In November 2020, the Company entered into an Open Market Sale Agreement</w:t>
      </w:r>
      <w:r>
        <w:rPr>
          <w:rFonts w:ascii="Calibri" w:cs="Calibri" w:eastAsia="Calibri" w:hAnsi="Calibri"/>
          <w:sz w:val="24"/>
          <w:szCs w:val="24"/>
          <w:color w:val="auto"/>
          <w:vertAlign w:val="superscript"/>
        </w:rPr>
        <w:t>SM</w:t>
      </w:r>
      <w:r>
        <w:rPr>
          <w:rFonts w:ascii="Calibri" w:cs="Calibri" w:eastAsia="Calibri" w:hAnsi="Calibri"/>
          <w:sz w:val="18"/>
          <w:szCs w:val="18"/>
          <w:color w:val="auto"/>
        </w:rPr>
        <w:t>, or the Sales Agreement, with Jeferies LLC, or the Sales Agent, under which the Company may, from tme to tme, sell shares of common stock having an aggregate ofering price of up to an amount registered under an efectve registraton statement through the Sales Agent.</w:t>
      </w:r>
    </w:p>
    <w:p>
      <w:pPr>
        <w:spacing w:after="0" w:line="192"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November 2023, the Company fled a shelf registraton statement on Form S-3 which was declared efectve by the SEC on November 17, 2023, which included an at-the-market prospectus pursuant to which the Company may, from tme to tme, sell up to an aggregate of $150 million of the Company's common stock through the Sales Agent, or the 2023 ATM Ofering. The Company is not obligated to, and cannot provide any assurances that the Company will, make any sales of the shares under the Sales Agreement. The Sales Agreement may be terminated by the Sales Agent or the Company at any tme. For the year ended December 31, 2023, the Company sold 1,514,219 shares for net proceeds of approximately $14.1 million afer deductng $0.4 million of issuance costs. No shares were sold during the year ended December 31, 2024. As of December 31, 2024, all of the available $150 million under the 2023 ATM Ofering remains available.</w:t>
      </w:r>
    </w:p>
    <w:p>
      <w:pPr>
        <w:sectPr>
          <w:pgSz w:w="11900" w:h="16838" w:orient="portrait"/>
          <w:cols w:equalWidth="0" w:num="1">
            <w:col w:w="11240"/>
          </w:cols>
          <w:pgMar w:left="320" w:top="1156" w:right="339" w:bottom="1440" w:gutter="0" w:footer="0" w:header="0"/>
        </w:sectPr>
      </w:pPr>
    </w:p>
    <w:p>
      <w:pPr>
        <w:spacing w:after="0" w:line="177" w:lineRule="exact"/>
        <w:rPr>
          <w:sz w:val="20"/>
          <w:szCs w:val="20"/>
          <w:color w:val="auto"/>
        </w:rPr>
      </w:pPr>
    </w:p>
    <w:p>
      <w:pPr>
        <w:spacing w:after="0"/>
        <w:rPr>
          <w:sz w:val="20"/>
          <w:szCs w:val="20"/>
          <w:color w:val="auto"/>
        </w:rPr>
      </w:pPr>
      <w:r>
        <w:rPr>
          <w:rFonts w:ascii="Calibri" w:cs="Calibri" w:eastAsia="Calibri" w:hAnsi="Calibri"/>
          <w:sz w:val="18"/>
          <w:szCs w:val="18"/>
          <w:i w:val="1"/>
          <w:iCs w:val="1"/>
          <w:color w:val="auto"/>
        </w:rPr>
        <w:t>Common Stock Reserves</w:t>
      </w:r>
    </w:p>
    <w:p>
      <w:pPr>
        <w:spacing w:after="0" w:line="172"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Common stock reserved for future issuance consists of the following:</w:t>
      </w:r>
    </w:p>
    <w:p>
      <w:pPr>
        <w:spacing w:after="0" w:line="200" w:lineRule="exact"/>
        <w:rPr>
          <w:sz w:val="20"/>
          <w:szCs w:val="20"/>
          <w:color w:val="auto"/>
        </w:rPr>
      </w:pPr>
    </w:p>
    <w:p>
      <w:pPr>
        <w:spacing w:after="0" w:line="247" w:lineRule="exact"/>
        <w:rPr>
          <w:sz w:val="20"/>
          <w:szCs w:val="20"/>
          <w:color w:val="auto"/>
        </w:rPr>
      </w:pPr>
    </w:p>
    <w:p>
      <w:pPr>
        <w:ind w:left="1420" w:right="1620"/>
        <w:spacing w:after="0" w:line="235" w:lineRule="auto"/>
        <w:rPr>
          <w:sz w:val="20"/>
          <w:szCs w:val="20"/>
          <w:color w:val="auto"/>
        </w:rPr>
      </w:pPr>
      <w:r>
        <w:rPr>
          <w:rFonts w:ascii="Calibri" w:cs="Calibri" w:eastAsia="Calibri" w:hAnsi="Calibri"/>
          <w:sz w:val="18"/>
          <w:szCs w:val="18"/>
          <w:color w:val="auto"/>
        </w:rPr>
        <w:t>Common stock warrants including pre-funded warrants Stock optons and restricted stock units outstanding Shares available for issuance under the 2019 Incentve Plan Shares available for issuance under the ESPP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-531495</wp:posOffset>
            </wp:positionV>
            <wp:extent cx="5349240" cy="13716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349240" cy="13716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-257175</wp:posOffset>
            </wp:positionV>
            <wp:extent cx="5349240" cy="13716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Calibri" w:cs="Calibri" w:eastAsia="Calibri" w:hAnsi="Calibri"/>
          <w:sz w:val="18"/>
          <w:szCs w:val="18"/>
          <w:color w:val="auto"/>
        </w:rPr>
        <w:t>Balance at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6256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349240" cy="162560"/>
                    </a:xfrm>
                    <a:prstGeom prst="rect">
                      <a:avLst/>
                    </a:prstGeom>
                    <a:noFill/>
                  </pic:spPr>
                </pic:pic>
              </a:graphicData>
            </a:graphic>
          </wp:anchor>
        </w:drawing>
      </w:r>
    </w:p>
    <w:p>
      <w:pPr>
        <w:spacing w:after="0" w:line="20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Preferred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December 31, 2024</w:t>
      </w:r>
    </w:p>
    <w:p>
      <w:pPr>
        <w:spacing w:after="0" w:line="15" w:lineRule="exact"/>
        <w:rPr>
          <w:sz w:val="20"/>
          <w:szCs w:val="20"/>
          <w:color w:val="auto"/>
        </w:rPr>
      </w:pPr>
    </w:p>
    <w:p>
      <w:pPr>
        <w:ind w:left="1060"/>
        <w:spacing w:after="0"/>
        <w:rPr>
          <w:sz w:val="20"/>
          <w:szCs w:val="20"/>
          <w:color w:val="auto"/>
        </w:rPr>
      </w:pPr>
      <w:r>
        <w:rPr>
          <w:rFonts w:ascii="Calibri" w:cs="Calibri" w:eastAsia="Calibri" w:hAnsi="Calibri"/>
          <w:sz w:val="17"/>
          <w:szCs w:val="17"/>
          <w:color w:val="auto"/>
        </w:rPr>
        <w:t>2,700,150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-125730</wp:posOffset>
            </wp:positionV>
            <wp:extent cx="14230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ind w:left="1060"/>
        <w:spacing w:after="0"/>
        <w:rPr>
          <w:sz w:val="20"/>
          <w:szCs w:val="20"/>
          <w:color w:val="auto"/>
        </w:rPr>
      </w:pPr>
      <w:r>
        <w:rPr>
          <w:rFonts w:ascii="Calibri" w:cs="Calibri" w:eastAsia="Calibri" w:hAnsi="Calibri"/>
          <w:sz w:val="17"/>
          <w:szCs w:val="17"/>
          <w:color w:val="auto"/>
        </w:rPr>
        <w:t>8,540,192</w:t>
      </w:r>
    </w:p>
    <w:p>
      <w:pPr>
        <w:spacing w:after="0" w:line="8" w:lineRule="exact"/>
        <w:rPr>
          <w:sz w:val="20"/>
          <w:szCs w:val="20"/>
          <w:color w:val="auto"/>
        </w:rPr>
      </w:pPr>
    </w:p>
    <w:p>
      <w:pPr>
        <w:ind w:left="1060"/>
        <w:spacing w:after="0"/>
        <w:rPr>
          <w:sz w:val="20"/>
          <w:szCs w:val="20"/>
          <w:color w:val="auto"/>
        </w:rPr>
      </w:pPr>
      <w:r>
        <w:rPr>
          <w:rFonts w:ascii="Calibri" w:cs="Calibri" w:eastAsia="Calibri" w:hAnsi="Calibri"/>
          <w:sz w:val="17"/>
          <w:szCs w:val="17"/>
          <w:color w:val="auto"/>
        </w:rPr>
        <w:t>1,578,888</w:t>
      </w:r>
    </w:p>
    <w:p>
      <w:pPr>
        <w:spacing w:after="0" w:line="4" w:lineRule="exact"/>
        <w:rPr>
          <w:sz w:val="20"/>
          <w:szCs w:val="20"/>
          <w:color w:val="auto"/>
        </w:rPr>
      </w:pPr>
    </w:p>
    <w:p>
      <w:pPr>
        <w:jc w:val="right"/>
        <w:ind w:right="1500"/>
        <w:spacing w:after="0"/>
        <w:rPr>
          <w:sz w:val="20"/>
          <w:szCs w:val="20"/>
          <w:color w:val="auto"/>
        </w:rPr>
      </w:pPr>
      <w:r>
        <w:rPr>
          <w:rFonts w:ascii="Calibri" w:cs="Calibri" w:eastAsia="Calibri" w:hAnsi="Calibri"/>
          <w:sz w:val="18"/>
          <w:szCs w:val="18"/>
          <w:color w:val="auto"/>
        </w:rPr>
        <w:t>1,177,618</w:t>
      </w:r>
    </w:p>
    <w:p>
      <w:pPr>
        <w:spacing w:after="0" w:line="10" w:lineRule="exact"/>
        <w:rPr>
          <w:sz w:val="20"/>
          <w:szCs w:val="20"/>
          <w:color w:val="auto"/>
        </w:rPr>
      </w:pPr>
    </w:p>
    <w:p>
      <w:pPr>
        <w:jc w:val="right"/>
        <w:ind w:right="1500"/>
        <w:spacing w:after="0"/>
        <w:rPr>
          <w:sz w:val="20"/>
          <w:szCs w:val="20"/>
          <w:color w:val="auto"/>
        </w:rPr>
      </w:pPr>
      <w:r>
        <w:rPr>
          <w:rFonts w:ascii="Calibri" w:cs="Calibri" w:eastAsia="Calibri" w:hAnsi="Calibri"/>
          <w:sz w:val="18"/>
          <w:szCs w:val="18"/>
          <w:color w:val="auto"/>
        </w:rPr>
        <w:t>13,996,848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-130175</wp:posOffset>
            </wp:positionV>
            <wp:extent cx="14230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622" w:lineRule="exact"/>
        <w:rPr>
          <w:sz w:val="20"/>
          <w:szCs w:val="20"/>
          <w:color w:val="auto"/>
        </w:rPr>
      </w:pPr>
    </w:p>
    <w:p>
      <w:pPr>
        <w:sectPr>
          <w:pgSz w:w="11900" w:h="16838" w:orient="portrait"/>
          <w:cols w:equalWidth="0" w:num="2">
            <w:col w:w="7260" w:space="720"/>
            <w:col w:w="3260"/>
          </w:cols>
          <w:pgMar w:left="320" w:top="1156" w:right="339" w:bottom="1440" w:gutter="0" w:footer="0" w:header="0"/>
          <w:type w:val="continuous"/>
        </w:sectPr>
      </w:pPr>
    </w:p>
    <w:p>
      <w:pPr>
        <w:ind w:right="120" w:firstLine="509"/>
        <w:spacing w:after="0" w:line="235" w:lineRule="auto"/>
        <w:rPr>
          <w:sz w:val="20"/>
          <w:szCs w:val="20"/>
          <w:color w:val="auto"/>
        </w:rPr>
      </w:pPr>
      <w:r>
        <w:rPr>
          <w:rFonts w:ascii="Calibri" w:cs="Calibri" w:eastAsia="Calibri" w:hAnsi="Calibri"/>
          <w:sz w:val="18"/>
          <w:szCs w:val="18"/>
          <w:color w:val="auto"/>
        </w:rPr>
        <w:t>The Company is authorized to issue up to 40 million shares of preferred stock. As of December 31, 2024 and 2023, there were no shares of preferred stock issued or outstanding.</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Equity Incentve Plan</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The Company’s 2019 Equity Incentve Plan, or the Existng Incentve Plan, provided for the grant of incentve stock optons, non-statutory stock optons, stock appreciaton rights, restricted stock awards, restricted stock unit awards, and other stock awards to eligible recipients, including employees, directors or consultants of the Company. The Company had 2,231,739 shares of common stock authorized for issuance under the Existng Incentve Plan, of which, 1,400,528 stock optons and 16,260 restricted stock awards were granted in 2019. As a result of the adopton of the 2019 Incentve Award Plan, or the 2019 Plan, in October 2019, no further shares are available for issuance under the Existng Incentve Plan.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type w:val="continuous"/>
        </w:sectPr>
      </w:pPr>
    </w:p>
    <w:bookmarkStart w:id="140" w:name="page141"/>
    <w:bookmarkEnd w:id="140"/>
    <w:p>
      <w:pPr>
        <w:spacing w:after="0"/>
        <w:rPr>
          <w:sz w:val="20"/>
          <w:szCs w:val="20"/>
          <w:color w:val="auto"/>
        </w:rPr>
      </w:pPr>
      <w:r>
        <w:rPr>
          <w:rFonts w:ascii="Calibri" w:cs="Calibri" w:eastAsia="Calibri" w:hAnsi="Calibri"/>
          <w:sz w:val="18"/>
          <w:szCs w:val="18"/>
          <w:b w:val="1"/>
          <w:bCs w:val="1"/>
          <w:i w:val="1"/>
          <w:iCs w:val="1"/>
          <w:color w:val="auto"/>
        </w:rPr>
        <w:t>2019 Incentve Award Plan</w:t>
      </w:r>
    </w:p>
    <w:p>
      <w:pPr>
        <w:spacing w:after="0" w:line="190"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In October 2019, the Board of Directors adopted, and the Company’s stockholders approved, the 2019 Plan, which became efectve in connecton with the IPO. Under the 2019 Plan, the Company may grant stock optons, stock appreciaton rights, restricted stock, restricted stock units and other awards to individuals who are then employees, ofcers, non-employee directors or consultants of the Company or its subsidiaries. The number of shares initally available for issuance will be increased by (i) the number of shares subject to stock optons or similar awards granted under the Existng Incentve Plan that expire or otherwise terminate without having been exercised in full afer the efectve date of the 2019 Plan and unvested shares issued pursuant to awards granted under the Existng Incentve Plan that are forfeited to or repurchased by the Company afer the efectve date of the 2019 Plan, with the maximum number of shares to be added to the 2019 Plan pursuant to clause (i) above or equal to 1,416,788 shares, and (ii) an annual increase on January 1 of each calendar year beginning in 2020 and ending in 2029, equal to the lesser of (a) 5% of the shares of common stock outstanding on the fnal day of the immediately preceding calendar year and (b) such smaller number of shares as determined by the Board of Directors.</w:t>
      </w:r>
    </w:p>
    <w:p>
      <w:pPr>
        <w:spacing w:after="0" w:line="18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On July 14, 2023, the Company completed a voluntary, one-tme stock opton exchange program, or the Opton Exchange, pursuant to which eligible employees were able to exchange certain outstanding stock optons granted under the 2019 Plan for a lesser amount of new restricted stock units, or RSUs, issued under the 2019 Plan. Partcipants in the Opton Exchange received one RSU for every two shares of Phathom common stock underlying the eligible optons surrendered. This exchange rato was applied on a grant by grant basis. The Opton Exchange resulted in 2,406,622 optons being exchanged for 1,203,341 RSUs. The Company is recognizing an additonal $2.2 million of incremental expense related to the Opton Exchange to be recognized over a three-year vestng period.</w:t>
      </w:r>
    </w:p>
    <w:p>
      <w:pPr>
        <w:spacing w:after="0" w:line="181"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As of December 31, 2024, 1,578,888 shares remain available for issuance, which refects 3,194,437 stock optons and RSUs awards granted, and 762,646 of awards cancelled or forfeited, during the year ended December 31, 2024 as well as an annual increase of 2,898,503 shares authorized on January 1, 2024.</w:t>
      </w:r>
    </w:p>
    <w:p>
      <w:pPr>
        <w:spacing w:after="0" w:line="187"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Performance-Based Units</w:t>
      </w:r>
    </w:p>
    <w:p>
      <w:pPr>
        <w:spacing w:after="0" w:line="177" w:lineRule="exact"/>
        <w:rPr>
          <w:sz w:val="20"/>
          <w:szCs w:val="20"/>
          <w:color w:val="auto"/>
        </w:rPr>
      </w:pPr>
    </w:p>
    <w:p>
      <w:pPr>
        <w:ind w:right="80" w:firstLine="509"/>
        <w:spacing w:after="0" w:line="251" w:lineRule="auto"/>
        <w:rPr>
          <w:sz w:val="20"/>
          <w:szCs w:val="20"/>
          <w:color w:val="auto"/>
        </w:rPr>
      </w:pPr>
      <w:r>
        <w:rPr>
          <w:rFonts w:ascii="Calibri" w:cs="Calibri" w:eastAsia="Calibri" w:hAnsi="Calibri"/>
          <w:sz w:val="17"/>
          <w:szCs w:val="17"/>
          <w:color w:val="auto"/>
        </w:rPr>
        <w:t xml:space="preserve">During 2020, the Company granted the inital performance-based units, or PSUs, whereby vestng depended upon the approval by the FDA of vonoprazan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and then, or concurrent with, Erosive GERD. The PSU milestones were achieved upon FDA approval of vonoprazan for </w:t>
      </w:r>
      <w:r>
        <w:rPr>
          <w:rFonts w:ascii="Calibri" w:cs="Calibri" w:eastAsia="Calibri" w:hAnsi="Calibri"/>
          <w:sz w:val="17"/>
          <w:szCs w:val="17"/>
          <w:i w:val="1"/>
          <w:iCs w:val="1"/>
          <w:color w:val="auto"/>
        </w:rPr>
        <w:t>H. pylori</w:t>
      </w:r>
      <w:r>
        <w:rPr>
          <w:rFonts w:ascii="Calibri" w:cs="Calibri" w:eastAsia="Calibri" w:hAnsi="Calibri"/>
          <w:sz w:val="17"/>
          <w:szCs w:val="17"/>
          <w:color w:val="auto"/>
        </w:rPr>
        <w:t xml:space="preserve"> and Erosive GERD during the fourth quarter of 2023. As a result, stock-based compensaton cost of $19.3 million was recognized within the statements of operatons and comprehensive loss during the year ended December 31, 2023. No stock-based compensaton cost was recognized within the statements of operatons and comprehensive loss during the year ended December 31, 2024. No PSUs were outstanding as of December 31, 2024 and 2023.</w:t>
      </w:r>
    </w:p>
    <w:p>
      <w:pPr>
        <w:spacing w:after="0" w:line="166"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Restricted Stock Units</w:t>
      </w:r>
    </w:p>
    <w:p>
      <w:pPr>
        <w:spacing w:after="0" w:line="185"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following table summarizes RSU actvity under the 2019 Plan during the year ended December 31, 2024:</w:t>
      </w:r>
    </w:p>
    <w:p>
      <w:pPr>
        <w:spacing w:after="0" w:line="212"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43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40" w:type="dxa"/>
            <w:vAlign w:val="bottom"/>
            <w:gridSpan w:val="2"/>
          </w:tcPr>
          <w:p>
            <w:pPr>
              <w:jc w:val="center"/>
              <w:ind w:right="340"/>
              <w:spacing w:after="0"/>
              <w:rPr>
                <w:sz w:val="20"/>
                <w:szCs w:val="20"/>
                <w:color w:val="auto"/>
              </w:rPr>
            </w:pPr>
            <w:r>
              <w:rPr>
                <w:rFonts w:ascii="Calibri" w:cs="Calibri" w:eastAsia="Calibri" w:hAnsi="Calibri"/>
                <w:sz w:val="18"/>
                <w:szCs w:val="18"/>
                <w:b w:val="1"/>
                <w:bCs w:val="1"/>
                <w:color w:val="auto"/>
                <w:w w:val="96"/>
              </w:rPr>
              <w:t>Weighted-</w:t>
            </w:r>
          </w:p>
        </w:tc>
      </w:tr>
      <w:tr>
        <w:trPr>
          <w:trHeight w:val="216"/>
        </w:trPr>
        <w:tc>
          <w:tcPr>
            <w:tcW w:w="43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360"/>
              <w:spacing w:after="0" w:line="216" w:lineRule="exact"/>
              <w:rPr>
                <w:sz w:val="20"/>
                <w:szCs w:val="20"/>
                <w:color w:val="auto"/>
              </w:rPr>
            </w:pPr>
            <w:r>
              <w:rPr>
                <w:rFonts w:ascii="Calibri" w:cs="Calibri" w:eastAsia="Calibri" w:hAnsi="Calibri"/>
                <w:sz w:val="18"/>
                <w:szCs w:val="18"/>
                <w:b w:val="1"/>
                <w:bCs w:val="1"/>
                <w:color w:val="auto"/>
                <w:w w:val="98"/>
              </w:rPr>
              <w:t>Average Grant</w:t>
            </w:r>
          </w:p>
        </w:tc>
      </w:tr>
      <w:tr>
        <w:trPr>
          <w:trHeight w:val="216"/>
        </w:trPr>
        <w:tc>
          <w:tcPr>
            <w:tcW w:w="4300" w:type="dxa"/>
            <w:vAlign w:val="bottom"/>
          </w:tcPr>
          <w:p>
            <w:pPr>
              <w:spacing w:after="0"/>
              <w:rPr>
                <w:sz w:val="18"/>
                <w:szCs w:val="18"/>
                <w:color w:val="auto"/>
              </w:rPr>
            </w:pPr>
          </w:p>
        </w:tc>
        <w:tc>
          <w:tcPr>
            <w:tcW w:w="2120" w:type="dxa"/>
            <w:vAlign w:val="bottom"/>
            <w:gridSpan w:val="2"/>
          </w:tcPr>
          <w:p>
            <w:pPr>
              <w:jc w:val="right"/>
              <w:ind w:right="760"/>
              <w:spacing w:after="0" w:line="216" w:lineRule="exact"/>
              <w:rPr>
                <w:sz w:val="20"/>
                <w:szCs w:val="20"/>
                <w:color w:val="auto"/>
              </w:rPr>
            </w:pPr>
            <w:r>
              <w:rPr>
                <w:rFonts w:ascii="Calibri" w:cs="Calibri" w:eastAsia="Calibri" w:hAnsi="Calibri"/>
                <w:sz w:val="18"/>
                <w:szCs w:val="18"/>
                <w:b w:val="1"/>
                <w:bCs w:val="1"/>
                <w:color w:val="auto"/>
              </w:rPr>
              <w:t>Number of</w:t>
            </w:r>
          </w:p>
        </w:tc>
        <w:tc>
          <w:tcPr>
            <w:tcW w:w="260" w:type="dxa"/>
            <w:vAlign w:val="bottom"/>
          </w:tcPr>
          <w:p>
            <w:pPr>
              <w:spacing w:after="0"/>
              <w:rPr>
                <w:sz w:val="18"/>
                <w:szCs w:val="18"/>
                <w:color w:val="auto"/>
              </w:rPr>
            </w:pPr>
          </w:p>
        </w:tc>
        <w:tc>
          <w:tcPr>
            <w:tcW w:w="1740" w:type="dxa"/>
            <w:vAlign w:val="bottom"/>
            <w:gridSpan w:val="2"/>
          </w:tcPr>
          <w:p>
            <w:pPr>
              <w:jc w:val="center"/>
              <w:ind w:right="340"/>
              <w:spacing w:after="0" w:line="216" w:lineRule="exact"/>
              <w:rPr>
                <w:sz w:val="20"/>
                <w:szCs w:val="20"/>
                <w:color w:val="auto"/>
              </w:rPr>
            </w:pPr>
            <w:r>
              <w:rPr>
                <w:rFonts w:ascii="Calibri" w:cs="Calibri" w:eastAsia="Calibri" w:hAnsi="Calibri"/>
                <w:sz w:val="18"/>
                <w:szCs w:val="18"/>
                <w:b w:val="1"/>
                <w:bCs w:val="1"/>
                <w:color w:val="auto"/>
                <w:w w:val="97"/>
              </w:rPr>
              <w:t>Date Fair Value</w:t>
            </w:r>
          </w:p>
        </w:tc>
      </w:tr>
      <w:tr>
        <w:trPr>
          <w:trHeight w:val="216"/>
        </w:trPr>
        <w:tc>
          <w:tcPr>
            <w:tcW w:w="4300" w:type="dxa"/>
            <w:vAlign w:val="bottom"/>
          </w:tcPr>
          <w:p>
            <w:pPr>
              <w:spacing w:after="0"/>
              <w:rPr>
                <w:sz w:val="18"/>
                <w:szCs w:val="18"/>
                <w:color w:val="auto"/>
              </w:rPr>
            </w:pPr>
          </w:p>
        </w:tc>
        <w:tc>
          <w:tcPr>
            <w:tcW w:w="2120" w:type="dxa"/>
            <w:vAlign w:val="bottom"/>
            <w:gridSpan w:val="2"/>
          </w:tcPr>
          <w:p>
            <w:pPr>
              <w:jc w:val="right"/>
              <w:ind w:right="740"/>
              <w:spacing w:after="0" w:line="216" w:lineRule="exact"/>
              <w:rPr>
                <w:sz w:val="20"/>
                <w:szCs w:val="20"/>
                <w:color w:val="auto"/>
              </w:rPr>
            </w:pPr>
            <w:r>
              <w:rPr>
                <w:rFonts w:ascii="Calibri" w:cs="Calibri" w:eastAsia="Calibri" w:hAnsi="Calibri"/>
                <w:sz w:val="18"/>
                <w:szCs w:val="18"/>
                <w:b w:val="1"/>
                <w:bCs w:val="1"/>
                <w:color w:val="auto"/>
              </w:rPr>
              <w:t>Stock Units</w:t>
            </w:r>
          </w:p>
        </w:tc>
        <w:tc>
          <w:tcPr>
            <w:tcW w:w="260" w:type="dxa"/>
            <w:vAlign w:val="bottom"/>
          </w:tcPr>
          <w:p>
            <w:pPr>
              <w:spacing w:after="0"/>
              <w:rPr>
                <w:sz w:val="18"/>
                <w:szCs w:val="18"/>
                <w:color w:val="auto"/>
              </w:rPr>
            </w:pPr>
          </w:p>
        </w:tc>
        <w:tc>
          <w:tcPr>
            <w:tcW w:w="1740" w:type="dxa"/>
            <w:vAlign w:val="bottom"/>
            <w:gridSpan w:val="2"/>
          </w:tcPr>
          <w:p>
            <w:pPr>
              <w:jc w:val="center"/>
              <w:ind w:right="360"/>
              <w:spacing w:after="0" w:line="216" w:lineRule="exact"/>
              <w:rPr>
                <w:sz w:val="20"/>
                <w:szCs w:val="20"/>
                <w:color w:val="auto"/>
              </w:rPr>
            </w:pPr>
            <w:r>
              <w:rPr>
                <w:rFonts w:ascii="Calibri" w:cs="Calibri" w:eastAsia="Calibri" w:hAnsi="Calibri"/>
                <w:sz w:val="18"/>
                <w:szCs w:val="18"/>
                <w:b w:val="1"/>
                <w:bCs w:val="1"/>
                <w:color w:val="auto"/>
                <w:w w:val="97"/>
              </w:rPr>
              <w:t>Per Share</w:t>
            </w:r>
          </w:p>
        </w:tc>
      </w:tr>
      <w:tr>
        <w:trPr>
          <w:trHeight w:val="23"/>
        </w:trPr>
        <w:tc>
          <w:tcPr>
            <w:tcW w:w="43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209"/>
        </w:trPr>
        <w:tc>
          <w:tcPr>
            <w:tcW w:w="430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rPr>
              <w:t>Unvested balance at January 1, 2024</w:t>
            </w:r>
          </w:p>
        </w:tc>
        <w:tc>
          <w:tcPr>
            <w:tcW w:w="192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2,653,592</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660" w:type="dxa"/>
            <w:vAlign w:val="bottom"/>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11.91</w:t>
            </w:r>
          </w:p>
        </w:tc>
        <w:tc>
          <w:tcPr>
            <w:tcW w:w="80" w:type="dxa"/>
            <w:vAlign w:val="bottom"/>
            <w:shd w:val="clear" w:color="auto" w:fill="CFF0FC"/>
          </w:tcPr>
          <w:p>
            <w:pPr>
              <w:spacing w:after="0"/>
              <w:rPr>
                <w:sz w:val="18"/>
                <w:szCs w:val="18"/>
                <w:color w:val="auto"/>
              </w:rPr>
            </w:pPr>
          </w:p>
        </w:tc>
      </w:tr>
      <w:tr>
        <w:trPr>
          <w:trHeight w:val="215"/>
        </w:trPr>
        <w:tc>
          <w:tcPr>
            <w:tcW w:w="4300" w:type="dxa"/>
            <w:vAlign w:val="bottom"/>
          </w:tcPr>
          <w:p>
            <w:pPr>
              <w:ind w:left="180"/>
              <w:spacing w:after="0" w:line="215" w:lineRule="exact"/>
              <w:rPr>
                <w:sz w:val="20"/>
                <w:szCs w:val="20"/>
                <w:color w:val="auto"/>
              </w:rPr>
            </w:pPr>
            <w:r>
              <w:rPr>
                <w:rFonts w:ascii="Calibri" w:cs="Calibri" w:eastAsia="Calibri" w:hAnsi="Calibri"/>
                <w:sz w:val="18"/>
                <w:szCs w:val="18"/>
                <w:color w:val="auto"/>
              </w:rPr>
              <w:t>Granted</w:t>
            </w:r>
          </w:p>
        </w:tc>
        <w:tc>
          <w:tcPr>
            <w:tcW w:w="1920" w:type="dxa"/>
            <w:vAlign w:val="bottom"/>
          </w:tcPr>
          <w:p>
            <w:pPr>
              <w:jc w:val="right"/>
              <w:spacing w:after="0" w:line="215" w:lineRule="exact"/>
              <w:rPr>
                <w:sz w:val="20"/>
                <w:szCs w:val="20"/>
                <w:color w:val="auto"/>
              </w:rPr>
            </w:pPr>
            <w:r>
              <w:rPr>
                <w:rFonts w:ascii="Calibri" w:cs="Calibri" w:eastAsia="Calibri" w:hAnsi="Calibri"/>
                <w:sz w:val="18"/>
                <w:szCs w:val="18"/>
                <w:color w:val="auto"/>
              </w:rPr>
              <w:t>911,912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8.52</w:t>
            </w:r>
          </w:p>
        </w:tc>
        <w:tc>
          <w:tcPr>
            <w:tcW w:w="80" w:type="dxa"/>
            <w:vAlign w:val="bottom"/>
          </w:tcPr>
          <w:p>
            <w:pPr>
              <w:spacing w:after="0"/>
              <w:rPr>
                <w:sz w:val="18"/>
                <w:szCs w:val="18"/>
                <w:color w:val="auto"/>
              </w:rPr>
            </w:pPr>
          </w:p>
        </w:tc>
      </w:tr>
      <w:tr>
        <w:trPr>
          <w:trHeight w:val="217"/>
        </w:trPr>
        <w:tc>
          <w:tcPr>
            <w:tcW w:w="43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Vested</w:t>
            </w:r>
          </w:p>
        </w:tc>
        <w:tc>
          <w:tcPr>
            <w:tcW w:w="2120" w:type="dxa"/>
            <w:vAlign w:val="bottom"/>
            <w:gridSpan w:val="2"/>
            <w:shd w:val="clear" w:color="auto" w:fill="CFF0FC"/>
          </w:tcPr>
          <w:p>
            <w:pPr>
              <w:jc w:val="right"/>
              <w:ind w:right="120"/>
              <w:spacing w:after="0" w:line="216" w:lineRule="exact"/>
              <w:rPr>
                <w:sz w:val="20"/>
                <w:szCs w:val="20"/>
                <w:color w:val="auto"/>
              </w:rPr>
            </w:pPr>
            <w:r>
              <w:rPr>
                <w:rFonts w:ascii="Calibri" w:cs="Calibri" w:eastAsia="Calibri" w:hAnsi="Calibri"/>
                <w:sz w:val="18"/>
                <w:szCs w:val="18"/>
                <w:color w:val="auto"/>
              </w:rPr>
              <w:t>(965,881 )</w:t>
            </w:r>
          </w:p>
        </w:tc>
        <w:tc>
          <w:tcPr>
            <w:tcW w:w="26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12.79</w:t>
            </w:r>
          </w:p>
        </w:tc>
        <w:tc>
          <w:tcPr>
            <w:tcW w:w="80" w:type="dxa"/>
            <w:vAlign w:val="bottom"/>
            <w:shd w:val="clear" w:color="auto" w:fill="CFF0FC"/>
          </w:tcPr>
          <w:p>
            <w:pPr>
              <w:spacing w:after="0"/>
              <w:rPr>
                <w:sz w:val="18"/>
                <w:szCs w:val="18"/>
                <w:color w:val="auto"/>
              </w:rPr>
            </w:pPr>
          </w:p>
        </w:tc>
      </w:tr>
      <w:tr>
        <w:trPr>
          <w:trHeight w:val="215"/>
        </w:trPr>
        <w:tc>
          <w:tcPr>
            <w:tcW w:w="4300" w:type="dxa"/>
            <w:vAlign w:val="bottom"/>
          </w:tcPr>
          <w:p>
            <w:pPr>
              <w:ind w:left="180"/>
              <w:spacing w:after="0" w:line="215" w:lineRule="exact"/>
              <w:rPr>
                <w:sz w:val="20"/>
                <w:szCs w:val="20"/>
                <w:color w:val="auto"/>
              </w:rPr>
            </w:pPr>
            <w:r>
              <w:rPr>
                <w:rFonts w:ascii="Calibri" w:cs="Calibri" w:eastAsia="Calibri" w:hAnsi="Calibri"/>
                <w:sz w:val="18"/>
                <w:szCs w:val="18"/>
                <w:color w:val="auto"/>
              </w:rPr>
              <w:t>Forfeited</w:t>
            </w:r>
          </w:p>
        </w:tc>
        <w:tc>
          <w:tcPr>
            <w:tcW w:w="2120" w:type="dxa"/>
            <w:vAlign w:val="bottom"/>
            <w:gridSpan w:val="2"/>
          </w:tcPr>
          <w:p>
            <w:pPr>
              <w:jc w:val="right"/>
              <w:ind w:right="120"/>
              <w:spacing w:after="0" w:line="215" w:lineRule="exact"/>
              <w:rPr>
                <w:sz w:val="20"/>
                <w:szCs w:val="20"/>
                <w:color w:val="auto"/>
              </w:rPr>
            </w:pPr>
            <w:r>
              <w:rPr>
                <w:rFonts w:ascii="Calibri" w:cs="Calibri" w:eastAsia="Calibri" w:hAnsi="Calibri"/>
                <w:sz w:val="18"/>
                <w:szCs w:val="18"/>
                <w:color w:val="auto"/>
              </w:rPr>
              <w:t>(216,963 )</w:t>
            </w:r>
          </w:p>
        </w:tc>
        <w:tc>
          <w:tcPr>
            <w:tcW w:w="260" w:type="dxa"/>
            <w:vAlign w:val="bottom"/>
          </w:tcPr>
          <w:p>
            <w:pPr>
              <w:spacing w:after="0"/>
              <w:rPr>
                <w:sz w:val="18"/>
                <w:szCs w:val="18"/>
                <w:color w:val="auto"/>
              </w:rPr>
            </w:pPr>
          </w:p>
        </w:tc>
        <w:tc>
          <w:tcPr>
            <w:tcW w:w="1660" w:type="dxa"/>
            <w:vAlign w:val="bottom"/>
          </w:tcPr>
          <w:p>
            <w:pPr>
              <w:jc w:val="right"/>
              <w:spacing w:after="0" w:line="215" w:lineRule="exact"/>
              <w:rPr>
                <w:sz w:val="20"/>
                <w:szCs w:val="20"/>
                <w:color w:val="auto"/>
              </w:rPr>
            </w:pPr>
            <w:r>
              <w:rPr>
                <w:rFonts w:ascii="Calibri" w:cs="Calibri" w:eastAsia="Calibri" w:hAnsi="Calibri"/>
                <w:sz w:val="18"/>
                <w:szCs w:val="18"/>
                <w:color w:val="auto"/>
              </w:rPr>
              <w:t>11.23</w:t>
            </w:r>
          </w:p>
        </w:tc>
        <w:tc>
          <w:tcPr>
            <w:tcW w:w="80" w:type="dxa"/>
            <w:vAlign w:val="bottom"/>
          </w:tcPr>
          <w:p>
            <w:pPr>
              <w:spacing w:after="0"/>
              <w:rPr>
                <w:sz w:val="18"/>
                <w:szCs w:val="18"/>
                <w:color w:val="auto"/>
              </w:rPr>
            </w:pPr>
          </w:p>
        </w:tc>
      </w:tr>
      <w:tr>
        <w:trPr>
          <w:trHeight w:val="249"/>
        </w:trPr>
        <w:tc>
          <w:tcPr>
            <w:tcW w:w="430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Unvested balance at December 31, 2024</w:t>
            </w:r>
          </w:p>
        </w:tc>
        <w:tc>
          <w:tcPr>
            <w:tcW w:w="192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2,382,660</w:t>
            </w:r>
          </w:p>
        </w:tc>
        <w:tc>
          <w:tcPr>
            <w:tcW w:w="2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1660" w:type="dxa"/>
            <w:vAlign w:val="bottom"/>
            <w:tcBorders>
              <w:top w:val="single" w:sz="8" w:color="auto"/>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10.32</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-24765</wp:posOffset>
            </wp:positionV>
            <wp:extent cx="51435"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514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5143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514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3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As of December 31, 2024, the Company had $18.7 million of unrecognized stock-based compensaton expense related to RSUs, which is expected to be recognized over a weighted-average period of 1.6 years. The total fair value of RSUs vested during the year ended December 31, 2024, was approximately $12.4 million.</w:t>
      </w:r>
    </w:p>
    <w:p>
      <w:pPr>
        <w:spacing w:after="0" w:line="2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41" w:name="page142"/>
    <w:bookmarkEnd w:id="141"/>
    <w:p>
      <w:pPr>
        <w:spacing w:after="0"/>
        <w:rPr>
          <w:sz w:val="20"/>
          <w:szCs w:val="20"/>
          <w:color w:val="auto"/>
        </w:rPr>
      </w:pPr>
      <w:r>
        <w:rPr>
          <w:rFonts w:ascii="Calibri" w:cs="Calibri" w:eastAsia="Calibri" w:hAnsi="Calibri"/>
          <w:sz w:val="18"/>
          <w:szCs w:val="18"/>
          <w:b w:val="1"/>
          <w:bCs w:val="1"/>
          <w:i w:val="1"/>
          <w:iCs w:val="1"/>
          <w:color w:val="auto"/>
        </w:rPr>
        <w:t>Employee Stock Purchase Plan</w:t>
      </w:r>
    </w:p>
    <w:p>
      <w:pPr>
        <w:spacing w:after="0" w:line="19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In October 2019, the Board of Directors adopted, and the Company’s stockholders approved, the Employee Stock Purchase Plan, or the ESPP, which became efectve in connecton with the IPO. The ESPP permits partcipants to purchase common stock through payroll deductons of up to 20% of their eligible compensaton, which includes a partcipant’s gross base compensaton for services to the Company, including overtme payments and excluding sales commissions, incentve compensaton, bonuses, expense reimbursements, fringe benefts and other special payments. A total of 270,000 shares of common stock were initally reserved for issuance under the ESPP. In additon, the number of shares available for issuance under the ESPP will be annually increased on January 1 of each calendar year beginning in 2020 and ending in 2029, by an amount equal to the lesser of: (i) 1% of the shares outstanding on the fnal day of the immediately preceding calendar year and (ii) such smaller number of shares as is determined by the Board of Directors. As of December 31, 2024, 1,177,618 shares of common stock remain available for issuance, which includes the 375,381 shares sold to employees during the year ended December 31, 2024 as well as an annual increase of 579,701 shares authorized on January 1, 2024.</w:t>
      </w:r>
    </w:p>
    <w:p>
      <w:pPr>
        <w:spacing w:after="0" w:line="183" w:lineRule="exact"/>
        <w:rPr>
          <w:sz w:val="20"/>
          <w:szCs w:val="20"/>
          <w:color w:val="auto"/>
        </w:rPr>
      </w:pPr>
    </w:p>
    <w:p>
      <w:pPr>
        <w:ind w:right="120" w:firstLine="509"/>
        <w:spacing w:after="0" w:line="235" w:lineRule="auto"/>
        <w:rPr>
          <w:sz w:val="20"/>
          <w:szCs w:val="20"/>
          <w:color w:val="auto"/>
        </w:rPr>
      </w:pPr>
      <w:r>
        <w:rPr>
          <w:rFonts w:ascii="Calibri" w:cs="Calibri" w:eastAsia="Calibri" w:hAnsi="Calibri"/>
          <w:sz w:val="18"/>
          <w:szCs w:val="18"/>
          <w:color w:val="auto"/>
        </w:rPr>
        <w:t>The ESPP is considered a compensatory plan, and the Company recorded related stock-based compensaton of $1.8 million and $0.6 million for the years ended December 31, 2024 and 2023, respectvely. The weighted-average assumptons used to estmate the fair value of ESPP awards using the Black-Scholes opton valuaton model were as follows:</w:t>
      </w:r>
    </w:p>
    <w:p>
      <w:pPr>
        <w:spacing w:after="0" w:line="214" w:lineRule="exact"/>
        <w:rPr>
          <w:sz w:val="20"/>
          <w:szCs w:val="20"/>
          <w:color w:val="auto"/>
        </w:rPr>
      </w:pPr>
    </w:p>
    <w:p>
      <w:pPr>
        <w:ind w:left="7260"/>
        <w:spacing w:after="0"/>
        <w:rPr>
          <w:sz w:val="20"/>
          <w:szCs w:val="20"/>
          <w:color w:val="auto"/>
        </w:rPr>
      </w:pPr>
      <w:r>
        <w:rPr>
          <w:rFonts w:ascii="Calibri" w:cs="Calibri" w:eastAsia="Calibri" w:hAnsi="Calibri"/>
          <w:sz w:val="18"/>
          <w:szCs w:val="18"/>
          <w:b w:val="1"/>
          <w:bCs w:val="1"/>
          <w:color w:val="auto"/>
        </w:rPr>
        <w:t>Years Ended</w:t>
      </w:r>
    </w:p>
    <w:p>
      <w:pPr>
        <w:ind w:left="7220"/>
        <w:spacing w:after="0" w:line="235" w:lineRule="auto"/>
        <w:rPr>
          <w:sz w:val="20"/>
          <w:szCs w:val="20"/>
          <w:color w:val="auto"/>
        </w:rPr>
      </w:pPr>
      <w:r>
        <w:rPr>
          <w:rFonts w:ascii="Calibri" w:cs="Calibri" w:eastAsia="Calibri" w:hAnsi="Calibri"/>
          <w:sz w:val="18"/>
          <w:szCs w:val="18"/>
          <w:b w:val="1"/>
          <w:bCs w:val="1"/>
          <w:color w:val="auto"/>
        </w:rPr>
        <w:t>December 31,</w:t>
      </w:r>
    </w:p>
    <w:p>
      <w:pPr>
        <w:spacing w:after="0" w:line="4" w:lineRule="exact"/>
        <w:rPr>
          <w:sz w:val="20"/>
          <w:szCs w:val="20"/>
          <w:color w:val="auto"/>
        </w:rPr>
      </w:pPr>
    </w:p>
    <w:tbl>
      <w:tblPr>
        <w:tblLayout w:type="fixed"/>
        <w:tblInd w:w="1420" w:type="dxa"/>
        <w:tblCellMar>
          <w:top w:w="0" w:type="dxa"/>
          <w:left w:w="0" w:type="dxa"/>
          <w:bottom w:w="0" w:type="dxa"/>
          <w:right w:w="0" w:type="dxa"/>
        </w:tblCellMar>
      </w:tblPr>
      <w:tr>
        <w:trPr>
          <w:trHeight w:val="229"/>
        </w:trPr>
        <w:tc>
          <w:tcPr>
            <w:tcW w:w="4340" w:type="dxa"/>
            <w:vAlign w:val="bottom"/>
          </w:tcPr>
          <w:p>
            <w:pPr>
              <w:spacing w:after="0"/>
              <w:rPr>
                <w:sz w:val="19"/>
                <w:szCs w:val="19"/>
                <w:color w:val="auto"/>
              </w:rPr>
            </w:pP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Calibri" w:cs="Calibri" w:eastAsia="Calibri" w:hAnsi="Calibri"/>
                <w:sz w:val="18"/>
                <w:szCs w:val="18"/>
                <w:b w:val="1"/>
                <w:bCs w:val="1"/>
                <w:color w:val="auto"/>
              </w:rPr>
              <w:t>2024</w:t>
            </w:r>
          </w:p>
        </w:tc>
        <w:tc>
          <w:tcPr>
            <w:tcW w:w="7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810"/>
              <w:spacing w:after="0"/>
              <w:rPr>
                <w:sz w:val="20"/>
                <w:szCs w:val="20"/>
                <w:color w:val="auto"/>
              </w:rPr>
            </w:pPr>
            <w:r>
              <w:rPr>
                <w:rFonts w:ascii="Calibri" w:cs="Calibri" w:eastAsia="Calibri" w:hAnsi="Calibri"/>
                <w:sz w:val="18"/>
                <w:szCs w:val="18"/>
                <w:b w:val="1"/>
                <w:bCs w:val="1"/>
                <w:color w:val="auto"/>
              </w:rPr>
              <w:t>2023</w:t>
            </w:r>
          </w:p>
        </w:tc>
      </w:tr>
      <w:tr>
        <w:trPr>
          <w:trHeight w:val="210"/>
        </w:trPr>
        <w:tc>
          <w:tcPr>
            <w:tcW w:w="5540" w:type="dxa"/>
            <w:vAlign w:val="bottom"/>
            <w:gridSpan w:val="2"/>
            <w:shd w:val="clear" w:color="auto" w:fill="CFF0FC"/>
          </w:tcPr>
          <w:p>
            <w:pPr>
              <w:spacing w:after="0" w:line="210" w:lineRule="exact"/>
              <w:rPr>
                <w:sz w:val="20"/>
                <w:szCs w:val="20"/>
                <w:color w:val="auto"/>
              </w:rPr>
            </w:pPr>
            <w:r>
              <w:rPr>
                <w:rFonts w:ascii="Calibri" w:cs="Calibri" w:eastAsia="Calibri" w:hAnsi="Calibri"/>
                <w:sz w:val="18"/>
                <w:szCs w:val="18"/>
                <w:color w:val="auto"/>
              </w:rPr>
              <w:t>Assumptons:</w:t>
            </w:r>
          </w:p>
        </w:tc>
        <w:tc>
          <w:tcPr>
            <w:tcW w:w="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r>
      <w:tr>
        <w:trPr>
          <w:trHeight w:val="215"/>
        </w:trPr>
        <w:tc>
          <w:tcPr>
            <w:tcW w:w="554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Expected term (in years)</w:t>
            </w:r>
          </w:p>
        </w:tc>
        <w:tc>
          <w:tcPr>
            <w:tcW w:w="78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0.49</w:t>
            </w:r>
          </w:p>
        </w:tc>
        <w:tc>
          <w:tcPr>
            <w:tcW w:w="210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0.49</w:t>
            </w:r>
          </w:p>
        </w:tc>
      </w:tr>
      <w:tr>
        <w:trPr>
          <w:trHeight w:val="217"/>
        </w:trPr>
        <w:tc>
          <w:tcPr>
            <w:tcW w:w="554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Expected volatlity</w:t>
            </w:r>
          </w:p>
        </w:tc>
        <w:tc>
          <w:tcPr>
            <w:tcW w:w="78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105.23 %</w:t>
            </w:r>
          </w:p>
        </w:tc>
        <w:tc>
          <w:tcPr>
            <w:tcW w:w="21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69.73 %</w:t>
            </w:r>
          </w:p>
        </w:tc>
      </w:tr>
      <w:tr>
        <w:trPr>
          <w:trHeight w:val="215"/>
        </w:trPr>
        <w:tc>
          <w:tcPr>
            <w:tcW w:w="554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Risk free interest rate</w:t>
            </w:r>
          </w:p>
        </w:tc>
        <w:tc>
          <w:tcPr>
            <w:tcW w:w="780" w:type="dxa"/>
            <w:vAlign w:val="bottom"/>
          </w:tcPr>
          <w:p>
            <w:pPr>
              <w:jc w:val="right"/>
              <w:spacing w:after="0" w:line="215" w:lineRule="exact"/>
              <w:rPr>
                <w:sz w:val="20"/>
                <w:szCs w:val="20"/>
                <w:color w:val="auto"/>
              </w:rPr>
            </w:pPr>
            <w:r>
              <w:rPr>
                <w:rFonts w:ascii="Calibri" w:cs="Calibri" w:eastAsia="Calibri" w:hAnsi="Calibri"/>
                <w:sz w:val="18"/>
                <w:szCs w:val="18"/>
                <w:color w:val="auto"/>
              </w:rPr>
              <w:t>5.19 %</w:t>
            </w:r>
          </w:p>
        </w:tc>
        <w:tc>
          <w:tcPr>
            <w:tcW w:w="21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5.03 %</w:t>
            </w:r>
          </w:p>
        </w:tc>
      </w:tr>
      <w:tr>
        <w:trPr>
          <w:trHeight w:val="217"/>
        </w:trPr>
        <w:tc>
          <w:tcPr>
            <w:tcW w:w="554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Dividend yield</w:t>
            </w:r>
          </w:p>
        </w:tc>
        <w:tc>
          <w:tcPr>
            <w:tcW w:w="780" w:type="dxa"/>
            <w:vAlign w:val="bottom"/>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90"/>
              <w:spacing w:after="0" w:line="216" w:lineRule="exact"/>
              <w:rPr>
                <w:sz w:val="20"/>
                <w:szCs w:val="20"/>
                <w:color w:val="auto"/>
              </w:rPr>
            </w:pPr>
            <w:r>
              <w:rPr>
                <w:rFonts w:ascii="Calibri" w:cs="Calibri" w:eastAsia="Calibri" w:hAnsi="Calibri"/>
                <w:sz w:val="18"/>
                <w:szCs w:val="18"/>
                <w:color w:val="auto"/>
              </w:rPr>
              <w:t>—</w:t>
            </w:r>
          </w:p>
        </w:tc>
      </w:tr>
    </w:tbl>
    <w:p>
      <w:pPr>
        <w:spacing w:after="0" w:line="153"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estmated weighted-average fair value of ESPP awards during 2024 and 2023 was $4.03 and $3.64, respectvely. As of December 31, 2024, the total unrecognized compensaton expense related to the ESPP was less than $0.1 million, which is expected to be recognized over a weighted-average period of approximately 0.5 months.</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401(k) Plan</w:t>
      </w:r>
    </w:p>
    <w:p>
      <w:pPr>
        <w:spacing w:after="0" w:line="190"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auto"/>
        </w:rPr>
        <w:t>During 2020, the Company established a 401(k) savings plan. The Company’s contributons to the plan are discretonary. During the years ended December 31, 2024 and 2023, the Company incurred $5.1 million and $1.9 million, respectvely, of expense related to estmated employer contributon liabilites, which was based on a 75% match of employees’ contributons during the periods. During the years ended December 31, 2024 and 2023, the Board of Directors approved employer matching contributons setled by contributng 383,589 and 135,956, respectvely, shares of common stock.</w:t>
      </w:r>
    </w:p>
    <w:p>
      <w:pPr>
        <w:spacing w:after="0" w:line="174"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 Optons</w:t>
      </w:r>
    </w:p>
    <w:p>
      <w:pPr>
        <w:spacing w:after="0" w:line="17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The fair value of each employee and non-employee stock opton grant is estmated on the date of grant using the Black-Scholes opton-pricing model. The Company, prior to the IPO on October 29, 2019, was a private company and lacked company-specifc historical and implied volatlity informaton. Therefore, the Company estmated its expected volatlity based on the historical volatlity of a publicly traded set of peer companies. Due to the lack of historical exercise history, the expected term of the Company’s stock optons for employees was determined utlizing the “simplifed” method for awards. The expected term of stock optons granted to non-employees was equal to the contractual term of the opton award. The risk-free interest rate was determined by reference to the U.S. Treasury yield curve in efect at the tme of grant of the award for tme periods approximately equal to the expected term of the award. Expected dividend yield was zero based on the fact that the Company has never paid cash dividends and does not expect to pay any cash dividends in the foreseeable future.</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42" w:name="page143"/>
    <w:bookmarkEnd w:id="142"/>
    <w:p>
      <w:pPr>
        <w:ind w:left="520"/>
        <w:spacing w:after="0"/>
        <w:rPr>
          <w:sz w:val="20"/>
          <w:szCs w:val="20"/>
          <w:color w:val="auto"/>
        </w:rPr>
      </w:pPr>
      <w:r>
        <w:rPr>
          <w:rFonts w:ascii="Calibri" w:cs="Calibri" w:eastAsia="Calibri" w:hAnsi="Calibri"/>
          <w:sz w:val="18"/>
          <w:szCs w:val="18"/>
          <w:color w:val="auto"/>
        </w:rPr>
        <w:t>A summary of the Company’s stock opton actvity and related informaton is as follows during the year ended December 31, 2024:</w:t>
      </w:r>
    </w:p>
    <w:p>
      <w:pPr>
        <w:spacing w:after="0" w:line="212"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5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10"/>
              <w:spacing w:after="0"/>
              <w:rPr>
                <w:sz w:val="20"/>
                <w:szCs w:val="20"/>
                <w:color w:val="auto"/>
              </w:rPr>
            </w:pPr>
            <w:r>
              <w:rPr>
                <w:rFonts w:ascii="Calibri" w:cs="Calibri" w:eastAsia="Calibri" w:hAnsi="Calibri"/>
                <w:sz w:val="18"/>
                <w:szCs w:val="18"/>
                <w:b w:val="1"/>
                <w:bCs w:val="1"/>
                <w:color w:val="auto"/>
                <w:w w:val="99"/>
              </w:rPr>
              <w:t>Weighted-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center"/>
              <w:ind w:right="130"/>
              <w:spacing w:after="0"/>
              <w:rPr>
                <w:sz w:val="20"/>
                <w:szCs w:val="20"/>
                <w:color w:val="auto"/>
              </w:rPr>
            </w:pPr>
            <w:r>
              <w:rPr>
                <w:rFonts w:ascii="Calibri" w:cs="Calibri" w:eastAsia="Calibri" w:hAnsi="Calibri"/>
                <w:sz w:val="18"/>
                <w:szCs w:val="18"/>
                <w:b w:val="1"/>
                <w:bCs w:val="1"/>
                <w:color w:val="auto"/>
                <w:w w:val="99"/>
              </w:rPr>
              <w:t>Aggregate</w:t>
            </w:r>
          </w:p>
        </w:tc>
      </w:tr>
      <w:tr>
        <w:trPr>
          <w:trHeight w:val="216"/>
        </w:trPr>
        <w:tc>
          <w:tcPr>
            <w:tcW w:w="5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6"/>
              </w:rPr>
              <w:t>Weighted-</w:t>
            </w:r>
          </w:p>
        </w:tc>
        <w:tc>
          <w:tcPr>
            <w:tcW w:w="100" w:type="dxa"/>
            <w:vAlign w:val="bottom"/>
          </w:tcPr>
          <w:p>
            <w:pPr>
              <w:spacing w:after="0"/>
              <w:rPr>
                <w:sz w:val="18"/>
                <w:szCs w:val="18"/>
                <w:color w:val="auto"/>
              </w:rPr>
            </w:pPr>
          </w:p>
        </w:tc>
        <w:tc>
          <w:tcPr>
            <w:tcW w:w="1320" w:type="dxa"/>
            <w:vAlign w:val="bottom"/>
          </w:tcPr>
          <w:p>
            <w:pPr>
              <w:jc w:val="center"/>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30"/>
              <w:spacing w:after="0" w:line="216" w:lineRule="exact"/>
              <w:rPr>
                <w:sz w:val="20"/>
                <w:szCs w:val="20"/>
                <w:color w:val="auto"/>
              </w:rPr>
            </w:pPr>
            <w:r>
              <w:rPr>
                <w:rFonts w:ascii="Calibri" w:cs="Calibri" w:eastAsia="Calibri" w:hAnsi="Calibri"/>
                <w:sz w:val="18"/>
                <w:szCs w:val="18"/>
                <w:b w:val="1"/>
                <w:bCs w:val="1"/>
                <w:color w:val="auto"/>
                <w:w w:val="99"/>
              </w:rPr>
              <w:t>Intrinsic</w:t>
            </w:r>
          </w:p>
        </w:tc>
      </w:tr>
      <w:tr>
        <w:trPr>
          <w:trHeight w:val="216"/>
        </w:trPr>
        <w:tc>
          <w:tcPr>
            <w:tcW w:w="50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7"/>
              </w:rPr>
              <w:t>Average</w:t>
            </w:r>
          </w:p>
        </w:tc>
        <w:tc>
          <w:tcPr>
            <w:tcW w:w="100" w:type="dxa"/>
            <w:vAlign w:val="bottom"/>
          </w:tcPr>
          <w:p>
            <w:pPr>
              <w:spacing w:after="0"/>
              <w:rPr>
                <w:sz w:val="18"/>
                <w:szCs w:val="18"/>
                <w:color w:val="auto"/>
              </w:rPr>
            </w:pPr>
          </w:p>
        </w:tc>
        <w:tc>
          <w:tcPr>
            <w:tcW w:w="132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8"/>
              </w:rPr>
              <w:t>Remaining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70"/>
              <w:spacing w:after="0" w:line="216" w:lineRule="exact"/>
              <w:rPr>
                <w:sz w:val="20"/>
                <w:szCs w:val="20"/>
                <w:color w:val="auto"/>
              </w:rPr>
            </w:pPr>
            <w:r>
              <w:rPr>
                <w:rFonts w:ascii="Calibri" w:cs="Calibri" w:eastAsia="Calibri" w:hAnsi="Calibri"/>
                <w:sz w:val="18"/>
                <w:szCs w:val="18"/>
                <w:b w:val="1"/>
                <w:bCs w:val="1"/>
                <w:color w:val="auto"/>
                <w:w w:val="93"/>
              </w:rPr>
              <w:t>Value</w:t>
            </w:r>
          </w:p>
        </w:tc>
      </w:tr>
      <w:tr>
        <w:trPr>
          <w:trHeight w:val="216"/>
        </w:trPr>
        <w:tc>
          <w:tcPr>
            <w:tcW w:w="5040" w:type="dxa"/>
            <w:vAlign w:val="bottom"/>
          </w:tcPr>
          <w:p>
            <w:pPr>
              <w:spacing w:after="0"/>
              <w:rPr>
                <w:sz w:val="18"/>
                <w:szCs w:val="18"/>
                <w:color w:val="auto"/>
              </w:rPr>
            </w:pPr>
          </w:p>
        </w:tc>
        <w:tc>
          <w:tcPr>
            <w:tcW w:w="1240" w:type="dxa"/>
            <w:vAlign w:val="bottom"/>
          </w:tcPr>
          <w:p>
            <w:pPr>
              <w:jc w:val="right"/>
              <w:ind w:right="290"/>
              <w:spacing w:after="0" w:line="216" w:lineRule="exact"/>
              <w:rPr>
                <w:sz w:val="20"/>
                <w:szCs w:val="20"/>
                <w:color w:val="auto"/>
              </w:rPr>
            </w:pPr>
            <w:r>
              <w:rPr>
                <w:rFonts w:ascii="Calibri" w:cs="Calibri" w:eastAsia="Calibri" w:hAnsi="Calibri"/>
                <w:sz w:val="18"/>
                <w:szCs w:val="18"/>
                <w:b w:val="1"/>
                <w:bCs w:val="1"/>
                <w:color w:val="auto"/>
              </w:rPr>
              <w:t>Optons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8"/>
              </w:rPr>
              <w:t>Exercise</w:t>
            </w:r>
          </w:p>
        </w:tc>
        <w:tc>
          <w:tcPr>
            <w:tcW w:w="100" w:type="dxa"/>
            <w:vAlign w:val="bottom"/>
          </w:tcPr>
          <w:p>
            <w:pPr>
              <w:spacing w:after="0"/>
              <w:rPr>
                <w:sz w:val="18"/>
                <w:szCs w:val="18"/>
                <w:color w:val="auto"/>
              </w:rPr>
            </w:pPr>
          </w:p>
        </w:tc>
        <w:tc>
          <w:tcPr>
            <w:tcW w:w="132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8"/>
              </w:rPr>
              <w:t>Contractual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170"/>
              <w:spacing w:after="0" w:line="216" w:lineRule="exact"/>
              <w:rPr>
                <w:sz w:val="20"/>
                <w:szCs w:val="20"/>
                <w:color w:val="auto"/>
              </w:rPr>
            </w:pPr>
            <w:r>
              <w:rPr>
                <w:rFonts w:ascii="Calibri" w:cs="Calibri" w:eastAsia="Calibri" w:hAnsi="Calibri"/>
                <w:sz w:val="18"/>
                <w:szCs w:val="18"/>
                <w:b w:val="1"/>
                <w:bCs w:val="1"/>
                <w:color w:val="auto"/>
              </w:rPr>
              <w:t>(in</w:t>
            </w:r>
          </w:p>
        </w:tc>
      </w:tr>
      <w:tr>
        <w:trPr>
          <w:trHeight w:val="216"/>
        </w:trPr>
        <w:tc>
          <w:tcPr>
            <w:tcW w:w="5040" w:type="dxa"/>
            <w:vAlign w:val="bottom"/>
          </w:tcPr>
          <w:p>
            <w:pPr>
              <w:spacing w:after="0"/>
              <w:rPr>
                <w:sz w:val="18"/>
                <w:szCs w:val="18"/>
                <w:color w:val="auto"/>
              </w:rPr>
            </w:pPr>
          </w:p>
        </w:tc>
        <w:tc>
          <w:tcPr>
            <w:tcW w:w="1240" w:type="dxa"/>
            <w:vAlign w:val="bottom"/>
          </w:tcPr>
          <w:p>
            <w:pPr>
              <w:jc w:val="right"/>
              <w:ind w:right="130"/>
              <w:spacing w:after="0" w:line="216" w:lineRule="exact"/>
              <w:rPr>
                <w:sz w:val="20"/>
                <w:szCs w:val="20"/>
                <w:color w:val="auto"/>
              </w:rPr>
            </w:pPr>
            <w:r>
              <w:rPr>
                <w:rFonts w:ascii="Calibri" w:cs="Calibri" w:eastAsia="Calibri" w:hAnsi="Calibri"/>
                <w:sz w:val="18"/>
                <w:szCs w:val="18"/>
                <w:b w:val="1"/>
                <w:bCs w:val="1"/>
                <w:color w:val="auto"/>
              </w:rPr>
              <w:t>Outstanding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center"/>
              <w:ind w:right="110"/>
              <w:spacing w:after="0" w:line="216" w:lineRule="exact"/>
              <w:rPr>
                <w:sz w:val="20"/>
                <w:szCs w:val="20"/>
                <w:color w:val="auto"/>
              </w:rPr>
            </w:pPr>
            <w:r>
              <w:rPr>
                <w:rFonts w:ascii="Calibri" w:cs="Calibri" w:eastAsia="Calibri" w:hAnsi="Calibri"/>
                <w:sz w:val="18"/>
                <w:szCs w:val="18"/>
                <w:b w:val="1"/>
                <w:bCs w:val="1"/>
                <w:color w:val="auto"/>
                <w:w w:val="97"/>
              </w:rPr>
              <w:t>Price</w:t>
            </w:r>
          </w:p>
        </w:tc>
        <w:tc>
          <w:tcPr>
            <w:tcW w:w="100" w:type="dxa"/>
            <w:vAlign w:val="bottom"/>
          </w:tcPr>
          <w:p>
            <w:pPr>
              <w:spacing w:after="0"/>
              <w:rPr>
                <w:sz w:val="18"/>
                <w:szCs w:val="18"/>
                <w:color w:val="auto"/>
              </w:rPr>
            </w:pPr>
          </w:p>
        </w:tc>
        <w:tc>
          <w:tcPr>
            <w:tcW w:w="1320" w:type="dxa"/>
            <w:vAlign w:val="bottom"/>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7"/>
              </w:rPr>
              <w:t>Term</w:t>
            </w:r>
          </w:p>
        </w:tc>
        <w:tc>
          <w:tcPr>
            <w:tcW w:w="100" w:type="dxa"/>
            <w:vAlign w:val="bottom"/>
          </w:tcPr>
          <w:p>
            <w:pPr>
              <w:spacing w:after="0"/>
              <w:rPr>
                <w:sz w:val="18"/>
                <w:szCs w:val="18"/>
                <w:color w:val="auto"/>
              </w:rPr>
            </w:pPr>
          </w:p>
        </w:tc>
        <w:tc>
          <w:tcPr>
            <w:tcW w:w="1100" w:type="dxa"/>
            <w:vAlign w:val="bottom"/>
            <w:gridSpan w:val="2"/>
          </w:tcPr>
          <w:p>
            <w:pPr>
              <w:jc w:val="center"/>
              <w:ind w:right="10"/>
              <w:spacing w:after="0" w:line="216" w:lineRule="exact"/>
              <w:rPr>
                <w:sz w:val="20"/>
                <w:szCs w:val="20"/>
                <w:color w:val="auto"/>
              </w:rPr>
            </w:pPr>
            <w:r>
              <w:rPr>
                <w:rFonts w:ascii="Calibri" w:cs="Calibri" w:eastAsia="Calibri" w:hAnsi="Calibri"/>
                <w:sz w:val="18"/>
                <w:szCs w:val="18"/>
                <w:b w:val="1"/>
                <w:bCs w:val="1"/>
                <w:color w:val="auto"/>
                <w:w w:val="95"/>
              </w:rPr>
              <w:t>thousands)</w:t>
            </w:r>
          </w:p>
        </w:tc>
      </w:tr>
      <w:tr>
        <w:trPr>
          <w:trHeight w:val="23"/>
        </w:trPr>
        <w:tc>
          <w:tcPr>
            <w:tcW w:w="50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0"/>
        </w:trPr>
        <w:tc>
          <w:tcPr>
            <w:tcW w:w="504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rPr>
              <w:t>Balance at January 1, 2024</w:t>
            </w:r>
          </w:p>
        </w:tc>
        <w:tc>
          <w:tcPr>
            <w:tcW w:w="124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4,548,581</w:t>
            </w:r>
          </w:p>
        </w:tc>
        <w:tc>
          <w:tcPr>
            <w:tcW w:w="24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11.75</w:t>
            </w:r>
          </w:p>
        </w:tc>
        <w:tc>
          <w:tcPr>
            <w:tcW w:w="1420" w:type="dxa"/>
            <w:vAlign w:val="bottom"/>
            <w:gridSpan w:val="2"/>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7.50</w:t>
            </w:r>
          </w:p>
        </w:tc>
        <w:tc>
          <w:tcPr>
            <w:tcW w:w="220" w:type="dxa"/>
            <w:vAlign w:val="bottom"/>
            <w:gridSpan w:val="2"/>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3,379</w:t>
            </w:r>
          </w:p>
        </w:tc>
      </w:tr>
      <w:tr>
        <w:trPr>
          <w:trHeight w:val="215"/>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granted</w:t>
            </w:r>
          </w:p>
        </w:tc>
        <w:tc>
          <w:tcPr>
            <w:tcW w:w="12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2,282,525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8.19</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7"/>
        </w:trPr>
        <w:tc>
          <w:tcPr>
            <w:tcW w:w="504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Optons exercised</w:t>
            </w:r>
          </w:p>
        </w:tc>
        <w:tc>
          <w:tcPr>
            <w:tcW w:w="12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(127,891 )</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12.50</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r>
      <w:tr>
        <w:trPr>
          <w:trHeight w:val="215"/>
        </w:trPr>
        <w:tc>
          <w:tcPr>
            <w:tcW w:w="5040" w:type="dxa"/>
            <w:vAlign w:val="bottom"/>
          </w:tcPr>
          <w:p>
            <w:pPr>
              <w:ind w:left="180"/>
              <w:spacing w:after="0" w:line="215" w:lineRule="exact"/>
              <w:rPr>
                <w:sz w:val="20"/>
                <w:szCs w:val="20"/>
                <w:color w:val="auto"/>
              </w:rPr>
            </w:pPr>
            <w:r>
              <w:rPr>
                <w:rFonts w:ascii="Calibri" w:cs="Calibri" w:eastAsia="Calibri" w:hAnsi="Calibri"/>
                <w:sz w:val="18"/>
                <w:szCs w:val="18"/>
                <w:color w:val="auto"/>
              </w:rPr>
              <w:t>Optons cancelled</w:t>
            </w:r>
          </w:p>
        </w:tc>
        <w:tc>
          <w:tcPr>
            <w:tcW w:w="12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(545,683 )</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13.15</w:t>
            </w:r>
          </w:p>
        </w:tc>
        <w:tc>
          <w:tcPr>
            <w:tcW w:w="10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10"/>
        </w:trPr>
        <w:tc>
          <w:tcPr>
            <w:tcW w:w="504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Balance at December 31, 2024</w:t>
            </w:r>
          </w:p>
        </w:tc>
        <w:tc>
          <w:tcPr>
            <w:tcW w:w="124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6,157,532</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rPr>
              <w:t>$</w:t>
            </w:r>
          </w:p>
        </w:tc>
        <w:tc>
          <w:tcPr>
            <w:tcW w:w="96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10.29</w:t>
            </w:r>
          </w:p>
        </w:tc>
        <w:tc>
          <w:tcPr>
            <w:tcW w:w="10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7.59</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tcBorders>
              <w:bottom w:val="single" w:sz="8" w:color="auto"/>
            </w:tcBorders>
            <w:shd w:val="clear" w:color="auto" w:fill="CFF0FC"/>
          </w:tcPr>
          <w:p>
            <w:pPr>
              <w:jc w:val="right"/>
              <w:ind w:right="30"/>
              <w:spacing w:after="0" w:line="209" w:lineRule="exact"/>
              <w:rPr>
                <w:sz w:val="20"/>
                <w:szCs w:val="20"/>
                <w:color w:val="auto"/>
              </w:rPr>
            </w:pPr>
            <w:r>
              <w:rPr>
                <w:rFonts w:ascii="Calibri" w:cs="Calibri" w:eastAsia="Calibri" w:hAnsi="Calibri"/>
                <w:sz w:val="18"/>
                <w:szCs w:val="18"/>
                <w:color w:val="auto"/>
              </w:rPr>
              <w:t>2,133</w:t>
            </w:r>
          </w:p>
        </w:tc>
      </w:tr>
      <w:tr>
        <w:trPr>
          <w:trHeight w:val="209"/>
        </w:trPr>
        <w:tc>
          <w:tcPr>
            <w:tcW w:w="5040" w:type="dxa"/>
            <w:vAlign w:val="bottom"/>
          </w:tcPr>
          <w:p>
            <w:pPr>
              <w:spacing w:after="0" w:line="209" w:lineRule="exact"/>
              <w:rPr>
                <w:sz w:val="20"/>
                <w:szCs w:val="20"/>
                <w:color w:val="auto"/>
              </w:rPr>
            </w:pPr>
            <w:r>
              <w:rPr>
                <w:rFonts w:ascii="Calibri" w:cs="Calibri" w:eastAsia="Calibri" w:hAnsi="Calibri"/>
                <w:sz w:val="18"/>
                <w:szCs w:val="18"/>
                <w:color w:val="auto"/>
              </w:rPr>
              <w:t>Optons exercisable as of December 31, 2024</w:t>
            </w:r>
          </w:p>
        </w:tc>
        <w:tc>
          <w:tcPr>
            <w:tcW w:w="124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2,904,886</w:t>
            </w:r>
          </w:p>
        </w:tc>
        <w:tc>
          <w:tcPr>
            <w:tcW w:w="24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96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11.71</w:t>
            </w:r>
          </w:p>
        </w:tc>
        <w:tc>
          <w:tcPr>
            <w:tcW w:w="1420" w:type="dxa"/>
            <w:vAlign w:val="bottom"/>
            <w:gridSpan w:val="2"/>
          </w:tcPr>
          <w:p>
            <w:pPr>
              <w:jc w:val="right"/>
              <w:ind w:right="30"/>
              <w:spacing w:after="0" w:line="209" w:lineRule="exact"/>
              <w:rPr>
                <w:sz w:val="20"/>
                <w:szCs w:val="20"/>
                <w:color w:val="auto"/>
              </w:rPr>
            </w:pPr>
            <w:r>
              <w:rPr>
                <w:rFonts w:ascii="Calibri" w:cs="Calibri" w:eastAsia="Calibri" w:hAnsi="Calibri"/>
                <w:sz w:val="18"/>
                <w:szCs w:val="18"/>
                <w:color w:val="auto"/>
              </w:rPr>
              <w:t>6.37</w:t>
            </w:r>
          </w:p>
        </w:tc>
        <w:tc>
          <w:tcPr>
            <w:tcW w:w="220" w:type="dxa"/>
            <w:vAlign w:val="bottom"/>
            <w:gridSpan w:val="2"/>
          </w:tcPr>
          <w:p>
            <w:pPr>
              <w:jc w:val="right"/>
              <w:spacing w:after="0" w:line="209" w:lineRule="exact"/>
              <w:rPr>
                <w:sz w:val="20"/>
                <w:szCs w:val="20"/>
                <w:color w:val="auto"/>
              </w:rPr>
            </w:pPr>
            <w:r>
              <w:rPr>
                <w:rFonts w:ascii="Calibri" w:cs="Calibri" w:eastAsia="Calibri" w:hAnsi="Calibri"/>
                <w:sz w:val="18"/>
                <w:szCs w:val="18"/>
                <w:color w:val="auto"/>
              </w:rPr>
              <w:t>$</w:t>
            </w:r>
          </w:p>
        </w:tc>
        <w:tc>
          <w:tcPr>
            <w:tcW w:w="980" w:type="dxa"/>
            <w:vAlign w:val="bottom"/>
          </w:tcPr>
          <w:p>
            <w:pPr>
              <w:jc w:val="right"/>
              <w:ind w:right="30"/>
              <w:spacing w:after="0" w:line="209" w:lineRule="exact"/>
              <w:rPr>
                <w:sz w:val="20"/>
                <w:szCs w:val="20"/>
                <w:color w:val="auto"/>
              </w:rPr>
            </w:pPr>
            <w:r>
              <w:rPr>
                <w:rFonts w:ascii="Calibri" w:cs="Calibri" w:eastAsia="Calibri" w:hAnsi="Calibri"/>
                <w:sz w:val="18"/>
                <w:szCs w:val="18"/>
                <w:color w:val="auto"/>
              </w:rPr>
              <w:t>1,144</w:t>
            </w:r>
          </w:p>
        </w:tc>
      </w:tr>
      <w:tr>
        <w:trPr>
          <w:trHeight w:val="217"/>
        </w:trPr>
        <w:tc>
          <w:tcPr>
            <w:tcW w:w="504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Vested and expected to vest as of December 31, 2024</w:t>
            </w:r>
          </w:p>
        </w:tc>
        <w:tc>
          <w:tcPr>
            <w:tcW w:w="124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6,157,532</w:t>
            </w:r>
          </w:p>
        </w:tc>
        <w:tc>
          <w:tcPr>
            <w:tcW w:w="24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6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10.29</w:t>
            </w:r>
          </w:p>
        </w:tc>
        <w:tc>
          <w:tcPr>
            <w:tcW w:w="1420" w:type="dxa"/>
            <w:vAlign w:val="bottom"/>
            <w:gridSpan w:val="2"/>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7.59</w:t>
            </w:r>
          </w:p>
        </w:tc>
        <w:tc>
          <w:tcPr>
            <w:tcW w:w="22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w:t>
            </w:r>
          </w:p>
        </w:tc>
        <w:tc>
          <w:tcPr>
            <w:tcW w:w="980" w:type="dxa"/>
            <w:vAlign w:val="bottom"/>
            <w:shd w:val="clear" w:color="auto" w:fill="CFF0FC"/>
          </w:tcPr>
          <w:p>
            <w:pPr>
              <w:jc w:val="right"/>
              <w:ind w:right="30"/>
              <w:spacing w:after="0" w:line="216" w:lineRule="exact"/>
              <w:rPr>
                <w:sz w:val="20"/>
                <w:szCs w:val="20"/>
                <w:color w:val="auto"/>
              </w:rPr>
            </w:pPr>
            <w:r>
              <w:rPr>
                <w:rFonts w:ascii="Calibri" w:cs="Calibri" w:eastAsia="Calibri" w:hAnsi="Calibri"/>
                <w:sz w:val="18"/>
                <w:szCs w:val="18"/>
                <w:color w:val="auto"/>
              </w:rPr>
              <w:t>2,133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-281940</wp:posOffset>
            </wp:positionV>
            <wp:extent cx="7747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-281940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-281940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7" w:lineRule="exact"/>
        <w:rPr>
          <w:sz w:val="20"/>
          <w:szCs w:val="20"/>
          <w:color w:val="auto"/>
        </w:rPr>
      </w:pPr>
    </w:p>
    <w:p>
      <w:pPr>
        <w:ind w:right="100" w:firstLine="509"/>
        <w:spacing w:after="0" w:line="235" w:lineRule="auto"/>
        <w:rPr>
          <w:sz w:val="20"/>
          <w:szCs w:val="20"/>
          <w:color w:val="auto"/>
        </w:rPr>
      </w:pPr>
      <w:r>
        <w:rPr>
          <w:rFonts w:ascii="Calibri" w:cs="Calibri" w:eastAsia="Calibri" w:hAnsi="Calibri"/>
          <w:sz w:val="18"/>
          <w:szCs w:val="18"/>
          <w:color w:val="auto"/>
        </w:rPr>
        <w:t>The aggregate intrinsic value of stock optons is calculated as the diference between the exercise price of the stock optons and the fair value of the Company's common stock for those stock optons that had exercise prices lower than the fair value of the Company's common stock at December 31, 2024. The total intrinsic value of stock optons exercised for the years ended December 31, 2024 and 2023 was approximately $0.6 million and $0.1 million, respectvely.</w:t>
      </w:r>
    </w:p>
    <w:p>
      <w:pPr>
        <w:spacing w:after="0" w:line="179"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auto"/>
        </w:rPr>
        <w:t>The estmated weighted-average fair value of employee and nonemployee director stock optons granted during 2024 was $5.61 and during 2023 was $5.34 per opton. As of December 31, 2024, the Company had $15.3 million of unrecognized stock-based compensaton expense related to stock optons, which is expected to be recognized over a weighted-average period of 2.4 years.</w:t>
      </w:r>
    </w:p>
    <w:p>
      <w:pPr>
        <w:spacing w:after="0" w:line="173" w:lineRule="exact"/>
        <w:rPr>
          <w:sz w:val="20"/>
          <w:szCs w:val="20"/>
          <w:color w:val="auto"/>
        </w:rPr>
      </w:pPr>
    </w:p>
    <w:p>
      <w:pPr>
        <w:ind w:left="520"/>
        <w:spacing w:after="0"/>
        <w:rPr>
          <w:sz w:val="20"/>
          <w:szCs w:val="20"/>
          <w:color w:val="auto"/>
        </w:rPr>
      </w:pPr>
      <w:r>
        <w:rPr>
          <w:rFonts w:ascii="Calibri" w:cs="Calibri" w:eastAsia="Calibri" w:hAnsi="Calibri"/>
          <w:sz w:val="18"/>
          <w:szCs w:val="18"/>
          <w:color w:val="auto"/>
        </w:rPr>
        <w:t>The weighted-average assumptons used to estmate the fair value of stock optons using the Black-Scholes opton valuaton model were as follows:</w:t>
      </w:r>
    </w:p>
    <w:p>
      <w:pPr>
        <w:spacing w:after="0" w:line="212" w:lineRule="exact"/>
        <w:rPr>
          <w:sz w:val="20"/>
          <w:szCs w:val="20"/>
          <w:color w:val="auto"/>
        </w:rPr>
      </w:pPr>
    </w:p>
    <w:p>
      <w:pPr>
        <w:ind w:left="7260"/>
        <w:spacing w:after="0"/>
        <w:rPr>
          <w:sz w:val="20"/>
          <w:szCs w:val="20"/>
          <w:color w:val="auto"/>
        </w:rPr>
      </w:pPr>
      <w:r>
        <w:rPr>
          <w:rFonts w:ascii="Calibri" w:cs="Calibri" w:eastAsia="Calibri" w:hAnsi="Calibri"/>
          <w:sz w:val="18"/>
          <w:szCs w:val="18"/>
          <w:b w:val="1"/>
          <w:bCs w:val="1"/>
          <w:color w:val="auto"/>
        </w:rPr>
        <w:t>Years Ended</w:t>
      </w:r>
    </w:p>
    <w:p>
      <w:pPr>
        <w:ind w:left="7220"/>
        <w:spacing w:after="0" w:line="235" w:lineRule="auto"/>
        <w:rPr>
          <w:sz w:val="20"/>
          <w:szCs w:val="20"/>
          <w:color w:val="auto"/>
        </w:rPr>
      </w:pPr>
      <w:r>
        <w:rPr>
          <w:rFonts w:ascii="Calibri" w:cs="Calibri" w:eastAsia="Calibri" w:hAnsi="Calibri"/>
          <w:sz w:val="18"/>
          <w:szCs w:val="18"/>
          <w:b w:val="1"/>
          <w:bCs w:val="1"/>
          <w:color w:val="auto"/>
        </w:rPr>
        <w:t>December 31,</w:t>
      </w:r>
    </w:p>
    <w:p>
      <w:pPr>
        <w:spacing w:after="0" w:line="4" w:lineRule="exact"/>
        <w:rPr>
          <w:sz w:val="20"/>
          <w:szCs w:val="20"/>
          <w:color w:val="auto"/>
        </w:rPr>
      </w:pPr>
    </w:p>
    <w:tbl>
      <w:tblPr>
        <w:tblLayout w:type="fixed"/>
        <w:tblInd w:w="1420" w:type="dxa"/>
        <w:tblCellMar>
          <w:top w:w="0" w:type="dxa"/>
          <w:left w:w="0" w:type="dxa"/>
          <w:bottom w:w="0" w:type="dxa"/>
          <w:right w:w="0" w:type="dxa"/>
        </w:tblCellMar>
      </w:tblPr>
      <w:tr>
        <w:trPr>
          <w:trHeight w:val="229"/>
        </w:trPr>
        <w:tc>
          <w:tcPr>
            <w:tcW w:w="434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ind w:right="50"/>
              <w:spacing w:after="0"/>
              <w:rPr>
                <w:sz w:val="20"/>
                <w:szCs w:val="20"/>
                <w:color w:val="auto"/>
              </w:rPr>
            </w:pPr>
            <w:r>
              <w:rPr>
                <w:rFonts w:ascii="Calibri" w:cs="Calibri" w:eastAsia="Calibri" w:hAnsi="Calibri"/>
                <w:sz w:val="18"/>
                <w:szCs w:val="18"/>
                <w:b w:val="1"/>
                <w:bCs w:val="1"/>
                <w:color w:val="auto"/>
              </w:rPr>
              <w:t>2024</w:t>
            </w:r>
          </w:p>
        </w:tc>
        <w:tc>
          <w:tcPr>
            <w:tcW w:w="7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tcPr>
          <w:p>
            <w:pPr>
              <w:jc w:val="right"/>
              <w:ind w:right="810"/>
              <w:spacing w:after="0"/>
              <w:rPr>
                <w:sz w:val="20"/>
                <w:szCs w:val="20"/>
                <w:color w:val="auto"/>
              </w:rPr>
            </w:pPr>
            <w:r>
              <w:rPr>
                <w:rFonts w:ascii="Calibri" w:cs="Calibri" w:eastAsia="Calibri" w:hAnsi="Calibri"/>
                <w:sz w:val="18"/>
                <w:szCs w:val="18"/>
                <w:b w:val="1"/>
                <w:bCs w:val="1"/>
                <w:color w:val="auto"/>
              </w:rPr>
              <w:t>2023</w:t>
            </w:r>
          </w:p>
        </w:tc>
      </w:tr>
      <w:tr>
        <w:trPr>
          <w:trHeight w:val="210"/>
        </w:trPr>
        <w:tc>
          <w:tcPr>
            <w:tcW w:w="5580" w:type="dxa"/>
            <w:vAlign w:val="bottom"/>
            <w:gridSpan w:val="2"/>
            <w:shd w:val="clear" w:color="auto" w:fill="CFF0FC"/>
          </w:tcPr>
          <w:p>
            <w:pPr>
              <w:spacing w:after="0" w:line="210" w:lineRule="exact"/>
              <w:rPr>
                <w:sz w:val="20"/>
                <w:szCs w:val="20"/>
                <w:color w:val="auto"/>
              </w:rPr>
            </w:pPr>
            <w:r>
              <w:rPr>
                <w:rFonts w:ascii="Calibri" w:cs="Calibri" w:eastAsia="Calibri" w:hAnsi="Calibri"/>
                <w:sz w:val="18"/>
                <w:szCs w:val="18"/>
                <w:color w:val="auto"/>
              </w:rPr>
              <w:t>Assumptons:</w:t>
            </w: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r>
      <w:tr>
        <w:trPr>
          <w:trHeight w:val="215"/>
        </w:trPr>
        <w:tc>
          <w:tcPr>
            <w:tcW w:w="55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Expected term (in years)</w:t>
            </w:r>
          </w:p>
        </w:tc>
        <w:tc>
          <w:tcPr>
            <w:tcW w:w="74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6.04</w:t>
            </w:r>
          </w:p>
        </w:tc>
        <w:tc>
          <w:tcPr>
            <w:tcW w:w="2100" w:type="dxa"/>
            <w:vAlign w:val="bottom"/>
            <w:gridSpan w:val="2"/>
          </w:tcPr>
          <w:p>
            <w:pPr>
              <w:jc w:val="right"/>
              <w:ind w:right="90"/>
              <w:spacing w:after="0" w:line="215" w:lineRule="exact"/>
              <w:rPr>
                <w:sz w:val="20"/>
                <w:szCs w:val="20"/>
                <w:color w:val="auto"/>
              </w:rPr>
            </w:pPr>
            <w:r>
              <w:rPr>
                <w:rFonts w:ascii="Calibri" w:cs="Calibri" w:eastAsia="Calibri" w:hAnsi="Calibri"/>
                <w:sz w:val="18"/>
                <w:szCs w:val="18"/>
                <w:color w:val="auto"/>
              </w:rPr>
              <w:t>6.04</w:t>
            </w:r>
          </w:p>
        </w:tc>
      </w:tr>
      <w:tr>
        <w:trPr>
          <w:trHeight w:val="217"/>
        </w:trPr>
        <w:tc>
          <w:tcPr>
            <w:tcW w:w="558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Expected volatlity</w:t>
            </w:r>
          </w:p>
        </w:tc>
        <w:tc>
          <w:tcPr>
            <w:tcW w:w="7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74.78 %</w:t>
            </w:r>
          </w:p>
        </w:tc>
        <w:tc>
          <w:tcPr>
            <w:tcW w:w="210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66.05 %</w:t>
            </w:r>
          </w:p>
        </w:tc>
      </w:tr>
      <w:tr>
        <w:trPr>
          <w:trHeight w:val="215"/>
        </w:trPr>
        <w:tc>
          <w:tcPr>
            <w:tcW w:w="5580" w:type="dxa"/>
            <w:vAlign w:val="bottom"/>
            <w:gridSpan w:val="2"/>
          </w:tcPr>
          <w:p>
            <w:pPr>
              <w:ind w:left="180"/>
              <w:spacing w:after="0" w:line="215" w:lineRule="exact"/>
              <w:rPr>
                <w:sz w:val="20"/>
                <w:szCs w:val="20"/>
                <w:color w:val="auto"/>
              </w:rPr>
            </w:pPr>
            <w:r>
              <w:rPr>
                <w:rFonts w:ascii="Calibri" w:cs="Calibri" w:eastAsia="Calibri" w:hAnsi="Calibri"/>
                <w:sz w:val="18"/>
                <w:szCs w:val="18"/>
                <w:color w:val="auto"/>
              </w:rPr>
              <w:t>Risk free interest rate</w:t>
            </w:r>
          </w:p>
        </w:tc>
        <w:tc>
          <w:tcPr>
            <w:tcW w:w="740" w:type="dxa"/>
            <w:vAlign w:val="bottom"/>
          </w:tcPr>
          <w:p>
            <w:pPr>
              <w:jc w:val="right"/>
              <w:spacing w:after="0" w:line="215" w:lineRule="exact"/>
              <w:rPr>
                <w:sz w:val="20"/>
                <w:szCs w:val="20"/>
                <w:color w:val="auto"/>
              </w:rPr>
            </w:pPr>
            <w:r>
              <w:rPr>
                <w:rFonts w:ascii="Calibri" w:cs="Calibri" w:eastAsia="Calibri" w:hAnsi="Calibri"/>
                <w:sz w:val="18"/>
                <w:szCs w:val="18"/>
                <w:color w:val="auto"/>
              </w:rPr>
              <w:t>4.14 %</w:t>
            </w:r>
          </w:p>
        </w:tc>
        <w:tc>
          <w:tcPr>
            <w:tcW w:w="2100" w:type="dxa"/>
            <w:vAlign w:val="bottom"/>
            <w:gridSpan w:val="2"/>
          </w:tcPr>
          <w:p>
            <w:pPr>
              <w:jc w:val="right"/>
              <w:spacing w:after="0" w:line="215" w:lineRule="exact"/>
              <w:rPr>
                <w:sz w:val="20"/>
                <w:szCs w:val="20"/>
                <w:color w:val="auto"/>
              </w:rPr>
            </w:pPr>
            <w:r>
              <w:rPr>
                <w:rFonts w:ascii="Calibri" w:cs="Calibri" w:eastAsia="Calibri" w:hAnsi="Calibri"/>
                <w:sz w:val="18"/>
                <w:szCs w:val="18"/>
                <w:color w:val="auto"/>
              </w:rPr>
              <w:t>3.65 %</w:t>
            </w:r>
          </w:p>
        </w:tc>
      </w:tr>
      <w:tr>
        <w:trPr>
          <w:trHeight w:val="217"/>
        </w:trPr>
        <w:tc>
          <w:tcPr>
            <w:tcW w:w="5580" w:type="dxa"/>
            <w:vAlign w:val="bottom"/>
            <w:gridSpan w:val="2"/>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Dividend yield</w:t>
            </w:r>
          </w:p>
        </w:tc>
        <w:tc>
          <w:tcPr>
            <w:tcW w:w="740" w:type="dxa"/>
            <w:vAlign w:val="bottom"/>
            <w:shd w:val="clear" w:color="auto" w:fill="CFF0FC"/>
          </w:tcPr>
          <w:p>
            <w:pPr>
              <w:jc w:val="right"/>
              <w:ind w:right="70"/>
              <w:spacing w:after="0" w:line="216" w:lineRule="exact"/>
              <w:rPr>
                <w:sz w:val="20"/>
                <w:szCs w:val="20"/>
                <w:color w:val="auto"/>
              </w:rPr>
            </w:pPr>
            <w:r>
              <w:rPr>
                <w:rFonts w:ascii="Calibri" w:cs="Calibri" w:eastAsia="Calibri" w:hAnsi="Calibri"/>
                <w:sz w:val="18"/>
                <w:szCs w:val="18"/>
                <w:color w:val="auto"/>
              </w:rPr>
              <w:t>—</w:t>
            </w:r>
          </w:p>
        </w:tc>
        <w:tc>
          <w:tcPr>
            <w:tcW w:w="120" w:type="dxa"/>
            <w:vAlign w:val="bottom"/>
            <w:shd w:val="clear" w:color="auto" w:fill="CFF0FC"/>
          </w:tcPr>
          <w:p>
            <w:pPr>
              <w:spacing w:after="0"/>
              <w:rPr>
                <w:sz w:val="18"/>
                <w:szCs w:val="18"/>
                <w:color w:val="auto"/>
              </w:rPr>
            </w:pPr>
          </w:p>
        </w:tc>
        <w:tc>
          <w:tcPr>
            <w:tcW w:w="1980" w:type="dxa"/>
            <w:vAlign w:val="bottom"/>
            <w:shd w:val="clear" w:color="auto" w:fill="CFF0FC"/>
          </w:tcPr>
          <w:p>
            <w:pPr>
              <w:jc w:val="right"/>
              <w:ind w:right="90"/>
              <w:spacing w:after="0" w:line="216" w:lineRule="exact"/>
              <w:rPr>
                <w:sz w:val="20"/>
                <w:szCs w:val="20"/>
                <w:color w:val="auto"/>
              </w:rPr>
            </w:pPr>
            <w:r>
              <w:rPr>
                <w:rFonts w:ascii="Calibri" w:cs="Calibri" w:eastAsia="Calibri" w:hAnsi="Calibri"/>
                <w:sz w:val="18"/>
                <w:szCs w:val="18"/>
                <w:color w:val="auto"/>
              </w:rPr>
              <w:t>—</w:t>
            </w:r>
          </w:p>
        </w:tc>
      </w:tr>
    </w:tbl>
    <w:p>
      <w:pPr>
        <w:spacing w:after="0" w:line="162" w:lineRule="exact"/>
        <w:rPr>
          <w:sz w:val="20"/>
          <w:szCs w:val="20"/>
          <w:color w:val="auto"/>
        </w:rPr>
      </w:pPr>
    </w:p>
    <w:p>
      <w:pPr>
        <w:spacing w:after="0"/>
        <w:rPr>
          <w:sz w:val="20"/>
          <w:szCs w:val="20"/>
          <w:color w:val="auto"/>
        </w:rPr>
      </w:pPr>
      <w:r>
        <w:rPr>
          <w:rFonts w:ascii="Calibri" w:cs="Calibri" w:eastAsia="Calibri" w:hAnsi="Calibri"/>
          <w:sz w:val="18"/>
          <w:szCs w:val="18"/>
          <w:b w:val="1"/>
          <w:bCs w:val="1"/>
          <w:i w:val="1"/>
          <w:iCs w:val="1"/>
          <w:color w:val="auto"/>
        </w:rPr>
        <w:t>Stock-Based Compensaton Expense</w:t>
      </w:r>
    </w:p>
    <w:p>
      <w:pPr>
        <w:spacing w:after="0" w:line="177" w:lineRule="exact"/>
        <w:rPr>
          <w:sz w:val="20"/>
          <w:szCs w:val="20"/>
          <w:color w:val="auto"/>
        </w:rPr>
      </w:pPr>
    </w:p>
    <w:p>
      <w:pPr>
        <w:ind w:right="60" w:firstLine="509"/>
        <w:spacing w:after="0" w:line="235" w:lineRule="auto"/>
        <w:rPr>
          <w:sz w:val="20"/>
          <w:szCs w:val="20"/>
          <w:color w:val="auto"/>
        </w:rPr>
      </w:pPr>
      <w:r>
        <w:rPr>
          <w:rFonts w:ascii="Calibri" w:cs="Calibri" w:eastAsia="Calibri" w:hAnsi="Calibri"/>
          <w:sz w:val="18"/>
          <w:szCs w:val="18"/>
          <w:color w:val="auto"/>
        </w:rPr>
        <w:t>Stock-based compensaton expense recognized for all equity awards, including founder stock, has been reported in the statements of operatons and comprehensive loss as follows (in thousands):</w:t>
      </w:r>
    </w:p>
    <w:p>
      <w:pPr>
        <w:spacing w:after="0" w:line="213"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45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40" w:type="dxa"/>
            <w:vAlign w:val="bottom"/>
            <w:gridSpan w:val="3"/>
          </w:tcPr>
          <w:p>
            <w:pPr>
              <w:jc w:val="right"/>
              <w:ind w:right="150"/>
              <w:spacing w:after="0"/>
              <w:rPr>
                <w:sz w:val="20"/>
                <w:szCs w:val="20"/>
                <w:color w:val="auto"/>
              </w:rPr>
            </w:pPr>
            <w:r>
              <w:rPr>
                <w:rFonts w:ascii="Calibri" w:cs="Calibri" w:eastAsia="Calibri" w:hAnsi="Calibri"/>
                <w:sz w:val="18"/>
                <w:szCs w:val="18"/>
                <w:b w:val="1"/>
                <w:bCs w:val="1"/>
                <w:color w:val="auto"/>
              </w:rPr>
              <w:t>Years Ended</w:t>
            </w:r>
          </w:p>
        </w:tc>
        <w:tc>
          <w:tcPr>
            <w:tcW w:w="1280" w:type="dxa"/>
            <w:vAlign w:val="bottom"/>
          </w:tcPr>
          <w:p>
            <w:pPr>
              <w:spacing w:after="0"/>
              <w:rPr>
                <w:sz w:val="19"/>
                <w:szCs w:val="19"/>
                <w:color w:val="auto"/>
              </w:rPr>
            </w:pPr>
          </w:p>
        </w:tc>
      </w:tr>
      <w:tr>
        <w:trPr>
          <w:trHeight w:val="216"/>
        </w:trPr>
        <w:tc>
          <w:tcPr>
            <w:tcW w:w="45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40" w:type="dxa"/>
            <w:vAlign w:val="bottom"/>
            <w:gridSpan w:val="3"/>
          </w:tcPr>
          <w:p>
            <w:pPr>
              <w:jc w:val="right"/>
              <w:ind w:right="90"/>
              <w:spacing w:after="0" w:line="216" w:lineRule="exact"/>
              <w:rPr>
                <w:sz w:val="20"/>
                <w:szCs w:val="20"/>
                <w:color w:val="auto"/>
              </w:rPr>
            </w:pPr>
            <w:r>
              <w:rPr>
                <w:rFonts w:ascii="Calibri" w:cs="Calibri" w:eastAsia="Calibri" w:hAnsi="Calibri"/>
                <w:sz w:val="18"/>
                <w:szCs w:val="18"/>
                <w:b w:val="1"/>
                <w:bCs w:val="1"/>
                <w:color w:val="auto"/>
              </w:rPr>
              <w:t>December 31,</w:t>
            </w:r>
          </w:p>
        </w:tc>
        <w:tc>
          <w:tcPr>
            <w:tcW w:w="1280" w:type="dxa"/>
            <w:vAlign w:val="bottom"/>
          </w:tcPr>
          <w:p>
            <w:pPr>
              <w:spacing w:after="0"/>
              <w:rPr>
                <w:sz w:val="18"/>
                <w:szCs w:val="18"/>
                <w:color w:val="auto"/>
              </w:rPr>
            </w:pPr>
          </w:p>
        </w:tc>
      </w:tr>
      <w:tr>
        <w:trPr>
          <w:trHeight w:val="23"/>
        </w:trPr>
        <w:tc>
          <w:tcPr>
            <w:tcW w:w="45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9"/>
        </w:trPr>
        <w:tc>
          <w:tcPr>
            <w:tcW w:w="4580" w:type="dxa"/>
            <w:vAlign w:val="bottom"/>
          </w:tcPr>
          <w:p>
            <w:pPr>
              <w:spacing w:after="0"/>
              <w:rPr>
                <w:sz w:val="18"/>
                <w:szCs w:val="18"/>
                <w:color w:val="auto"/>
              </w:rPr>
            </w:pPr>
          </w:p>
        </w:tc>
        <w:tc>
          <w:tcPr>
            <w:tcW w:w="1220" w:type="dxa"/>
            <w:vAlign w:val="bottom"/>
            <w:tcBorders>
              <w:bottom w:val="single" w:sz="8" w:color="auto"/>
            </w:tcBorders>
          </w:tcPr>
          <w:p>
            <w:pPr>
              <w:jc w:val="right"/>
              <w:ind w:right="30"/>
              <w:spacing w:after="0" w:line="209" w:lineRule="exact"/>
              <w:rPr>
                <w:sz w:val="20"/>
                <w:szCs w:val="20"/>
                <w:color w:val="auto"/>
              </w:rPr>
            </w:pPr>
            <w:r>
              <w:rPr>
                <w:rFonts w:ascii="Calibri" w:cs="Calibri" w:eastAsia="Calibri" w:hAnsi="Calibri"/>
                <w:sz w:val="18"/>
                <w:szCs w:val="18"/>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70"/>
              <w:spacing w:after="0" w:line="209" w:lineRule="exact"/>
              <w:rPr>
                <w:sz w:val="20"/>
                <w:szCs w:val="20"/>
                <w:color w:val="auto"/>
              </w:rPr>
            </w:pPr>
            <w:r>
              <w:rPr>
                <w:rFonts w:ascii="Calibri" w:cs="Calibri" w:eastAsia="Calibri" w:hAnsi="Calibri"/>
                <w:sz w:val="18"/>
                <w:szCs w:val="18"/>
                <w:b w:val="1"/>
                <w:bCs w:val="1"/>
                <w:color w:val="auto"/>
              </w:rPr>
              <w:t>2023</w:t>
            </w:r>
          </w:p>
        </w:tc>
      </w:tr>
      <w:tr>
        <w:trPr>
          <w:trHeight w:val="210"/>
        </w:trPr>
        <w:tc>
          <w:tcPr>
            <w:tcW w:w="458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Research and development expense</w:t>
            </w:r>
          </w:p>
        </w:tc>
        <w:tc>
          <w:tcPr>
            <w:tcW w:w="1220" w:type="dxa"/>
            <w:vAlign w:val="bottom"/>
            <w:shd w:val="clear" w:color="auto" w:fill="CFF0FC"/>
          </w:tcPr>
          <w:p>
            <w:pPr>
              <w:jc w:val="right"/>
              <w:ind w:right="1030"/>
              <w:spacing w:after="0" w:line="210" w:lineRule="exact"/>
              <w:rPr>
                <w:sz w:val="20"/>
                <w:szCs w:val="20"/>
                <w:color w:val="auto"/>
              </w:rPr>
            </w:pPr>
            <w:r>
              <w:rPr>
                <w:rFonts w:ascii="Calibri" w:cs="Calibri" w:eastAsia="Calibri" w:hAnsi="Calibri"/>
                <w:sz w:val="18"/>
                <w:szCs w:val="18"/>
                <w:color w:val="auto"/>
                <w:w w:val="87"/>
              </w:rPr>
              <w:t>$</w:t>
            </w:r>
          </w:p>
        </w:tc>
        <w:tc>
          <w:tcPr>
            <w:tcW w:w="72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5,567</w:t>
            </w:r>
          </w:p>
        </w:tc>
        <w:tc>
          <w:tcPr>
            <w:tcW w:w="620" w:type="dxa"/>
            <w:vAlign w:val="bottom"/>
            <w:gridSpan w:val="2"/>
            <w:shd w:val="clear" w:color="auto" w:fill="CFF0FC"/>
          </w:tcPr>
          <w:p>
            <w:pPr>
              <w:jc w:val="right"/>
              <w:ind w:right="330"/>
              <w:spacing w:after="0" w:line="210" w:lineRule="exact"/>
              <w:rPr>
                <w:sz w:val="20"/>
                <w:szCs w:val="20"/>
                <w:color w:val="auto"/>
              </w:rPr>
            </w:pPr>
            <w:r>
              <w:rPr>
                <w:rFonts w:ascii="Calibri" w:cs="Calibri" w:eastAsia="Calibri" w:hAnsi="Calibri"/>
                <w:sz w:val="18"/>
                <w:szCs w:val="18"/>
                <w:color w:val="auto"/>
              </w:rPr>
              <w:t>$</w:t>
            </w:r>
          </w:p>
        </w:tc>
        <w:tc>
          <w:tcPr>
            <w:tcW w:w="128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12,302</w:t>
            </w:r>
          </w:p>
        </w:tc>
      </w:tr>
      <w:tr>
        <w:trPr>
          <w:trHeight w:val="215"/>
        </w:trPr>
        <w:tc>
          <w:tcPr>
            <w:tcW w:w="4580" w:type="dxa"/>
            <w:vAlign w:val="bottom"/>
          </w:tcPr>
          <w:p>
            <w:pPr>
              <w:spacing w:after="0" w:line="215" w:lineRule="exact"/>
              <w:rPr>
                <w:sz w:val="20"/>
                <w:szCs w:val="20"/>
                <w:color w:val="auto"/>
              </w:rPr>
            </w:pPr>
            <w:r>
              <w:rPr>
                <w:rFonts w:ascii="Calibri" w:cs="Calibri" w:eastAsia="Calibri" w:hAnsi="Calibri"/>
                <w:sz w:val="18"/>
                <w:szCs w:val="18"/>
                <w:color w:val="auto"/>
              </w:rPr>
              <w:t>Selling, general and administratve expense</w:t>
            </w:r>
          </w:p>
        </w:tc>
        <w:tc>
          <w:tcPr>
            <w:tcW w:w="1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18,480</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0"/>
              <w:spacing w:after="0" w:line="215" w:lineRule="exact"/>
              <w:rPr>
                <w:sz w:val="20"/>
                <w:szCs w:val="20"/>
                <w:color w:val="auto"/>
              </w:rPr>
            </w:pPr>
            <w:r>
              <w:rPr>
                <w:rFonts w:ascii="Calibri" w:cs="Calibri" w:eastAsia="Calibri" w:hAnsi="Calibri"/>
                <w:sz w:val="18"/>
                <w:szCs w:val="18"/>
                <w:color w:val="auto"/>
              </w:rPr>
              <w:t>32,723</w:t>
            </w:r>
          </w:p>
        </w:tc>
      </w:tr>
      <w:tr>
        <w:trPr>
          <w:trHeight w:val="250"/>
        </w:trPr>
        <w:tc>
          <w:tcPr>
            <w:tcW w:w="458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Total</w:t>
            </w:r>
          </w:p>
        </w:tc>
        <w:tc>
          <w:tcPr>
            <w:tcW w:w="1220" w:type="dxa"/>
            <w:vAlign w:val="bottom"/>
            <w:tcBorders>
              <w:bottom w:val="single" w:sz="8" w:color="auto"/>
            </w:tcBorders>
            <w:shd w:val="clear" w:color="auto" w:fill="CFF0FC"/>
          </w:tcPr>
          <w:p>
            <w:pPr>
              <w:jc w:val="right"/>
              <w:ind w:right="1030"/>
              <w:spacing w:after="0" w:line="209" w:lineRule="exact"/>
              <w:rPr>
                <w:sz w:val="20"/>
                <w:szCs w:val="20"/>
                <w:color w:val="auto"/>
              </w:rPr>
            </w:pPr>
            <w:r>
              <w:rPr>
                <w:rFonts w:ascii="Calibri" w:cs="Calibri" w:eastAsia="Calibri" w:hAnsi="Calibri"/>
                <w:sz w:val="18"/>
                <w:szCs w:val="18"/>
                <w:color w:val="auto"/>
                <w:w w:val="87"/>
              </w:rPr>
              <w:t>$</w:t>
            </w:r>
          </w:p>
        </w:tc>
        <w:tc>
          <w:tcPr>
            <w:tcW w:w="72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24,047</w:t>
            </w:r>
          </w:p>
        </w:tc>
        <w:tc>
          <w:tcPr>
            <w:tcW w:w="1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line="209" w:lineRule="exact"/>
              <w:rPr>
                <w:sz w:val="20"/>
                <w:szCs w:val="20"/>
                <w:color w:val="auto"/>
              </w:rPr>
            </w:pPr>
            <w:r>
              <w:rPr>
                <w:rFonts w:ascii="Calibri" w:cs="Calibri" w:eastAsia="Calibri" w:hAnsi="Calibri"/>
                <w:sz w:val="18"/>
                <w:szCs w:val="18"/>
                <w:color w:val="auto"/>
                <w:w w:val="87"/>
              </w:rPr>
              <w:t>$</w:t>
            </w:r>
          </w:p>
        </w:tc>
        <w:tc>
          <w:tcPr>
            <w:tcW w:w="128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45,025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-8255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8. Revenue Recogniton</w:t>
      </w:r>
    </w:p>
    <w:p>
      <w:pPr>
        <w:spacing w:after="0" w:line="190"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auto"/>
        </w:rPr>
        <w:t>To date, our only source of revenue has been from the U.S. sales of VOQUEZNA products, which the Company began selling during the fourth quarter of 2023. The Company records its best estmate of chargebacks, sales discounts and other reserves to which customers are likely expected to be enttled to as contra accounts receivable charges, and within accrued expenses if payable to a third-party or related to product returns on the balance sheets. During the years ended December 31, 2024 and 2023, the</w:t>
      </w:r>
    </w:p>
    <w:p>
      <w:pPr>
        <w:spacing w:after="0" w:line="2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52" w:right="379" w:bottom="1440" w:gutter="0" w:footer="0" w:header="0"/>
        </w:sectPr>
      </w:pPr>
    </w:p>
    <w:bookmarkStart w:id="143" w:name="page144"/>
    <w:bookmarkEnd w:id="143"/>
    <w:p>
      <w:pPr>
        <w:ind w:right="680"/>
        <w:spacing w:after="0" w:line="235" w:lineRule="auto"/>
        <w:rPr>
          <w:sz w:val="20"/>
          <w:szCs w:val="20"/>
          <w:color w:val="auto"/>
        </w:rPr>
      </w:pPr>
      <w:r>
        <w:rPr>
          <w:rFonts w:ascii="Calibri" w:cs="Calibri" w:eastAsia="Calibri" w:hAnsi="Calibri"/>
          <w:sz w:val="18"/>
          <w:szCs w:val="18"/>
          <w:color w:val="auto"/>
        </w:rPr>
        <w:t>Company recognized $55.3 million and $0.7 million, respectvely, of net product revenues related to sales of VOQUEZNA, VOQUEZNA DUAL PAK and VOQUEZNA TRIPLE PAK.</w:t>
      </w:r>
    </w:p>
    <w:p>
      <w:pPr>
        <w:spacing w:after="0" w:line="191"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auto"/>
        </w:rPr>
        <w:t>The following table provides a summary of the Company's revenue allowances and related accruals for the year ended December 31, 2024 which have been deductng in arriving at product revenues, net (in thousands):</w:t>
      </w:r>
    </w:p>
    <w:p>
      <w:pPr>
        <w:spacing w:after="0" w:line="213"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3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3"/>
          </w:tcPr>
          <w:p>
            <w:pPr>
              <w:jc w:val="center"/>
              <w:ind w:right="380"/>
              <w:spacing w:after="0"/>
              <w:rPr>
                <w:sz w:val="20"/>
                <w:szCs w:val="20"/>
                <w:color w:val="auto"/>
              </w:rPr>
            </w:pPr>
            <w:r>
              <w:rPr>
                <w:rFonts w:ascii="Calibri" w:cs="Calibri" w:eastAsia="Calibri" w:hAnsi="Calibri"/>
                <w:sz w:val="18"/>
                <w:szCs w:val="18"/>
                <w:b w:val="1"/>
                <w:bCs w:val="1"/>
                <w:color w:val="auto"/>
                <w:w w:val="98"/>
              </w:rPr>
              <w:t>Customer Credits,</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380"/>
              <w:spacing w:after="0" w:line="216" w:lineRule="exact"/>
              <w:rPr>
                <w:sz w:val="20"/>
                <w:szCs w:val="20"/>
                <w:color w:val="auto"/>
              </w:rPr>
            </w:pPr>
            <w:r>
              <w:rPr>
                <w:rFonts w:ascii="Calibri" w:cs="Calibri" w:eastAsia="Calibri" w:hAnsi="Calibri"/>
                <w:sz w:val="18"/>
                <w:szCs w:val="18"/>
                <w:b w:val="1"/>
                <w:bCs w:val="1"/>
                <w:color w:val="auto"/>
                <w:w w:val="98"/>
              </w:rPr>
              <w:t>Discounts and</w:t>
            </w:r>
          </w:p>
        </w:tc>
        <w:tc>
          <w:tcPr>
            <w:tcW w:w="1840" w:type="dxa"/>
            <w:vAlign w:val="bottom"/>
            <w:gridSpan w:val="4"/>
          </w:tcPr>
          <w:p>
            <w:pPr>
              <w:ind w:left="20"/>
              <w:spacing w:after="0" w:line="216" w:lineRule="exact"/>
              <w:rPr>
                <w:sz w:val="20"/>
                <w:szCs w:val="20"/>
                <w:color w:val="auto"/>
              </w:rPr>
            </w:pPr>
            <w:r>
              <w:rPr>
                <w:rFonts w:ascii="Calibri" w:cs="Calibri" w:eastAsia="Calibri" w:hAnsi="Calibri"/>
                <w:sz w:val="18"/>
                <w:szCs w:val="18"/>
                <w:b w:val="1"/>
                <w:bCs w:val="1"/>
                <w:color w:val="auto"/>
              </w:rPr>
              <w:t>Rebates, Returns and</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340"/>
              <w:spacing w:after="0" w:line="216" w:lineRule="exact"/>
              <w:rPr>
                <w:sz w:val="20"/>
                <w:szCs w:val="20"/>
                <w:color w:val="auto"/>
              </w:rPr>
            </w:pPr>
            <w:r>
              <w:rPr>
                <w:rFonts w:ascii="Calibri" w:cs="Calibri" w:eastAsia="Calibri" w:hAnsi="Calibri"/>
                <w:sz w:val="18"/>
                <w:szCs w:val="18"/>
                <w:b w:val="1"/>
                <w:bCs w:val="1"/>
                <w:color w:val="auto"/>
                <w:w w:val="97"/>
              </w:rPr>
              <w:t>Allowance</w:t>
            </w:r>
          </w:p>
        </w:tc>
        <w:tc>
          <w:tcPr>
            <w:tcW w:w="120" w:type="dxa"/>
            <w:vAlign w:val="bottom"/>
          </w:tcPr>
          <w:p>
            <w:pPr>
              <w:spacing w:after="0"/>
              <w:rPr>
                <w:sz w:val="18"/>
                <w:szCs w:val="18"/>
                <w:color w:val="auto"/>
              </w:rPr>
            </w:pPr>
          </w:p>
        </w:tc>
        <w:tc>
          <w:tcPr>
            <w:tcW w:w="1720" w:type="dxa"/>
            <w:vAlign w:val="bottom"/>
            <w:gridSpan w:val="3"/>
          </w:tcPr>
          <w:p>
            <w:pPr>
              <w:jc w:val="center"/>
              <w:ind w:right="340"/>
              <w:spacing w:after="0" w:line="216" w:lineRule="exact"/>
              <w:rPr>
                <w:sz w:val="20"/>
                <w:szCs w:val="20"/>
                <w:color w:val="auto"/>
              </w:rPr>
            </w:pPr>
            <w:r>
              <w:rPr>
                <w:rFonts w:ascii="Calibri" w:cs="Calibri" w:eastAsia="Calibri" w:hAnsi="Calibri"/>
                <w:sz w:val="18"/>
                <w:szCs w:val="18"/>
                <w:b w:val="1"/>
                <w:bCs w:val="1"/>
                <w:color w:val="auto"/>
                <w:w w:val="96"/>
              </w:rPr>
              <w:t>Co-Pay Assistance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3"/>
          </w:tcPr>
          <w:p>
            <w:pPr>
              <w:jc w:val="center"/>
              <w:ind w:right="380"/>
              <w:spacing w:after="0"/>
              <w:rPr>
                <w:sz w:val="20"/>
                <w:szCs w:val="20"/>
                <w:color w:val="auto"/>
              </w:rPr>
            </w:pPr>
            <w:r>
              <w:rPr>
                <w:rFonts w:ascii="Calibri" w:cs="Calibri" w:eastAsia="Calibri" w:hAnsi="Calibri"/>
                <w:sz w:val="14"/>
                <w:szCs w:val="14"/>
                <w:b w:val="1"/>
                <w:bCs w:val="1"/>
                <w:color w:val="auto"/>
              </w:rPr>
              <w:t>(contra accounts</w:t>
            </w: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vMerge w:val="restart"/>
          </w:tcPr>
          <w:p>
            <w:pPr>
              <w:jc w:val="right"/>
              <w:ind w:right="500"/>
              <w:spacing w:after="0"/>
              <w:rPr>
                <w:sz w:val="20"/>
                <w:szCs w:val="20"/>
                <w:color w:val="auto"/>
              </w:rPr>
            </w:pPr>
            <w:r>
              <w:rPr>
                <w:rFonts w:ascii="Calibri" w:cs="Calibri" w:eastAsia="Calibri" w:hAnsi="Calibri"/>
                <w:sz w:val="18"/>
                <w:szCs w:val="18"/>
                <w:b w:val="1"/>
                <w:bCs w:val="1"/>
                <w:color w:val="auto"/>
              </w:rPr>
              <w:t>Total</w:t>
            </w: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3"/>
          </w:tcPr>
          <w:p>
            <w:pPr>
              <w:jc w:val="center"/>
              <w:ind w:right="360"/>
              <w:spacing w:after="0"/>
              <w:rPr>
                <w:sz w:val="20"/>
                <w:szCs w:val="20"/>
                <w:color w:val="auto"/>
              </w:rPr>
            </w:pPr>
            <w:r>
              <w:rPr>
                <w:rFonts w:ascii="Calibri" w:cs="Calibri" w:eastAsia="Calibri" w:hAnsi="Calibri"/>
                <w:sz w:val="14"/>
                <w:szCs w:val="14"/>
                <w:b w:val="1"/>
                <w:bCs w:val="1"/>
                <w:color w:val="auto"/>
              </w:rPr>
              <w:t>receivable)</w:t>
            </w:r>
          </w:p>
        </w:tc>
        <w:tc>
          <w:tcPr>
            <w:tcW w:w="120" w:type="dxa"/>
            <w:vAlign w:val="bottom"/>
          </w:tcPr>
          <w:p>
            <w:pPr>
              <w:spacing w:after="0"/>
              <w:rPr>
                <w:sz w:val="16"/>
                <w:szCs w:val="16"/>
                <w:color w:val="auto"/>
              </w:rPr>
            </w:pPr>
          </w:p>
        </w:tc>
        <w:tc>
          <w:tcPr>
            <w:tcW w:w="1720" w:type="dxa"/>
            <w:vAlign w:val="bottom"/>
            <w:gridSpan w:val="3"/>
          </w:tcPr>
          <w:p>
            <w:pPr>
              <w:jc w:val="center"/>
              <w:ind w:right="340"/>
              <w:spacing w:after="0"/>
              <w:rPr>
                <w:sz w:val="20"/>
                <w:szCs w:val="20"/>
                <w:color w:val="auto"/>
              </w:rPr>
            </w:pPr>
            <w:r>
              <w:rPr>
                <w:rFonts w:ascii="Calibri" w:cs="Calibri" w:eastAsia="Calibri" w:hAnsi="Calibri"/>
                <w:sz w:val="14"/>
                <w:szCs w:val="14"/>
                <w:b w:val="1"/>
                <w:bCs w:val="1"/>
                <w:color w:val="auto"/>
              </w:rPr>
              <w:t>(accrued expenses)</w:t>
            </w: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line="215" w:lineRule="exact"/>
              <w:rPr>
                <w:sz w:val="20"/>
                <w:szCs w:val="20"/>
                <w:color w:val="auto"/>
              </w:rPr>
            </w:pPr>
            <w:r>
              <w:rPr>
                <w:rFonts w:ascii="Calibri" w:cs="Calibri" w:eastAsia="Calibri" w:hAnsi="Calibri"/>
                <w:sz w:val="18"/>
                <w:szCs w:val="18"/>
                <w:color w:val="auto"/>
              </w:rPr>
              <w:t>Balance as of January 1, 2024</w:t>
            </w:r>
          </w:p>
        </w:tc>
        <w:tc>
          <w:tcPr>
            <w:tcW w:w="12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52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332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line="215" w:lineRule="exact"/>
              <w:rPr>
                <w:sz w:val="20"/>
                <w:szCs w:val="20"/>
                <w:color w:val="auto"/>
              </w:rPr>
            </w:pPr>
            <w:r>
              <w:rPr>
                <w:rFonts w:ascii="Calibri" w:cs="Calibri" w:eastAsia="Calibri" w:hAnsi="Calibri"/>
                <w:sz w:val="18"/>
                <w:szCs w:val="18"/>
                <w:color w:val="auto"/>
              </w:rPr>
              <w:t>$</w:t>
            </w:r>
          </w:p>
        </w:tc>
        <w:tc>
          <w:tcPr>
            <w:tcW w:w="150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972</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line="215"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tcBorders>
            <w:shd w:val="clear" w:color="auto" w:fill="CFF0FC"/>
          </w:tcPr>
          <w:p>
            <w:pPr>
              <w:jc w:val="right"/>
              <w:spacing w:after="0" w:line="215" w:lineRule="exact"/>
              <w:rPr>
                <w:sz w:val="20"/>
                <w:szCs w:val="20"/>
                <w:color w:val="auto"/>
              </w:rPr>
            </w:pPr>
            <w:r>
              <w:rPr>
                <w:rFonts w:ascii="Calibri" w:cs="Calibri" w:eastAsia="Calibri" w:hAnsi="Calibri"/>
                <w:sz w:val="18"/>
                <w:szCs w:val="18"/>
                <w:color w:val="auto"/>
              </w:rPr>
              <w:t>1,304</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20" w:type="dxa"/>
            <w:vAlign w:val="bottom"/>
          </w:tcPr>
          <w:p>
            <w:pPr>
              <w:spacing w:after="0" w:line="215" w:lineRule="exact"/>
              <w:rPr>
                <w:sz w:val="20"/>
                <w:szCs w:val="20"/>
                <w:color w:val="auto"/>
              </w:rPr>
            </w:pPr>
            <w:r>
              <w:rPr>
                <w:rFonts w:ascii="Calibri" w:cs="Calibri" w:eastAsia="Calibri" w:hAnsi="Calibri"/>
                <w:sz w:val="18"/>
                <w:szCs w:val="18"/>
                <w:color w:val="auto"/>
              </w:rPr>
              <w:t>Accruals</w:t>
            </w:r>
          </w:p>
        </w:tc>
        <w:tc>
          <w:tcPr>
            <w:tcW w:w="12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19,123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jc w:val="right"/>
              <w:spacing w:after="0" w:line="215" w:lineRule="exact"/>
              <w:rPr>
                <w:sz w:val="20"/>
                <w:szCs w:val="20"/>
                <w:color w:val="auto"/>
              </w:rPr>
            </w:pPr>
            <w:r>
              <w:rPr>
                <w:rFonts w:ascii="Calibri" w:cs="Calibri" w:eastAsia="Calibri" w:hAnsi="Calibri"/>
                <w:sz w:val="18"/>
                <w:szCs w:val="18"/>
                <w:color w:val="auto"/>
              </w:rPr>
              <w:t>53,765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line="215" w:lineRule="exact"/>
              <w:rPr>
                <w:sz w:val="20"/>
                <w:szCs w:val="20"/>
                <w:color w:val="auto"/>
              </w:rPr>
            </w:pPr>
            <w:r>
              <w:rPr>
                <w:rFonts w:ascii="Calibri" w:cs="Calibri" w:eastAsia="Calibri" w:hAnsi="Calibri"/>
                <w:sz w:val="18"/>
                <w:szCs w:val="18"/>
                <w:color w:val="auto"/>
              </w:rPr>
              <w:t>72,888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Utlizatons</w:t>
            </w:r>
          </w:p>
        </w:tc>
        <w:tc>
          <w:tcPr>
            <w:tcW w:w="1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(13,796 )</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(24,750 )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(38,546 )</w:t>
            </w:r>
          </w:p>
        </w:tc>
        <w:tc>
          <w:tcPr>
            <w:tcW w:w="0" w:type="dxa"/>
            <w:vAlign w:val="bottom"/>
          </w:tcPr>
          <w:p>
            <w:pPr>
              <w:spacing w:after="0"/>
              <w:rPr>
                <w:sz w:val="1"/>
                <w:szCs w:val="1"/>
                <w:color w:val="auto"/>
              </w:rPr>
            </w:pPr>
          </w:p>
        </w:tc>
      </w:tr>
      <w:tr>
        <w:trPr>
          <w:trHeight w:val="209"/>
        </w:trPr>
        <w:tc>
          <w:tcPr>
            <w:tcW w:w="3420" w:type="dxa"/>
            <w:vAlign w:val="bottom"/>
            <w:tcBorders>
              <w:top w:val="single" w:sz="8" w:color="CFF0FC"/>
            </w:tcBorders>
          </w:tcPr>
          <w:p>
            <w:pPr>
              <w:spacing w:after="0" w:line="209" w:lineRule="exact"/>
              <w:rPr>
                <w:sz w:val="20"/>
                <w:szCs w:val="20"/>
                <w:color w:val="auto"/>
              </w:rPr>
            </w:pPr>
            <w:r>
              <w:rPr>
                <w:rFonts w:ascii="Calibri" w:cs="Calibri" w:eastAsia="Calibri" w:hAnsi="Calibri"/>
                <w:sz w:val="18"/>
                <w:szCs w:val="18"/>
                <w:color w:val="auto"/>
              </w:rPr>
              <w:t>Balance as of December 31, 2024</w:t>
            </w:r>
          </w:p>
        </w:tc>
        <w:tc>
          <w:tcPr>
            <w:tcW w:w="1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w w:val="87"/>
              </w:rPr>
              <w:t>$</w:t>
            </w:r>
          </w:p>
        </w:tc>
        <w:tc>
          <w:tcPr>
            <w:tcW w:w="152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5,659</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9" w:lineRule="exact"/>
              <w:rPr>
                <w:sz w:val="20"/>
                <w:szCs w:val="20"/>
                <w:color w:val="auto"/>
              </w:rPr>
            </w:pPr>
            <w:r>
              <w:rPr>
                <w:rFonts w:ascii="Calibri" w:cs="Calibri" w:eastAsia="Calibri" w:hAnsi="Calibri"/>
                <w:sz w:val="18"/>
                <w:szCs w:val="18"/>
                <w:color w:val="auto"/>
              </w:rPr>
              <w:t>$</w:t>
            </w:r>
          </w:p>
        </w:tc>
        <w:tc>
          <w:tcPr>
            <w:tcW w:w="150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29,987</w:t>
            </w:r>
          </w:p>
        </w:tc>
        <w:tc>
          <w:tcPr>
            <w:tcW w:w="80" w:type="dxa"/>
            <w:vAlign w:val="bottom"/>
            <w:tcBorders>
              <w:top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60" w:type="dxa"/>
            <w:vAlign w:val="bottom"/>
            <w:tcBorders>
              <w:top w:val="single" w:sz="8" w:color="auto"/>
              <w:bottom w:val="single" w:sz="8" w:color="auto"/>
            </w:tcBorders>
          </w:tcPr>
          <w:p>
            <w:pPr>
              <w:jc w:val="right"/>
              <w:spacing w:after="0" w:line="209" w:lineRule="exact"/>
              <w:rPr>
                <w:sz w:val="20"/>
                <w:szCs w:val="20"/>
                <w:color w:val="auto"/>
              </w:rPr>
            </w:pPr>
            <w:r>
              <w:rPr>
                <w:rFonts w:ascii="Calibri" w:cs="Calibri" w:eastAsia="Calibri" w:hAnsi="Calibri"/>
                <w:sz w:val="18"/>
                <w:szCs w:val="18"/>
                <w:color w:val="auto"/>
              </w:rPr>
              <w:t>35,646</w:t>
            </w:r>
          </w:p>
        </w:tc>
        <w:tc>
          <w:tcPr>
            <w:tcW w:w="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-170815</wp:posOffset>
            </wp:positionV>
            <wp:extent cx="5143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514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-170815</wp:posOffset>
            </wp:positionV>
            <wp:extent cx="514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9"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231F20"/>
        </w:rPr>
        <w:t>9. Income Taxes</w:t>
      </w:r>
    </w:p>
    <w:p>
      <w:pPr>
        <w:spacing w:after="0" w:line="177" w:lineRule="exact"/>
        <w:rPr>
          <w:sz w:val="20"/>
          <w:szCs w:val="20"/>
          <w:color w:val="auto"/>
        </w:rPr>
      </w:pPr>
    </w:p>
    <w:p>
      <w:pPr>
        <w:jc w:val="both"/>
        <w:ind w:firstLine="509"/>
        <w:spacing w:after="0" w:line="235" w:lineRule="auto"/>
        <w:rPr>
          <w:sz w:val="20"/>
          <w:szCs w:val="20"/>
          <w:color w:val="auto"/>
        </w:rPr>
      </w:pPr>
      <w:r>
        <w:rPr>
          <w:rFonts w:ascii="Calibri" w:cs="Calibri" w:eastAsia="Calibri" w:hAnsi="Calibri"/>
          <w:sz w:val="18"/>
          <w:szCs w:val="18"/>
          <w:color w:val="231F20"/>
        </w:rPr>
        <w:t>For the years ended December 31, 2024 and 2023, the Company did not record a provision for income taxes due to a full valuaton against its deferred taxes. A reconciliaton between the provision for income taxes and income taxes computed using the U.S. federal statutory corporate tax rate is as follows (in thousands):</w:t>
      </w: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20"/>
        </w:trPr>
        <w:tc>
          <w:tcPr>
            <w:tcW w:w="9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gridSpan w:val="4"/>
          </w:tcPr>
          <w:p>
            <w:pPr>
              <w:jc w:val="center"/>
              <w:ind w:left="770"/>
              <w:spacing w:after="0"/>
              <w:rPr>
                <w:sz w:val="20"/>
                <w:szCs w:val="20"/>
                <w:color w:val="auto"/>
              </w:rPr>
            </w:pPr>
            <w:r>
              <w:rPr>
                <w:rFonts w:ascii="Calibri" w:cs="Calibri" w:eastAsia="Calibri" w:hAnsi="Calibri"/>
                <w:sz w:val="18"/>
                <w:szCs w:val="18"/>
                <w:b w:val="1"/>
                <w:bCs w:val="1"/>
                <w:color w:val="auto"/>
                <w:w w:val="98"/>
              </w:rPr>
              <w:t>Years Ended</w:t>
            </w:r>
          </w:p>
        </w:tc>
        <w:tc>
          <w:tcPr>
            <w:tcW w:w="1360" w:type="dxa"/>
            <w:vAlign w:val="bottom"/>
          </w:tcPr>
          <w:p>
            <w:pPr>
              <w:spacing w:after="0"/>
              <w:rPr>
                <w:sz w:val="19"/>
                <w:szCs w:val="19"/>
                <w:color w:val="auto"/>
              </w:rPr>
            </w:pPr>
          </w:p>
        </w:tc>
      </w:tr>
      <w:tr>
        <w:trPr>
          <w:trHeight w:val="216"/>
        </w:trPr>
        <w:tc>
          <w:tcPr>
            <w:tcW w:w="9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gridSpan w:val="4"/>
          </w:tcPr>
          <w:p>
            <w:pPr>
              <w:jc w:val="center"/>
              <w:ind w:left="770"/>
              <w:spacing w:after="0" w:line="216" w:lineRule="exact"/>
              <w:rPr>
                <w:sz w:val="20"/>
                <w:szCs w:val="20"/>
                <w:color w:val="auto"/>
              </w:rPr>
            </w:pPr>
            <w:r>
              <w:rPr>
                <w:rFonts w:ascii="Calibri" w:cs="Calibri" w:eastAsia="Calibri" w:hAnsi="Calibri"/>
                <w:sz w:val="18"/>
                <w:szCs w:val="18"/>
                <w:b w:val="1"/>
                <w:bCs w:val="1"/>
                <w:color w:val="auto"/>
                <w:w w:val="98"/>
              </w:rPr>
              <w:t>December 31,</w:t>
            </w:r>
          </w:p>
        </w:tc>
        <w:tc>
          <w:tcPr>
            <w:tcW w:w="1360" w:type="dxa"/>
            <w:vAlign w:val="bottom"/>
          </w:tcPr>
          <w:p>
            <w:pPr>
              <w:spacing w:after="0"/>
              <w:rPr>
                <w:sz w:val="18"/>
                <w:szCs w:val="18"/>
                <w:color w:val="auto"/>
              </w:rPr>
            </w:pPr>
          </w:p>
        </w:tc>
      </w:tr>
      <w:tr>
        <w:trPr>
          <w:trHeight w:val="23"/>
        </w:trPr>
        <w:tc>
          <w:tcPr>
            <w:tcW w:w="9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9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0"/>
              <w:spacing w:after="0" w:line="209" w:lineRule="exact"/>
              <w:rPr>
                <w:sz w:val="20"/>
                <w:szCs w:val="20"/>
                <w:color w:val="auto"/>
              </w:rPr>
            </w:pPr>
            <w:r>
              <w:rPr>
                <w:rFonts w:ascii="Calibri" w:cs="Calibri" w:eastAsia="Calibri" w:hAnsi="Calibri"/>
                <w:sz w:val="18"/>
                <w:szCs w:val="18"/>
                <w:b w:val="1"/>
                <w:bCs w:val="1"/>
                <w:color w:val="auto"/>
              </w:rPr>
              <w:t>2024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rPr>
              <w:t>2023</w:t>
            </w:r>
          </w:p>
        </w:tc>
      </w:tr>
      <w:tr>
        <w:trPr>
          <w:trHeight w:val="210"/>
        </w:trPr>
        <w:tc>
          <w:tcPr>
            <w:tcW w:w="900" w:type="dxa"/>
            <w:vAlign w:val="bottom"/>
          </w:tcPr>
          <w:p>
            <w:pPr>
              <w:spacing w:after="0"/>
              <w:rPr>
                <w:sz w:val="18"/>
                <w:szCs w:val="18"/>
                <w:color w:val="auto"/>
              </w:rPr>
            </w:pPr>
          </w:p>
        </w:tc>
        <w:tc>
          <w:tcPr>
            <w:tcW w:w="44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Income taxes computed at the statutory rate</w:t>
            </w:r>
          </w:p>
        </w:tc>
        <w:tc>
          <w:tcPr>
            <w:tcW w:w="420" w:type="dxa"/>
            <w:vAlign w:val="bottom"/>
            <w:shd w:val="clear" w:color="auto" w:fill="CFF0FC"/>
          </w:tcPr>
          <w:p>
            <w:pPr>
              <w:jc w:val="right"/>
              <w:ind w:right="210"/>
              <w:spacing w:after="0" w:line="210" w:lineRule="exact"/>
              <w:rPr>
                <w:sz w:val="20"/>
                <w:szCs w:val="20"/>
                <w:color w:val="auto"/>
              </w:rPr>
            </w:pPr>
            <w:r>
              <w:rPr>
                <w:rFonts w:ascii="Calibri" w:cs="Calibri" w:eastAsia="Calibri" w:hAnsi="Calibri"/>
                <w:sz w:val="18"/>
                <w:szCs w:val="18"/>
                <w:color w:val="auto"/>
              </w:rPr>
              <w:t>$</w:t>
            </w:r>
          </w:p>
        </w:tc>
        <w:tc>
          <w:tcPr>
            <w:tcW w:w="1540" w:type="dxa"/>
            <w:vAlign w:val="bottom"/>
            <w:gridSpan w:val="2"/>
            <w:shd w:val="clear" w:color="auto" w:fill="CFF0FC"/>
          </w:tcPr>
          <w:p>
            <w:pPr>
              <w:jc w:val="right"/>
              <w:ind w:right="20"/>
              <w:spacing w:after="0" w:line="210" w:lineRule="exact"/>
              <w:rPr>
                <w:sz w:val="20"/>
                <w:szCs w:val="20"/>
                <w:color w:val="auto"/>
              </w:rPr>
            </w:pPr>
            <w:r>
              <w:rPr>
                <w:rFonts w:ascii="Calibri" w:cs="Calibri" w:eastAsia="Calibri" w:hAnsi="Calibri"/>
                <w:sz w:val="18"/>
                <w:szCs w:val="18"/>
                <w:color w:val="auto"/>
              </w:rPr>
              <w:t>(70,209 )</w:t>
            </w:r>
          </w:p>
        </w:tc>
        <w:tc>
          <w:tcPr>
            <w:tcW w:w="700" w:type="dxa"/>
            <w:vAlign w:val="bottom"/>
            <w:gridSpan w:val="2"/>
            <w:shd w:val="clear" w:color="auto" w:fill="CFF0FC"/>
          </w:tcPr>
          <w:p>
            <w:pPr>
              <w:jc w:val="right"/>
              <w:ind w:right="390"/>
              <w:spacing w:after="0" w:line="210" w:lineRule="exact"/>
              <w:rPr>
                <w:sz w:val="20"/>
                <w:szCs w:val="20"/>
                <w:color w:val="auto"/>
              </w:rPr>
            </w:pPr>
            <w:r>
              <w:rPr>
                <w:rFonts w:ascii="Calibri" w:cs="Calibri" w:eastAsia="Calibri" w:hAnsi="Calibri"/>
                <w:sz w:val="18"/>
                <w:szCs w:val="18"/>
                <w:color w:val="auto"/>
              </w:rPr>
              <w:t>$</w:t>
            </w:r>
          </w:p>
        </w:tc>
        <w:tc>
          <w:tcPr>
            <w:tcW w:w="136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(42,334 )</w:t>
            </w:r>
          </w:p>
        </w:tc>
      </w:tr>
      <w:tr>
        <w:trPr>
          <w:trHeight w:val="215"/>
        </w:trPr>
        <w:tc>
          <w:tcPr>
            <w:tcW w:w="90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State income taxes, net of federal beneft</w:t>
            </w:r>
          </w:p>
        </w:tc>
        <w:tc>
          <w:tcPr>
            <w:tcW w:w="420" w:type="dxa"/>
            <w:vAlign w:val="bottom"/>
          </w:tcPr>
          <w:p>
            <w:pPr>
              <w:spacing w:after="0"/>
              <w:rPr>
                <w:sz w:val="18"/>
                <w:szCs w:val="18"/>
                <w:color w:val="auto"/>
              </w:rPr>
            </w:pPr>
          </w:p>
        </w:tc>
        <w:tc>
          <w:tcPr>
            <w:tcW w:w="15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(10,540 )</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(4,310 )</w:t>
            </w:r>
          </w:p>
        </w:tc>
      </w:tr>
      <w:tr>
        <w:trPr>
          <w:trHeight w:val="217"/>
        </w:trPr>
        <w:tc>
          <w:tcPr>
            <w:tcW w:w="900" w:type="dxa"/>
            <w:vAlign w:val="bottom"/>
          </w:tcPr>
          <w:p>
            <w:pPr>
              <w:spacing w:after="0"/>
              <w:rPr>
                <w:sz w:val="18"/>
                <w:szCs w:val="18"/>
                <w:color w:val="auto"/>
              </w:rPr>
            </w:pPr>
          </w:p>
        </w:tc>
        <w:tc>
          <w:tcPr>
            <w:tcW w:w="44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Permanent items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3,332</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1,310</w:t>
            </w:r>
          </w:p>
        </w:tc>
      </w:tr>
      <w:tr>
        <w:trPr>
          <w:trHeight w:val="215"/>
        </w:trPr>
        <w:tc>
          <w:tcPr>
            <w:tcW w:w="90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Ofcers' compensaton</w:t>
            </w:r>
          </w:p>
        </w:tc>
        <w:tc>
          <w:tcPr>
            <w:tcW w:w="420" w:type="dxa"/>
            <w:vAlign w:val="bottom"/>
          </w:tcPr>
          <w:p>
            <w:pPr>
              <w:spacing w:after="0"/>
              <w:rPr>
                <w:sz w:val="18"/>
                <w:szCs w:val="18"/>
                <w:color w:val="auto"/>
              </w:rPr>
            </w:pPr>
          </w:p>
        </w:tc>
        <w:tc>
          <w:tcPr>
            <w:tcW w:w="1520" w:type="dxa"/>
            <w:vAlign w:val="bottom"/>
          </w:tcPr>
          <w:p>
            <w:pPr>
              <w:jc w:val="right"/>
              <w:spacing w:after="0" w:line="215" w:lineRule="exact"/>
              <w:rPr>
                <w:sz w:val="20"/>
                <w:szCs w:val="20"/>
                <w:color w:val="auto"/>
              </w:rPr>
            </w:pPr>
            <w:r>
              <w:rPr>
                <w:rFonts w:ascii="Calibri" w:cs="Calibri" w:eastAsia="Calibri" w:hAnsi="Calibri"/>
                <w:sz w:val="18"/>
                <w:szCs w:val="18"/>
                <w:color w:val="auto"/>
              </w:rPr>
              <w:t>1,637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2,534</w:t>
            </w:r>
          </w:p>
        </w:tc>
      </w:tr>
      <w:tr>
        <w:trPr>
          <w:trHeight w:val="217"/>
        </w:trPr>
        <w:tc>
          <w:tcPr>
            <w:tcW w:w="900" w:type="dxa"/>
            <w:vAlign w:val="bottom"/>
          </w:tcPr>
          <w:p>
            <w:pPr>
              <w:spacing w:after="0"/>
              <w:rPr>
                <w:sz w:val="18"/>
                <w:szCs w:val="18"/>
                <w:color w:val="auto"/>
              </w:rPr>
            </w:pPr>
          </w:p>
        </w:tc>
        <w:tc>
          <w:tcPr>
            <w:tcW w:w="44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Research and development credit</w:t>
            </w: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0"/>
              <w:spacing w:after="0" w:line="216" w:lineRule="exact"/>
              <w:rPr>
                <w:sz w:val="20"/>
                <w:szCs w:val="20"/>
                <w:color w:val="auto"/>
              </w:rPr>
            </w:pPr>
            <w:r>
              <w:rPr>
                <w:rFonts w:ascii="Calibri" w:cs="Calibri" w:eastAsia="Calibri" w:hAnsi="Calibri"/>
                <w:sz w:val="18"/>
                <w:szCs w:val="18"/>
                <w:color w:val="auto"/>
              </w:rPr>
              <w:t>(1,739 )</w:t>
            </w: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(2,971 )</w:t>
            </w:r>
          </w:p>
        </w:tc>
      </w:tr>
      <w:tr>
        <w:trPr>
          <w:trHeight w:val="215"/>
        </w:trPr>
        <w:tc>
          <w:tcPr>
            <w:tcW w:w="90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Change in state rate</w:t>
            </w:r>
          </w:p>
        </w:tc>
        <w:tc>
          <w:tcPr>
            <w:tcW w:w="420" w:type="dxa"/>
            <w:vAlign w:val="bottom"/>
          </w:tcPr>
          <w:p>
            <w:pPr>
              <w:spacing w:after="0"/>
              <w:rPr>
                <w:sz w:val="18"/>
                <w:szCs w:val="18"/>
                <w:color w:val="auto"/>
              </w:rPr>
            </w:pPr>
          </w:p>
        </w:tc>
        <w:tc>
          <w:tcPr>
            <w:tcW w:w="154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(1,921 )</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spacing w:after="0" w:line="215" w:lineRule="exact"/>
              <w:rPr>
                <w:sz w:val="20"/>
                <w:szCs w:val="20"/>
                <w:color w:val="auto"/>
              </w:rPr>
            </w:pPr>
            <w:r>
              <w:rPr>
                <w:rFonts w:ascii="Calibri" w:cs="Calibri" w:eastAsia="Calibri" w:hAnsi="Calibri"/>
                <w:sz w:val="18"/>
                <w:szCs w:val="18"/>
                <w:color w:val="auto"/>
              </w:rPr>
              <w:t>(3,762 )</w:t>
            </w:r>
          </w:p>
        </w:tc>
      </w:tr>
      <w:tr>
        <w:trPr>
          <w:trHeight w:val="217"/>
        </w:trPr>
        <w:tc>
          <w:tcPr>
            <w:tcW w:w="900" w:type="dxa"/>
            <w:vAlign w:val="bottom"/>
          </w:tcPr>
          <w:p>
            <w:pPr>
              <w:spacing w:after="0"/>
              <w:rPr>
                <w:sz w:val="18"/>
                <w:szCs w:val="18"/>
                <w:color w:val="auto"/>
              </w:rPr>
            </w:pPr>
          </w:p>
        </w:tc>
        <w:tc>
          <w:tcPr>
            <w:tcW w:w="44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Change in valuaton allowance</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79,427</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49,745</w:t>
            </w:r>
          </w:p>
        </w:tc>
      </w:tr>
      <w:tr>
        <w:trPr>
          <w:trHeight w:val="215"/>
        </w:trPr>
        <w:tc>
          <w:tcPr>
            <w:tcW w:w="900" w:type="dxa"/>
            <w:vAlign w:val="bottom"/>
          </w:tcPr>
          <w:p>
            <w:pPr>
              <w:spacing w:after="0"/>
              <w:rPr>
                <w:sz w:val="18"/>
                <w:szCs w:val="18"/>
                <w:color w:val="auto"/>
              </w:rPr>
            </w:pPr>
          </w:p>
        </w:tc>
        <w:tc>
          <w:tcPr>
            <w:tcW w:w="4400" w:type="dxa"/>
            <w:vAlign w:val="bottom"/>
          </w:tcPr>
          <w:p>
            <w:pPr>
              <w:spacing w:after="0" w:line="215" w:lineRule="exact"/>
              <w:rPr>
                <w:sz w:val="20"/>
                <w:szCs w:val="20"/>
                <w:color w:val="auto"/>
              </w:rPr>
            </w:pPr>
            <w:r>
              <w:rPr>
                <w:rFonts w:ascii="Calibri" w:cs="Calibri" w:eastAsia="Calibri" w:hAnsi="Calibri"/>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13</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(212 )</w:t>
            </w:r>
          </w:p>
        </w:tc>
      </w:tr>
      <w:tr>
        <w:trPr>
          <w:trHeight w:val="250"/>
        </w:trPr>
        <w:tc>
          <w:tcPr>
            <w:tcW w:w="90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Provision (beneft) for income taxes</w:t>
            </w:r>
          </w:p>
        </w:tc>
        <w:tc>
          <w:tcPr>
            <w:tcW w:w="420" w:type="dxa"/>
            <w:vAlign w:val="bottom"/>
            <w:tcBorders>
              <w:bottom w:val="single" w:sz="8" w:color="auto"/>
            </w:tcBorders>
            <w:shd w:val="clear" w:color="auto" w:fill="CFF0FC"/>
          </w:tcPr>
          <w:p>
            <w:pPr>
              <w:jc w:val="right"/>
              <w:ind w:right="210"/>
              <w:spacing w:after="0" w:line="209" w:lineRule="exact"/>
              <w:rPr>
                <w:sz w:val="20"/>
                <w:szCs w:val="20"/>
                <w:color w:val="auto"/>
              </w:rPr>
            </w:pPr>
            <w:r>
              <w:rPr>
                <w:rFonts w:ascii="Calibri" w:cs="Calibri" w:eastAsia="Calibri" w:hAnsi="Calibri"/>
                <w:sz w:val="18"/>
                <w:szCs w:val="18"/>
                <w:color w:val="auto"/>
              </w:rPr>
              <w:t>$</w:t>
            </w:r>
          </w:p>
        </w:tc>
        <w:tc>
          <w:tcPr>
            <w:tcW w:w="1540" w:type="dxa"/>
            <w:vAlign w:val="bottom"/>
            <w:tcBorders>
              <w:bottom w:val="single" w:sz="8" w:color="auto"/>
            </w:tcBorders>
            <w:gridSpan w:val="2"/>
            <w:shd w:val="clear" w:color="auto" w:fill="CFF0FC"/>
          </w:tcPr>
          <w:p>
            <w:pPr>
              <w:jc w:val="right"/>
              <w:ind w:right="100"/>
              <w:spacing w:after="0" w:line="209" w:lineRule="exact"/>
              <w:rPr>
                <w:sz w:val="20"/>
                <w:szCs w:val="20"/>
                <w:color w:val="auto"/>
              </w:rPr>
            </w:pPr>
            <w:r>
              <w:rPr>
                <w:rFonts w:ascii="Calibri" w:cs="Calibri" w:eastAsia="Calibri" w:hAnsi="Calibri"/>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line="209"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r>
      <w:tr>
        <w:trPr>
          <w:trHeight w:val="349"/>
        </w:trPr>
        <w:tc>
          <w:tcPr>
            <w:tcW w:w="7260" w:type="dxa"/>
            <w:vAlign w:val="bottom"/>
            <w:gridSpan w:val="5"/>
          </w:tcPr>
          <w:p>
            <w:pPr>
              <w:spacing w:after="0"/>
              <w:rPr>
                <w:sz w:val="20"/>
                <w:szCs w:val="20"/>
                <w:color w:val="auto"/>
              </w:rPr>
            </w:pPr>
            <w:r>
              <w:rPr>
                <w:rFonts w:ascii="Calibri" w:cs="Calibri" w:eastAsia="Calibri" w:hAnsi="Calibri"/>
                <w:sz w:val="18"/>
                <w:szCs w:val="18"/>
                <w:color w:val="231F20"/>
              </w:rPr>
              <w:t>Signifcant components of the Company’s net deferred tax assets are as follows (in thousands):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32"/>
        </w:trPr>
        <w:tc>
          <w:tcPr>
            <w:tcW w:w="90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4"/>
          </w:tcPr>
          <w:p>
            <w:pPr>
              <w:jc w:val="center"/>
              <w:ind w:left="770"/>
              <w:spacing w:after="0"/>
              <w:rPr>
                <w:sz w:val="20"/>
                <w:szCs w:val="20"/>
                <w:color w:val="auto"/>
              </w:rPr>
            </w:pPr>
            <w:r>
              <w:rPr>
                <w:rFonts w:ascii="Calibri" w:cs="Calibri" w:eastAsia="Calibri" w:hAnsi="Calibri"/>
                <w:sz w:val="18"/>
                <w:szCs w:val="18"/>
                <w:b w:val="1"/>
                <w:bCs w:val="1"/>
                <w:color w:val="auto"/>
                <w:w w:val="98"/>
              </w:rPr>
              <w:t>Years Ended</w:t>
            </w:r>
          </w:p>
        </w:tc>
        <w:tc>
          <w:tcPr>
            <w:tcW w:w="136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40" w:type="dxa"/>
            <w:vAlign w:val="bottom"/>
            <w:gridSpan w:val="4"/>
          </w:tcPr>
          <w:p>
            <w:pPr>
              <w:jc w:val="center"/>
              <w:ind w:left="770"/>
              <w:spacing w:after="0" w:line="216" w:lineRule="exact"/>
              <w:rPr>
                <w:sz w:val="20"/>
                <w:szCs w:val="20"/>
                <w:color w:val="auto"/>
              </w:rPr>
            </w:pPr>
            <w:r>
              <w:rPr>
                <w:rFonts w:ascii="Calibri" w:cs="Calibri" w:eastAsia="Calibri" w:hAnsi="Calibri"/>
                <w:sz w:val="18"/>
                <w:szCs w:val="18"/>
                <w:b w:val="1"/>
                <w:bCs w:val="1"/>
                <w:color w:val="auto"/>
                <w:w w:val="98"/>
              </w:rPr>
              <w:t>December 31,</w:t>
            </w:r>
          </w:p>
        </w:tc>
        <w:tc>
          <w:tcPr>
            <w:tcW w:w="1360" w:type="dxa"/>
            <w:vAlign w:val="bottom"/>
          </w:tcPr>
          <w:p>
            <w:pPr>
              <w:spacing w:after="0"/>
              <w:rPr>
                <w:sz w:val="18"/>
                <w:szCs w:val="18"/>
                <w:color w:val="auto"/>
              </w:rPr>
            </w:pPr>
          </w:p>
        </w:tc>
      </w:tr>
      <w:tr>
        <w:trPr>
          <w:trHeight w:val="23"/>
        </w:trPr>
        <w:tc>
          <w:tcPr>
            <w:tcW w:w="9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9"/>
        </w:trPr>
        <w:tc>
          <w:tcPr>
            <w:tcW w:w="90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50"/>
              <w:spacing w:after="0" w:line="209" w:lineRule="exact"/>
              <w:rPr>
                <w:sz w:val="20"/>
                <w:szCs w:val="20"/>
                <w:color w:val="auto"/>
              </w:rPr>
            </w:pPr>
            <w:r>
              <w:rPr>
                <w:rFonts w:ascii="Calibri" w:cs="Calibri" w:eastAsia="Calibri" w:hAnsi="Calibri"/>
                <w:sz w:val="18"/>
                <w:szCs w:val="18"/>
                <w:b w:val="1"/>
                <w:bCs w:val="1"/>
                <w:color w:val="auto"/>
              </w:rPr>
              <w:t>2023</w:t>
            </w:r>
          </w:p>
        </w:tc>
      </w:tr>
      <w:tr>
        <w:trPr>
          <w:trHeight w:val="210"/>
        </w:trPr>
        <w:tc>
          <w:tcPr>
            <w:tcW w:w="900" w:type="dxa"/>
            <w:vAlign w:val="bottom"/>
          </w:tcPr>
          <w:p>
            <w:pPr>
              <w:spacing w:after="0"/>
              <w:rPr>
                <w:sz w:val="18"/>
                <w:szCs w:val="18"/>
                <w:color w:val="auto"/>
              </w:rPr>
            </w:pPr>
          </w:p>
        </w:tc>
        <w:tc>
          <w:tcPr>
            <w:tcW w:w="440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Deferred tax assets: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5"/>
        </w:trPr>
        <w:tc>
          <w:tcPr>
            <w:tcW w:w="900" w:type="dxa"/>
            <w:vAlign w:val="bottom"/>
          </w:tcPr>
          <w:p>
            <w:pPr>
              <w:spacing w:after="0"/>
              <w:rPr>
                <w:sz w:val="18"/>
                <w:szCs w:val="18"/>
                <w:color w:val="auto"/>
              </w:rPr>
            </w:pPr>
          </w:p>
        </w:tc>
        <w:tc>
          <w:tcPr>
            <w:tcW w:w="4400" w:type="dxa"/>
            <w:vAlign w:val="bottom"/>
          </w:tcPr>
          <w:p>
            <w:pPr>
              <w:ind w:left="180"/>
              <w:spacing w:after="0" w:line="215" w:lineRule="exact"/>
              <w:rPr>
                <w:sz w:val="20"/>
                <w:szCs w:val="20"/>
                <w:color w:val="auto"/>
              </w:rPr>
            </w:pPr>
            <w:r>
              <w:rPr>
                <w:rFonts w:ascii="Calibri" w:cs="Calibri" w:eastAsia="Calibri" w:hAnsi="Calibri"/>
                <w:sz w:val="18"/>
                <w:szCs w:val="18"/>
                <w:color w:val="auto"/>
              </w:rPr>
              <w:t>Net operatng loss carryforwards</w:t>
            </w:r>
          </w:p>
        </w:tc>
        <w:tc>
          <w:tcPr>
            <w:tcW w:w="420" w:type="dxa"/>
            <w:vAlign w:val="bottom"/>
          </w:tcPr>
          <w:p>
            <w:pPr>
              <w:jc w:val="right"/>
              <w:ind w:right="230"/>
              <w:spacing w:after="0" w:line="215" w:lineRule="exact"/>
              <w:rPr>
                <w:sz w:val="20"/>
                <w:szCs w:val="20"/>
                <w:color w:val="auto"/>
              </w:rPr>
            </w:pPr>
            <w:r>
              <w:rPr>
                <w:rFonts w:ascii="Calibri" w:cs="Calibri" w:eastAsia="Calibri" w:hAnsi="Calibri"/>
                <w:sz w:val="18"/>
                <w:szCs w:val="18"/>
                <w:color w:val="auto"/>
                <w:w w:val="87"/>
              </w:rPr>
              <w:t>$</w:t>
            </w:r>
          </w:p>
        </w:tc>
        <w:tc>
          <w:tcPr>
            <w:tcW w:w="15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195,225</w:t>
            </w:r>
          </w:p>
        </w:tc>
        <w:tc>
          <w:tcPr>
            <w:tcW w:w="20" w:type="dxa"/>
            <w:vAlign w:val="bottom"/>
          </w:tcPr>
          <w:p>
            <w:pPr>
              <w:spacing w:after="0"/>
              <w:rPr>
                <w:sz w:val="18"/>
                <w:szCs w:val="18"/>
                <w:color w:val="auto"/>
              </w:rPr>
            </w:pPr>
          </w:p>
        </w:tc>
        <w:tc>
          <w:tcPr>
            <w:tcW w:w="700" w:type="dxa"/>
            <w:vAlign w:val="bottom"/>
            <w:gridSpan w:val="2"/>
          </w:tcPr>
          <w:p>
            <w:pPr>
              <w:jc w:val="right"/>
              <w:ind w:right="390"/>
              <w:spacing w:after="0" w:line="215" w:lineRule="exact"/>
              <w:rPr>
                <w:sz w:val="20"/>
                <w:szCs w:val="20"/>
                <w:color w:val="auto"/>
              </w:rPr>
            </w:pPr>
            <w:r>
              <w:rPr>
                <w:rFonts w:ascii="Calibri" w:cs="Calibri" w:eastAsia="Calibri" w:hAnsi="Calibri"/>
                <w:sz w:val="18"/>
                <w:szCs w:val="18"/>
                <w:color w:val="auto"/>
              </w:rPr>
              <w:t>$</w:t>
            </w:r>
          </w:p>
        </w:tc>
        <w:tc>
          <w:tcPr>
            <w:tcW w:w="13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120,092</w:t>
            </w:r>
          </w:p>
        </w:tc>
      </w:tr>
      <w:tr>
        <w:trPr>
          <w:trHeight w:val="217"/>
        </w:trPr>
        <w:tc>
          <w:tcPr>
            <w:tcW w:w="900" w:type="dxa"/>
            <w:vAlign w:val="bottom"/>
          </w:tcPr>
          <w:p>
            <w:pPr>
              <w:spacing w:after="0"/>
              <w:rPr>
                <w:sz w:val="18"/>
                <w:szCs w:val="18"/>
                <w:color w:val="auto"/>
              </w:rPr>
            </w:pPr>
          </w:p>
        </w:tc>
        <w:tc>
          <w:tcPr>
            <w:tcW w:w="4400" w:type="dxa"/>
            <w:vAlign w:val="bottom"/>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Research credits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13,554</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11,815</w:t>
            </w:r>
          </w:p>
        </w:tc>
      </w:tr>
      <w:tr>
        <w:trPr>
          <w:trHeight w:val="215"/>
        </w:trPr>
        <w:tc>
          <w:tcPr>
            <w:tcW w:w="900" w:type="dxa"/>
            <w:vAlign w:val="bottom"/>
          </w:tcPr>
          <w:p>
            <w:pPr>
              <w:spacing w:after="0"/>
              <w:rPr>
                <w:sz w:val="18"/>
                <w:szCs w:val="18"/>
                <w:color w:val="auto"/>
              </w:rPr>
            </w:pPr>
          </w:p>
        </w:tc>
        <w:tc>
          <w:tcPr>
            <w:tcW w:w="4400" w:type="dxa"/>
            <w:vAlign w:val="bottom"/>
          </w:tcPr>
          <w:p>
            <w:pPr>
              <w:ind w:left="180"/>
              <w:spacing w:after="0" w:line="215" w:lineRule="exact"/>
              <w:rPr>
                <w:sz w:val="20"/>
                <w:szCs w:val="20"/>
                <w:color w:val="auto"/>
              </w:rPr>
            </w:pPr>
            <w:r>
              <w:rPr>
                <w:rFonts w:ascii="Calibri" w:cs="Calibri" w:eastAsia="Calibri" w:hAnsi="Calibri"/>
                <w:sz w:val="18"/>
                <w:szCs w:val="18"/>
                <w:color w:val="auto"/>
              </w:rPr>
              <w:t>Intangible assets</w:t>
            </w:r>
          </w:p>
        </w:tc>
        <w:tc>
          <w:tcPr>
            <w:tcW w:w="420" w:type="dxa"/>
            <w:vAlign w:val="bottom"/>
          </w:tcPr>
          <w:p>
            <w:pPr>
              <w:spacing w:after="0"/>
              <w:rPr>
                <w:sz w:val="18"/>
                <w:szCs w:val="18"/>
                <w:color w:val="auto"/>
              </w:rPr>
            </w:pPr>
          </w:p>
        </w:tc>
        <w:tc>
          <w:tcPr>
            <w:tcW w:w="152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34,749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33,095</w:t>
            </w:r>
          </w:p>
        </w:tc>
      </w:tr>
      <w:tr>
        <w:trPr>
          <w:trHeight w:val="216"/>
        </w:trPr>
        <w:tc>
          <w:tcPr>
            <w:tcW w:w="90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Other</w:t>
            </w: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11,964</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11,256</w:t>
            </w:r>
          </w:p>
        </w:tc>
      </w:tr>
      <w:tr>
        <w:trPr>
          <w:trHeight w:val="210"/>
        </w:trPr>
        <w:tc>
          <w:tcPr>
            <w:tcW w:w="900" w:type="dxa"/>
            <w:vAlign w:val="bottom"/>
          </w:tcPr>
          <w:p>
            <w:pPr>
              <w:spacing w:after="0"/>
              <w:rPr>
                <w:sz w:val="18"/>
                <w:szCs w:val="18"/>
                <w:color w:val="auto"/>
              </w:rPr>
            </w:pPr>
          </w:p>
        </w:tc>
        <w:tc>
          <w:tcPr>
            <w:tcW w:w="4400" w:type="dxa"/>
            <w:vAlign w:val="bottom"/>
          </w:tcPr>
          <w:p>
            <w:pPr>
              <w:spacing w:after="0" w:line="209" w:lineRule="exact"/>
              <w:rPr>
                <w:sz w:val="20"/>
                <w:szCs w:val="20"/>
                <w:color w:val="auto"/>
              </w:rPr>
            </w:pPr>
            <w:r>
              <w:rPr>
                <w:rFonts w:ascii="Calibri" w:cs="Calibri" w:eastAsia="Calibri" w:hAnsi="Calibri"/>
                <w:sz w:val="18"/>
                <w:szCs w:val="18"/>
                <w:color w:val="auto"/>
              </w:rPr>
              <w:t>Gross deferred tax assets</w:t>
            </w:r>
          </w:p>
        </w:tc>
        <w:tc>
          <w:tcPr>
            <w:tcW w:w="420" w:type="dxa"/>
            <w:vAlign w:val="bottom"/>
          </w:tcPr>
          <w:p>
            <w:pPr>
              <w:spacing w:after="0"/>
              <w:rPr>
                <w:sz w:val="18"/>
                <w:szCs w:val="18"/>
                <w:color w:val="auto"/>
              </w:rPr>
            </w:pPr>
          </w:p>
        </w:tc>
        <w:tc>
          <w:tcPr>
            <w:tcW w:w="152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255,492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176,258</w:t>
            </w:r>
          </w:p>
        </w:tc>
      </w:tr>
      <w:tr>
        <w:trPr>
          <w:trHeight w:val="216"/>
        </w:trPr>
        <w:tc>
          <w:tcPr>
            <w:tcW w:w="900" w:type="dxa"/>
            <w:vAlign w:val="bottom"/>
          </w:tcPr>
          <w:p>
            <w:pPr>
              <w:spacing w:after="0"/>
              <w:rPr>
                <w:sz w:val="18"/>
                <w:szCs w:val="18"/>
                <w:color w:val="auto"/>
              </w:rPr>
            </w:pPr>
          </w:p>
        </w:tc>
        <w:tc>
          <w:tcPr>
            <w:tcW w:w="4400" w:type="dxa"/>
            <w:vAlign w:val="bottom"/>
            <w:tcBorders>
              <w:bottom w:val="single" w:sz="8" w:color="CFF0FC"/>
            </w:tcBorders>
            <w:shd w:val="clear" w:color="auto" w:fill="CFF0FC"/>
          </w:tcPr>
          <w:p>
            <w:pPr>
              <w:spacing w:after="0" w:line="216" w:lineRule="exact"/>
              <w:rPr>
                <w:sz w:val="20"/>
                <w:szCs w:val="20"/>
                <w:color w:val="auto"/>
              </w:rPr>
            </w:pPr>
            <w:r>
              <w:rPr>
                <w:rFonts w:ascii="Calibri" w:cs="Calibri" w:eastAsia="Calibri" w:hAnsi="Calibri"/>
                <w:sz w:val="18"/>
                <w:szCs w:val="18"/>
                <w:color w:val="auto"/>
              </w:rPr>
              <w:t>Less valuaton allowance</w:t>
            </w:r>
          </w:p>
        </w:tc>
        <w:tc>
          <w:tcPr>
            <w:tcW w:w="4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(255,342 )</w:t>
            </w:r>
          </w:p>
        </w:tc>
        <w:tc>
          <w:tcPr>
            <w:tcW w:w="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(175,915 )</w:t>
            </w:r>
          </w:p>
        </w:tc>
      </w:tr>
      <w:tr>
        <w:trPr>
          <w:trHeight w:val="210"/>
        </w:trPr>
        <w:tc>
          <w:tcPr>
            <w:tcW w:w="900" w:type="dxa"/>
            <w:vAlign w:val="bottom"/>
          </w:tcPr>
          <w:p>
            <w:pPr>
              <w:spacing w:after="0"/>
              <w:rPr>
                <w:sz w:val="18"/>
                <w:szCs w:val="18"/>
                <w:color w:val="auto"/>
              </w:rPr>
            </w:pPr>
          </w:p>
        </w:tc>
        <w:tc>
          <w:tcPr>
            <w:tcW w:w="4400" w:type="dxa"/>
            <w:vAlign w:val="bottom"/>
          </w:tcPr>
          <w:p>
            <w:pPr>
              <w:spacing w:after="0" w:line="209" w:lineRule="exact"/>
              <w:rPr>
                <w:sz w:val="20"/>
                <w:szCs w:val="20"/>
                <w:color w:val="auto"/>
              </w:rPr>
            </w:pPr>
            <w:r>
              <w:rPr>
                <w:rFonts w:ascii="Calibri" w:cs="Calibri" w:eastAsia="Calibri" w:hAnsi="Calibri"/>
                <w:sz w:val="18"/>
                <w:szCs w:val="18"/>
                <w:color w:val="auto"/>
              </w:rPr>
              <w:t>Deferred tax assets, net of valuaton allowance</w:t>
            </w:r>
          </w:p>
        </w:tc>
        <w:tc>
          <w:tcPr>
            <w:tcW w:w="420" w:type="dxa"/>
            <w:vAlign w:val="bottom"/>
          </w:tcPr>
          <w:p>
            <w:pPr>
              <w:spacing w:after="0"/>
              <w:rPr>
                <w:sz w:val="18"/>
                <w:szCs w:val="18"/>
                <w:color w:val="auto"/>
              </w:rPr>
            </w:pPr>
          </w:p>
        </w:tc>
        <w:tc>
          <w:tcPr>
            <w:tcW w:w="152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150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6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343</w:t>
            </w:r>
          </w:p>
        </w:tc>
      </w:tr>
      <w:tr>
        <w:trPr>
          <w:trHeight w:val="217"/>
        </w:trPr>
        <w:tc>
          <w:tcPr>
            <w:tcW w:w="900" w:type="dxa"/>
            <w:vAlign w:val="bottom"/>
          </w:tcPr>
          <w:p>
            <w:pPr>
              <w:spacing w:after="0"/>
              <w:rPr>
                <w:sz w:val="18"/>
                <w:szCs w:val="18"/>
                <w:color w:val="auto"/>
              </w:rPr>
            </w:pPr>
          </w:p>
        </w:tc>
        <w:tc>
          <w:tcPr>
            <w:tcW w:w="4400" w:type="dxa"/>
            <w:vAlign w:val="bottom"/>
            <w:shd w:val="clear" w:color="auto" w:fill="CFF0FC"/>
          </w:tcPr>
          <w:p>
            <w:pPr>
              <w:spacing w:after="0" w:line="216" w:lineRule="exact"/>
              <w:rPr>
                <w:sz w:val="20"/>
                <w:szCs w:val="20"/>
                <w:color w:val="auto"/>
              </w:rPr>
            </w:pPr>
            <w:r>
              <w:rPr>
                <w:rFonts w:ascii="Calibri" w:cs="Calibri" w:eastAsia="Calibri" w:hAnsi="Calibri"/>
                <w:sz w:val="18"/>
                <w:szCs w:val="18"/>
                <w:color w:val="auto"/>
              </w:rPr>
              <w:t>Deferred tax liabilites:</w:t>
            </w: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r>
      <w:tr>
        <w:trPr>
          <w:trHeight w:val="215"/>
        </w:trPr>
        <w:tc>
          <w:tcPr>
            <w:tcW w:w="900" w:type="dxa"/>
            <w:vAlign w:val="bottom"/>
          </w:tcPr>
          <w:p>
            <w:pPr>
              <w:spacing w:after="0"/>
              <w:rPr>
                <w:sz w:val="18"/>
                <w:szCs w:val="18"/>
                <w:color w:val="auto"/>
              </w:rPr>
            </w:pPr>
          </w:p>
        </w:tc>
        <w:tc>
          <w:tcPr>
            <w:tcW w:w="4400" w:type="dxa"/>
            <w:vAlign w:val="bottom"/>
          </w:tcPr>
          <w:p>
            <w:pPr>
              <w:ind w:left="180"/>
              <w:spacing w:after="0" w:line="215" w:lineRule="exact"/>
              <w:rPr>
                <w:sz w:val="20"/>
                <w:szCs w:val="20"/>
                <w:color w:val="auto"/>
              </w:rPr>
            </w:pPr>
            <w:r>
              <w:rPr>
                <w:rFonts w:ascii="Calibri" w:cs="Calibri" w:eastAsia="Calibri" w:hAnsi="Calibri"/>
                <w:sz w:val="18"/>
                <w:szCs w:val="18"/>
                <w:color w:val="auto"/>
              </w:rPr>
              <w:t>Other</w:t>
            </w: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(150 )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(343 )</w:t>
            </w:r>
          </w:p>
        </w:tc>
      </w:tr>
      <w:tr>
        <w:trPr>
          <w:trHeight w:val="249"/>
        </w:trPr>
        <w:tc>
          <w:tcPr>
            <w:tcW w:w="900" w:type="dxa"/>
            <w:vAlign w:val="bottom"/>
          </w:tcPr>
          <w:p>
            <w:pPr>
              <w:spacing w:after="0"/>
              <w:rPr>
                <w:sz w:val="21"/>
                <w:szCs w:val="21"/>
                <w:color w:val="auto"/>
              </w:rPr>
            </w:pPr>
          </w:p>
        </w:tc>
        <w:tc>
          <w:tcPr>
            <w:tcW w:w="4400" w:type="dxa"/>
            <w:vAlign w:val="bottom"/>
            <w:tcBorders>
              <w:bottom w:val="single" w:sz="8" w:color="CFF0FC"/>
            </w:tcBorders>
            <w:shd w:val="clear" w:color="auto" w:fill="CFF0FC"/>
          </w:tcPr>
          <w:p>
            <w:pPr>
              <w:spacing w:after="0" w:line="209" w:lineRule="exact"/>
              <w:rPr>
                <w:sz w:val="20"/>
                <w:szCs w:val="20"/>
                <w:color w:val="auto"/>
              </w:rPr>
            </w:pPr>
            <w:r>
              <w:rPr>
                <w:rFonts w:ascii="Calibri" w:cs="Calibri" w:eastAsia="Calibri" w:hAnsi="Calibri"/>
                <w:sz w:val="18"/>
                <w:szCs w:val="18"/>
                <w:color w:val="auto"/>
              </w:rPr>
              <w:t>Net deferred tax assets</w:t>
            </w:r>
          </w:p>
        </w:tc>
        <w:tc>
          <w:tcPr>
            <w:tcW w:w="420" w:type="dxa"/>
            <w:vAlign w:val="bottom"/>
            <w:tcBorders>
              <w:bottom w:val="single" w:sz="8" w:color="auto"/>
            </w:tcBorders>
            <w:shd w:val="clear" w:color="auto" w:fill="CFF0FC"/>
          </w:tcPr>
          <w:p>
            <w:pPr>
              <w:jc w:val="right"/>
              <w:ind w:right="230"/>
              <w:spacing w:after="0" w:line="209" w:lineRule="exact"/>
              <w:rPr>
                <w:sz w:val="20"/>
                <w:szCs w:val="20"/>
                <w:color w:val="auto"/>
              </w:rPr>
            </w:pPr>
            <w:r>
              <w:rPr>
                <w:rFonts w:ascii="Calibri" w:cs="Calibri" w:eastAsia="Calibri" w:hAnsi="Calibri"/>
                <w:sz w:val="18"/>
                <w:szCs w:val="18"/>
                <w:color w:val="auto"/>
                <w:w w:val="87"/>
              </w:rPr>
              <w:t>$</w:t>
            </w:r>
          </w:p>
        </w:tc>
        <w:tc>
          <w:tcPr>
            <w:tcW w:w="152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90"/>
              <w:spacing w:after="0" w:line="209" w:lineRule="exact"/>
              <w:rPr>
                <w:sz w:val="20"/>
                <w:szCs w:val="20"/>
                <w:color w:val="auto"/>
              </w:rPr>
            </w:pPr>
            <w:r>
              <w:rPr>
                <w:rFonts w:ascii="Calibri" w:cs="Calibri" w:eastAsia="Calibri" w:hAnsi="Calibri"/>
                <w:sz w:val="18"/>
                <w:szCs w:val="18"/>
                <w:color w:val="auto"/>
                <w:w w:val="87"/>
              </w:rPr>
              <w:t>$</w:t>
            </w:r>
          </w:p>
        </w:tc>
        <w:tc>
          <w:tcPr>
            <w:tcW w:w="1360" w:type="dxa"/>
            <w:vAlign w:val="bottom"/>
            <w:tcBorders>
              <w:bottom w:val="single" w:sz="8" w:color="auto"/>
            </w:tcBorders>
            <w:shd w:val="clear" w:color="auto" w:fill="CFF0FC"/>
          </w:tcPr>
          <w:p>
            <w:pPr>
              <w:jc w:val="right"/>
              <w:ind w:right="10"/>
              <w:spacing w:after="0" w:line="209" w:lineRule="exact"/>
              <w:rPr>
                <w:sz w:val="20"/>
                <w:szCs w:val="20"/>
                <w:color w:val="auto"/>
              </w:rPr>
            </w:pPr>
            <w:r>
              <w:rPr>
                <w:rFonts w:ascii="Calibri" w:cs="Calibri" w:eastAsia="Calibri" w:hAnsi="Calibri"/>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-2399665</wp:posOffset>
            </wp:positionV>
            <wp:extent cx="7683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-2382520</wp:posOffset>
            </wp:positionV>
            <wp:extent cx="768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-873760</wp:posOffset>
            </wp:positionV>
            <wp:extent cx="8572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-590550</wp:posOffset>
            </wp:positionV>
            <wp:extent cx="857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8572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8572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47" w:lineRule="exact"/>
        <w:rPr>
          <w:sz w:val="20"/>
          <w:szCs w:val="20"/>
          <w:color w:val="auto"/>
        </w:rPr>
      </w:pPr>
    </w:p>
    <w:p>
      <w:pPr>
        <w:ind w:right="40" w:firstLine="509"/>
        <w:spacing w:after="0" w:line="235" w:lineRule="auto"/>
        <w:rPr>
          <w:sz w:val="20"/>
          <w:szCs w:val="20"/>
          <w:color w:val="auto"/>
        </w:rPr>
      </w:pPr>
      <w:r>
        <w:rPr>
          <w:rFonts w:ascii="Calibri" w:cs="Calibri" w:eastAsia="Calibri" w:hAnsi="Calibri"/>
          <w:sz w:val="18"/>
          <w:szCs w:val="18"/>
          <w:color w:val="231F20"/>
        </w:rPr>
        <w:t>Based upon the Company’s history of operatng losses, the Company is unable to conclude that it is more likely than not that the beneft of its deferred tax assets will be realized. Accordingly, the Company has provided a full valuaton allowance for its deferred tax assets as of December 31, 2024 and 2023.</w:t>
      </w: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44" w:name="page145"/>
    <w:bookmarkEnd w:id="144"/>
    <w:p>
      <w:pPr>
        <w:ind w:right="100" w:firstLine="509"/>
        <w:spacing w:after="0" w:line="252" w:lineRule="auto"/>
        <w:rPr>
          <w:sz w:val="20"/>
          <w:szCs w:val="20"/>
          <w:color w:val="auto"/>
        </w:rPr>
      </w:pPr>
      <w:r>
        <w:rPr>
          <w:rFonts w:ascii="Calibri" w:cs="Calibri" w:eastAsia="Calibri" w:hAnsi="Calibri"/>
          <w:sz w:val="17"/>
          <w:szCs w:val="17"/>
          <w:color w:val="231F20"/>
        </w:rPr>
        <w:t>As of December 31, 2024 and 2023, the Company had federal net operatng loss carryforwards of approximately $863.2 million and $554.7 million, respectvely, which are carried over indefnitely. As of December 31, 2024, the Company had approximately $256.5 million of state net operatng loss carryforwards that begins to expire in 2033. As of December 31, 2024, the Company has available federal research and development credits of $15.8 million which begin to expire in 2038. The Company has $1.5 million of state research and development credits, some of which, begin to expire in 2025.</w:t>
      </w:r>
    </w:p>
    <w:p>
      <w:pPr>
        <w:spacing w:after="0" w:line="181"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231F20"/>
        </w:rPr>
        <w:t>The Company has not completed a formal analysis of the potental impact of Secton 382 on its deferred tax assets as of December 31, 2024. Untl this analysis has been completed, the Company has not adjusted any of its deferred tax assets, including net operatng losses or research and development credits. The Company will reassess the amount of net operatng losses and credits subject to limitaton under Secton 382 when a study is complete. Due to the existence of the valuaton allowance, future changes in the deferred tax assets related to these tax atributes will not impact the Company’s efectve tax rate.</w:t>
      </w:r>
    </w:p>
    <w:p>
      <w:pPr>
        <w:spacing w:after="0" w:line="180" w:lineRule="exact"/>
        <w:rPr>
          <w:sz w:val="20"/>
          <w:szCs w:val="20"/>
          <w:color w:val="auto"/>
        </w:rPr>
      </w:pPr>
    </w:p>
    <w:p>
      <w:pPr>
        <w:ind w:firstLine="509"/>
        <w:spacing w:after="0" w:line="235" w:lineRule="auto"/>
        <w:rPr>
          <w:sz w:val="20"/>
          <w:szCs w:val="20"/>
          <w:color w:val="auto"/>
        </w:rPr>
      </w:pPr>
      <w:r>
        <w:rPr>
          <w:rFonts w:ascii="Calibri" w:cs="Calibri" w:eastAsia="Calibri" w:hAnsi="Calibri"/>
          <w:sz w:val="18"/>
          <w:szCs w:val="18"/>
          <w:color w:val="231F20"/>
        </w:rPr>
        <w:t>The Company recognizes liabilites for uncertain tax positons based on a two-step process. The frst step is to evaluate the tax positon for recogniton by determining if the weight of available evidence indicates that it is more likely than not that the positon will be sustained on audit, including resoluton of related appeals or litgaton processes, if any. The second step is to measure the tax beneft as the largest amount that is more than 50% likely of being realized upon setlement. While the Company believes that it has appropriate support for the positons taken on its tax returns, the Company regularly assesses the potental outcome of examinatons by tax authorites in determining the adequacy of its provision for income taxes. The following table summarizes the actvity related to the Company's gross unrecognized tax benefts (in thousands):</w:t>
      </w:r>
    </w:p>
    <w:p>
      <w:pPr>
        <w:spacing w:after="0" w:line="216" w:lineRule="exact"/>
        <w:rPr>
          <w:sz w:val="20"/>
          <w:szCs w:val="20"/>
          <w:color w:val="auto"/>
        </w:rPr>
      </w:pPr>
    </w:p>
    <w:tbl>
      <w:tblPr>
        <w:tblLayout w:type="fixed"/>
        <w:tblInd w:w="1420" w:type="dxa"/>
        <w:tblCellMar>
          <w:top w:w="0" w:type="dxa"/>
          <w:left w:w="0" w:type="dxa"/>
          <w:bottom w:w="0" w:type="dxa"/>
          <w:right w:w="0" w:type="dxa"/>
        </w:tblCellMar>
      </w:tblPr>
      <w:tr>
        <w:trPr>
          <w:trHeight w:val="220"/>
        </w:trPr>
        <w:tc>
          <w:tcPr>
            <w:tcW w:w="5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Calibri" w:cs="Calibri" w:eastAsia="Calibri" w:hAnsi="Calibri"/>
                <w:sz w:val="18"/>
                <w:szCs w:val="18"/>
                <w:b w:val="1"/>
                <w:bCs w:val="1"/>
                <w:color w:val="auto"/>
              </w:rPr>
              <w:t>Years Ended</w:t>
            </w:r>
          </w:p>
        </w:tc>
        <w:tc>
          <w:tcPr>
            <w:tcW w:w="860" w:type="dxa"/>
            <w:vAlign w:val="bottom"/>
          </w:tcPr>
          <w:p>
            <w:pPr>
              <w:spacing w:after="0"/>
              <w:rPr>
                <w:sz w:val="19"/>
                <w:szCs w:val="19"/>
                <w:color w:val="auto"/>
              </w:rPr>
            </w:pPr>
          </w:p>
        </w:tc>
      </w:tr>
      <w:tr>
        <w:trPr>
          <w:trHeight w:val="216"/>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4"/>
          </w:tcPr>
          <w:p>
            <w:pPr>
              <w:jc w:val="right"/>
              <w:ind w:right="750"/>
              <w:spacing w:after="0" w:line="216" w:lineRule="exact"/>
              <w:rPr>
                <w:sz w:val="20"/>
                <w:szCs w:val="20"/>
                <w:color w:val="auto"/>
              </w:rPr>
            </w:pPr>
            <w:r>
              <w:rPr>
                <w:rFonts w:ascii="Calibri" w:cs="Calibri" w:eastAsia="Calibri" w:hAnsi="Calibri"/>
                <w:sz w:val="18"/>
                <w:szCs w:val="18"/>
                <w:b w:val="1"/>
                <w:bCs w:val="1"/>
                <w:color w:val="auto"/>
              </w:rPr>
              <w:t>December 31,</w:t>
            </w:r>
          </w:p>
        </w:tc>
      </w:tr>
      <w:tr>
        <w:trPr>
          <w:trHeight w:val="2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9"/>
        </w:trPr>
        <w:tc>
          <w:tcPr>
            <w:tcW w:w="5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rPr>
              <w:t>2024</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0"/>
              <w:spacing w:after="0" w:line="209" w:lineRule="exact"/>
              <w:rPr>
                <w:sz w:val="20"/>
                <w:szCs w:val="20"/>
                <w:color w:val="auto"/>
              </w:rPr>
            </w:pPr>
            <w:r>
              <w:rPr>
                <w:rFonts w:ascii="Calibri" w:cs="Calibri" w:eastAsia="Calibri" w:hAnsi="Calibri"/>
                <w:sz w:val="18"/>
                <w:szCs w:val="18"/>
                <w:b w:val="1"/>
                <w:bCs w:val="1"/>
                <w:color w:val="auto"/>
                <w:w w:val="98"/>
              </w:rPr>
              <w:t>2023</w:t>
            </w:r>
          </w:p>
        </w:tc>
      </w:tr>
      <w:tr>
        <w:trPr>
          <w:trHeight w:val="210"/>
        </w:trPr>
        <w:tc>
          <w:tcPr>
            <w:tcW w:w="582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Beginning balance</w:t>
            </w:r>
          </w:p>
        </w:tc>
        <w:tc>
          <w:tcPr>
            <w:tcW w:w="260" w:type="dxa"/>
            <w:vAlign w:val="bottom"/>
            <w:shd w:val="clear" w:color="auto" w:fill="CFF0FC"/>
          </w:tcPr>
          <w:p>
            <w:pPr>
              <w:jc w:val="right"/>
              <w:ind w:right="70"/>
              <w:spacing w:after="0" w:line="210" w:lineRule="exact"/>
              <w:rPr>
                <w:sz w:val="20"/>
                <w:szCs w:val="20"/>
                <w:color w:val="auto"/>
              </w:rPr>
            </w:pPr>
            <w:r>
              <w:rPr>
                <w:rFonts w:ascii="Calibri" w:cs="Calibri" w:eastAsia="Calibri" w:hAnsi="Calibri"/>
                <w:sz w:val="18"/>
                <w:szCs w:val="18"/>
                <w:color w:val="auto"/>
                <w:w w:val="87"/>
              </w:rPr>
              <w:t>$</w:t>
            </w:r>
          </w:p>
        </w:tc>
        <w:tc>
          <w:tcPr>
            <w:tcW w:w="98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3,010</w:t>
            </w:r>
          </w:p>
        </w:tc>
        <w:tc>
          <w:tcPr>
            <w:tcW w:w="500" w:type="dxa"/>
            <w:vAlign w:val="bottom"/>
            <w:gridSpan w:val="2"/>
            <w:shd w:val="clear" w:color="auto" w:fill="CFF0FC"/>
          </w:tcPr>
          <w:p>
            <w:pPr>
              <w:jc w:val="right"/>
              <w:ind w:right="260"/>
              <w:spacing w:after="0" w:line="210" w:lineRule="exact"/>
              <w:rPr>
                <w:sz w:val="20"/>
                <w:szCs w:val="20"/>
                <w:color w:val="auto"/>
              </w:rPr>
            </w:pPr>
            <w:r>
              <w:rPr>
                <w:rFonts w:ascii="Calibri" w:cs="Calibri" w:eastAsia="Calibri" w:hAnsi="Calibri"/>
                <w:sz w:val="18"/>
                <w:szCs w:val="18"/>
                <w:color w:val="auto"/>
              </w:rPr>
              <w:t>$</w:t>
            </w:r>
          </w:p>
        </w:tc>
        <w:tc>
          <w:tcPr>
            <w:tcW w:w="860" w:type="dxa"/>
            <w:vAlign w:val="bottom"/>
            <w:shd w:val="clear" w:color="auto" w:fill="CFF0FC"/>
          </w:tcPr>
          <w:p>
            <w:pPr>
              <w:jc w:val="right"/>
              <w:ind w:right="10"/>
              <w:spacing w:after="0" w:line="210" w:lineRule="exact"/>
              <w:rPr>
                <w:sz w:val="20"/>
                <w:szCs w:val="20"/>
                <w:color w:val="auto"/>
              </w:rPr>
            </w:pPr>
            <w:r>
              <w:rPr>
                <w:rFonts w:ascii="Calibri" w:cs="Calibri" w:eastAsia="Calibri" w:hAnsi="Calibri"/>
                <w:sz w:val="18"/>
                <w:szCs w:val="18"/>
                <w:color w:val="auto"/>
              </w:rPr>
              <w:t>2,327</w:t>
            </w:r>
          </w:p>
        </w:tc>
      </w:tr>
      <w:tr>
        <w:trPr>
          <w:trHeight w:val="215"/>
        </w:trPr>
        <w:tc>
          <w:tcPr>
            <w:tcW w:w="5820" w:type="dxa"/>
            <w:vAlign w:val="bottom"/>
          </w:tcPr>
          <w:p>
            <w:pPr>
              <w:ind w:left="180"/>
              <w:spacing w:after="0" w:line="215" w:lineRule="exact"/>
              <w:rPr>
                <w:sz w:val="20"/>
                <w:szCs w:val="20"/>
                <w:color w:val="auto"/>
              </w:rPr>
            </w:pPr>
            <w:r>
              <w:rPr>
                <w:rFonts w:ascii="Calibri" w:cs="Calibri" w:eastAsia="Calibri" w:hAnsi="Calibri"/>
                <w:sz w:val="18"/>
                <w:szCs w:val="18"/>
                <w:color w:val="auto"/>
              </w:rPr>
              <w:t>Increases related to prior year tax positons</w:t>
            </w:r>
          </w:p>
        </w:tc>
        <w:tc>
          <w:tcPr>
            <w:tcW w:w="260" w:type="dxa"/>
            <w:vAlign w:val="bottom"/>
          </w:tcPr>
          <w:p>
            <w:pPr>
              <w:spacing w:after="0"/>
              <w:rPr>
                <w:sz w:val="18"/>
                <w:szCs w:val="18"/>
                <w:color w:val="auto"/>
              </w:rPr>
            </w:pPr>
          </w:p>
        </w:tc>
        <w:tc>
          <w:tcPr>
            <w:tcW w:w="98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ind w:right="10"/>
              <w:spacing w:after="0" w:line="215" w:lineRule="exact"/>
              <w:rPr>
                <w:sz w:val="20"/>
                <w:szCs w:val="20"/>
                <w:color w:val="auto"/>
              </w:rPr>
            </w:pPr>
            <w:r>
              <w:rPr>
                <w:rFonts w:ascii="Calibri" w:cs="Calibri" w:eastAsia="Calibri" w:hAnsi="Calibri"/>
                <w:sz w:val="18"/>
                <w:szCs w:val="18"/>
                <w:color w:val="auto"/>
              </w:rPr>
              <w:t>51</w:t>
            </w:r>
          </w:p>
        </w:tc>
      </w:tr>
      <w:tr>
        <w:trPr>
          <w:trHeight w:val="216"/>
        </w:trPr>
        <w:tc>
          <w:tcPr>
            <w:tcW w:w="5820" w:type="dxa"/>
            <w:vAlign w:val="bottom"/>
            <w:tcBorders>
              <w:bottom w:val="single" w:sz="8" w:color="CFF0FC"/>
            </w:tcBorders>
            <w:shd w:val="clear" w:color="auto" w:fill="CFF0FC"/>
          </w:tcPr>
          <w:p>
            <w:pPr>
              <w:ind w:left="180"/>
              <w:spacing w:after="0" w:line="216" w:lineRule="exact"/>
              <w:rPr>
                <w:sz w:val="20"/>
                <w:szCs w:val="20"/>
                <w:color w:val="auto"/>
              </w:rPr>
            </w:pPr>
            <w:r>
              <w:rPr>
                <w:rFonts w:ascii="Calibri" w:cs="Calibri" w:eastAsia="Calibri" w:hAnsi="Calibri"/>
                <w:sz w:val="18"/>
                <w:szCs w:val="18"/>
                <w:color w:val="auto"/>
              </w:rPr>
              <w:t>Increases related to current year tax positons</w:t>
            </w: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442</w:t>
            </w:r>
          </w:p>
        </w:tc>
        <w:tc>
          <w:tcPr>
            <w:tcW w:w="1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10"/>
              <w:spacing w:after="0" w:line="216" w:lineRule="exact"/>
              <w:rPr>
                <w:sz w:val="20"/>
                <w:szCs w:val="20"/>
                <w:color w:val="auto"/>
              </w:rPr>
            </w:pPr>
            <w:r>
              <w:rPr>
                <w:rFonts w:ascii="Calibri" w:cs="Calibri" w:eastAsia="Calibri" w:hAnsi="Calibri"/>
                <w:sz w:val="18"/>
                <w:szCs w:val="18"/>
                <w:color w:val="auto"/>
              </w:rPr>
              <w:t>632</w:t>
            </w:r>
          </w:p>
        </w:tc>
      </w:tr>
      <w:tr>
        <w:trPr>
          <w:trHeight w:val="209"/>
        </w:trPr>
        <w:tc>
          <w:tcPr>
            <w:tcW w:w="5820" w:type="dxa"/>
            <w:vAlign w:val="bottom"/>
          </w:tcPr>
          <w:p>
            <w:pPr>
              <w:spacing w:after="0" w:line="209" w:lineRule="exact"/>
              <w:rPr>
                <w:sz w:val="20"/>
                <w:szCs w:val="20"/>
                <w:color w:val="auto"/>
              </w:rPr>
            </w:pPr>
            <w:r>
              <w:rPr>
                <w:rFonts w:ascii="Calibri" w:cs="Calibri" w:eastAsia="Calibri" w:hAnsi="Calibri"/>
                <w:sz w:val="18"/>
                <w:szCs w:val="18"/>
                <w:color w:val="auto"/>
              </w:rPr>
              <w:t>Ending balance</w:t>
            </w:r>
          </w:p>
        </w:tc>
        <w:tc>
          <w:tcPr>
            <w:tcW w:w="260" w:type="dxa"/>
            <w:vAlign w:val="bottom"/>
          </w:tcPr>
          <w:p>
            <w:pPr>
              <w:jc w:val="right"/>
              <w:ind w:right="70"/>
              <w:spacing w:after="0" w:line="209" w:lineRule="exact"/>
              <w:rPr>
                <w:sz w:val="20"/>
                <w:szCs w:val="20"/>
                <w:color w:val="auto"/>
              </w:rPr>
            </w:pPr>
            <w:r>
              <w:rPr>
                <w:rFonts w:ascii="Calibri" w:cs="Calibri" w:eastAsia="Calibri" w:hAnsi="Calibri"/>
                <w:sz w:val="18"/>
                <w:szCs w:val="18"/>
                <w:color w:val="auto"/>
                <w:w w:val="87"/>
              </w:rPr>
              <w:t>$</w:t>
            </w:r>
          </w:p>
        </w:tc>
        <w:tc>
          <w:tcPr>
            <w:tcW w:w="98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3,452</w:t>
            </w:r>
          </w:p>
        </w:tc>
        <w:tc>
          <w:tcPr>
            <w:tcW w:w="500" w:type="dxa"/>
            <w:vAlign w:val="bottom"/>
            <w:gridSpan w:val="2"/>
          </w:tcPr>
          <w:p>
            <w:pPr>
              <w:jc w:val="right"/>
              <w:ind w:right="260"/>
              <w:spacing w:after="0" w:line="209" w:lineRule="exact"/>
              <w:rPr>
                <w:sz w:val="20"/>
                <w:szCs w:val="20"/>
                <w:color w:val="auto"/>
              </w:rPr>
            </w:pPr>
            <w:r>
              <w:rPr>
                <w:rFonts w:ascii="Calibri" w:cs="Calibri" w:eastAsia="Calibri" w:hAnsi="Calibri"/>
                <w:sz w:val="18"/>
                <w:szCs w:val="18"/>
                <w:color w:val="auto"/>
              </w:rPr>
              <w:t>$</w:t>
            </w:r>
          </w:p>
        </w:tc>
        <w:tc>
          <w:tcPr>
            <w:tcW w:w="860" w:type="dxa"/>
            <w:vAlign w:val="bottom"/>
          </w:tcPr>
          <w:p>
            <w:pPr>
              <w:jc w:val="right"/>
              <w:ind w:right="10"/>
              <w:spacing w:after="0" w:line="209" w:lineRule="exact"/>
              <w:rPr>
                <w:sz w:val="20"/>
                <w:szCs w:val="20"/>
                <w:color w:val="auto"/>
              </w:rPr>
            </w:pPr>
            <w:r>
              <w:rPr>
                <w:rFonts w:ascii="Calibri" w:cs="Calibri" w:eastAsia="Calibri" w:hAnsi="Calibri"/>
                <w:sz w:val="18"/>
                <w:szCs w:val="18"/>
                <w:color w:val="auto"/>
              </w:rPr>
              <w:t>3,010</w:t>
            </w: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5379720</wp:posOffset>
            </wp:positionH>
            <wp:positionV relativeFrom="paragraph">
              <wp:posOffset>-170815</wp:posOffset>
            </wp:positionV>
            <wp:extent cx="8572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33" w:lineRule="exact"/>
        <w:rPr>
          <w:sz w:val="20"/>
          <w:szCs w:val="20"/>
          <w:color w:val="auto"/>
        </w:rPr>
      </w:pPr>
    </w:p>
    <w:p>
      <w:pPr>
        <w:ind w:right="20" w:firstLine="509"/>
        <w:spacing w:after="0" w:line="235" w:lineRule="auto"/>
        <w:rPr>
          <w:sz w:val="20"/>
          <w:szCs w:val="20"/>
          <w:color w:val="auto"/>
        </w:rPr>
      </w:pPr>
      <w:r>
        <w:rPr>
          <w:rFonts w:ascii="Calibri" w:cs="Calibri" w:eastAsia="Calibri" w:hAnsi="Calibri"/>
          <w:sz w:val="18"/>
          <w:szCs w:val="18"/>
          <w:color w:val="231F20"/>
        </w:rPr>
        <w:t>As of December 31, 2024 and 2023, the Company has gross unrecognized tax benefts of $3.5 million and $3.0 million, respectvely, none of which would afect the efectve tax rate due to a full valuaton allowance. The Company does not antcipate any signifcant changes in its unrecognized tax benefts over the next 12 months. The Company's policy is to recognize the interest expense and/or penaltes related to income tax maters as a component of income tax expense. The Company has no accrual for interest or penaltes on its balance sheet as of December 31, 2024 and 2023, and has not recognized interest and/or penaltes in its statement of operatons for the years ended December 31, 2024 and 2023.</w:t>
      </w:r>
    </w:p>
    <w:p>
      <w:pPr>
        <w:spacing w:after="0" w:line="193" w:lineRule="exact"/>
        <w:rPr>
          <w:sz w:val="20"/>
          <w:szCs w:val="20"/>
          <w:color w:val="auto"/>
        </w:rPr>
      </w:pPr>
    </w:p>
    <w:p>
      <w:pPr>
        <w:ind w:left="520"/>
        <w:spacing w:after="0"/>
        <w:rPr>
          <w:sz w:val="20"/>
          <w:szCs w:val="20"/>
          <w:color w:val="auto"/>
        </w:rPr>
      </w:pPr>
      <w:r>
        <w:rPr>
          <w:rFonts w:ascii="Calibri" w:cs="Calibri" w:eastAsia="Calibri" w:hAnsi="Calibri"/>
          <w:sz w:val="17"/>
          <w:szCs w:val="17"/>
          <w:color w:val="231F20"/>
        </w:rPr>
        <w:t>The Company is subject to taxaton in the United States and various states. The Company is not currently under examinaton by any taxing authorites.</w:t>
      </w:r>
    </w:p>
    <w:p>
      <w:pPr>
        <w:spacing w:after="0" w:line="4" w:lineRule="exact"/>
        <w:rPr>
          <w:sz w:val="20"/>
          <w:szCs w:val="20"/>
          <w:color w:val="auto"/>
        </w:rPr>
      </w:pPr>
    </w:p>
    <w:p>
      <w:pPr>
        <w:spacing w:after="0"/>
        <w:rPr>
          <w:sz w:val="20"/>
          <w:szCs w:val="20"/>
          <w:color w:val="auto"/>
        </w:rPr>
      </w:pPr>
      <w:r>
        <w:rPr>
          <w:rFonts w:ascii="Calibri" w:cs="Calibri" w:eastAsia="Calibri" w:hAnsi="Calibri"/>
          <w:sz w:val="18"/>
          <w:szCs w:val="18"/>
          <w:color w:val="231F20"/>
        </w:rPr>
        <w:t>Due to the carryover of tax atributes, the statute of limitatons is currently open for tax years since incepton.</w:t>
      </w:r>
    </w:p>
    <w:p>
      <w:pPr>
        <w:spacing w:after="0" w:line="172"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10. Segment Informaton</w:t>
      </w:r>
    </w:p>
    <w:p>
      <w:pPr>
        <w:spacing w:after="0" w:line="177" w:lineRule="exact"/>
        <w:rPr>
          <w:sz w:val="20"/>
          <w:szCs w:val="20"/>
          <w:color w:val="auto"/>
        </w:rPr>
      </w:pPr>
    </w:p>
    <w:p>
      <w:pPr>
        <w:ind w:right="80" w:firstLine="509"/>
        <w:spacing w:after="0" w:line="235" w:lineRule="auto"/>
        <w:rPr>
          <w:sz w:val="20"/>
          <w:szCs w:val="20"/>
          <w:color w:val="auto"/>
        </w:rPr>
      </w:pPr>
      <w:r>
        <w:rPr>
          <w:rFonts w:ascii="Calibri" w:cs="Calibri" w:eastAsia="Calibri" w:hAnsi="Calibri"/>
          <w:sz w:val="18"/>
          <w:szCs w:val="18"/>
          <w:color w:val="auto"/>
        </w:rPr>
        <w:t>The Company's chief operatng decision maker, or CODM, the Chief Executve Ofcer, manages the Company’s business actvites as a single reportable segment. The segment derives its current revenues from the sale of VOQUEZNA products. Accordingly, the CODM uses net loss to measure segment proft or loss, allocate resources and assess performance. Further, the CODM reviews and utlizes functonal expenses (research and development, general and administratve, sales and marketng and stock-based compensaton) to manage the Company’s operatons. Other segment items included in net loss are interest income, interest expense and other expense, which are refected in the statements of operatons and comprehensive loss. The measure of segment assets is reported on the balance sheets as total assets.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6" w:right="359" w:bottom="1440" w:gutter="0" w:footer="0" w:header="0"/>
        </w:sectPr>
      </w:pPr>
    </w:p>
    <w:bookmarkStart w:id="145" w:name="page146"/>
    <w:bookmarkEnd w:id="145"/>
    <w:p>
      <w:pPr>
        <w:ind w:firstLine="509"/>
        <w:spacing w:after="0" w:line="235" w:lineRule="auto"/>
        <w:rPr>
          <w:sz w:val="20"/>
          <w:szCs w:val="20"/>
          <w:color w:val="auto"/>
        </w:rPr>
      </w:pPr>
      <w:r>
        <w:rPr>
          <w:rFonts w:ascii="Calibri" w:cs="Calibri" w:eastAsia="Calibri" w:hAnsi="Calibri"/>
          <w:sz w:val="18"/>
          <w:szCs w:val="18"/>
          <w:color w:val="auto"/>
        </w:rPr>
        <w:t>The following table presents selected fnancial informaton with respect to the Company’s single operatng segment for the years ended December 31, 2024 and 2023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4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580" w:type="dxa"/>
            <w:vAlign w:val="bottom"/>
            <w:gridSpan w:val="3"/>
          </w:tcPr>
          <w:p>
            <w:pPr>
              <w:jc w:val="right"/>
              <w:ind w:right="190"/>
              <w:spacing w:after="0"/>
              <w:rPr>
                <w:sz w:val="20"/>
                <w:szCs w:val="20"/>
                <w:color w:val="auto"/>
              </w:rPr>
            </w:pPr>
            <w:r>
              <w:rPr>
                <w:rFonts w:ascii="Calibri" w:cs="Calibri" w:eastAsia="Calibri" w:hAnsi="Calibri"/>
                <w:sz w:val="18"/>
                <w:szCs w:val="18"/>
                <w:b w:val="1"/>
                <w:bCs w:val="1"/>
                <w:color w:val="auto"/>
              </w:rPr>
              <w:t>Years Ended</w:t>
            </w: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80" w:type="dxa"/>
            <w:vAlign w:val="bottom"/>
            <w:gridSpan w:val="3"/>
          </w:tcPr>
          <w:p>
            <w:pPr>
              <w:jc w:val="right"/>
              <w:ind w:right="130"/>
              <w:spacing w:after="0" w:line="216" w:lineRule="exact"/>
              <w:rPr>
                <w:sz w:val="20"/>
                <w:szCs w:val="20"/>
                <w:color w:val="auto"/>
              </w:rPr>
            </w:pPr>
            <w:r>
              <w:rPr>
                <w:rFonts w:ascii="Calibri" w:cs="Calibri" w:eastAsia="Calibri" w:hAnsi="Calibri"/>
                <w:sz w:val="18"/>
                <w:szCs w:val="18"/>
                <w:b w:val="1"/>
                <w:bCs w:val="1"/>
                <w:color w:val="auto"/>
              </w:rPr>
              <w:t>December 31,</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42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180" w:type="dxa"/>
            <w:vAlign w:val="bottom"/>
            <w:vMerge w:val="restart"/>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4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0" w:type="dxa"/>
            <w:vAlign w:val="bottom"/>
            <w:tcBorders>
              <w:bottom w:val="single" w:sz="8" w:color="auto"/>
            </w:tcBorders>
          </w:tcPr>
          <w:p>
            <w:pPr>
              <w:jc w:val="right"/>
              <w:spacing w:after="0" w:line="209" w:lineRule="exact"/>
              <w:rPr>
                <w:sz w:val="20"/>
                <w:szCs w:val="20"/>
                <w:color w:val="auto"/>
              </w:rPr>
            </w:pPr>
            <w:r>
              <w:rPr>
                <w:rFonts w:ascii="Calibri" w:cs="Calibri" w:eastAsia="Calibri" w:hAnsi="Calibri"/>
                <w:sz w:val="18"/>
                <w:szCs w:val="18"/>
                <w:b w:val="1"/>
                <w:bCs w:val="1"/>
                <w:color w:val="auto"/>
              </w:rPr>
              <w:t>2024</w:t>
            </w:r>
          </w:p>
        </w:tc>
        <w:tc>
          <w:tcPr>
            <w:tcW w:w="7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90"/>
              <w:spacing w:after="0" w:line="209" w:lineRule="exact"/>
              <w:rPr>
                <w:sz w:val="20"/>
                <w:szCs w:val="20"/>
                <w:color w:val="auto"/>
              </w:rPr>
            </w:pPr>
            <w:r>
              <w:rPr>
                <w:rFonts w:ascii="Calibri" w:cs="Calibri" w:eastAsia="Calibri" w:hAnsi="Calibri"/>
                <w:sz w:val="18"/>
                <w:szCs w:val="18"/>
                <w:b w:val="1"/>
                <w:bCs w:val="1"/>
                <w:color w:val="auto"/>
              </w:rPr>
              <w:t>2023</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420" w:type="dxa"/>
            <w:vAlign w:val="bottom"/>
          </w:tcPr>
          <w:p>
            <w:pPr>
              <w:spacing w:after="0"/>
              <w:rPr>
                <w:sz w:val="18"/>
                <w:szCs w:val="18"/>
                <w:color w:val="auto"/>
              </w:rPr>
            </w:pPr>
          </w:p>
        </w:tc>
        <w:tc>
          <w:tcPr>
            <w:tcW w:w="3040" w:type="dxa"/>
            <w:vAlign w:val="bottom"/>
            <w:shd w:val="clear" w:color="auto" w:fill="CFF0FC"/>
          </w:tcPr>
          <w:p>
            <w:pPr>
              <w:spacing w:after="0" w:line="210" w:lineRule="exact"/>
              <w:rPr>
                <w:sz w:val="20"/>
                <w:szCs w:val="20"/>
                <w:color w:val="auto"/>
              </w:rPr>
            </w:pPr>
            <w:r>
              <w:rPr>
                <w:rFonts w:ascii="Calibri" w:cs="Calibri" w:eastAsia="Calibri" w:hAnsi="Calibri"/>
                <w:sz w:val="18"/>
                <w:szCs w:val="18"/>
                <w:color w:val="auto"/>
              </w:rPr>
              <w:t>Product revenue, net</w:t>
            </w:r>
          </w:p>
        </w:tc>
        <w:tc>
          <w:tcPr>
            <w:tcW w:w="2380" w:type="dxa"/>
            <w:vAlign w:val="bottom"/>
            <w:gridSpan w:val="2"/>
            <w:shd w:val="clear" w:color="auto" w:fill="CFF0FC"/>
          </w:tcPr>
          <w:p>
            <w:pPr>
              <w:jc w:val="right"/>
              <w:ind w:right="1010"/>
              <w:spacing w:after="0" w:line="210" w:lineRule="exact"/>
              <w:rPr>
                <w:sz w:val="20"/>
                <w:szCs w:val="20"/>
                <w:color w:val="auto"/>
              </w:rPr>
            </w:pPr>
            <w:r>
              <w:rPr>
                <w:rFonts w:ascii="Calibri" w:cs="Calibri" w:eastAsia="Calibri" w:hAnsi="Calibri"/>
                <w:sz w:val="18"/>
                <w:szCs w:val="18"/>
                <w:color w:val="auto"/>
              </w:rPr>
              <w:t>$</w:t>
            </w:r>
          </w:p>
        </w:tc>
        <w:tc>
          <w:tcPr>
            <w:tcW w:w="72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55,252</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jc w:val="right"/>
              <w:ind w:right="390"/>
              <w:spacing w:after="0" w:line="210" w:lineRule="exact"/>
              <w:rPr>
                <w:sz w:val="20"/>
                <w:szCs w:val="20"/>
                <w:color w:val="auto"/>
              </w:rPr>
            </w:pPr>
            <w:r>
              <w:rPr>
                <w:rFonts w:ascii="Calibri" w:cs="Calibri" w:eastAsia="Calibri" w:hAnsi="Calibri"/>
                <w:sz w:val="18"/>
                <w:szCs w:val="18"/>
                <w:color w:val="auto"/>
                <w:w w:val="87"/>
              </w:rPr>
              <w:t>$</w:t>
            </w:r>
          </w:p>
        </w:tc>
        <w:tc>
          <w:tcPr>
            <w:tcW w:w="1340" w:type="dxa"/>
            <w:vAlign w:val="bottom"/>
            <w:shd w:val="clear" w:color="auto" w:fill="CFF0FC"/>
          </w:tcPr>
          <w:p>
            <w:pPr>
              <w:jc w:val="right"/>
              <w:spacing w:after="0" w:line="210" w:lineRule="exact"/>
              <w:rPr>
                <w:sz w:val="20"/>
                <w:szCs w:val="20"/>
                <w:color w:val="auto"/>
              </w:rPr>
            </w:pPr>
            <w:r>
              <w:rPr>
                <w:rFonts w:ascii="Calibri" w:cs="Calibri" w:eastAsia="Calibri" w:hAnsi="Calibri"/>
                <w:sz w:val="18"/>
                <w:szCs w:val="18"/>
                <w:color w:val="auto"/>
              </w:rPr>
              <w:t>682</w:t>
            </w: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040" w:type="dxa"/>
            <w:vAlign w:val="bottom"/>
          </w:tcPr>
          <w:p>
            <w:pPr>
              <w:spacing w:after="0" w:line="215" w:lineRule="exact"/>
              <w:rPr>
                <w:sz w:val="20"/>
                <w:szCs w:val="20"/>
                <w:color w:val="auto"/>
              </w:rPr>
            </w:pPr>
            <w:r>
              <w:rPr>
                <w:rFonts w:ascii="Calibri" w:cs="Calibri" w:eastAsia="Calibri" w:hAnsi="Calibri"/>
                <w:sz w:val="18"/>
                <w:szCs w:val="18"/>
                <w:color w:val="auto"/>
              </w:rPr>
              <w:t>Less:</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04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Cost of revenue</w:t>
            </w:r>
          </w:p>
        </w:tc>
        <w:tc>
          <w:tcPr>
            <w:tcW w:w="1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7,973</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167</w:t>
            </w: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040" w:type="dxa"/>
            <w:vAlign w:val="bottom"/>
          </w:tcPr>
          <w:p>
            <w:pPr>
              <w:ind w:left="100"/>
              <w:spacing w:after="0" w:line="215" w:lineRule="exact"/>
              <w:rPr>
                <w:sz w:val="20"/>
                <w:szCs w:val="20"/>
                <w:color w:val="auto"/>
              </w:rPr>
            </w:pPr>
            <w:r>
              <w:rPr>
                <w:rFonts w:ascii="Calibri" w:cs="Calibri" w:eastAsia="Calibri" w:hAnsi="Calibri"/>
                <w:sz w:val="18"/>
                <w:szCs w:val="18"/>
                <w:color w:val="auto"/>
              </w:rPr>
              <w:t>Research and development</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28,515</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37,597</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04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General and administratve</w:t>
            </w:r>
          </w:p>
        </w:tc>
        <w:tc>
          <w:tcPr>
            <w:tcW w:w="1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28,192</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23,623</w:t>
            </w: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040" w:type="dxa"/>
            <w:vAlign w:val="bottom"/>
          </w:tcPr>
          <w:p>
            <w:pPr>
              <w:ind w:left="100"/>
              <w:spacing w:after="0" w:line="215" w:lineRule="exact"/>
              <w:rPr>
                <w:sz w:val="20"/>
                <w:szCs w:val="20"/>
                <w:color w:val="auto"/>
              </w:rPr>
            </w:pPr>
            <w:r>
              <w:rPr>
                <w:rFonts w:ascii="Calibri" w:cs="Calibri" w:eastAsia="Calibri" w:hAnsi="Calibri"/>
                <w:sz w:val="18"/>
                <w:szCs w:val="18"/>
                <w:color w:val="auto"/>
              </w:rPr>
              <w:t>Sales and marketng</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Calibri" w:cs="Calibri" w:eastAsia="Calibri" w:hAnsi="Calibri"/>
                <w:sz w:val="18"/>
                <w:szCs w:val="18"/>
                <w:color w:val="auto"/>
              </w:rPr>
              <w:t>243,992</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line="215" w:lineRule="exact"/>
              <w:rPr>
                <w:sz w:val="20"/>
                <w:szCs w:val="20"/>
                <w:color w:val="auto"/>
              </w:rPr>
            </w:pPr>
            <w:r>
              <w:rPr>
                <w:rFonts w:ascii="Calibri" w:cs="Calibri" w:eastAsia="Calibri" w:hAnsi="Calibri"/>
                <w:sz w:val="18"/>
                <w:szCs w:val="18"/>
                <w:color w:val="auto"/>
              </w:rPr>
              <w:t>61,582</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04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Stock-based compensaton</w:t>
            </w:r>
          </w:p>
        </w:tc>
        <w:tc>
          <w:tcPr>
            <w:tcW w:w="1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24,047</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45,025</w:t>
            </w: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040" w:type="dxa"/>
            <w:vAlign w:val="bottom"/>
          </w:tcPr>
          <w:p>
            <w:pPr>
              <w:ind w:left="100"/>
              <w:spacing w:after="0" w:line="215" w:lineRule="exact"/>
              <w:rPr>
                <w:sz w:val="20"/>
                <w:szCs w:val="20"/>
                <w:color w:val="auto"/>
              </w:rPr>
            </w:pPr>
            <w:r>
              <w:rPr>
                <w:rFonts w:ascii="Calibri" w:cs="Calibri" w:eastAsia="Calibri" w:hAnsi="Calibri"/>
                <w:sz w:val="18"/>
                <w:szCs w:val="18"/>
                <w:color w:val="auto"/>
              </w:rPr>
              <w:t>Interest income</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gridSpan w:val="2"/>
          </w:tcPr>
          <w:p>
            <w:pPr>
              <w:jc w:val="right"/>
              <w:ind w:right="220"/>
              <w:spacing w:after="0" w:line="215" w:lineRule="exact"/>
              <w:rPr>
                <w:sz w:val="20"/>
                <w:szCs w:val="20"/>
                <w:color w:val="auto"/>
              </w:rPr>
            </w:pPr>
            <w:r>
              <w:rPr>
                <w:rFonts w:ascii="Calibri" w:cs="Calibri" w:eastAsia="Calibri" w:hAnsi="Calibri"/>
                <w:sz w:val="18"/>
                <w:szCs w:val="18"/>
                <w:color w:val="auto"/>
              </w:rPr>
              <w:t>(15,158 )</w:t>
            </w:r>
          </w:p>
        </w:tc>
        <w:tc>
          <w:tcPr>
            <w:tcW w:w="580" w:type="dxa"/>
            <w:vAlign w:val="bottom"/>
          </w:tcPr>
          <w:p>
            <w:pPr>
              <w:spacing w:after="0"/>
              <w:rPr>
                <w:sz w:val="18"/>
                <w:szCs w:val="18"/>
                <w:color w:val="auto"/>
              </w:rPr>
            </w:pPr>
          </w:p>
        </w:tc>
        <w:tc>
          <w:tcPr>
            <w:tcW w:w="1420" w:type="dxa"/>
            <w:vAlign w:val="bottom"/>
            <w:gridSpan w:val="2"/>
          </w:tcPr>
          <w:p>
            <w:pPr>
              <w:jc w:val="right"/>
              <w:ind w:right="20"/>
              <w:spacing w:after="0" w:line="215" w:lineRule="exact"/>
              <w:rPr>
                <w:sz w:val="20"/>
                <w:szCs w:val="20"/>
                <w:color w:val="auto"/>
              </w:rPr>
            </w:pPr>
            <w:r>
              <w:rPr>
                <w:rFonts w:ascii="Calibri" w:cs="Calibri" w:eastAsia="Calibri" w:hAnsi="Calibri"/>
                <w:sz w:val="18"/>
                <w:szCs w:val="18"/>
                <w:color w:val="auto"/>
              </w:rPr>
              <w:t>(7,876 )</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420" w:type="dxa"/>
            <w:vAlign w:val="bottom"/>
          </w:tcPr>
          <w:p>
            <w:pPr>
              <w:spacing w:after="0"/>
              <w:rPr>
                <w:sz w:val="18"/>
                <w:szCs w:val="18"/>
                <w:color w:val="auto"/>
              </w:rPr>
            </w:pPr>
          </w:p>
        </w:tc>
        <w:tc>
          <w:tcPr>
            <w:tcW w:w="3040" w:type="dxa"/>
            <w:vAlign w:val="bottom"/>
            <w:shd w:val="clear" w:color="auto" w:fill="CFF0FC"/>
          </w:tcPr>
          <w:p>
            <w:pPr>
              <w:ind w:left="100"/>
              <w:spacing w:after="0" w:line="216" w:lineRule="exact"/>
              <w:rPr>
                <w:sz w:val="20"/>
                <w:szCs w:val="20"/>
                <w:color w:val="auto"/>
              </w:rPr>
            </w:pPr>
            <w:r>
              <w:rPr>
                <w:rFonts w:ascii="Calibri" w:cs="Calibri" w:eastAsia="Calibri" w:hAnsi="Calibri"/>
                <w:sz w:val="18"/>
                <w:szCs w:val="18"/>
                <w:color w:val="auto"/>
              </w:rPr>
              <w:t>Interest expense</w:t>
            </w:r>
          </w:p>
        </w:tc>
        <w:tc>
          <w:tcPr>
            <w:tcW w:w="1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72,009</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line="216" w:lineRule="exact"/>
              <w:rPr>
                <w:sz w:val="20"/>
                <w:szCs w:val="20"/>
                <w:color w:val="auto"/>
              </w:rPr>
            </w:pPr>
            <w:r>
              <w:rPr>
                <w:rFonts w:ascii="Calibri" w:cs="Calibri" w:eastAsia="Calibri" w:hAnsi="Calibri"/>
                <w:sz w:val="18"/>
                <w:szCs w:val="18"/>
                <w:color w:val="auto"/>
              </w:rPr>
              <w:t>41,968</w:t>
            </w:r>
          </w:p>
        </w:tc>
        <w:tc>
          <w:tcPr>
            <w:tcW w:w="80" w:type="dxa"/>
            <w:vAlign w:val="bottom"/>
            <w:shd w:val="clear" w:color="auto" w:fill="CFF0FC"/>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420" w:type="dxa"/>
            <w:vAlign w:val="bottom"/>
          </w:tcPr>
          <w:p>
            <w:pPr>
              <w:spacing w:after="0"/>
              <w:rPr>
                <w:sz w:val="18"/>
                <w:szCs w:val="18"/>
                <w:color w:val="auto"/>
              </w:rPr>
            </w:pPr>
          </w:p>
        </w:tc>
        <w:tc>
          <w:tcPr>
            <w:tcW w:w="3040" w:type="dxa"/>
            <w:vAlign w:val="bottom"/>
          </w:tcPr>
          <w:p>
            <w:pPr>
              <w:ind w:left="100"/>
              <w:spacing w:after="0" w:line="215" w:lineRule="exact"/>
              <w:rPr>
                <w:sz w:val="20"/>
                <w:szCs w:val="20"/>
                <w:color w:val="auto"/>
              </w:rPr>
            </w:pPr>
            <w:r>
              <w:rPr>
                <w:rFonts w:ascii="Calibri" w:cs="Calibri" w:eastAsia="Calibri" w:hAnsi="Calibri"/>
                <w:sz w:val="18"/>
                <w:szCs w:val="18"/>
                <w:color w:val="auto"/>
              </w:rPr>
              <w:t>Other expense, net</w:t>
            </w:r>
          </w:p>
        </w:tc>
        <w:tc>
          <w:tcPr>
            <w:tcW w:w="118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8</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line="215" w:lineRule="exact"/>
              <w:rPr>
                <w:sz w:val="20"/>
                <w:szCs w:val="20"/>
                <w:color w:val="auto"/>
              </w:rPr>
            </w:pPr>
            <w:r>
              <w:rPr>
                <w:rFonts w:ascii="Calibri" w:cs="Calibri" w:eastAsia="Calibri" w:hAnsi="Calibri"/>
                <w:sz w:val="18"/>
                <w:szCs w:val="18"/>
                <w:color w:val="auto"/>
              </w:rPr>
              <w:t>188</w:t>
            </w: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420" w:type="dxa"/>
            <w:vAlign w:val="bottom"/>
          </w:tcPr>
          <w:p>
            <w:pPr>
              <w:spacing w:after="0"/>
              <w:rPr>
                <w:sz w:val="19"/>
                <w:szCs w:val="19"/>
                <w:color w:val="auto"/>
              </w:rPr>
            </w:pPr>
          </w:p>
        </w:tc>
        <w:tc>
          <w:tcPr>
            <w:tcW w:w="3040" w:type="dxa"/>
            <w:vAlign w:val="bottom"/>
            <w:shd w:val="clear" w:color="auto" w:fill="CFF0FC"/>
          </w:tcPr>
          <w:p>
            <w:pPr>
              <w:spacing w:after="0" w:line="209" w:lineRule="exact"/>
              <w:rPr>
                <w:sz w:val="20"/>
                <w:szCs w:val="20"/>
                <w:color w:val="auto"/>
              </w:rPr>
            </w:pPr>
            <w:r>
              <w:rPr>
                <w:rFonts w:ascii="Calibri" w:cs="Calibri" w:eastAsia="Calibri" w:hAnsi="Calibri"/>
                <w:sz w:val="18"/>
                <w:szCs w:val="18"/>
                <w:color w:val="auto"/>
              </w:rPr>
              <w:t>Segment net loss</w:t>
            </w:r>
          </w:p>
        </w:tc>
        <w:tc>
          <w:tcPr>
            <w:tcW w:w="1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010"/>
              <w:spacing w:after="0" w:line="209" w:lineRule="exact"/>
              <w:rPr>
                <w:sz w:val="20"/>
                <w:szCs w:val="20"/>
                <w:color w:val="auto"/>
              </w:rPr>
            </w:pPr>
            <w:r>
              <w:rPr>
                <w:rFonts w:ascii="Calibri" w:cs="Calibri" w:eastAsia="Calibri" w:hAnsi="Calibri"/>
                <w:sz w:val="18"/>
                <w:szCs w:val="18"/>
                <w:color w:val="auto"/>
                <w:w w:val="87"/>
              </w:rPr>
              <w:t>$</w:t>
            </w:r>
          </w:p>
        </w:tc>
        <w:tc>
          <w:tcPr>
            <w:tcW w:w="1000" w:type="dxa"/>
            <w:vAlign w:val="bottom"/>
            <w:gridSpan w:val="2"/>
            <w:shd w:val="clear" w:color="auto" w:fill="CFF0FC"/>
          </w:tcPr>
          <w:p>
            <w:pPr>
              <w:jc w:val="right"/>
              <w:ind w:right="220"/>
              <w:spacing w:after="0" w:line="209" w:lineRule="exact"/>
              <w:rPr>
                <w:sz w:val="20"/>
                <w:szCs w:val="20"/>
                <w:color w:val="auto"/>
              </w:rPr>
            </w:pPr>
            <w:r>
              <w:rPr>
                <w:rFonts w:ascii="Calibri" w:cs="Calibri" w:eastAsia="Calibri" w:hAnsi="Calibri"/>
                <w:sz w:val="18"/>
                <w:szCs w:val="18"/>
                <w:color w:val="auto"/>
              </w:rPr>
              <w:t>(334,326 )</w:t>
            </w:r>
          </w:p>
        </w:tc>
        <w:tc>
          <w:tcPr>
            <w:tcW w:w="580" w:type="dxa"/>
            <w:vAlign w:val="bottom"/>
            <w:shd w:val="clear" w:color="auto" w:fill="CFF0FC"/>
          </w:tcPr>
          <w:p>
            <w:pPr>
              <w:jc w:val="right"/>
              <w:ind w:right="390"/>
              <w:spacing w:after="0" w:line="209" w:lineRule="exact"/>
              <w:rPr>
                <w:sz w:val="20"/>
                <w:szCs w:val="20"/>
                <w:color w:val="auto"/>
              </w:rPr>
            </w:pPr>
            <w:r>
              <w:rPr>
                <w:rFonts w:ascii="Calibri" w:cs="Calibri" w:eastAsia="Calibri" w:hAnsi="Calibri"/>
                <w:sz w:val="18"/>
                <w:szCs w:val="18"/>
                <w:color w:val="auto"/>
                <w:w w:val="87"/>
              </w:rPr>
              <w:t>$</w:t>
            </w:r>
          </w:p>
        </w:tc>
        <w:tc>
          <w:tcPr>
            <w:tcW w:w="1420" w:type="dxa"/>
            <w:vAlign w:val="bottom"/>
            <w:gridSpan w:val="2"/>
            <w:shd w:val="clear" w:color="auto" w:fill="CFF0FC"/>
          </w:tcPr>
          <w:p>
            <w:pPr>
              <w:jc w:val="right"/>
              <w:ind w:right="20"/>
              <w:spacing w:after="0" w:line="209" w:lineRule="exact"/>
              <w:rPr>
                <w:sz w:val="20"/>
                <w:szCs w:val="20"/>
                <w:color w:val="auto"/>
              </w:rPr>
            </w:pPr>
            <w:r>
              <w:rPr>
                <w:rFonts w:ascii="Calibri" w:cs="Calibri" w:eastAsia="Calibri" w:hAnsi="Calibri"/>
                <w:sz w:val="18"/>
                <w:szCs w:val="18"/>
                <w:color w:val="auto"/>
              </w:rPr>
              <w:t>(201,592 )</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304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4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38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F-28</w:t>
            </w: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-934085</wp:posOffset>
            </wp:positionV>
            <wp:extent cx="5143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-916305</wp:posOffset>
            </wp:positionV>
            <wp:extent cx="5143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-934085</wp:posOffset>
            </wp:positionV>
            <wp:extent cx="5143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-916305</wp:posOffset>
            </wp:positionV>
            <wp:extent cx="514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gridSpan w:val="19"/>
          </w:tcPr>
          <w:p>
            <w:pPr>
              <w:ind w:left="260"/>
              <w:spacing w:after="0"/>
              <w:rPr>
                <w:sz w:val="20"/>
                <w:szCs w:val="20"/>
                <w:color w:val="auto"/>
              </w:rPr>
            </w:pPr>
            <w:r>
              <w:rPr>
                <w:rFonts w:ascii="Calibri" w:cs="Calibri" w:eastAsia="Calibri" w:hAnsi="Calibri"/>
                <w:sz w:val="18"/>
                <w:szCs w:val="18"/>
                <w:b w:val="1"/>
                <w:bCs w:val="1"/>
                <w:color w:val="auto"/>
              </w:rPr>
              <w:t>EXHIBIT INDEX</w:t>
            </w:r>
          </w:p>
        </w:tc>
      </w:tr>
      <w:tr>
        <w:trPr>
          <w:trHeight w:val="638"/>
        </w:trPr>
        <w:tc>
          <w:tcPr>
            <w:tcW w:w="1020" w:type="dxa"/>
            <w:vAlign w:val="bottom"/>
          </w:tcPr>
          <w:p>
            <w:pPr>
              <w:jc w:val="center"/>
              <w:spacing w:after="0"/>
              <w:rPr>
                <w:sz w:val="20"/>
                <w:szCs w:val="20"/>
                <w:color w:val="auto"/>
              </w:rPr>
            </w:pPr>
            <w:r>
              <w:rPr>
                <w:rFonts w:ascii="Calibri" w:cs="Calibri" w:eastAsia="Calibri" w:hAnsi="Calibri"/>
                <w:sz w:val="14"/>
                <w:szCs w:val="14"/>
                <w:b w:val="1"/>
                <w:bCs w:val="1"/>
                <w:color w:val="auto"/>
              </w:rPr>
              <w:t>Exhibit</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9"/>
        </w:trPr>
        <w:tc>
          <w:tcPr>
            <w:tcW w:w="1020" w:type="dxa"/>
            <w:vAlign w:val="bottom"/>
            <w:tcBorders>
              <w:bottom w:val="single" w:sz="8" w:color="auto"/>
            </w:tcBorders>
          </w:tcPr>
          <w:p>
            <w:pPr>
              <w:jc w:val="center"/>
              <w:spacing w:after="0"/>
              <w:rPr>
                <w:sz w:val="20"/>
                <w:szCs w:val="20"/>
                <w:color w:val="auto"/>
              </w:rPr>
            </w:pPr>
            <w:r>
              <w:rPr>
                <w:rFonts w:ascii="Calibri" w:cs="Calibri" w:eastAsia="Calibri" w:hAnsi="Calibri"/>
                <w:sz w:val="14"/>
                <w:szCs w:val="14"/>
                <w:b w:val="1"/>
                <w:bCs w:val="1"/>
                <w:color w:val="auto"/>
              </w:rPr>
              <w:t>Number</w:t>
            </w:r>
          </w:p>
        </w:tc>
        <w:tc>
          <w:tcPr>
            <w:tcW w:w="1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25"/>
          </w:tcPr>
          <w:p>
            <w:pPr>
              <w:spacing w:after="0"/>
              <w:rPr>
                <w:sz w:val="20"/>
                <w:szCs w:val="20"/>
                <w:color w:val="auto"/>
              </w:rPr>
            </w:pPr>
            <w:r>
              <w:rPr>
                <w:rFonts w:ascii="Calibri" w:cs="Calibri" w:eastAsia="Calibri" w:hAnsi="Calibri"/>
                <w:sz w:val="14"/>
                <w:szCs w:val="14"/>
                <w:b w:val="1"/>
                <w:bCs w:val="1"/>
                <w:color w:val="auto"/>
              </w:rPr>
              <w:t>Exhibit Descripton</w:t>
            </w:r>
          </w:p>
        </w:tc>
      </w:tr>
      <w:tr>
        <w:trPr>
          <w:trHeight w:val="162"/>
        </w:trPr>
        <w:tc>
          <w:tcPr>
            <w:tcW w:w="1020" w:type="dxa"/>
            <w:vAlign w:val="bottom"/>
          </w:tcPr>
          <w:p>
            <w:pPr>
              <w:jc w:val="center"/>
              <w:spacing w:after="0" w:line="162" w:lineRule="exact"/>
              <w:rPr>
                <w:sz w:val="20"/>
                <w:szCs w:val="20"/>
                <w:color w:val="auto"/>
              </w:rPr>
            </w:pPr>
            <w:r>
              <w:rPr>
                <w:rFonts w:ascii="Calibri" w:cs="Calibri" w:eastAsia="Calibri" w:hAnsi="Calibri"/>
                <w:sz w:val="17"/>
                <w:szCs w:val="17"/>
                <w:color w:val="auto"/>
              </w:rPr>
              <w:t>3.1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60" w:type="dxa"/>
            <w:vAlign w:val="bottom"/>
            <w:tcBorders>
              <w:bottom w:val="single" w:sz="8" w:color="0000FF"/>
            </w:tcBorders>
            <w:gridSpan w:val="14"/>
          </w:tcPr>
          <w:p>
            <w:pPr>
              <w:spacing w:after="0" w:line="162" w:lineRule="exact"/>
              <w:rPr>
                <w:rFonts w:ascii="Calibri" w:cs="Calibri" w:eastAsia="Calibri" w:hAnsi="Calibri"/>
                <w:sz w:val="17"/>
                <w:szCs w:val="17"/>
                <w:color w:val="0000FF"/>
              </w:rPr>
            </w:pPr>
            <w:hyperlink r:id="rId278">
              <w:r>
                <w:rPr>
                  <w:rFonts w:ascii="Calibri" w:cs="Calibri" w:eastAsia="Calibri" w:hAnsi="Calibri"/>
                  <w:sz w:val="17"/>
                  <w:szCs w:val="17"/>
                  <w:color w:val="0000FF"/>
                </w:rPr>
                <w:t>Amended and Restated Certfcate of Incorporaton</w:t>
              </w:r>
            </w:hyperlink>
          </w:p>
        </w:tc>
        <w:tc>
          <w:tcPr>
            <w:tcW w:w="20" w:type="dxa"/>
            <w:vAlign w:val="bottom"/>
            <w:tcBorders>
              <w:bottom w:val="single" w:sz="8" w:color="0000EE"/>
            </w:tcBorders>
          </w:tcPr>
          <w:p>
            <w:pPr>
              <w:spacing w:after="0"/>
              <w:rPr>
                <w:sz w:val="14"/>
                <w:szCs w:val="14"/>
                <w:color w:val="auto"/>
              </w:rPr>
            </w:pPr>
          </w:p>
        </w:tc>
        <w:tc>
          <w:tcPr>
            <w:tcW w:w="1660" w:type="dxa"/>
            <w:vAlign w:val="bottom"/>
            <w:gridSpan w:val="19"/>
          </w:tcPr>
          <w:p>
            <w:pPr>
              <w:spacing w:after="0"/>
              <w:rPr>
                <w:sz w:val="14"/>
                <w:szCs w:val="14"/>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3.2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80" w:type="dxa"/>
            <w:vAlign w:val="bottom"/>
            <w:tcBorders>
              <w:bottom w:val="single" w:sz="8" w:color="0000FF"/>
            </w:tcBorders>
            <w:gridSpan w:val="23"/>
          </w:tcPr>
          <w:p>
            <w:pPr>
              <w:spacing w:after="0" w:line="196" w:lineRule="exact"/>
              <w:rPr>
                <w:rFonts w:ascii="Calibri" w:cs="Calibri" w:eastAsia="Calibri" w:hAnsi="Calibri"/>
                <w:sz w:val="18"/>
                <w:szCs w:val="18"/>
                <w:color w:val="0000FF"/>
              </w:rPr>
            </w:pPr>
            <w:hyperlink r:id="rId279">
              <w:r>
                <w:rPr>
                  <w:rFonts w:ascii="Calibri" w:cs="Calibri" w:eastAsia="Calibri" w:hAnsi="Calibri"/>
                  <w:sz w:val="18"/>
                  <w:szCs w:val="18"/>
                  <w:color w:val="0000FF"/>
                </w:rPr>
                <w:t>Certfcate of Amendment to Amended and Restated Certfcate of</w:t>
              </w:r>
            </w:hyperlink>
          </w:p>
        </w:tc>
        <w:tc>
          <w:tcPr>
            <w:tcW w:w="560" w:type="dxa"/>
            <w:vAlign w:val="bottom"/>
            <w:gridSpan w:val="11"/>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00" w:type="dxa"/>
            <w:vAlign w:val="bottom"/>
            <w:tcBorders>
              <w:bottom w:val="single" w:sz="8" w:color="0000FF"/>
            </w:tcBorders>
            <w:gridSpan w:val="32"/>
          </w:tcPr>
          <w:p>
            <w:pPr>
              <w:spacing w:after="0" w:line="196" w:lineRule="exact"/>
              <w:rPr>
                <w:rFonts w:ascii="Calibri" w:cs="Calibri" w:eastAsia="Calibri" w:hAnsi="Calibri"/>
                <w:sz w:val="18"/>
                <w:szCs w:val="18"/>
                <w:color w:val="0000FF"/>
                <w:w w:val="99"/>
              </w:rPr>
            </w:pPr>
            <w:hyperlink r:id="rId279">
              <w:r>
                <w:rPr>
                  <w:rFonts w:ascii="Calibri" w:cs="Calibri" w:eastAsia="Calibri" w:hAnsi="Calibri"/>
                  <w:sz w:val="18"/>
                  <w:szCs w:val="18"/>
                  <w:color w:val="0000FF"/>
                  <w:w w:val="99"/>
                </w:rPr>
                <w:t>Incorporaton, as fled with the Secretary of the State of Delaware on May</w:t>
              </w:r>
            </w:hyperlink>
          </w:p>
        </w:tc>
        <w:tc>
          <w:tcPr>
            <w:tcW w:w="40" w:type="dxa"/>
            <w:vAlign w:val="bottom"/>
            <w:gridSpan w:val="2"/>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20" w:type="dxa"/>
            <w:vAlign w:val="bottom"/>
            <w:tcBorders>
              <w:bottom w:val="single" w:sz="8" w:color="0000FF"/>
            </w:tcBorders>
            <w:gridSpan w:val="3"/>
          </w:tcPr>
          <w:p>
            <w:pPr>
              <w:spacing w:after="0" w:line="196" w:lineRule="exact"/>
              <w:rPr>
                <w:rFonts w:ascii="Calibri" w:cs="Calibri" w:eastAsia="Calibri" w:hAnsi="Calibri"/>
                <w:sz w:val="18"/>
                <w:szCs w:val="18"/>
                <w:color w:val="0000FF"/>
                <w:w w:val="94"/>
              </w:rPr>
            </w:pPr>
            <w:hyperlink r:id="rId279">
              <w:r>
                <w:rPr>
                  <w:rFonts w:ascii="Calibri" w:cs="Calibri" w:eastAsia="Calibri" w:hAnsi="Calibri"/>
                  <w:sz w:val="18"/>
                  <w:szCs w:val="18"/>
                  <w:color w:val="0000FF"/>
                  <w:w w:val="94"/>
                </w:rPr>
                <w:t>26, 2023</w:t>
              </w:r>
            </w:hyperlink>
          </w:p>
        </w:tc>
        <w:tc>
          <w:tcPr>
            <w:tcW w:w="20" w:type="dxa"/>
            <w:vAlign w:val="bottom"/>
            <w:tcBorders>
              <w:bottom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3.3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60" w:type="dxa"/>
            <w:vAlign w:val="bottom"/>
            <w:tcBorders>
              <w:bottom w:val="single" w:sz="8" w:color="0000EE"/>
            </w:tcBorders>
            <w:gridSpan w:val="22"/>
          </w:tcPr>
          <w:p>
            <w:pPr>
              <w:spacing w:after="0" w:line="196" w:lineRule="exact"/>
              <w:rPr>
                <w:rFonts w:ascii="Calibri" w:cs="Calibri" w:eastAsia="Calibri" w:hAnsi="Calibri"/>
                <w:sz w:val="18"/>
                <w:szCs w:val="18"/>
                <w:color w:val="0000FF"/>
                <w:w w:val="99"/>
              </w:rPr>
            </w:pPr>
            <w:hyperlink r:id="rId280">
              <w:r>
                <w:rPr>
                  <w:rFonts w:ascii="Calibri" w:cs="Calibri" w:eastAsia="Calibri" w:hAnsi="Calibri"/>
                  <w:sz w:val="18"/>
                  <w:szCs w:val="18"/>
                  <w:color w:val="0000FF"/>
                  <w:w w:val="99"/>
                </w:rPr>
                <w:t>Amended and Restated Bylaws, efectve as of December 13, 2023</w:t>
              </w:r>
            </w:hyperlink>
          </w:p>
        </w:tc>
        <w:tc>
          <w:tcPr>
            <w:tcW w:w="580" w:type="dxa"/>
            <w:vAlign w:val="bottom"/>
            <w:gridSpan w:val="12"/>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60" w:type="dxa"/>
            <w:vAlign w:val="bottom"/>
            <w:tcBorders>
              <w:bottom w:val="single" w:sz="8" w:color="0000FF"/>
            </w:tcBorders>
            <w:gridSpan w:val="10"/>
          </w:tcPr>
          <w:p>
            <w:pPr>
              <w:spacing w:after="0" w:line="196" w:lineRule="exact"/>
              <w:rPr>
                <w:rFonts w:ascii="Calibri" w:cs="Calibri" w:eastAsia="Calibri" w:hAnsi="Calibri"/>
                <w:sz w:val="18"/>
                <w:szCs w:val="18"/>
                <w:color w:val="0000FF"/>
              </w:rPr>
            </w:pPr>
            <w:hyperlink r:id="rId281">
              <w:r>
                <w:rPr>
                  <w:rFonts w:ascii="Calibri" w:cs="Calibri" w:eastAsia="Calibri" w:hAnsi="Calibri"/>
                  <w:sz w:val="18"/>
                  <w:szCs w:val="18"/>
                  <w:color w:val="0000FF"/>
                </w:rPr>
                <w:t>Form of Common Stock Certfcate</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23"/>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00" w:type="dxa"/>
            <w:vAlign w:val="bottom"/>
            <w:tcBorders>
              <w:bottom w:val="single" w:sz="8" w:color="0000FF"/>
            </w:tcBorders>
            <w:gridSpan w:val="28"/>
          </w:tcPr>
          <w:p>
            <w:pPr>
              <w:spacing w:after="0" w:line="196" w:lineRule="exact"/>
              <w:rPr>
                <w:rFonts w:ascii="Calibri" w:cs="Calibri" w:eastAsia="Calibri" w:hAnsi="Calibri"/>
                <w:sz w:val="18"/>
                <w:szCs w:val="18"/>
                <w:color w:val="0000FF"/>
                <w:w w:val="98"/>
              </w:rPr>
            </w:pPr>
            <w:hyperlink r:id="rId282">
              <w:r>
                <w:rPr>
                  <w:rFonts w:ascii="Calibri" w:cs="Calibri" w:eastAsia="Calibri" w:hAnsi="Calibri"/>
                  <w:sz w:val="18"/>
                  <w:szCs w:val="18"/>
                  <w:color w:val="0000FF"/>
                  <w:w w:val="98"/>
                </w:rPr>
                <w:t>Warrant to purchase stock issued to Silicon Valley Bank, dated May 14,</w:t>
              </w:r>
            </w:hyperlink>
          </w:p>
        </w:tc>
        <w:tc>
          <w:tcPr>
            <w:tcW w:w="240" w:type="dxa"/>
            <w:vAlign w:val="bottom"/>
            <w:gridSpan w:val="6"/>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360" w:type="dxa"/>
            <w:vAlign w:val="bottom"/>
            <w:tcBorders>
              <w:bottom w:val="single" w:sz="8" w:color="0000FF"/>
            </w:tcBorders>
          </w:tcPr>
          <w:p>
            <w:pPr>
              <w:spacing w:after="0" w:line="196" w:lineRule="exact"/>
              <w:rPr>
                <w:rFonts w:ascii="Calibri" w:cs="Calibri" w:eastAsia="Calibri" w:hAnsi="Calibri"/>
                <w:sz w:val="18"/>
                <w:szCs w:val="18"/>
                <w:color w:val="0000FF"/>
                <w:w w:val="92"/>
              </w:rPr>
            </w:pPr>
            <w:hyperlink r:id="rId282">
              <w:r>
                <w:rPr>
                  <w:rFonts w:ascii="Calibri" w:cs="Calibri" w:eastAsia="Calibri" w:hAnsi="Calibri"/>
                  <w:sz w:val="18"/>
                  <w:szCs w:val="18"/>
                  <w:color w:val="0000FF"/>
                  <w:w w:val="92"/>
                </w:rPr>
                <w:t>2019</w:t>
              </w:r>
            </w:hyperlink>
          </w:p>
        </w:tc>
        <w:tc>
          <w:tcPr>
            <w:tcW w:w="20" w:type="dxa"/>
            <w:vAlign w:val="bottom"/>
            <w:tcBorders>
              <w:bottom w:val="single" w:sz="8" w:color="0000EE"/>
            </w:tcBorders>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31"/>
          </w:tcPr>
          <w:p>
            <w:pPr>
              <w:spacing w:after="0" w:line="196" w:lineRule="exact"/>
              <w:rPr>
                <w:rFonts w:ascii="Calibri" w:cs="Calibri" w:eastAsia="Calibri" w:hAnsi="Calibri"/>
                <w:sz w:val="18"/>
                <w:szCs w:val="18"/>
                <w:color w:val="0000FF"/>
                <w:w w:val="98"/>
              </w:rPr>
            </w:pPr>
            <w:hyperlink r:id="rId283">
              <w:r>
                <w:rPr>
                  <w:rFonts w:ascii="Calibri" w:cs="Calibri" w:eastAsia="Calibri" w:hAnsi="Calibri"/>
                  <w:sz w:val="18"/>
                  <w:szCs w:val="18"/>
                  <w:color w:val="0000FF"/>
                  <w:w w:val="98"/>
                </w:rPr>
                <w:t>Warrant to purchase stock issued to WestRiver Innovaton Lending Fund</w:t>
              </w:r>
            </w:hyperlink>
          </w:p>
        </w:tc>
        <w:tc>
          <w:tcPr>
            <w:tcW w:w="140" w:type="dxa"/>
            <w:vAlign w:val="bottom"/>
            <w:gridSpan w:val="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34"/>
          </w:tcPr>
          <w:p>
            <w:pPr>
              <w:spacing w:after="0" w:line="196" w:lineRule="exact"/>
              <w:rPr>
                <w:rFonts w:ascii="Calibri" w:cs="Calibri" w:eastAsia="Calibri" w:hAnsi="Calibri"/>
                <w:sz w:val="18"/>
                <w:szCs w:val="18"/>
                <w:color w:val="0000FF"/>
              </w:rPr>
            </w:pPr>
            <w:hyperlink r:id="rId283">
              <w:r>
                <w:rPr>
                  <w:rFonts w:ascii="Calibri" w:cs="Calibri" w:eastAsia="Calibri" w:hAnsi="Calibri"/>
                  <w:sz w:val="18"/>
                  <w:szCs w:val="18"/>
                  <w:color w:val="0000FF"/>
                </w:rPr>
                <w:t>VIII, L.P., dated May 14, 2019</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bottom w:val="single" w:sz="8" w:color="0000FF"/>
            </w:tcBorders>
            <w:gridSpan w:val="21"/>
          </w:tcPr>
          <w:p>
            <w:pPr>
              <w:spacing w:after="0" w:line="196" w:lineRule="exact"/>
              <w:rPr>
                <w:rFonts w:ascii="Calibri" w:cs="Calibri" w:eastAsia="Calibri" w:hAnsi="Calibri"/>
                <w:sz w:val="18"/>
                <w:szCs w:val="18"/>
                <w:color w:val="0000FF"/>
                <w:w w:val="98"/>
              </w:rPr>
            </w:pPr>
            <w:hyperlink r:id="rId284">
              <w:r>
                <w:rPr>
                  <w:rFonts w:ascii="Calibri" w:cs="Calibri" w:eastAsia="Calibri" w:hAnsi="Calibri"/>
                  <w:sz w:val="18"/>
                  <w:szCs w:val="18"/>
                  <w:color w:val="0000FF"/>
                  <w:w w:val="98"/>
                </w:rPr>
                <w:t>Note Purchase Agreement, dated May 7, 2019, by and among the</w:t>
              </w:r>
            </w:hyperlink>
          </w:p>
        </w:tc>
        <w:tc>
          <w:tcPr>
            <w:tcW w:w="620" w:type="dxa"/>
            <w:vAlign w:val="bottom"/>
            <w:gridSpan w:val="13"/>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34"/>
          </w:tcPr>
          <w:p>
            <w:pPr>
              <w:spacing w:after="0" w:line="196" w:lineRule="exact"/>
              <w:rPr>
                <w:rFonts w:ascii="Calibri" w:cs="Calibri" w:eastAsia="Calibri" w:hAnsi="Calibri"/>
                <w:sz w:val="18"/>
                <w:szCs w:val="18"/>
                <w:color w:val="0000FF"/>
              </w:rPr>
            </w:pPr>
            <w:hyperlink r:id="rId284">
              <w:r>
                <w:rPr>
                  <w:rFonts w:ascii="Calibri" w:cs="Calibri" w:eastAsia="Calibri" w:hAnsi="Calibri"/>
                  <w:sz w:val="18"/>
                  <w:szCs w:val="18"/>
                  <w:color w:val="0000FF"/>
                </w:rPr>
                <w:t>Registrant and the other partes party thereto, as amended</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FF"/>
            </w:tcBorders>
            <w:gridSpan w:val="30"/>
          </w:tcPr>
          <w:p>
            <w:pPr>
              <w:spacing w:after="0" w:line="196" w:lineRule="exact"/>
              <w:rPr>
                <w:rFonts w:ascii="Calibri" w:cs="Calibri" w:eastAsia="Calibri" w:hAnsi="Calibri"/>
                <w:sz w:val="18"/>
                <w:szCs w:val="18"/>
                <w:color w:val="0000FF"/>
                <w:w w:val="98"/>
              </w:rPr>
            </w:pPr>
            <w:hyperlink r:id="rId285">
              <w:r>
                <w:rPr>
                  <w:rFonts w:ascii="Calibri" w:cs="Calibri" w:eastAsia="Calibri" w:hAnsi="Calibri"/>
                  <w:sz w:val="18"/>
                  <w:szCs w:val="18"/>
                  <w:color w:val="0000FF"/>
                  <w:w w:val="98"/>
                </w:rPr>
                <w:t>Warrant to purchase stock issued to Hercules Capital, dated September</w:t>
              </w:r>
            </w:hyperlink>
          </w:p>
        </w:tc>
        <w:tc>
          <w:tcPr>
            <w:tcW w:w="200" w:type="dxa"/>
            <w:vAlign w:val="bottom"/>
            <w:gridSpan w:val="4"/>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20" w:type="dxa"/>
            <w:vAlign w:val="bottom"/>
            <w:gridSpan w:val="2"/>
          </w:tcPr>
          <w:p>
            <w:pPr>
              <w:spacing w:after="0"/>
              <w:rPr>
                <w:sz w:val="17"/>
                <w:szCs w:val="17"/>
                <w:color w:val="auto"/>
              </w:rPr>
            </w:pPr>
          </w:p>
        </w:tc>
        <w:tc>
          <w:tcPr>
            <w:tcW w:w="620" w:type="dxa"/>
            <w:vAlign w:val="bottom"/>
            <w:tcBorders>
              <w:bottom w:val="single" w:sz="8" w:color="0000FF"/>
            </w:tcBorders>
            <w:gridSpan w:val="3"/>
          </w:tcPr>
          <w:p>
            <w:pPr>
              <w:spacing w:after="0" w:line="196" w:lineRule="exact"/>
              <w:rPr>
                <w:rFonts w:ascii="Calibri" w:cs="Calibri" w:eastAsia="Calibri" w:hAnsi="Calibri"/>
                <w:sz w:val="18"/>
                <w:szCs w:val="18"/>
                <w:color w:val="0000FF"/>
                <w:w w:val="94"/>
              </w:rPr>
            </w:pPr>
            <w:hyperlink r:id="rId285">
              <w:r>
                <w:rPr>
                  <w:rFonts w:ascii="Calibri" w:cs="Calibri" w:eastAsia="Calibri" w:hAnsi="Calibri"/>
                  <w:sz w:val="18"/>
                  <w:szCs w:val="18"/>
                  <w:color w:val="0000FF"/>
                  <w:w w:val="94"/>
                </w:rPr>
                <w:t>17, 2021</w:t>
              </w:r>
            </w:hyperlink>
          </w:p>
        </w:tc>
        <w:tc>
          <w:tcPr>
            <w:tcW w:w="20" w:type="dxa"/>
            <w:vAlign w:val="bottom"/>
            <w:tcBorders>
              <w:bottom w:val="single" w:sz="8" w:color="0000EE"/>
            </w:tcBorders>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25"/>
          </w:tcPr>
          <w:p>
            <w:pPr>
              <w:spacing w:after="0" w:line="196" w:lineRule="exact"/>
              <w:rPr>
                <w:rFonts w:ascii="Calibri" w:cs="Calibri" w:eastAsia="Calibri" w:hAnsi="Calibri"/>
                <w:sz w:val="18"/>
                <w:szCs w:val="18"/>
                <w:color w:val="0000FF"/>
                <w:w w:val="97"/>
              </w:rPr>
            </w:pPr>
            <w:hyperlink r:id="rId286">
              <w:r>
                <w:rPr>
                  <w:rFonts w:ascii="Calibri" w:cs="Calibri" w:eastAsia="Calibri" w:hAnsi="Calibri"/>
                  <w:sz w:val="18"/>
                  <w:szCs w:val="18"/>
                  <w:color w:val="0000FF"/>
                  <w:w w:val="97"/>
                </w:rPr>
                <w:t>Form of Warrant to purchase stock issuable pursuant to the Loan and</w:t>
              </w:r>
            </w:hyperlink>
          </w:p>
        </w:tc>
        <w:tc>
          <w:tcPr>
            <w:tcW w:w="360" w:type="dxa"/>
            <w:vAlign w:val="bottom"/>
            <w:gridSpan w:val="9"/>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0" w:type="dxa"/>
            <w:vAlign w:val="bottom"/>
            <w:tcBorders>
              <w:bottom w:val="single" w:sz="8" w:color="0000FF"/>
            </w:tcBorders>
            <w:gridSpan w:val="26"/>
          </w:tcPr>
          <w:p>
            <w:pPr>
              <w:spacing w:after="0" w:line="196" w:lineRule="exact"/>
              <w:rPr>
                <w:rFonts w:ascii="Calibri" w:cs="Calibri" w:eastAsia="Calibri" w:hAnsi="Calibri"/>
                <w:sz w:val="18"/>
                <w:szCs w:val="18"/>
                <w:color w:val="0000FF"/>
                <w:w w:val="98"/>
              </w:rPr>
            </w:pPr>
            <w:hyperlink r:id="rId286">
              <w:r>
                <w:rPr>
                  <w:rFonts w:ascii="Calibri" w:cs="Calibri" w:eastAsia="Calibri" w:hAnsi="Calibri"/>
                  <w:sz w:val="18"/>
                  <w:szCs w:val="18"/>
                  <w:color w:val="0000FF"/>
                  <w:w w:val="98"/>
                </w:rPr>
                <w:t>Security Agreement, as amended, by and between the Registrant and</w:t>
              </w:r>
            </w:hyperlink>
          </w:p>
        </w:tc>
        <w:tc>
          <w:tcPr>
            <w:tcW w:w="340" w:type="dxa"/>
            <w:vAlign w:val="bottom"/>
            <w:gridSpan w:val="8"/>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00" w:type="dxa"/>
            <w:vAlign w:val="bottom"/>
            <w:tcBorders>
              <w:bottom w:val="single" w:sz="8" w:color="0000FF"/>
            </w:tcBorders>
            <w:gridSpan w:val="7"/>
          </w:tcPr>
          <w:p>
            <w:pPr>
              <w:spacing w:after="0" w:line="196" w:lineRule="exact"/>
              <w:rPr>
                <w:rFonts w:ascii="Calibri" w:cs="Calibri" w:eastAsia="Calibri" w:hAnsi="Calibri"/>
                <w:sz w:val="18"/>
                <w:szCs w:val="18"/>
                <w:color w:val="0000FF"/>
                <w:w w:val="96"/>
              </w:rPr>
            </w:pPr>
            <w:hyperlink r:id="rId286">
              <w:r>
                <w:rPr>
                  <w:rFonts w:ascii="Calibri" w:cs="Calibri" w:eastAsia="Calibri" w:hAnsi="Calibri"/>
                  <w:sz w:val="18"/>
                  <w:szCs w:val="18"/>
                  <w:color w:val="0000FF"/>
                  <w:w w:val="96"/>
                </w:rPr>
                <w:t>Hercules Capital, Inc.</w:t>
              </w:r>
            </w:hyperlink>
          </w:p>
        </w:tc>
        <w:tc>
          <w:tcPr>
            <w:tcW w:w="20" w:type="dxa"/>
            <w:vAlign w:val="bottom"/>
            <w:tcBorders>
              <w:bottom w:val="single" w:sz="8" w:color="0000EE"/>
            </w:tcBorders>
          </w:tcPr>
          <w:p>
            <w:pPr>
              <w:spacing w:after="0"/>
              <w:rPr>
                <w:sz w:val="17"/>
                <w:szCs w:val="17"/>
                <w:color w:val="auto"/>
              </w:rPr>
            </w:pPr>
          </w:p>
        </w:tc>
        <w:tc>
          <w:tcPr>
            <w:tcW w:w="3820" w:type="dxa"/>
            <w:vAlign w:val="bottom"/>
            <w:gridSpan w:val="26"/>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33"/>
          </w:tcPr>
          <w:p>
            <w:pPr>
              <w:spacing w:after="0" w:line="196" w:lineRule="exact"/>
              <w:rPr>
                <w:rFonts w:ascii="Calibri" w:cs="Calibri" w:eastAsia="Calibri" w:hAnsi="Calibri"/>
                <w:sz w:val="18"/>
                <w:szCs w:val="18"/>
                <w:color w:val="0000FF"/>
                <w:w w:val="97"/>
              </w:rPr>
            </w:pPr>
            <w:hyperlink r:id="rId287">
              <w:r>
                <w:rPr>
                  <w:rFonts w:ascii="Calibri" w:cs="Calibri" w:eastAsia="Calibri" w:hAnsi="Calibri"/>
                  <w:sz w:val="18"/>
                  <w:szCs w:val="18"/>
                  <w:color w:val="0000FF"/>
                  <w:w w:val="97"/>
                </w:rPr>
                <w:t>First Amendment to Warrant to purchase stock issued to Hercules Capital,</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FF"/>
            </w:tcBorders>
            <w:gridSpan w:val="5"/>
          </w:tcPr>
          <w:p>
            <w:pPr>
              <w:spacing w:after="0" w:line="196" w:lineRule="exact"/>
              <w:rPr>
                <w:rFonts w:ascii="Calibri" w:cs="Calibri" w:eastAsia="Calibri" w:hAnsi="Calibri"/>
                <w:sz w:val="18"/>
                <w:szCs w:val="18"/>
                <w:color w:val="0000FF"/>
                <w:w w:val="96"/>
              </w:rPr>
            </w:pPr>
            <w:hyperlink r:id="rId287">
              <w:r>
                <w:rPr>
                  <w:rFonts w:ascii="Calibri" w:cs="Calibri" w:eastAsia="Calibri" w:hAnsi="Calibri"/>
                  <w:sz w:val="18"/>
                  <w:szCs w:val="18"/>
                  <w:color w:val="0000FF"/>
                  <w:w w:val="96"/>
                </w:rPr>
                <w:t>dated May 9, 2023</w:t>
              </w:r>
            </w:hyperlink>
          </w:p>
        </w:tc>
        <w:tc>
          <w:tcPr>
            <w:tcW w:w="20" w:type="dxa"/>
            <w:vAlign w:val="bottom"/>
            <w:tcBorders>
              <w:bottom w:val="single" w:sz="8" w:color="0000EE"/>
            </w:tcBorders>
          </w:tcPr>
          <w:p>
            <w:pPr>
              <w:spacing w:after="0"/>
              <w:rPr>
                <w:sz w:val="17"/>
                <w:szCs w:val="17"/>
                <w:color w:val="auto"/>
              </w:rPr>
            </w:pPr>
          </w:p>
        </w:tc>
        <w:tc>
          <w:tcPr>
            <w:tcW w:w="3980" w:type="dxa"/>
            <w:vAlign w:val="bottom"/>
            <w:gridSpan w:val="28"/>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40" w:type="dxa"/>
            <w:vAlign w:val="bottom"/>
            <w:tcBorders>
              <w:bottom w:val="single" w:sz="8" w:color="0000FF"/>
            </w:tcBorders>
            <w:gridSpan w:val="12"/>
          </w:tcPr>
          <w:p>
            <w:pPr>
              <w:spacing w:after="0" w:line="196" w:lineRule="exact"/>
              <w:rPr>
                <w:sz w:val="20"/>
                <w:szCs w:val="20"/>
                <w:color w:val="auto"/>
              </w:rPr>
            </w:pPr>
            <w:r>
              <w:rPr>
                <w:rFonts w:ascii="Calibri" w:cs="Calibri" w:eastAsia="Calibri" w:hAnsi="Calibri"/>
                <w:sz w:val="18"/>
                <w:szCs w:val="18"/>
                <w:color w:val="0000FF"/>
              </w:rPr>
              <w:t>Descripton of Registered Securites</w:t>
            </w:r>
          </w:p>
        </w:tc>
        <w:tc>
          <w:tcPr>
            <w:tcW w:w="20" w:type="dxa"/>
            <w:vAlign w:val="bottom"/>
            <w:tcBorders>
              <w:bottom w:val="single" w:sz="8" w:color="0000EE"/>
            </w:tcBorders>
          </w:tcPr>
          <w:p>
            <w:pPr>
              <w:spacing w:after="0"/>
              <w:rPr>
                <w:sz w:val="17"/>
                <w:szCs w:val="17"/>
                <w:color w:val="auto"/>
              </w:rPr>
            </w:pPr>
          </w:p>
        </w:tc>
        <w:tc>
          <w:tcPr>
            <w:tcW w:w="2780" w:type="dxa"/>
            <w:vAlign w:val="bottom"/>
            <w:gridSpan w:val="21"/>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6"/>
              </w:rPr>
              <w:t>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40" w:type="dxa"/>
            <w:vAlign w:val="bottom"/>
            <w:tcBorders>
              <w:bottom w:val="single" w:sz="8" w:color="0000FF"/>
            </w:tcBorders>
            <w:gridSpan w:val="16"/>
          </w:tcPr>
          <w:p>
            <w:pPr>
              <w:spacing w:after="0" w:line="196" w:lineRule="exact"/>
              <w:rPr>
                <w:rFonts w:ascii="Calibri" w:cs="Calibri" w:eastAsia="Calibri" w:hAnsi="Calibri"/>
                <w:sz w:val="18"/>
                <w:szCs w:val="18"/>
                <w:color w:val="0000FF"/>
                <w:w w:val="97"/>
              </w:rPr>
            </w:pPr>
            <w:hyperlink r:id="rId288">
              <w:r>
                <w:rPr>
                  <w:rFonts w:ascii="Calibri" w:cs="Calibri" w:eastAsia="Calibri" w:hAnsi="Calibri"/>
                  <w:sz w:val="18"/>
                  <w:szCs w:val="18"/>
                  <w:color w:val="0000FF"/>
                  <w:w w:val="97"/>
                </w:rPr>
                <w:t>Form of Pre-Funded Warrant to purchase common stock</w:t>
              </w:r>
            </w:hyperlink>
          </w:p>
        </w:tc>
        <w:tc>
          <w:tcPr>
            <w:tcW w:w="20" w:type="dxa"/>
            <w:vAlign w:val="bottom"/>
            <w:tcBorders>
              <w:bottom w:val="single" w:sz="8" w:color="0000EE"/>
            </w:tcBorders>
          </w:tcPr>
          <w:p>
            <w:pPr>
              <w:spacing w:after="0"/>
              <w:rPr>
                <w:sz w:val="17"/>
                <w:szCs w:val="17"/>
                <w:color w:val="auto"/>
              </w:rPr>
            </w:pPr>
          </w:p>
        </w:tc>
        <w:tc>
          <w:tcPr>
            <w:tcW w:w="1280" w:type="dxa"/>
            <w:vAlign w:val="bottom"/>
            <w:gridSpan w:val="17"/>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34"/>
          </w:tcPr>
          <w:p>
            <w:pPr>
              <w:spacing w:after="0" w:line="196" w:lineRule="exact"/>
              <w:rPr>
                <w:rFonts w:ascii="Calibri" w:cs="Calibri" w:eastAsia="Calibri" w:hAnsi="Calibri"/>
                <w:sz w:val="18"/>
                <w:szCs w:val="18"/>
                <w:color w:val="0000FF"/>
              </w:rPr>
            </w:pPr>
            <w:hyperlink r:id="rId289">
              <w:r>
                <w:rPr>
                  <w:rFonts w:ascii="Calibri" w:cs="Calibri" w:eastAsia="Calibri" w:hAnsi="Calibri"/>
                  <w:sz w:val="18"/>
                  <w:szCs w:val="18"/>
                  <w:color w:val="0000FF"/>
                </w:rPr>
                <w:t>Phathom Pharmaceutcals, Inc. 2019 Equity Incentve Plan</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Borders>
              <w:right w:val="single" w:sz="8" w:color="0000EE"/>
            </w:tcBorders>
            <w:gridSpan w:val="1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33"/>
          </w:tcPr>
          <w:p>
            <w:pPr>
              <w:spacing w:after="0" w:line="196" w:lineRule="exact"/>
              <w:rPr>
                <w:rFonts w:ascii="Calibri" w:cs="Calibri" w:eastAsia="Calibri" w:hAnsi="Calibri"/>
                <w:sz w:val="18"/>
                <w:szCs w:val="18"/>
                <w:color w:val="0000FF"/>
                <w:w w:val="99"/>
              </w:rPr>
            </w:pPr>
            <w:hyperlink r:id="rId290">
              <w:r>
                <w:rPr>
                  <w:rFonts w:ascii="Calibri" w:cs="Calibri" w:eastAsia="Calibri" w:hAnsi="Calibri"/>
                  <w:sz w:val="18"/>
                  <w:szCs w:val="18"/>
                  <w:color w:val="0000FF"/>
                  <w:w w:val="99"/>
                </w:rPr>
                <w:t>Form of Stock Opton Grant Notce and Stock Opton Agreement under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34"/>
          </w:tcPr>
          <w:p>
            <w:pPr>
              <w:spacing w:after="0" w:line="196" w:lineRule="exact"/>
              <w:rPr>
                <w:rFonts w:ascii="Calibri" w:cs="Calibri" w:eastAsia="Calibri" w:hAnsi="Calibri"/>
                <w:sz w:val="18"/>
                <w:szCs w:val="18"/>
                <w:color w:val="0000FF"/>
              </w:rPr>
            </w:pPr>
            <w:hyperlink r:id="rId290">
              <w:r>
                <w:rPr>
                  <w:rFonts w:ascii="Calibri" w:cs="Calibri" w:eastAsia="Calibri" w:hAnsi="Calibri"/>
                  <w:sz w:val="18"/>
                  <w:szCs w:val="18"/>
                  <w:color w:val="0000FF"/>
                </w:rPr>
                <w:t>Phathom Pharmaceutcals, Inc. 2019 Equity Incentve Plan</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Borders>
              <w:right w:val="single" w:sz="8" w:color="0000EE"/>
            </w:tcBorders>
            <w:gridSpan w:val="1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27"/>
          </w:tcPr>
          <w:p>
            <w:pPr>
              <w:spacing w:after="0" w:line="196" w:lineRule="exact"/>
              <w:rPr>
                <w:rFonts w:ascii="Calibri" w:cs="Calibri" w:eastAsia="Calibri" w:hAnsi="Calibri"/>
                <w:sz w:val="18"/>
                <w:szCs w:val="18"/>
                <w:color w:val="0000FF"/>
                <w:w w:val="98"/>
              </w:rPr>
            </w:pPr>
            <w:hyperlink r:id="rId291">
              <w:r>
                <w:rPr>
                  <w:rFonts w:ascii="Calibri" w:cs="Calibri" w:eastAsia="Calibri" w:hAnsi="Calibri"/>
                  <w:sz w:val="18"/>
                  <w:szCs w:val="18"/>
                  <w:color w:val="0000FF"/>
                  <w:w w:val="98"/>
                </w:rPr>
                <w:t>Form of Restricted Stock Grant Notce and Restricted Stock Agreement</w:t>
              </w:r>
            </w:hyperlink>
          </w:p>
        </w:tc>
        <w:tc>
          <w:tcPr>
            <w:tcW w:w="260" w:type="dxa"/>
            <w:vAlign w:val="bottom"/>
            <w:gridSpan w:val="7"/>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40" w:type="dxa"/>
            <w:vAlign w:val="bottom"/>
            <w:tcBorders>
              <w:bottom w:val="single" w:sz="8" w:color="0000EE"/>
            </w:tcBorders>
            <w:gridSpan w:val="20"/>
          </w:tcPr>
          <w:p>
            <w:pPr>
              <w:spacing w:after="0" w:line="196" w:lineRule="exact"/>
              <w:rPr>
                <w:rFonts w:ascii="Calibri" w:cs="Calibri" w:eastAsia="Calibri" w:hAnsi="Calibri"/>
                <w:sz w:val="18"/>
                <w:szCs w:val="18"/>
                <w:color w:val="0000FF"/>
                <w:w w:val="99"/>
              </w:rPr>
            </w:pPr>
            <w:hyperlink r:id="rId291">
              <w:r>
                <w:rPr>
                  <w:rFonts w:ascii="Calibri" w:cs="Calibri" w:eastAsia="Calibri" w:hAnsi="Calibri"/>
                  <w:sz w:val="18"/>
                  <w:szCs w:val="18"/>
                  <w:color w:val="0000FF"/>
                  <w:w w:val="99"/>
                </w:rPr>
                <w:t>under Phathom Pharmaceutcals, Inc. 2019 Equity Incentve Plan</w:t>
              </w:r>
            </w:hyperlink>
          </w:p>
        </w:tc>
        <w:tc>
          <w:tcPr>
            <w:tcW w:w="700" w:type="dxa"/>
            <w:vAlign w:val="bottom"/>
            <w:gridSpan w:val="14"/>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10.4#</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40" w:type="dxa"/>
            <w:vAlign w:val="bottom"/>
            <w:tcBorders>
              <w:bottom w:val="single" w:sz="8" w:color="0000EE"/>
            </w:tcBorders>
            <w:gridSpan w:val="19"/>
          </w:tcPr>
          <w:p>
            <w:pPr>
              <w:spacing w:after="0" w:line="196" w:lineRule="exact"/>
              <w:rPr>
                <w:rFonts w:ascii="Calibri" w:cs="Calibri" w:eastAsia="Calibri" w:hAnsi="Calibri"/>
                <w:sz w:val="18"/>
                <w:szCs w:val="18"/>
                <w:color w:val="0000FF"/>
              </w:rPr>
            </w:pPr>
            <w:hyperlink r:id="rId292">
              <w:r>
                <w:rPr>
                  <w:rFonts w:ascii="Calibri" w:cs="Calibri" w:eastAsia="Calibri" w:hAnsi="Calibri"/>
                  <w:sz w:val="18"/>
                  <w:szCs w:val="18"/>
                  <w:color w:val="0000FF"/>
                </w:rPr>
                <w:t>Phathom Pharmaceutcals, Inc. 2019 Incentve Award Plan</w:t>
              </w:r>
            </w:hyperlink>
          </w:p>
        </w:tc>
        <w:tc>
          <w:tcPr>
            <w:tcW w:w="1100" w:type="dxa"/>
            <w:vAlign w:val="bottom"/>
            <w:gridSpan w:val="15"/>
          </w:tcPr>
          <w:p>
            <w:pPr>
              <w:spacing w:after="0"/>
              <w:rPr>
                <w:sz w:val="17"/>
                <w:szCs w:val="17"/>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20" w:type="dxa"/>
            <w:vAlign w:val="bottom"/>
            <w:tcBorders>
              <w:bottom w:val="single" w:sz="8" w:color="0000FF"/>
            </w:tcBorders>
            <w:gridSpan w:val="33"/>
          </w:tcPr>
          <w:p>
            <w:pPr>
              <w:spacing w:after="0" w:line="196" w:lineRule="exact"/>
              <w:rPr>
                <w:rFonts w:ascii="Calibri" w:cs="Calibri" w:eastAsia="Calibri" w:hAnsi="Calibri"/>
                <w:sz w:val="18"/>
                <w:szCs w:val="18"/>
                <w:color w:val="0000FF"/>
                <w:w w:val="99"/>
              </w:rPr>
            </w:pPr>
            <w:hyperlink r:id="rId293">
              <w:r>
                <w:rPr>
                  <w:rFonts w:ascii="Calibri" w:cs="Calibri" w:eastAsia="Calibri" w:hAnsi="Calibri"/>
                  <w:sz w:val="18"/>
                  <w:szCs w:val="18"/>
                  <w:color w:val="0000FF"/>
                  <w:w w:val="99"/>
                </w:rPr>
                <w:t>Form of Stock Opton Grant Notce and Stock Opton Agreement under the</w:t>
              </w:r>
            </w:hyperlink>
          </w:p>
        </w:tc>
        <w:tc>
          <w:tcPr>
            <w:tcW w:w="2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34"/>
          </w:tcPr>
          <w:p>
            <w:pPr>
              <w:spacing w:after="0" w:line="196" w:lineRule="exact"/>
              <w:rPr>
                <w:rFonts w:ascii="Calibri" w:cs="Calibri" w:eastAsia="Calibri" w:hAnsi="Calibri"/>
                <w:sz w:val="18"/>
                <w:szCs w:val="18"/>
                <w:color w:val="0000FF"/>
              </w:rPr>
            </w:pPr>
            <w:hyperlink r:id="rId293">
              <w:r>
                <w:rPr>
                  <w:rFonts w:ascii="Calibri" w:cs="Calibri" w:eastAsia="Calibri" w:hAnsi="Calibri"/>
                  <w:sz w:val="18"/>
                  <w:szCs w:val="18"/>
                  <w:color w:val="0000FF"/>
                </w:rPr>
                <w:t>Phathom Pharmaceutcals, Inc. 2019 Incentve Award Plan</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40" w:type="dxa"/>
            <w:vAlign w:val="bottom"/>
            <w:tcBorders>
              <w:right w:val="single" w:sz="8" w:color="0000FF"/>
            </w:tcBorders>
            <w:gridSpan w:val="18"/>
            <w:shd w:val="clear" w:color="auto" w:fill="0000FF"/>
          </w:tcPr>
          <w:p>
            <w:pPr>
              <w:spacing w:after="0" w:line="20" w:lineRule="exact"/>
              <w:rPr>
                <w:sz w:val="1"/>
                <w:szCs w:val="1"/>
                <w:color w:val="auto"/>
              </w:rPr>
            </w:pPr>
          </w:p>
        </w:tc>
        <w:tc>
          <w:tcPr>
            <w:tcW w:w="680" w:type="dxa"/>
            <w:vAlign w:val="bottom"/>
            <w:tcBorders>
              <w:left w:val="single" w:sz="8" w:color="0000EE"/>
            </w:tcBorders>
            <w:gridSpan w:val="6"/>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10.6#</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34"/>
          </w:tcPr>
          <w:p>
            <w:pPr>
              <w:spacing w:after="0" w:line="196" w:lineRule="exact"/>
              <w:rPr>
                <w:rFonts w:ascii="Calibri" w:cs="Calibri" w:eastAsia="Calibri" w:hAnsi="Calibri"/>
                <w:sz w:val="18"/>
                <w:szCs w:val="18"/>
                <w:color w:val="0000FF"/>
              </w:rPr>
            </w:pPr>
            <w:hyperlink r:id="rId294">
              <w:r>
                <w:rPr>
                  <w:rFonts w:ascii="Calibri" w:cs="Calibri" w:eastAsia="Calibri" w:hAnsi="Calibri"/>
                  <w:sz w:val="18"/>
                  <w:szCs w:val="18"/>
                  <w:color w:val="0000FF"/>
                </w:rPr>
                <w:t>Phathom Pharmaceutcals, Inc. 2019 Employee Stock Purchase Plan</w:t>
              </w:r>
            </w:hyperlink>
          </w:p>
        </w:tc>
      </w:tr>
      <w:tr>
        <w:trPr>
          <w:trHeight w:val="20"/>
        </w:trPr>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20" w:type="dxa"/>
            <w:vAlign w:val="bottom"/>
            <w:tcBorders>
              <w:right w:val="single" w:sz="8" w:color="0000EE"/>
            </w:tcBorders>
            <w:gridSpan w:val="24"/>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r>
      <w:tr>
        <w:trPr>
          <w:trHeight w:val="196"/>
        </w:trPr>
        <w:tc>
          <w:tcPr>
            <w:tcW w:w="1020" w:type="dxa"/>
            <w:vAlign w:val="bottom"/>
          </w:tcPr>
          <w:p>
            <w:pPr>
              <w:jc w:val="center"/>
              <w:spacing w:after="0" w:line="196" w:lineRule="exact"/>
              <w:rPr>
                <w:sz w:val="20"/>
                <w:szCs w:val="20"/>
                <w:color w:val="auto"/>
              </w:rPr>
            </w:pPr>
            <w:r>
              <w:rPr>
                <w:rFonts w:ascii="Calibri" w:cs="Calibri" w:eastAsia="Calibri" w:hAnsi="Calibri"/>
                <w:sz w:val="18"/>
                <w:szCs w:val="18"/>
                <w:color w:val="auto"/>
                <w:w w:val="97"/>
              </w:rPr>
              <w:t>10.7#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340" w:type="dxa"/>
            <w:vAlign w:val="bottom"/>
            <w:gridSpan w:val="34"/>
          </w:tcPr>
          <w:p>
            <w:pPr>
              <w:spacing w:after="0" w:line="196" w:lineRule="exact"/>
              <w:rPr>
                <w:rFonts w:ascii="Calibri" w:cs="Calibri" w:eastAsia="Calibri" w:hAnsi="Calibri"/>
                <w:sz w:val="18"/>
                <w:szCs w:val="18"/>
                <w:color w:val="0000FF"/>
              </w:rPr>
            </w:pPr>
            <w:hyperlink r:id="rId295">
              <w:r>
                <w:rPr>
                  <w:rFonts w:ascii="Calibri" w:cs="Calibri" w:eastAsia="Calibri" w:hAnsi="Calibri"/>
                  <w:sz w:val="18"/>
                  <w:szCs w:val="18"/>
                  <w:color w:val="0000FF"/>
                </w:rPr>
                <w:t>Amended and Restated Non-Employee Director Compensaton Program</w:t>
              </w:r>
            </w:hyperlink>
          </w:p>
        </w:tc>
      </w:tr>
      <w:tr>
        <w:trPr>
          <w:trHeight w:val="466"/>
        </w:trPr>
        <w:tc>
          <w:tcPr>
            <w:tcW w:w="1020" w:type="dxa"/>
            <w:vAlign w:val="bottom"/>
          </w:tcPr>
          <w:p>
            <w:pPr>
              <w:spacing w:after="0"/>
              <w:rPr>
                <w:sz w:val="24"/>
                <w:szCs w:val="24"/>
                <w:color w:val="auto"/>
              </w:rPr>
            </w:pPr>
          </w:p>
        </w:tc>
        <w:tc>
          <w:tcPr>
            <w:tcW w:w="120" w:type="dxa"/>
            <w:vAlign w:val="bottom"/>
            <w:gridSpan w:val="2"/>
          </w:tcPr>
          <w:p>
            <w:pPr>
              <w:spacing w:after="0"/>
              <w:rPr>
                <w:sz w:val="24"/>
                <w:szCs w:val="24"/>
                <w:color w:val="auto"/>
              </w:rPr>
            </w:pPr>
          </w:p>
        </w:tc>
        <w:tc>
          <w:tcPr>
            <w:tcW w:w="4640" w:type="dxa"/>
            <w:vAlign w:val="bottom"/>
            <w:tcBorders>
              <w:top w:val="single" w:sz="8" w:color="0000FF"/>
            </w:tcBorders>
            <w:gridSpan w:val="20"/>
          </w:tcPr>
          <w:p>
            <w:pPr>
              <w:ind w:left="434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40"/>
              <w:spacing w:after="0"/>
              <w:rPr>
                <w:sz w:val="20"/>
                <w:szCs w:val="20"/>
                <w:color w:val="auto"/>
              </w:rPr>
            </w:pPr>
            <w:r>
              <w:rPr>
                <w:rFonts w:ascii="Calibri" w:cs="Calibri" w:eastAsia="Calibri" w:hAnsi="Calibri"/>
                <w:sz w:val="14"/>
                <w:szCs w:val="14"/>
                <w:b w:val="1"/>
                <w:bCs w:val="1"/>
                <w:color w:val="auto"/>
              </w:rPr>
              <w:t>Incorporated by Reference</w:t>
            </w:r>
          </w:p>
        </w:tc>
        <w:tc>
          <w:tcPr>
            <w:tcW w:w="8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56"/>
        </w:trPr>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line="156" w:lineRule="exact"/>
              <w:rPr>
                <w:sz w:val="20"/>
                <w:szCs w:val="20"/>
                <w:color w:val="auto"/>
              </w:rPr>
            </w:pPr>
            <w:r>
              <w:rPr>
                <w:rFonts w:ascii="Calibri" w:cs="Calibri" w:eastAsia="Calibri" w:hAnsi="Calibri"/>
                <w:sz w:val="14"/>
                <w:szCs w:val="14"/>
                <w:b w:val="1"/>
                <w:bCs w:val="1"/>
                <w:color w:val="auto"/>
              </w:rPr>
              <w:t>Filed</w:t>
            </w:r>
          </w:p>
        </w:tc>
      </w:tr>
      <w:tr>
        <w:trPr>
          <w:trHeight w:val="189"/>
        </w:trPr>
        <w:tc>
          <w:tcPr>
            <w:tcW w:w="860" w:type="dxa"/>
            <w:vAlign w:val="bottom"/>
          </w:tcPr>
          <w:p>
            <w:pPr>
              <w:jc w:val="center"/>
              <w:spacing w:after="0"/>
              <w:rPr>
                <w:sz w:val="20"/>
                <w:szCs w:val="20"/>
                <w:color w:val="auto"/>
              </w:rPr>
            </w:pPr>
            <w:r>
              <w:rPr>
                <w:rFonts w:ascii="Calibri" w:cs="Calibri" w:eastAsia="Calibri" w:hAnsi="Calibri"/>
                <w:sz w:val="14"/>
                <w:szCs w:val="14"/>
                <w:b w:val="1"/>
                <w:bCs w:val="1"/>
                <w:color w:val="auto"/>
                <w:w w:val="98"/>
              </w:rPr>
              <w:t>Form</w:t>
            </w:r>
          </w:p>
        </w:tc>
        <w:tc>
          <w:tcPr>
            <w:tcW w:w="100" w:type="dxa"/>
            <w:vAlign w:val="bottom"/>
          </w:tcPr>
          <w:p>
            <w:pPr>
              <w:spacing w:after="0"/>
              <w:rPr>
                <w:sz w:val="16"/>
                <w:szCs w:val="16"/>
                <w:color w:val="auto"/>
              </w:rPr>
            </w:pPr>
          </w:p>
        </w:tc>
        <w:tc>
          <w:tcPr>
            <w:tcW w:w="1580" w:type="dxa"/>
            <w:vAlign w:val="bottom"/>
            <w:gridSpan w:val="3"/>
          </w:tcPr>
          <w:p>
            <w:pPr>
              <w:ind w:left="460"/>
              <w:spacing w:after="0"/>
              <w:rPr>
                <w:sz w:val="20"/>
                <w:szCs w:val="20"/>
                <w:color w:val="auto"/>
              </w:rPr>
            </w:pPr>
            <w:r>
              <w:rPr>
                <w:rFonts w:ascii="Calibri" w:cs="Calibri" w:eastAsia="Calibri" w:hAnsi="Calibri"/>
                <w:sz w:val="14"/>
                <w:szCs w:val="14"/>
                <w:b w:val="1"/>
                <w:bCs w:val="1"/>
                <w:color w:val="auto"/>
              </w:rPr>
              <w:t>Date</w:t>
            </w:r>
          </w:p>
        </w:tc>
        <w:tc>
          <w:tcPr>
            <w:tcW w:w="860" w:type="dxa"/>
            <w:vAlign w:val="bottom"/>
          </w:tcPr>
          <w:p>
            <w:pPr>
              <w:ind w:left="40"/>
              <w:spacing w:after="0"/>
              <w:rPr>
                <w:sz w:val="20"/>
                <w:szCs w:val="20"/>
                <w:color w:val="auto"/>
              </w:rPr>
            </w:pPr>
            <w:r>
              <w:rPr>
                <w:rFonts w:ascii="Calibri" w:cs="Calibri" w:eastAsia="Calibri" w:hAnsi="Calibri"/>
                <w:sz w:val="14"/>
                <w:szCs w:val="14"/>
                <w:b w:val="1"/>
                <w:bCs w:val="1"/>
                <w:color w:val="auto"/>
              </w:rPr>
              <w:t>Number</w:t>
            </w:r>
          </w:p>
        </w:tc>
        <w:tc>
          <w:tcPr>
            <w:tcW w:w="2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Calibri" w:cs="Calibri" w:eastAsia="Calibri" w:hAnsi="Calibri"/>
                <w:sz w:val="14"/>
                <w:szCs w:val="14"/>
                <w:b w:val="1"/>
                <w:bCs w:val="1"/>
                <w:color w:val="auto"/>
              </w:rPr>
              <w:t>Herewith</w:t>
            </w:r>
          </w:p>
        </w:tc>
      </w:tr>
      <w:tr>
        <w:trPr>
          <w:trHeight w:val="194"/>
        </w:trPr>
        <w:tc>
          <w:tcPr>
            <w:tcW w:w="860" w:type="dxa"/>
            <w:vAlign w:val="bottom"/>
            <w:tcBorders>
              <w:top w:val="single" w:sz="8" w:color="auto"/>
            </w:tcBorders>
          </w:tcPr>
          <w:p>
            <w:pPr>
              <w:jc w:val="center"/>
              <w:spacing w:after="0" w:line="194" w:lineRule="exact"/>
              <w:rPr>
                <w:sz w:val="20"/>
                <w:szCs w:val="20"/>
                <w:color w:val="auto"/>
              </w:rPr>
            </w:pPr>
            <w:r>
              <w:rPr>
                <w:rFonts w:ascii="Calibri" w:cs="Calibri" w:eastAsia="Calibri" w:hAnsi="Calibri"/>
                <w:sz w:val="18"/>
                <w:szCs w:val="18"/>
                <w:color w:val="auto"/>
                <w:w w:val="91"/>
              </w:rPr>
              <w:t>8-K</w:t>
            </w:r>
          </w:p>
        </w:tc>
        <w:tc>
          <w:tcPr>
            <w:tcW w:w="100" w:type="dxa"/>
            <w:vAlign w:val="bottom"/>
          </w:tcPr>
          <w:p>
            <w:pPr>
              <w:spacing w:after="0"/>
              <w:rPr>
                <w:sz w:val="16"/>
                <w:szCs w:val="16"/>
                <w:color w:val="auto"/>
              </w:rPr>
            </w:pPr>
          </w:p>
        </w:tc>
        <w:tc>
          <w:tcPr>
            <w:tcW w:w="1180" w:type="dxa"/>
            <w:vAlign w:val="bottom"/>
            <w:tcBorders>
              <w:top w:val="single" w:sz="8" w:color="auto"/>
            </w:tcBorders>
          </w:tcPr>
          <w:p>
            <w:pPr>
              <w:jc w:val="center"/>
              <w:spacing w:after="0" w:line="194" w:lineRule="exact"/>
              <w:rPr>
                <w:sz w:val="20"/>
                <w:szCs w:val="20"/>
                <w:color w:val="auto"/>
              </w:rPr>
            </w:pPr>
            <w:r>
              <w:rPr>
                <w:rFonts w:ascii="Calibri" w:cs="Calibri" w:eastAsia="Calibri" w:hAnsi="Calibri"/>
                <w:sz w:val="18"/>
                <w:szCs w:val="18"/>
                <w:color w:val="auto"/>
                <w:w w:val="97"/>
              </w:rPr>
              <w:t>10-29-2019</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center"/>
              <w:ind w:right="191"/>
              <w:spacing w:after="0" w:line="194" w:lineRule="exact"/>
              <w:rPr>
                <w:sz w:val="20"/>
                <w:szCs w:val="20"/>
                <w:color w:val="auto"/>
              </w:rPr>
            </w:pPr>
            <w:r>
              <w:rPr>
                <w:rFonts w:ascii="Calibri" w:cs="Calibri" w:eastAsia="Calibri" w:hAnsi="Calibri"/>
                <w:sz w:val="18"/>
                <w:szCs w:val="18"/>
                <w:color w:val="auto"/>
                <w:w w:val="96"/>
              </w:rPr>
              <w:t>3.1</w:t>
            </w:r>
          </w:p>
        </w:tc>
        <w:tc>
          <w:tcPr>
            <w:tcW w:w="2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r>
      <w:tr>
        <w:trPr>
          <w:trHeight w:val="215"/>
        </w:trPr>
        <w:tc>
          <w:tcPr>
            <w:tcW w:w="860" w:type="dxa"/>
            <w:vAlign w:val="bottom"/>
          </w:tcPr>
          <w:p>
            <w:pPr>
              <w:jc w:val="center"/>
              <w:spacing w:after="0" w:line="215" w:lineRule="exact"/>
              <w:rPr>
                <w:sz w:val="20"/>
                <w:szCs w:val="20"/>
                <w:color w:val="auto"/>
              </w:rPr>
            </w:pPr>
            <w:r>
              <w:rPr>
                <w:rFonts w:ascii="Calibri" w:cs="Calibri" w:eastAsia="Calibri" w:hAnsi="Calibri"/>
                <w:sz w:val="18"/>
                <w:szCs w:val="18"/>
                <w:color w:val="231F20"/>
                <w:w w:val="91"/>
              </w:rPr>
              <w:t>8-K</w:t>
            </w:r>
          </w:p>
        </w:tc>
        <w:tc>
          <w:tcPr>
            <w:tcW w:w="1280" w:type="dxa"/>
            <w:vAlign w:val="bottom"/>
            <w:gridSpan w:val="2"/>
          </w:tcPr>
          <w:p>
            <w:pPr>
              <w:jc w:val="center"/>
              <w:ind w:left="11"/>
              <w:spacing w:after="0" w:line="215" w:lineRule="exact"/>
              <w:rPr>
                <w:sz w:val="20"/>
                <w:szCs w:val="20"/>
                <w:color w:val="auto"/>
              </w:rPr>
            </w:pPr>
            <w:r>
              <w:rPr>
                <w:rFonts w:ascii="Calibri" w:cs="Calibri" w:eastAsia="Calibri" w:hAnsi="Calibri"/>
                <w:sz w:val="18"/>
                <w:szCs w:val="18"/>
                <w:color w:val="auto"/>
                <w:w w:val="98"/>
              </w:rPr>
              <w:t>5-30-2023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5" w:lineRule="exact"/>
              <w:rPr>
                <w:sz w:val="20"/>
                <w:szCs w:val="20"/>
                <w:color w:val="auto"/>
              </w:rPr>
            </w:pPr>
            <w:r>
              <w:rPr>
                <w:rFonts w:ascii="Calibri" w:cs="Calibri" w:eastAsia="Calibri" w:hAnsi="Calibri"/>
                <w:sz w:val="18"/>
                <w:szCs w:val="18"/>
                <w:color w:val="auto"/>
                <w:w w:val="96"/>
              </w:rPr>
              <w:t>3.1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648"/>
        </w:trPr>
        <w:tc>
          <w:tcPr>
            <w:tcW w:w="860" w:type="dxa"/>
            <w:vAlign w:val="bottom"/>
          </w:tcPr>
          <w:p>
            <w:pPr>
              <w:jc w:val="center"/>
              <w:spacing w:after="0"/>
              <w:rPr>
                <w:sz w:val="20"/>
                <w:szCs w:val="20"/>
                <w:color w:val="auto"/>
              </w:rPr>
            </w:pPr>
            <w:r>
              <w:rPr>
                <w:rFonts w:ascii="Calibri" w:cs="Calibri" w:eastAsia="Calibri" w:hAnsi="Calibri"/>
                <w:sz w:val="18"/>
                <w:szCs w:val="18"/>
                <w:color w:val="auto"/>
                <w:w w:val="91"/>
              </w:rPr>
              <w:t>8-K</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7"/>
              </w:rPr>
              <w:t>12-15-2023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6"/>
              </w:rPr>
              <w:t>3.1</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60" w:type="dxa"/>
            <w:vAlign w:val="bottom"/>
          </w:tcPr>
          <w:p>
            <w:pPr>
              <w:jc w:val="center"/>
              <w:spacing w:after="0" w:line="216" w:lineRule="exact"/>
              <w:rPr>
                <w:sz w:val="20"/>
                <w:szCs w:val="20"/>
                <w:color w:val="auto"/>
              </w:rPr>
            </w:pPr>
            <w:r>
              <w:rPr>
                <w:rFonts w:ascii="Calibri" w:cs="Calibri" w:eastAsia="Calibri" w:hAnsi="Calibri"/>
                <w:sz w:val="18"/>
                <w:szCs w:val="18"/>
                <w:color w:val="auto"/>
                <w:w w:val="94"/>
              </w:rPr>
              <w:t>S-1/A</w:t>
            </w:r>
          </w:p>
        </w:tc>
        <w:tc>
          <w:tcPr>
            <w:tcW w:w="1280" w:type="dxa"/>
            <w:vAlign w:val="bottom"/>
            <w:gridSpan w:val="2"/>
          </w:tcPr>
          <w:p>
            <w:pPr>
              <w:jc w:val="center"/>
              <w:ind w:left="11"/>
              <w:spacing w:after="0" w:line="216" w:lineRule="exact"/>
              <w:rPr>
                <w:sz w:val="20"/>
                <w:szCs w:val="20"/>
                <w:color w:val="auto"/>
              </w:rPr>
            </w:pPr>
            <w:r>
              <w:rPr>
                <w:rFonts w:ascii="Calibri" w:cs="Calibri" w:eastAsia="Calibri" w:hAnsi="Calibri"/>
                <w:sz w:val="18"/>
                <w:szCs w:val="18"/>
                <w:color w:val="auto"/>
                <w:w w:val="97"/>
              </w:rPr>
              <w:t>10-15-2019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6" w:lineRule="exact"/>
              <w:rPr>
                <w:sz w:val="20"/>
                <w:szCs w:val="20"/>
                <w:color w:val="auto"/>
              </w:rPr>
            </w:pPr>
            <w:r>
              <w:rPr>
                <w:rFonts w:ascii="Calibri" w:cs="Calibri" w:eastAsia="Calibri" w:hAnsi="Calibri"/>
                <w:sz w:val="18"/>
                <w:szCs w:val="18"/>
                <w:color w:val="auto"/>
                <w:w w:val="96"/>
              </w:rPr>
              <w:t>4.1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60" w:type="dxa"/>
            <w:vAlign w:val="bottom"/>
          </w:tcPr>
          <w:p>
            <w:pPr>
              <w:jc w:val="center"/>
              <w:spacing w:after="0" w:line="216" w:lineRule="exact"/>
              <w:rPr>
                <w:sz w:val="20"/>
                <w:szCs w:val="20"/>
                <w:color w:val="auto"/>
              </w:rPr>
            </w:pPr>
            <w:r>
              <w:rPr>
                <w:rFonts w:ascii="Calibri" w:cs="Calibri" w:eastAsia="Calibri" w:hAnsi="Calibri"/>
                <w:sz w:val="18"/>
                <w:szCs w:val="18"/>
                <w:color w:val="auto"/>
                <w:w w:val="95"/>
              </w:rPr>
              <w:t>S-1</w:t>
            </w:r>
          </w:p>
        </w:tc>
        <w:tc>
          <w:tcPr>
            <w:tcW w:w="1280" w:type="dxa"/>
            <w:vAlign w:val="bottom"/>
            <w:gridSpan w:val="2"/>
          </w:tcPr>
          <w:p>
            <w:pPr>
              <w:jc w:val="center"/>
              <w:ind w:left="11"/>
              <w:spacing w:after="0" w:line="216" w:lineRule="exact"/>
              <w:rPr>
                <w:sz w:val="20"/>
                <w:szCs w:val="20"/>
                <w:color w:val="auto"/>
              </w:rPr>
            </w:pPr>
            <w:r>
              <w:rPr>
                <w:rFonts w:ascii="Calibri" w:cs="Calibri" w:eastAsia="Calibri" w:hAnsi="Calibri"/>
                <w:sz w:val="18"/>
                <w:szCs w:val="18"/>
                <w:color w:val="auto"/>
                <w:w w:val="98"/>
              </w:rPr>
              <w:t>9-30-2019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6" w:lineRule="exact"/>
              <w:rPr>
                <w:sz w:val="20"/>
                <w:szCs w:val="20"/>
                <w:color w:val="auto"/>
              </w:rPr>
            </w:pPr>
            <w:r>
              <w:rPr>
                <w:rFonts w:ascii="Calibri" w:cs="Calibri" w:eastAsia="Calibri" w:hAnsi="Calibri"/>
                <w:sz w:val="18"/>
                <w:szCs w:val="18"/>
                <w:color w:val="auto"/>
                <w:w w:val="96"/>
              </w:rPr>
              <w:t>4.3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2"/>
        </w:trPr>
        <w:tc>
          <w:tcPr>
            <w:tcW w:w="860" w:type="dxa"/>
            <w:vAlign w:val="bottom"/>
          </w:tcPr>
          <w:p>
            <w:pPr>
              <w:jc w:val="center"/>
              <w:spacing w:after="0"/>
              <w:rPr>
                <w:sz w:val="20"/>
                <w:szCs w:val="20"/>
                <w:color w:val="auto"/>
              </w:rPr>
            </w:pPr>
            <w:r>
              <w:rPr>
                <w:rFonts w:ascii="Calibri" w:cs="Calibri" w:eastAsia="Calibri" w:hAnsi="Calibri"/>
                <w:sz w:val="18"/>
                <w:szCs w:val="18"/>
                <w:color w:val="auto"/>
                <w:w w:val="95"/>
              </w:rPr>
              <w:t>S-1</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8"/>
              </w:rPr>
              <w:t>9-30-2019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6"/>
              </w:rPr>
              <w:t>4.4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860" w:type="dxa"/>
            <w:vAlign w:val="bottom"/>
          </w:tcPr>
          <w:p>
            <w:pPr>
              <w:jc w:val="center"/>
              <w:spacing w:after="0"/>
              <w:rPr>
                <w:sz w:val="20"/>
                <w:szCs w:val="20"/>
                <w:color w:val="auto"/>
              </w:rPr>
            </w:pPr>
            <w:r>
              <w:rPr>
                <w:rFonts w:ascii="Calibri" w:cs="Calibri" w:eastAsia="Calibri" w:hAnsi="Calibri"/>
                <w:sz w:val="18"/>
                <w:szCs w:val="18"/>
                <w:color w:val="auto"/>
                <w:w w:val="94"/>
              </w:rPr>
              <w:t>S-1/A</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7"/>
              </w:rPr>
              <w:t>10-15-2019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6"/>
              </w:rPr>
              <w:t>4.5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860" w:type="dxa"/>
            <w:vAlign w:val="bottom"/>
          </w:tcPr>
          <w:p>
            <w:pPr>
              <w:jc w:val="center"/>
              <w:spacing w:after="0"/>
              <w:rPr>
                <w:sz w:val="20"/>
                <w:szCs w:val="20"/>
                <w:color w:val="auto"/>
              </w:rPr>
            </w:pPr>
            <w:r>
              <w:rPr>
                <w:rFonts w:ascii="Calibri" w:cs="Calibri" w:eastAsia="Calibri" w:hAnsi="Calibri"/>
                <w:sz w:val="18"/>
                <w:szCs w:val="18"/>
                <w:color w:val="auto"/>
                <w:w w:val="94"/>
              </w:rPr>
              <w:t>10-Q</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8"/>
              </w:rPr>
              <w:t>11-8-2021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3"/>
              </w:rPr>
              <w:t>10.2</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860" w:type="dxa"/>
            <w:vAlign w:val="bottom"/>
          </w:tcPr>
          <w:p>
            <w:pPr>
              <w:jc w:val="center"/>
              <w:spacing w:after="0"/>
              <w:rPr>
                <w:sz w:val="20"/>
                <w:szCs w:val="20"/>
                <w:color w:val="auto"/>
              </w:rPr>
            </w:pPr>
            <w:r>
              <w:rPr>
                <w:rFonts w:ascii="Calibri" w:cs="Calibri" w:eastAsia="Calibri" w:hAnsi="Calibri"/>
                <w:sz w:val="18"/>
                <w:szCs w:val="18"/>
                <w:color w:val="auto"/>
                <w:w w:val="94"/>
              </w:rPr>
              <w:t>10-Q</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8"/>
              </w:rPr>
              <w:t>5-10-2023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6"/>
              </w:rPr>
              <w:t>4.6</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648"/>
        </w:trPr>
        <w:tc>
          <w:tcPr>
            <w:tcW w:w="860" w:type="dxa"/>
            <w:vAlign w:val="bottom"/>
          </w:tcPr>
          <w:p>
            <w:pPr>
              <w:jc w:val="center"/>
              <w:spacing w:after="0"/>
              <w:rPr>
                <w:sz w:val="20"/>
                <w:szCs w:val="20"/>
                <w:color w:val="auto"/>
              </w:rPr>
            </w:pPr>
            <w:r>
              <w:rPr>
                <w:rFonts w:ascii="Calibri" w:cs="Calibri" w:eastAsia="Calibri" w:hAnsi="Calibri"/>
                <w:sz w:val="18"/>
                <w:szCs w:val="18"/>
                <w:color w:val="auto"/>
                <w:w w:val="94"/>
              </w:rPr>
              <w:t>10-Q</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8"/>
              </w:rPr>
              <w:t>5-10-2023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6"/>
              </w:rPr>
              <w:t>4.5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ind w:left="440"/>
              <w:spacing w:after="0"/>
              <w:rPr>
                <w:sz w:val="20"/>
                <w:szCs w:val="20"/>
                <w:color w:val="auto"/>
              </w:rPr>
            </w:pPr>
            <w:r>
              <w:rPr>
                <w:rFonts w:ascii="Calibri" w:cs="Calibri" w:eastAsia="Calibri" w:hAnsi="Calibri"/>
                <w:sz w:val="18"/>
                <w:szCs w:val="18"/>
                <w:color w:val="auto"/>
              </w:rPr>
              <w:t>X</w:t>
            </w:r>
          </w:p>
        </w:tc>
      </w:tr>
      <w:tr>
        <w:trPr>
          <w:trHeight w:val="216"/>
        </w:trPr>
        <w:tc>
          <w:tcPr>
            <w:tcW w:w="860" w:type="dxa"/>
            <w:vAlign w:val="bottom"/>
          </w:tcPr>
          <w:p>
            <w:pPr>
              <w:jc w:val="center"/>
              <w:spacing w:after="0" w:line="216" w:lineRule="exact"/>
              <w:rPr>
                <w:sz w:val="20"/>
                <w:szCs w:val="20"/>
                <w:color w:val="auto"/>
              </w:rPr>
            </w:pPr>
            <w:r>
              <w:rPr>
                <w:rFonts w:ascii="Calibri" w:cs="Calibri" w:eastAsia="Calibri" w:hAnsi="Calibri"/>
                <w:sz w:val="18"/>
                <w:szCs w:val="18"/>
                <w:color w:val="auto"/>
                <w:w w:val="91"/>
              </w:rPr>
              <w:t>8-K</w:t>
            </w:r>
          </w:p>
        </w:tc>
        <w:tc>
          <w:tcPr>
            <w:tcW w:w="1280" w:type="dxa"/>
            <w:vAlign w:val="bottom"/>
            <w:gridSpan w:val="2"/>
          </w:tcPr>
          <w:p>
            <w:pPr>
              <w:jc w:val="center"/>
              <w:ind w:left="11"/>
              <w:spacing w:after="0" w:line="216" w:lineRule="exact"/>
              <w:rPr>
                <w:sz w:val="20"/>
                <w:szCs w:val="20"/>
                <w:color w:val="auto"/>
              </w:rPr>
            </w:pPr>
            <w:r>
              <w:rPr>
                <w:rFonts w:ascii="Calibri" w:cs="Calibri" w:eastAsia="Calibri" w:hAnsi="Calibri"/>
                <w:sz w:val="18"/>
                <w:szCs w:val="18"/>
                <w:color w:val="auto"/>
                <w:w w:val="98"/>
              </w:rPr>
              <w:t>8-19-2024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6" w:lineRule="exact"/>
              <w:rPr>
                <w:sz w:val="20"/>
                <w:szCs w:val="20"/>
                <w:color w:val="auto"/>
              </w:rPr>
            </w:pPr>
            <w:r>
              <w:rPr>
                <w:rFonts w:ascii="Calibri" w:cs="Calibri" w:eastAsia="Calibri" w:hAnsi="Calibri"/>
                <w:sz w:val="18"/>
                <w:szCs w:val="18"/>
                <w:color w:val="auto"/>
                <w:w w:val="96"/>
              </w:rPr>
              <w:t>4.1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60" w:type="dxa"/>
            <w:vAlign w:val="bottom"/>
          </w:tcPr>
          <w:p>
            <w:pPr>
              <w:jc w:val="center"/>
              <w:spacing w:after="0" w:line="216" w:lineRule="exact"/>
              <w:rPr>
                <w:sz w:val="20"/>
                <w:szCs w:val="20"/>
                <w:color w:val="auto"/>
              </w:rPr>
            </w:pPr>
            <w:r>
              <w:rPr>
                <w:rFonts w:ascii="Calibri" w:cs="Calibri" w:eastAsia="Calibri" w:hAnsi="Calibri"/>
                <w:sz w:val="18"/>
                <w:szCs w:val="18"/>
                <w:color w:val="auto"/>
                <w:w w:val="95"/>
              </w:rPr>
              <w:t>S-1</w:t>
            </w:r>
          </w:p>
        </w:tc>
        <w:tc>
          <w:tcPr>
            <w:tcW w:w="1280" w:type="dxa"/>
            <w:vAlign w:val="bottom"/>
            <w:gridSpan w:val="2"/>
          </w:tcPr>
          <w:p>
            <w:pPr>
              <w:jc w:val="center"/>
              <w:ind w:left="11"/>
              <w:spacing w:after="0" w:line="216" w:lineRule="exact"/>
              <w:rPr>
                <w:sz w:val="20"/>
                <w:szCs w:val="20"/>
                <w:color w:val="auto"/>
              </w:rPr>
            </w:pPr>
            <w:r>
              <w:rPr>
                <w:rFonts w:ascii="Calibri" w:cs="Calibri" w:eastAsia="Calibri" w:hAnsi="Calibri"/>
                <w:sz w:val="18"/>
                <w:szCs w:val="18"/>
                <w:color w:val="auto"/>
                <w:w w:val="98"/>
              </w:rPr>
              <w:t>9-30-2019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6" w:lineRule="exact"/>
              <w:rPr>
                <w:sz w:val="20"/>
                <w:szCs w:val="20"/>
                <w:color w:val="auto"/>
              </w:rPr>
            </w:pPr>
            <w:r>
              <w:rPr>
                <w:rFonts w:ascii="Calibri" w:cs="Calibri" w:eastAsia="Calibri" w:hAnsi="Calibri"/>
                <w:sz w:val="18"/>
                <w:szCs w:val="18"/>
                <w:color w:val="auto"/>
                <w:w w:val="93"/>
              </w:rPr>
              <w:t>10.1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860" w:type="dxa"/>
            <w:vAlign w:val="bottom"/>
          </w:tcPr>
          <w:p>
            <w:pPr>
              <w:jc w:val="center"/>
              <w:spacing w:after="0" w:line="216" w:lineRule="exact"/>
              <w:rPr>
                <w:sz w:val="20"/>
                <w:szCs w:val="20"/>
                <w:color w:val="auto"/>
              </w:rPr>
            </w:pPr>
            <w:r>
              <w:rPr>
                <w:rFonts w:ascii="Calibri" w:cs="Calibri" w:eastAsia="Calibri" w:hAnsi="Calibri"/>
                <w:sz w:val="18"/>
                <w:szCs w:val="18"/>
                <w:color w:val="auto"/>
                <w:w w:val="95"/>
              </w:rPr>
              <w:t>S-1</w:t>
            </w:r>
          </w:p>
        </w:tc>
        <w:tc>
          <w:tcPr>
            <w:tcW w:w="1280" w:type="dxa"/>
            <w:vAlign w:val="bottom"/>
            <w:gridSpan w:val="2"/>
          </w:tcPr>
          <w:p>
            <w:pPr>
              <w:jc w:val="center"/>
              <w:ind w:left="11"/>
              <w:spacing w:after="0" w:line="216" w:lineRule="exact"/>
              <w:rPr>
                <w:sz w:val="20"/>
                <w:szCs w:val="20"/>
                <w:color w:val="auto"/>
              </w:rPr>
            </w:pPr>
            <w:r>
              <w:rPr>
                <w:rFonts w:ascii="Calibri" w:cs="Calibri" w:eastAsia="Calibri" w:hAnsi="Calibri"/>
                <w:sz w:val="18"/>
                <w:szCs w:val="18"/>
                <w:color w:val="auto"/>
                <w:w w:val="98"/>
              </w:rPr>
              <w:t>9-30-2019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6" w:lineRule="exact"/>
              <w:rPr>
                <w:sz w:val="20"/>
                <w:szCs w:val="20"/>
                <w:color w:val="auto"/>
              </w:rPr>
            </w:pPr>
            <w:r>
              <w:rPr>
                <w:rFonts w:ascii="Calibri" w:cs="Calibri" w:eastAsia="Calibri" w:hAnsi="Calibri"/>
                <w:sz w:val="18"/>
                <w:szCs w:val="18"/>
                <w:color w:val="auto"/>
                <w:w w:val="93"/>
              </w:rPr>
              <w:t>10.2</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2"/>
        </w:trPr>
        <w:tc>
          <w:tcPr>
            <w:tcW w:w="860" w:type="dxa"/>
            <w:vAlign w:val="bottom"/>
          </w:tcPr>
          <w:p>
            <w:pPr>
              <w:jc w:val="center"/>
              <w:spacing w:after="0"/>
              <w:rPr>
                <w:sz w:val="20"/>
                <w:szCs w:val="20"/>
                <w:color w:val="auto"/>
              </w:rPr>
            </w:pPr>
            <w:r>
              <w:rPr>
                <w:rFonts w:ascii="Calibri" w:cs="Calibri" w:eastAsia="Calibri" w:hAnsi="Calibri"/>
                <w:sz w:val="18"/>
                <w:szCs w:val="18"/>
                <w:color w:val="auto"/>
                <w:w w:val="95"/>
              </w:rPr>
              <w:t>S-1</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8"/>
              </w:rPr>
              <w:t>9-30-2019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3"/>
              </w:rPr>
              <w:t>10.3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32"/>
        </w:trPr>
        <w:tc>
          <w:tcPr>
            <w:tcW w:w="860" w:type="dxa"/>
            <w:vAlign w:val="bottom"/>
          </w:tcPr>
          <w:p>
            <w:pPr>
              <w:jc w:val="center"/>
              <w:spacing w:after="0"/>
              <w:rPr>
                <w:sz w:val="20"/>
                <w:szCs w:val="20"/>
                <w:color w:val="auto"/>
              </w:rPr>
            </w:pPr>
            <w:r>
              <w:rPr>
                <w:rFonts w:ascii="Calibri" w:cs="Calibri" w:eastAsia="Calibri" w:hAnsi="Calibri"/>
                <w:sz w:val="18"/>
                <w:szCs w:val="18"/>
                <w:color w:val="auto"/>
                <w:w w:val="94"/>
              </w:rPr>
              <w:t>S-1/A</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7"/>
              </w:rPr>
              <w:t>10-15-2019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3"/>
              </w:rPr>
              <w:t>10.4</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60" w:type="dxa"/>
            <w:vAlign w:val="bottom"/>
          </w:tcPr>
          <w:p>
            <w:pPr>
              <w:jc w:val="center"/>
              <w:spacing w:after="0" w:line="216" w:lineRule="exact"/>
              <w:rPr>
                <w:sz w:val="20"/>
                <w:szCs w:val="20"/>
                <w:color w:val="auto"/>
              </w:rPr>
            </w:pPr>
            <w:r>
              <w:rPr>
                <w:rFonts w:ascii="Calibri" w:cs="Calibri" w:eastAsia="Calibri" w:hAnsi="Calibri"/>
                <w:sz w:val="18"/>
                <w:szCs w:val="18"/>
                <w:color w:val="auto"/>
                <w:w w:val="94"/>
              </w:rPr>
              <w:t>10-Q</w:t>
            </w:r>
          </w:p>
        </w:tc>
        <w:tc>
          <w:tcPr>
            <w:tcW w:w="1280" w:type="dxa"/>
            <w:vAlign w:val="bottom"/>
            <w:gridSpan w:val="2"/>
          </w:tcPr>
          <w:p>
            <w:pPr>
              <w:jc w:val="center"/>
              <w:ind w:left="31"/>
              <w:spacing w:after="0" w:line="216" w:lineRule="exact"/>
              <w:rPr>
                <w:sz w:val="20"/>
                <w:szCs w:val="20"/>
                <w:color w:val="auto"/>
              </w:rPr>
            </w:pPr>
            <w:r>
              <w:rPr>
                <w:rFonts w:ascii="Calibri" w:cs="Calibri" w:eastAsia="Calibri" w:hAnsi="Calibri"/>
                <w:sz w:val="18"/>
                <w:szCs w:val="18"/>
                <w:color w:val="auto"/>
                <w:w w:val="97"/>
              </w:rPr>
              <w:t>8-6-2020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6" w:lineRule="exact"/>
              <w:rPr>
                <w:sz w:val="20"/>
                <w:szCs w:val="20"/>
                <w:color w:val="auto"/>
              </w:rPr>
            </w:pPr>
            <w:r>
              <w:rPr>
                <w:rFonts w:ascii="Calibri" w:cs="Calibri" w:eastAsia="Calibri" w:hAnsi="Calibri"/>
                <w:sz w:val="18"/>
                <w:szCs w:val="18"/>
                <w:color w:val="auto"/>
                <w:w w:val="93"/>
              </w:rPr>
              <w:t>10.3</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432"/>
        </w:trPr>
        <w:tc>
          <w:tcPr>
            <w:tcW w:w="860" w:type="dxa"/>
            <w:vAlign w:val="bottom"/>
          </w:tcPr>
          <w:p>
            <w:pPr>
              <w:jc w:val="center"/>
              <w:spacing w:after="0"/>
              <w:rPr>
                <w:sz w:val="20"/>
                <w:szCs w:val="20"/>
                <w:color w:val="auto"/>
              </w:rPr>
            </w:pPr>
            <w:r>
              <w:rPr>
                <w:rFonts w:ascii="Calibri" w:cs="Calibri" w:eastAsia="Calibri" w:hAnsi="Calibri"/>
                <w:sz w:val="18"/>
                <w:szCs w:val="18"/>
                <w:color w:val="auto"/>
                <w:w w:val="94"/>
              </w:rPr>
              <w:t>S-1/A</w:t>
            </w:r>
          </w:p>
        </w:tc>
        <w:tc>
          <w:tcPr>
            <w:tcW w:w="1280" w:type="dxa"/>
            <w:vAlign w:val="bottom"/>
            <w:gridSpan w:val="2"/>
          </w:tcPr>
          <w:p>
            <w:pPr>
              <w:jc w:val="center"/>
              <w:ind w:left="11"/>
              <w:spacing w:after="0"/>
              <w:rPr>
                <w:sz w:val="20"/>
                <w:szCs w:val="20"/>
                <w:color w:val="auto"/>
              </w:rPr>
            </w:pPr>
            <w:r>
              <w:rPr>
                <w:rFonts w:ascii="Calibri" w:cs="Calibri" w:eastAsia="Calibri" w:hAnsi="Calibri"/>
                <w:sz w:val="18"/>
                <w:szCs w:val="18"/>
                <w:color w:val="auto"/>
                <w:w w:val="97"/>
              </w:rPr>
              <w:t>10-15-2019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center"/>
              <w:ind w:right="191"/>
              <w:spacing w:after="0"/>
              <w:rPr>
                <w:sz w:val="20"/>
                <w:szCs w:val="20"/>
                <w:color w:val="auto"/>
              </w:rPr>
            </w:pPr>
            <w:r>
              <w:rPr>
                <w:rFonts w:ascii="Calibri" w:cs="Calibri" w:eastAsia="Calibri" w:hAnsi="Calibri"/>
                <w:sz w:val="18"/>
                <w:szCs w:val="18"/>
                <w:color w:val="auto"/>
                <w:w w:val="93"/>
              </w:rPr>
              <w:t>10.5</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860" w:type="dxa"/>
            <w:vAlign w:val="bottom"/>
          </w:tcPr>
          <w:p>
            <w:pPr>
              <w:jc w:val="center"/>
              <w:spacing w:after="0" w:line="216" w:lineRule="exact"/>
              <w:rPr>
                <w:sz w:val="20"/>
                <w:szCs w:val="20"/>
                <w:color w:val="auto"/>
              </w:rPr>
            </w:pPr>
            <w:r>
              <w:rPr>
                <w:rFonts w:ascii="Calibri" w:cs="Calibri" w:eastAsia="Calibri" w:hAnsi="Calibri"/>
                <w:sz w:val="18"/>
                <w:szCs w:val="18"/>
                <w:color w:val="auto"/>
                <w:w w:val="94"/>
              </w:rPr>
              <w:t>10-Q</w:t>
            </w:r>
          </w:p>
        </w:tc>
        <w:tc>
          <w:tcPr>
            <w:tcW w:w="1280" w:type="dxa"/>
            <w:vAlign w:val="bottom"/>
            <w:gridSpan w:val="2"/>
          </w:tcPr>
          <w:p>
            <w:pPr>
              <w:jc w:val="center"/>
              <w:ind w:left="31"/>
              <w:spacing w:after="0" w:line="216" w:lineRule="exact"/>
              <w:rPr>
                <w:sz w:val="20"/>
                <w:szCs w:val="20"/>
                <w:color w:val="auto"/>
              </w:rPr>
            </w:pPr>
            <w:r>
              <w:rPr>
                <w:rFonts w:ascii="Calibri" w:cs="Calibri" w:eastAsia="Calibri" w:hAnsi="Calibri"/>
                <w:sz w:val="18"/>
                <w:szCs w:val="18"/>
                <w:color w:val="auto"/>
                <w:w w:val="97"/>
              </w:rPr>
              <w:t>8-8-2024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center"/>
              <w:ind w:right="191"/>
              <w:spacing w:after="0" w:line="216" w:lineRule="exact"/>
              <w:rPr>
                <w:sz w:val="20"/>
                <w:szCs w:val="20"/>
                <w:color w:val="auto"/>
              </w:rPr>
            </w:pPr>
            <w:r>
              <w:rPr>
                <w:rFonts w:ascii="Calibri" w:cs="Calibri" w:eastAsia="Calibri" w:hAnsi="Calibri"/>
                <w:sz w:val="18"/>
                <w:szCs w:val="18"/>
                <w:color w:val="auto"/>
                <w:w w:val="93"/>
              </w:rPr>
              <w:t>10.1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ectPr>
          <w:pgSz w:w="11900" w:h="16838" w:orient="portrait"/>
          <w:cols w:equalWidth="0" w:num="2">
            <w:col w:w="6480" w:space="100"/>
            <w:col w:w="4660"/>
          </w:cols>
          <w:pgMar w:left="320" w:top="976" w:right="339" w:bottom="1440" w:gutter="0" w:footer="0" w:header="0"/>
        </w:sectPr>
      </w:pPr>
    </w:p>
    <w:bookmarkStart w:id="147" w:name="page148"/>
    <w:bookmarkEnd w:id="147"/>
    <w:p>
      <w:pPr>
        <w:ind w:left="40"/>
        <w:spacing w:after="0"/>
        <w:tabs>
          <w:tab w:leader="none" w:pos="84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10.8#</w:t>
      </w:r>
      <w:r>
        <w:rPr>
          <w:sz w:val="20"/>
          <w:szCs w:val="20"/>
          <w:color w:val="auto"/>
        </w:rPr>
        <w:tab/>
      </w:r>
      <w:hyperlink r:id="rId297">
        <w:r>
          <w:rPr>
            <w:rFonts w:ascii="Calibri" w:cs="Calibri" w:eastAsia="Calibri" w:hAnsi="Calibri"/>
            <w:sz w:val="17"/>
            <w:szCs w:val="17"/>
            <w:u w:val="single" w:color="auto"/>
            <w:color w:val="0000FF"/>
          </w:rPr>
          <w:t>Amended and Restated Employment Leter Agreement, dated September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-19050</wp:posOffset>
            </wp:positionV>
            <wp:extent cx="33559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8">
                      <a:extLst>
                        <a:ext uri="{28A0092B-C50C-407E-A947-70E740481C1C}"/>
                      </a:extLst>
                    </a:blip>
                    <a:srcRect/>
                    <a:stretch>
                      <a:fillRect/>
                    </a:stretch>
                  </pic:blipFill>
                  <pic:spPr bwMode="auto">
                    <a:xfrm>
                      <a:off x="0" y="0"/>
                      <a:ext cx="3355975" cy="8255"/>
                    </a:xfrm>
                    <a:prstGeom prst="rect">
                      <a:avLst/>
                    </a:prstGeom>
                    <a:noFill/>
                  </pic:spPr>
                </pic:pic>
              </a:graphicData>
            </a:graphic>
          </wp:anchor>
        </w:drawing>
      </w:r>
    </w:p>
    <w:p>
      <w:pPr>
        <w:ind w:left="860"/>
        <w:spacing w:after="0" w:line="235" w:lineRule="auto"/>
        <w:rPr>
          <w:rFonts w:ascii="Calibri" w:cs="Calibri" w:eastAsia="Calibri" w:hAnsi="Calibri"/>
          <w:sz w:val="18"/>
          <w:szCs w:val="18"/>
          <w:u w:val="single" w:color="auto"/>
          <w:color w:val="0000FF"/>
        </w:rPr>
      </w:pPr>
      <w:hyperlink r:id="rId297">
        <w:r>
          <w:rPr>
            <w:rFonts w:ascii="Calibri" w:cs="Calibri" w:eastAsia="Calibri" w:hAnsi="Calibri"/>
            <w:sz w:val="18"/>
            <w:szCs w:val="18"/>
            <w:u w:val="single" w:color="auto"/>
            <w:color w:val="0000FF"/>
          </w:rPr>
          <w:t>25, 2019, by and between Azmi Nabulsi, M.D., M.P.H.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327914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9">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ind w:left="40"/>
        <w:spacing w:after="0" w:line="236"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10.9#</w:t>
      </w:r>
      <w:r>
        <w:rPr>
          <w:sz w:val="20"/>
          <w:szCs w:val="20"/>
          <w:color w:val="auto"/>
        </w:rPr>
        <w:tab/>
      </w:r>
      <w:hyperlink r:id="rId300">
        <w:r>
          <w:rPr>
            <w:rFonts w:ascii="Calibri" w:cs="Calibri" w:eastAsia="Calibri" w:hAnsi="Calibri"/>
            <w:sz w:val="18"/>
            <w:szCs w:val="18"/>
            <w:u w:val="single" w:color="auto"/>
            <w:color w:val="0000FF"/>
          </w:rPr>
          <w:t>Form of Indemnifcaton Agreement for Directors and Ofcers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279146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1">
                      <a:extLst>
                        <a:ext uri="{28A0092B-C50C-407E-A947-70E740481C1C}"/>
                      </a:extLst>
                    </a:blip>
                    <a:srcRect/>
                    <a:stretch>
                      <a:fillRect/>
                    </a:stretch>
                  </pic:blipFill>
                  <pic:spPr bwMode="auto">
                    <a:xfrm>
                      <a:off x="0" y="0"/>
                      <a:ext cx="2791460" cy="8255"/>
                    </a:xfrm>
                    <a:prstGeom prst="rect">
                      <a:avLst/>
                    </a:prstGeom>
                    <a:noFill/>
                  </pic:spPr>
                </pic:pic>
              </a:graphicData>
            </a:graphic>
          </wp:anchor>
        </w:drawing>
      </w:r>
    </w:p>
    <w:p>
      <w:pPr>
        <w:spacing w:after="0" w:line="36" w:lineRule="exact"/>
        <w:rPr>
          <w:sz w:val="20"/>
          <w:szCs w:val="20"/>
          <w:color w:val="auto"/>
        </w:rPr>
      </w:pPr>
    </w:p>
    <w:p>
      <w:pPr>
        <w:ind w:left="860" w:right="760" w:hanging="894"/>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10.10†</w:t>
      </w:r>
      <w:r>
        <w:rPr>
          <w:sz w:val="20"/>
          <w:szCs w:val="20"/>
          <w:color w:val="auto"/>
        </w:rPr>
        <w:tab/>
      </w:r>
      <w:hyperlink r:id="rId302">
        <w:r>
          <w:rPr>
            <w:rFonts w:ascii="Calibri" w:cs="Calibri" w:eastAsia="Calibri" w:hAnsi="Calibri"/>
            <w:sz w:val="18"/>
            <w:szCs w:val="18"/>
            <w:u w:val="single" w:color="auto"/>
            <w:color w:val="0000FF"/>
          </w:rPr>
          <w:t>License Agreement, dated May 7, 2019, by and between Takeda</w:t>
        </w:r>
      </w:hyperlink>
      <w:r>
        <w:rPr>
          <w:rFonts w:ascii="Calibri" w:cs="Calibri" w:eastAsia="Calibri" w:hAnsi="Calibri"/>
          <w:sz w:val="18"/>
          <w:szCs w:val="18"/>
          <w:u w:val="single" w:color="auto"/>
          <w:color w:val="0000FF"/>
        </w:rPr>
        <w:t xml:space="preserve"> </w:t>
      </w:r>
      <w:hyperlink r:id="rId302">
        <w:r>
          <w:rPr>
            <w:rFonts w:ascii="Calibri" w:cs="Calibri" w:eastAsia="Calibri" w:hAnsi="Calibri"/>
            <w:sz w:val="18"/>
            <w:szCs w:val="18"/>
            <w:u w:val="single" w:color="auto"/>
            <w:color w:val="0000FF"/>
          </w:rPr>
          <w:t>Pharmaceutcals Company Limited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29254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292544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-18415</wp:posOffset>
            </wp:positionV>
            <wp:extent cx="2420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2420620" cy="8890"/>
                    </a:xfrm>
                    <a:prstGeom prst="rect">
                      <a:avLst/>
                    </a:prstGeom>
                    <a:noFill/>
                  </pic:spPr>
                </pic:pic>
              </a:graphicData>
            </a:graphic>
          </wp:anchor>
        </w:drawing>
      </w:r>
    </w:p>
    <w:p>
      <w:pPr>
        <w:ind w:left="860" w:right="200" w:hanging="894"/>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10.11#</w:t>
      </w:r>
      <w:r>
        <w:rPr>
          <w:sz w:val="20"/>
          <w:szCs w:val="20"/>
          <w:color w:val="auto"/>
        </w:rPr>
        <w:tab/>
      </w:r>
      <w:hyperlink r:id="rId305">
        <w:r>
          <w:rPr>
            <w:rFonts w:ascii="Calibri" w:cs="Calibri" w:eastAsia="Calibri" w:hAnsi="Calibri"/>
            <w:sz w:val="18"/>
            <w:szCs w:val="18"/>
            <w:u w:val="single" w:color="auto"/>
            <w:color w:val="0000FF"/>
          </w:rPr>
          <w:t>Employment Leter Agreement, dated August 29, 2019, by and between</w:t>
        </w:r>
      </w:hyperlink>
      <w:r>
        <w:rPr>
          <w:rFonts w:ascii="Calibri" w:cs="Calibri" w:eastAsia="Calibri" w:hAnsi="Calibri"/>
          <w:sz w:val="18"/>
          <w:szCs w:val="18"/>
          <w:u w:val="single" w:color="auto"/>
          <w:color w:val="0000FF"/>
        </w:rPr>
        <w:t xml:space="preserve"> </w:t>
      </w:r>
      <w:hyperlink r:id="rId305">
        <w:r>
          <w:rPr>
            <w:rFonts w:ascii="Calibri" w:cs="Calibri" w:eastAsia="Calibri" w:hAnsi="Calibri"/>
            <w:sz w:val="18"/>
            <w:szCs w:val="18"/>
            <w:u w:val="single" w:color="auto"/>
            <w:color w:val="0000FF"/>
          </w:rPr>
          <w:t>Terrie Curran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28358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6">
                      <a:extLst>
                        <a:ext uri="{28A0092B-C50C-407E-A947-70E740481C1C}"/>
                      </a:extLst>
                    </a:blip>
                    <a:srcRect/>
                    <a:stretch>
                      <a:fillRect/>
                    </a:stretch>
                  </pic:blipFill>
                  <pic:spPr bwMode="auto">
                    <a:xfrm>
                      <a:off x="0" y="0"/>
                      <a:ext cx="328358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-18415</wp:posOffset>
            </wp:positionV>
            <wp:extent cx="146177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7">
                      <a:extLst>
                        <a:ext uri="{28A0092B-C50C-407E-A947-70E740481C1C}"/>
                      </a:extLst>
                    </a:blip>
                    <a:srcRect/>
                    <a:stretch>
                      <a:fillRect/>
                    </a:stretch>
                  </pic:blipFill>
                  <pic:spPr bwMode="auto">
                    <a:xfrm>
                      <a:off x="0" y="0"/>
                      <a:ext cx="1461770" cy="8255"/>
                    </a:xfrm>
                    <a:prstGeom prst="rect">
                      <a:avLst/>
                    </a:prstGeom>
                    <a:noFill/>
                  </pic:spPr>
                </pic:pic>
              </a:graphicData>
            </a:graphic>
          </wp:anchor>
        </w:drawing>
      </w:r>
    </w:p>
    <w:p>
      <w:pPr>
        <w:spacing w:after="0"/>
        <w:tabs>
          <w:tab w:leader="none" w:pos="84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10.12†</w:t>
      </w:r>
      <w:r>
        <w:rPr>
          <w:sz w:val="20"/>
          <w:szCs w:val="20"/>
          <w:color w:val="auto"/>
        </w:rPr>
        <w:tab/>
      </w:r>
      <w:hyperlink r:id="rId308">
        <w:r>
          <w:rPr>
            <w:rFonts w:ascii="Calibri" w:cs="Calibri" w:eastAsia="Calibri" w:hAnsi="Calibri"/>
            <w:sz w:val="17"/>
            <w:szCs w:val="17"/>
            <w:u w:val="single" w:color="auto"/>
            <w:color w:val="0000FF"/>
          </w:rPr>
          <w:t>Amendment No. 1 to Takeda License Agreement, dated September 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32264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3226435" cy="8255"/>
                    </a:xfrm>
                    <a:prstGeom prst="rect">
                      <a:avLst/>
                    </a:prstGeom>
                    <a:noFill/>
                  </pic:spPr>
                </pic:pic>
              </a:graphicData>
            </a:graphic>
          </wp:anchor>
        </w:drawing>
      </w:r>
    </w:p>
    <w:p>
      <w:pPr>
        <w:ind w:left="860"/>
        <w:spacing w:after="0" w:line="236" w:lineRule="auto"/>
        <w:rPr>
          <w:rFonts w:ascii="Calibri" w:cs="Calibri" w:eastAsia="Calibri" w:hAnsi="Calibri"/>
          <w:sz w:val="18"/>
          <w:szCs w:val="18"/>
          <w:u w:val="single" w:color="auto"/>
          <w:color w:val="0000FF"/>
        </w:rPr>
      </w:pPr>
      <w:hyperlink r:id="rId308">
        <w:r>
          <w:rPr>
            <w:rFonts w:ascii="Calibri" w:cs="Calibri" w:eastAsia="Calibri" w:hAnsi="Calibri"/>
            <w:sz w:val="18"/>
            <w:szCs w:val="18"/>
            <w:u w:val="single" w:color="auto"/>
            <w:color w:val="0000FF"/>
          </w:rPr>
          <w:t>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2260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ind w:left="860" w:right="6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10.13†</w:t>
      </w:r>
      <w:r>
        <w:rPr>
          <w:sz w:val="20"/>
          <w:szCs w:val="20"/>
          <w:color w:val="auto"/>
        </w:rPr>
        <w:tab/>
      </w:r>
      <w:hyperlink r:id="rId311">
        <w:r>
          <w:rPr>
            <w:rFonts w:ascii="Calibri" w:cs="Calibri" w:eastAsia="Calibri" w:hAnsi="Calibri"/>
            <w:sz w:val="18"/>
            <w:szCs w:val="18"/>
            <w:u w:val="single" w:color="auto"/>
            <w:color w:val="0000FF"/>
          </w:rPr>
          <w:t>Supply and Packaging Services Agreement, by and between Sandoz GmbH</w:t>
        </w:r>
      </w:hyperlink>
      <w:r>
        <w:rPr>
          <w:rFonts w:ascii="Calibri" w:cs="Calibri" w:eastAsia="Calibri" w:hAnsi="Calibri"/>
          <w:sz w:val="18"/>
          <w:szCs w:val="18"/>
          <w:u w:val="single" w:color="auto"/>
          <w:color w:val="0000FF"/>
        </w:rPr>
        <w:t xml:space="preserve"> </w:t>
      </w:r>
      <w:hyperlink r:id="rId311">
        <w:r>
          <w:rPr>
            <w:rFonts w:ascii="Calibri" w:cs="Calibri" w:eastAsia="Calibri" w:hAnsi="Calibri"/>
            <w:sz w:val="18"/>
            <w:szCs w:val="18"/>
            <w:u w:val="single" w:color="auto"/>
            <w:color w:val="0000FF"/>
          </w:rPr>
          <w:t>and the Registrant, dated December 30,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370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2">
                      <a:extLst>
                        <a:ext uri="{28A0092B-C50C-407E-A947-70E740481C1C}"/>
                      </a:extLst>
                    </a:blip>
                    <a:srcRect/>
                    <a:stretch>
                      <a:fillRect/>
                    </a:stretch>
                  </pic:blipFill>
                  <pic:spPr bwMode="auto">
                    <a:xfrm>
                      <a:off x="0" y="0"/>
                      <a:ext cx="3370580"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20624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3">
                      <a:extLst>
                        <a:ext uri="{28A0092B-C50C-407E-A947-70E740481C1C}"/>
                      </a:extLst>
                    </a:blip>
                    <a:srcRect/>
                    <a:stretch>
                      <a:fillRect/>
                    </a:stretch>
                  </pic:blipFill>
                  <pic:spPr bwMode="auto">
                    <a:xfrm>
                      <a:off x="0" y="0"/>
                      <a:ext cx="2062480" cy="8255"/>
                    </a:xfrm>
                    <a:prstGeom prst="rect">
                      <a:avLst/>
                    </a:prstGeom>
                    <a:noFill/>
                  </pic:spPr>
                </pic:pic>
              </a:graphicData>
            </a:graphic>
          </wp:anchor>
        </w:drawing>
      </w:r>
    </w:p>
    <w:p>
      <w:pPr>
        <w:ind w:left="860" w:right="52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10.14†</w:t>
      </w:r>
      <w:r>
        <w:rPr>
          <w:sz w:val="20"/>
          <w:szCs w:val="20"/>
          <w:color w:val="auto"/>
        </w:rPr>
        <w:tab/>
      </w:r>
      <w:hyperlink r:id="rId314">
        <w:r>
          <w:rPr>
            <w:rFonts w:ascii="Calibri" w:cs="Calibri" w:eastAsia="Calibri" w:hAnsi="Calibri"/>
            <w:sz w:val="18"/>
            <w:szCs w:val="18"/>
            <w:u w:val="single" w:color="auto"/>
            <w:color w:val="0000FF"/>
          </w:rPr>
          <w:t>Commercial Supply Agreement with Catalent Pharma Solutons, LLC</w:t>
        </w:r>
      </w:hyperlink>
      <w:r>
        <w:rPr>
          <w:rFonts w:ascii="Calibri" w:cs="Calibri" w:eastAsia="Calibri" w:hAnsi="Calibri"/>
          <w:sz w:val="18"/>
          <w:szCs w:val="18"/>
          <w:u w:val="single" w:color="auto"/>
          <w:color w:val="0000FF"/>
        </w:rPr>
        <w:t xml:space="preserve"> </w:t>
      </w:r>
      <w:hyperlink r:id="rId314">
        <w:r>
          <w:rPr>
            <w:rFonts w:ascii="Calibri" w:cs="Calibri" w:eastAsia="Calibri" w:hAnsi="Calibri"/>
            <w:sz w:val="18"/>
            <w:szCs w:val="18"/>
            <w:u w:val="single" w:color="auto"/>
            <w:color w:val="0000FF"/>
          </w:rPr>
          <w:t>entered into on July 2,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0841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5">
                      <a:extLst>
                        <a:ext uri="{28A0092B-C50C-407E-A947-70E740481C1C}"/>
                      </a:extLst>
                    </a:blip>
                    <a:srcRect/>
                    <a:stretch>
                      <a:fillRect/>
                    </a:stretch>
                  </pic:blipFill>
                  <pic:spPr bwMode="auto">
                    <a:xfrm>
                      <a:off x="0" y="0"/>
                      <a:ext cx="308419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12636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6">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ind w:left="860" w:right="160" w:hanging="827"/>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10.15</w:t>
      </w:r>
      <w:r>
        <w:rPr>
          <w:sz w:val="20"/>
          <w:szCs w:val="20"/>
          <w:color w:val="auto"/>
        </w:rPr>
        <w:tab/>
      </w:r>
      <w:hyperlink r:id="rId317">
        <w:r>
          <w:rPr>
            <w:rFonts w:ascii="Calibri" w:cs="Calibri" w:eastAsia="Calibri" w:hAnsi="Calibri"/>
            <w:sz w:val="18"/>
            <w:szCs w:val="18"/>
            <w:u w:val="single" w:color="auto"/>
            <w:color w:val="0000FF"/>
          </w:rPr>
          <w:t>Loan and Security Agreement, dated September 17, 2021, by and among</w:t>
        </w:r>
      </w:hyperlink>
      <w:r>
        <w:rPr>
          <w:rFonts w:ascii="Calibri" w:cs="Calibri" w:eastAsia="Calibri" w:hAnsi="Calibri"/>
          <w:sz w:val="18"/>
          <w:szCs w:val="18"/>
          <w:u w:val="single" w:color="auto"/>
          <w:color w:val="0000FF"/>
        </w:rPr>
        <w:t xml:space="preserve"> </w:t>
      </w:r>
      <w:hyperlink r:id="rId317">
        <w:r>
          <w:rPr>
            <w:rFonts w:ascii="Calibri" w:cs="Calibri" w:eastAsia="Calibri" w:hAnsi="Calibri"/>
            <w:sz w:val="18"/>
            <w:szCs w:val="18"/>
            <w:u w:val="single" w:color="auto"/>
            <w:color w:val="0000FF"/>
          </w:rPr>
          <w:t>Hercules Capital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3140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331406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1592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1592580" cy="8255"/>
                    </a:xfrm>
                    <a:prstGeom prst="rect">
                      <a:avLst/>
                    </a:prstGeom>
                    <a:noFill/>
                  </pic:spPr>
                </pic:pic>
              </a:graphicData>
            </a:graphic>
          </wp:anchor>
        </w:drawing>
      </w:r>
    </w:p>
    <w:p>
      <w:pPr>
        <w:ind w:left="860" w:right="40" w:hanging="871"/>
        <w:spacing w:after="0" w:line="249" w:lineRule="auto"/>
        <w:tabs>
          <w:tab w:leader="none" w:pos="84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10.16†</w:t>
      </w:r>
      <w:r>
        <w:rPr>
          <w:sz w:val="20"/>
          <w:szCs w:val="20"/>
          <w:color w:val="auto"/>
        </w:rPr>
        <w:tab/>
      </w:r>
      <w:hyperlink r:id="rId320">
        <w:r>
          <w:rPr>
            <w:rFonts w:ascii="Calibri" w:cs="Calibri" w:eastAsia="Calibri" w:hAnsi="Calibri"/>
            <w:sz w:val="17"/>
            <w:szCs w:val="17"/>
            <w:u w:val="single" w:color="auto"/>
            <w:color w:val="0000FF"/>
          </w:rPr>
          <w:t>First Amendment to the Supply and Packaging Services Agreement, by and</w:t>
        </w:r>
      </w:hyperlink>
      <w:r>
        <w:rPr>
          <w:rFonts w:ascii="Calibri" w:cs="Calibri" w:eastAsia="Calibri" w:hAnsi="Calibri"/>
          <w:sz w:val="17"/>
          <w:szCs w:val="17"/>
          <w:u w:val="single" w:color="auto"/>
          <w:color w:val="0000FF"/>
        </w:rPr>
        <w:t xml:space="preserve"> </w:t>
      </w:r>
      <w:hyperlink r:id="rId320">
        <w:r>
          <w:rPr>
            <w:rFonts w:ascii="Calibri" w:cs="Calibri" w:eastAsia="Calibri" w:hAnsi="Calibri"/>
            <w:sz w:val="17"/>
            <w:szCs w:val="17"/>
            <w:u w:val="single" w:color="auto"/>
            <w:color w:val="0000FF"/>
          </w:rPr>
          <w:t>between Sandoz GmbH and the Registrant, dated December 4,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38645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1">
                      <a:extLst>
                        <a:ext uri="{28A0092B-C50C-407E-A947-70E740481C1C}"/>
                      </a:extLst>
                    </a:blip>
                    <a:srcRect/>
                    <a:stretch>
                      <a:fillRect/>
                    </a:stretch>
                  </pic:blipFill>
                  <pic:spPr bwMode="auto">
                    <a:xfrm>
                      <a:off x="0" y="0"/>
                      <a:ext cx="3386455"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309372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2">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ind w:left="860" w:right="24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10.17#</w:t>
      </w:r>
      <w:r>
        <w:rPr>
          <w:sz w:val="20"/>
          <w:szCs w:val="20"/>
          <w:color w:val="auto"/>
        </w:rPr>
        <w:tab/>
      </w:r>
      <w:hyperlink r:id="rId323">
        <w:r>
          <w:rPr>
            <w:rFonts w:ascii="Calibri" w:cs="Calibri" w:eastAsia="Calibri" w:hAnsi="Calibri"/>
            <w:sz w:val="18"/>
            <w:szCs w:val="18"/>
            <w:u w:val="single" w:color="auto"/>
            <w:color w:val="0000FF"/>
          </w:rPr>
          <w:t>Employment Leter Agreement, dated March 22, 2022, by and between</w:t>
        </w:r>
      </w:hyperlink>
      <w:r>
        <w:rPr>
          <w:rFonts w:ascii="Calibri" w:cs="Calibri" w:eastAsia="Calibri" w:hAnsi="Calibri"/>
          <w:sz w:val="18"/>
          <w:szCs w:val="18"/>
          <w:u w:val="single" w:color="auto"/>
          <w:color w:val="0000FF"/>
        </w:rPr>
        <w:t xml:space="preserve"> </w:t>
      </w:r>
      <w:hyperlink r:id="rId323">
        <w:r>
          <w:rPr>
            <w:rFonts w:ascii="Calibri" w:cs="Calibri" w:eastAsia="Calibri" w:hAnsi="Calibri"/>
            <w:sz w:val="18"/>
            <w:szCs w:val="18"/>
            <w:u w:val="single" w:color="auto"/>
            <w:color w:val="0000FF"/>
          </w:rPr>
          <w:t>Molly Henderson and the Company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26199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326199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160337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ind w:left="860" w:right="26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10.18#</w:t>
      </w:r>
      <w:r>
        <w:rPr>
          <w:sz w:val="20"/>
          <w:szCs w:val="20"/>
          <w:color w:val="auto"/>
        </w:rPr>
        <w:tab/>
      </w:r>
      <w:hyperlink r:id="rId326">
        <w:r>
          <w:rPr>
            <w:rFonts w:ascii="Calibri" w:cs="Calibri" w:eastAsia="Calibri" w:hAnsi="Calibri"/>
            <w:sz w:val="18"/>
            <w:szCs w:val="18"/>
            <w:u w:val="single" w:color="auto"/>
            <w:color w:val="0000FF"/>
          </w:rPr>
          <w:t>Form of Restricted Stock Unit Grant Notce and Restricted Stock Unit</w:t>
        </w:r>
      </w:hyperlink>
      <w:r>
        <w:rPr>
          <w:rFonts w:ascii="Calibri" w:cs="Calibri" w:eastAsia="Calibri" w:hAnsi="Calibri"/>
          <w:sz w:val="18"/>
          <w:szCs w:val="18"/>
          <w:u w:val="single" w:color="auto"/>
          <w:color w:val="0000FF"/>
        </w:rPr>
        <w:t xml:space="preserve"> </w:t>
      </w:r>
      <w:hyperlink r:id="rId326">
        <w:r>
          <w:rPr>
            <w:rFonts w:ascii="Calibri" w:cs="Calibri" w:eastAsia="Calibri" w:hAnsi="Calibri"/>
            <w:sz w:val="18"/>
            <w:szCs w:val="18"/>
            <w:u w:val="single" w:color="auto"/>
            <w:color w:val="0000FF"/>
          </w:rPr>
          <w:t>Agreement under Phathom Pharmaceutcals, Inc. 2019 Equity Incentve</w:t>
        </w:r>
      </w:hyperlink>
      <w:r>
        <w:rPr>
          <w:rFonts w:ascii="Calibri" w:cs="Calibri" w:eastAsia="Calibri" w:hAnsi="Calibri"/>
          <w:sz w:val="18"/>
          <w:szCs w:val="18"/>
          <w:u w:val="single" w:color="auto"/>
          <w:color w:val="0000FF"/>
        </w:rPr>
        <w:t xml:space="preserve"> </w:t>
      </w:r>
      <w:hyperlink r:id="rId326">
        <w:r>
          <w:rPr>
            <w:rFonts w:ascii="Calibri" w:cs="Calibri" w:eastAsia="Calibri" w:hAnsi="Calibri"/>
            <w:sz w:val="18"/>
            <w:szCs w:val="18"/>
            <w:u w:val="single" w:color="auto"/>
            <w:color w:val="0000FF"/>
          </w:rPr>
          <w:t>Plan</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-292100</wp:posOffset>
            </wp:positionV>
            <wp:extent cx="31273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7">
                      <a:extLst>
                        <a:ext uri="{28A0092B-C50C-407E-A947-70E740481C1C}"/>
                      </a:extLst>
                    </a:blip>
                    <a:srcRect/>
                    <a:stretch>
                      <a:fillRect/>
                    </a:stretch>
                  </pic:blipFill>
                  <pic:spPr bwMode="auto">
                    <a:xfrm>
                      <a:off x="0" y="0"/>
                      <a:ext cx="312737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-154940</wp:posOffset>
            </wp:positionV>
            <wp:extent cx="325120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8">
                      <a:extLst>
                        <a:ext uri="{28A0092B-C50C-407E-A947-70E740481C1C}"/>
                      </a:extLst>
                    </a:blip>
                    <a:srcRect/>
                    <a:stretch>
                      <a:fillRect/>
                    </a:stretch>
                  </pic:blipFill>
                  <pic:spPr bwMode="auto">
                    <a:xfrm>
                      <a:off x="0" y="0"/>
                      <a:ext cx="3251200"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-17780</wp:posOffset>
            </wp:positionV>
            <wp:extent cx="19494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9">
                      <a:extLst>
                        <a:ext uri="{28A0092B-C50C-407E-A947-70E740481C1C}"/>
                      </a:extLst>
                    </a:blip>
                    <a:srcRect/>
                    <a:stretch>
                      <a:fillRect/>
                    </a:stretch>
                  </pic:blipFill>
                  <pic:spPr bwMode="auto">
                    <a:xfrm>
                      <a:off x="0" y="0"/>
                      <a:ext cx="194945" cy="8255"/>
                    </a:xfrm>
                    <a:prstGeom prst="rect">
                      <a:avLst/>
                    </a:prstGeom>
                    <a:noFill/>
                  </pic:spPr>
                </pic:pic>
              </a:graphicData>
            </a:graphic>
          </wp:anchor>
        </w:drawing>
      </w:r>
    </w:p>
    <w:p>
      <w:pPr>
        <w:ind w:left="860" w:right="4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10.19†</w:t>
      </w:r>
      <w:r>
        <w:rPr>
          <w:sz w:val="20"/>
          <w:szCs w:val="20"/>
          <w:color w:val="auto"/>
        </w:rPr>
        <w:tab/>
      </w:r>
      <w:hyperlink r:id="rId330">
        <w:r>
          <w:rPr>
            <w:rFonts w:ascii="Calibri" w:cs="Calibri" w:eastAsia="Calibri" w:hAnsi="Calibri"/>
            <w:sz w:val="18"/>
            <w:szCs w:val="18"/>
            <w:u w:val="single" w:color="auto"/>
            <w:color w:val="0000FF"/>
          </w:rPr>
          <w:t>Revenue Interest Financing Agreement, dated May 3, 2022, by and among</w:t>
        </w:r>
      </w:hyperlink>
      <w:r>
        <w:rPr>
          <w:rFonts w:ascii="Calibri" w:cs="Calibri" w:eastAsia="Calibri" w:hAnsi="Calibri"/>
          <w:sz w:val="18"/>
          <w:szCs w:val="18"/>
          <w:u w:val="single" w:color="auto"/>
          <w:color w:val="0000FF"/>
        </w:rPr>
        <w:t xml:space="preserve"> </w:t>
      </w:r>
      <w:hyperlink r:id="rId330">
        <w:r>
          <w:rPr>
            <w:rFonts w:ascii="Calibri" w:cs="Calibri" w:eastAsia="Calibri" w:hAnsi="Calibri"/>
            <w:sz w:val="18"/>
            <w:szCs w:val="18"/>
            <w:u w:val="single" w:color="auto"/>
            <w:color w:val="0000FF"/>
          </w:rPr>
          <w:t>NovaQuest Capital Management, Sagard Holding Manager, Hercules</w:t>
        </w:r>
      </w:hyperlink>
      <w:r>
        <w:rPr>
          <w:rFonts w:ascii="Calibri" w:cs="Calibri" w:eastAsia="Calibri" w:hAnsi="Calibri"/>
          <w:sz w:val="18"/>
          <w:szCs w:val="18"/>
          <w:u w:val="single" w:color="auto"/>
          <w:color w:val="0000FF"/>
        </w:rPr>
        <w:t xml:space="preserve"> </w:t>
      </w:r>
      <w:hyperlink r:id="rId330">
        <w:r>
          <w:rPr>
            <w:rFonts w:ascii="Calibri" w:cs="Calibri" w:eastAsia="Calibri" w:hAnsi="Calibri"/>
            <w:sz w:val="18"/>
            <w:szCs w:val="18"/>
            <w:u w:val="single" w:color="auto"/>
            <w:color w:val="0000FF"/>
          </w:rPr>
          <w:t>Capital and the Registrant</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-292100</wp:posOffset>
            </wp:positionV>
            <wp:extent cx="33839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1">
                      <a:extLst>
                        <a:ext uri="{28A0092B-C50C-407E-A947-70E740481C1C}"/>
                      </a:extLst>
                    </a:blip>
                    <a:srcRect/>
                    <a:stretch>
                      <a:fillRect/>
                    </a:stretch>
                  </pic:blipFill>
                  <pic:spPr bwMode="auto">
                    <a:xfrm>
                      <a:off x="0" y="0"/>
                      <a:ext cx="338391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-154940</wp:posOffset>
            </wp:positionV>
            <wp:extent cx="3116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2">
                      <a:extLst>
                        <a:ext uri="{28A0092B-C50C-407E-A947-70E740481C1C}"/>
                      </a:extLst>
                    </a:blip>
                    <a:srcRect/>
                    <a:stretch>
                      <a:fillRect/>
                    </a:stretch>
                  </pic:blipFill>
                  <pic:spPr bwMode="auto">
                    <a:xfrm>
                      <a:off x="0" y="0"/>
                      <a:ext cx="3116580"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-17780</wp:posOffset>
            </wp:positionV>
            <wp:extent cx="11734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3">
                      <a:extLst>
                        <a:ext uri="{28A0092B-C50C-407E-A947-70E740481C1C}"/>
                      </a:extLst>
                    </a:blip>
                    <a:srcRect/>
                    <a:stretch>
                      <a:fillRect/>
                    </a:stretch>
                  </pic:blipFill>
                  <pic:spPr bwMode="auto">
                    <a:xfrm>
                      <a:off x="0" y="0"/>
                      <a:ext cx="1173480" cy="8255"/>
                    </a:xfrm>
                    <a:prstGeom prst="rect">
                      <a:avLst/>
                    </a:prstGeom>
                    <a:noFill/>
                  </pic:spPr>
                </pic:pic>
              </a:graphicData>
            </a:graphic>
          </wp:anchor>
        </w:drawing>
      </w:r>
    </w:p>
    <w:p>
      <w:pPr>
        <w:jc w:val="center"/>
        <w:ind w:right="120"/>
        <w:spacing w:after="0"/>
        <w:tabs>
          <w:tab w:leader="none" w:pos="40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10.20</w:t>
      </w:r>
      <w:r>
        <w:rPr>
          <w:sz w:val="20"/>
          <w:szCs w:val="20"/>
          <w:color w:val="auto"/>
        </w:rPr>
        <w:tab/>
      </w:r>
      <w:hyperlink r:id="rId334">
        <w:r>
          <w:rPr>
            <w:rFonts w:ascii="Calibri" w:cs="Calibri" w:eastAsia="Calibri" w:hAnsi="Calibri"/>
            <w:sz w:val="17"/>
            <w:szCs w:val="17"/>
            <w:u w:val="single" w:color="auto"/>
            <w:color w:val="0000FF"/>
          </w:rPr>
          <w:t>First Amendment to the Loan and Security Agreement, dated September</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331279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3312795" cy="8890"/>
                    </a:xfrm>
                    <a:prstGeom prst="rect">
                      <a:avLst/>
                    </a:prstGeom>
                    <a:noFill/>
                  </pic:spPr>
                </pic:pic>
              </a:graphicData>
            </a:graphic>
          </wp:anchor>
        </w:drawing>
      </w:r>
    </w:p>
    <w:p>
      <w:pPr>
        <w:jc w:val="center"/>
        <w:ind w:right="200"/>
        <w:spacing w:after="0" w:line="236" w:lineRule="auto"/>
        <w:rPr>
          <w:rFonts w:ascii="Calibri" w:cs="Calibri" w:eastAsia="Calibri" w:hAnsi="Calibri"/>
          <w:sz w:val="18"/>
          <w:szCs w:val="18"/>
          <w:u w:val="single" w:color="auto"/>
          <w:color w:val="0000FF"/>
        </w:rPr>
      </w:pPr>
      <w:hyperlink r:id="rId334">
        <w:r>
          <w:rPr>
            <w:rFonts w:ascii="Calibri" w:cs="Calibri" w:eastAsia="Calibri" w:hAnsi="Calibri"/>
            <w:sz w:val="18"/>
            <w:szCs w:val="18"/>
            <w:u w:val="single" w:color="auto"/>
            <w:color w:val="0000FF"/>
          </w:rPr>
          <w:t>17, 2021, by and among Hercules Capital and the Registrant</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270510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ind w:left="86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10.21†</w:t>
      </w:r>
      <w:r>
        <w:rPr>
          <w:sz w:val="20"/>
          <w:szCs w:val="20"/>
          <w:color w:val="auto"/>
        </w:rPr>
        <w:tab/>
      </w:r>
      <w:hyperlink r:id="rId337">
        <w:r>
          <w:rPr>
            <w:rFonts w:ascii="Calibri" w:cs="Calibri" w:eastAsia="Calibri" w:hAnsi="Calibri"/>
            <w:sz w:val="18"/>
            <w:szCs w:val="18"/>
            <w:u w:val="single" w:color="auto"/>
            <w:color w:val="0000FF"/>
          </w:rPr>
          <w:t>Commercial Supply Agreement with Evonik Operatons GmbH entered into</w:t>
        </w:r>
      </w:hyperlink>
      <w:r>
        <w:rPr>
          <w:rFonts w:ascii="Calibri" w:cs="Calibri" w:eastAsia="Calibri" w:hAnsi="Calibri"/>
          <w:sz w:val="18"/>
          <w:szCs w:val="18"/>
          <w:u w:val="single" w:color="auto"/>
          <w:color w:val="0000FF"/>
        </w:rPr>
        <w:t xml:space="preserve"> </w:t>
      </w:r>
      <w:hyperlink r:id="rId337">
        <w:r>
          <w:rPr>
            <w:rFonts w:ascii="Calibri" w:cs="Calibri" w:eastAsia="Calibri" w:hAnsi="Calibri"/>
            <w:sz w:val="18"/>
            <w:szCs w:val="18"/>
            <w:u w:val="single" w:color="auto"/>
            <w:color w:val="0000FF"/>
          </w:rPr>
          <w:t>on August 1,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38645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3386455"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8178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817880" cy="8255"/>
                    </a:xfrm>
                    <a:prstGeom prst="rect">
                      <a:avLst/>
                    </a:prstGeom>
                    <a:noFill/>
                  </pic:spPr>
                </pic:pic>
              </a:graphicData>
            </a:graphic>
          </wp:anchor>
        </w:drawing>
      </w:r>
    </w:p>
    <w:p>
      <w:pPr>
        <w:ind w:left="860" w:right="240" w:hanging="827"/>
        <w:spacing w:after="0" w:line="249" w:lineRule="auto"/>
        <w:tabs>
          <w:tab w:leader="none" w:pos="84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10.22</w:t>
      </w:r>
      <w:r>
        <w:rPr>
          <w:sz w:val="20"/>
          <w:szCs w:val="20"/>
          <w:color w:val="auto"/>
        </w:rPr>
        <w:tab/>
      </w:r>
      <w:hyperlink r:id="rId340">
        <w:r>
          <w:rPr>
            <w:rFonts w:ascii="Calibri" w:cs="Calibri" w:eastAsia="Calibri" w:hAnsi="Calibri"/>
            <w:sz w:val="17"/>
            <w:szCs w:val="17"/>
            <w:u w:val="single" w:color="auto"/>
            <w:color w:val="0000FF"/>
          </w:rPr>
          <w:t>Second Amendment to the Loan and Security Agreement, dated</w:t>
        </w:r>
      </w:hyperlink>
      <w:r>
        <w:rPr>
          <w:rFonts w:ascii="Calibri" w:cs="Calibri" w:eastAsia="Calibri" w:hAnsi="Calibri"/>
          <w:sz w:val="17"/>
          <w:szCs w:val="17"/>
          <w:u w:val="single" w:color="auto"/>
          <w:color w:val="0000FF"/>
        </w:rPr>
        <w:t xml:space="preserve"> </w:t>
      </w:r>
      <w:hyperlink r:id="rId340">
        <w:r>
          <w:rPr>
            <w:rFonts w:ascii="Calibri" w:cs="Calibri" w:eastAsia="Calibri" w:hAnsi="Calibri"/>
            <w:sz w:val="17"/>
            <w:szCs w:val="17"/>
            <w:u w:val="single" w:color="auto"/>
            <w:color w:val="0000FF"/>
          </w:rPr>
          <w:t>September 17, 2021, by and among Hercules Capital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292100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1">
                      <a:extLst>
                        <a:ext uri="{28A0092B-C50C-407E-A947-70E740481C1C}"/>
                      </a:extLst>
                    </a:blip>
                    <a:srcRect/>
                    <a:stretch>
                      <a:fillRect/>
                    </a:stretch>
                  </pic:blipFill>
                  <pic:spPr bwMode="auto">
                    <a:xfrm>
                      <a:off x="0" y="0"/>
                      <a:ext cx="2921000"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323024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2">
                      <a:extLst>
                        <a:ext uri="{28A0092B-C50C-407E-A947-70E740481C1C}"/>
                      </a:extLst>
                    </a:blip>
                    <a:srcRect/>
                    <a:stretch>
                      <a:fillRect/>
                    </a:stretch>
                  </pic:blipFill>
                  <pic:spPr bwMode="auto">
                    <a:xfrm>
                      <a:off x="0" y="0"/>
                      <a:ext cx="3230245" cy="8890"/>
                    </a:xfrm>
                    <a:prstGeom prst="rect">
                      <a:avLst/>
                    </a:prstGeom>
                    <a:noFill/>
                  </pic:spPr>
                </pic:pic>
              </a:graphicData>
            </a:graphic>
          </wp:anchor>
        </w:drawing>
      </w:r>
    </w:p>
    <w:p>
      <w:pPr>
        <w:ind w:left="860" w:right="340" w:hanging="871"/>
        <w:spacing w:after="0" w:line="249" w:lineRule="auto"/>
        <w:tabs>
          <w:tab w:leader="none" w:pos="84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10.23†</w:t>
      </w:r>
      <w:r>
        <w:rPr>
          <w:sz w:val="20"/>
          <w:szCs w:val="20"/>
          <w:color w:val="auto"/>
        </w:rPr>
        <w:tab/>
      </w:r>
      <w:hyperlink r:id="rId343">
        <w:r>
          <w:rPr>
            <w:rFonts w:ascii="Calibri" w:cs="Calibri" w:eastAsia="Calibri" w:hAnsi="Calibri"/>
            <w:sz w:val="17"/>
            <w:szCs w:val="17"/>
            <w:u w:val="single" w:color="auto"/>
            <w:color w:val="0000FF"/>
          </w:rPr>
          <w:t>Joinder and Waiver Agreement dated October 31, 2022 by and among</w:t>
        </w:r>
      </w:hyperlink>
      <w:r>
        <w:rPr>
          <w:rFonts w:ascii="Calibri" w:cs="Calibri" w:eastAsia="Calibri" w:hAnsi="Calibri"/>
          <w:sz w:val="17"/>
          <w:szCs w:val="17"/>
          <w:u w:val="single" w:color="auto"/>
          <w:color w:val="0000FF"/>
        </w:rPr>
        <w:t xml:space="preserve"> </w:t>
      </w:r>
      <w:hyperlink r:id="rId343">
        <w:r>
          <w:rPr>
            <w:rFonts w:ascii="Calibri" w:cs="Calibri" w:eastAsia="Calibri" w:hAnsi="Calibri"/>
            <w:sz w:val="17"/>
            <w:szCs w:val="17"/>
            <w:u w:val="single" w:color="auto"/>
            <w:color w:val="0000FF"/>
          </w:rPr>
          <w:t>Hercules Capital, CO Finance LVS XXXVII LLC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2004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4">
                      <a:extLst>
                        <a:ext uri="{28A0092B-C50C-407E-A947-70E740481C1C}"/>
                      </a:extLst>
                    </a:blip>
                    <a:srcRect/>
                    <a:stretch>
                      <a:fillRect/>
                    </a:stretch>
                  </pic:blipFill>
                  <pic:spPr bwMode="auto">
                    <a:xfrm>
                      <a:off x="0" y="0"/>
                      <a:ext cx="3200400"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28371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5">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jc w:val="center"/>
        <w:ind w:right="400"/>
        <w:spacing w:after="0"/>
        <w:tabs>
          <w:tab w:leader="none" w:pos="36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10.24^</w:t>
      </w:r>
      <w:r>
        <w:rPr>
          <w:sz w:val="20"/>
          <w:szCs w:val="20"/>
          <w:color w:val="auto"/>
        </w:rPr>
        <w:tab/>
      </w:r>
      <w:hyperlink r:id="rId346">
        <w:r>
          <w:rPr>
            <w:rFonts w:ascii="Calibri" w:cs="Calibri" w:eastAsia="Calibri" w:hAnsi="Calibri"/>
            <w:sz w:val="17"/>
            <w:szCs w:val="17"/>
            <w:u w:val="single" w:color="auto"/>
            <w:color w:val="0000FF"/>
          </w:rPr>
          <w:t>Third Amendment to the Loan and Security Agreement, dated May 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316103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7">
                      <a:extLst>
                        <a:ext uri="{28A0092B-C50C-407E-A947-70E740481C1C}"/>
                      </a:extLst>
                    </a:blip>
                    <a:srcRect/>
                    <a:stretch>
                      <a:fillRect/>
                    </a:stretch>
                  </pic:blipFill>
                  <pic:spPr bwMode="auto">
                    <a:xfrm>
                      <a:off x="0" y="0"/>
                      <a:ext cx="3161030" cy="8890"/>
                    </a:xfrm>
                    <a:prstGeom prst="rect">
                      <a:avLst/>
                    </a:prstGeom>
                    <a:noFill/>
                  </pic:spPr>
                </pic:pic>
              </a:graphicData>
            </a:graphic>
          </wp:anchor>
        </w:drawing>
      </w:r>
    </w:p>
    <w:p>
      <w:pPr>
        <w:jc w:val="center"/>
        <w:ind w:right="460"/>
        <w:spacing w:after="0" w:line="236" w:lineRule="auto"/>
        <w:rPr>
          <w:rFonts w:ascii="Calibri" w:cs="Calibri" w:eastAsia="Calibri" w:hAnsi="Calibri"/>
          <w:sz w:val="18"/>
          <w:szCs w:val="18"/>
          <w:u w:val="single" w:color="auto"/>
          <w:color w:val="0000FF"/>
        </w:rPr>
      </w:pPr>
      <w:hyperlink r:id="rId346">
        <w:r>
          <w:rPr>
            <w:rFonts w:ascii="Calibri" w:cs="Calibri" w:eastAsia="Calibri" w:hAnsi="Calibri"/>
            <w:sz w:val="18"/>
            <w:szCs w:val="18"/>
            <w:u w:val="single" w:color="auto"/>
            <w:color w:val="0000FF"/>
          </w:rPr>
          <w:t>2023, by and among Hercules Capital and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253873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8">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ind w:left="860" w:right="26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10.25^</w:t>
      </w:r>
      <w:r>
        <w:rPr>
          <w:sz w:val="20"/>
          <w:szCs w:val="20"/>
          <w:color w:val="auto"/>
        </w:rPr>
        <w:tab/>
      </w:r>
      <w:hyperlink r:id="rId349">
        <w:r>
          <w:rPr>
            <w:rFonts w:ascii="Calibri" w:cs="Calibri" w:eastAsia="Calibri" w:hAnsi="Calibri"/>
            <w:sz w:val="18"/>
            <w:szCs w:val="18"/>
            <w:u w:val="single" w:color="auto"/>
            <w:color w:val="0000FF"/>
          </w:rPr>
          <w:t>First Amendment to Vonoprazan Commercial Supply Agreement, dated</w:t>
        </w:r>
      </w:hyperlink>
      <w:r>
        <w:rPr>
          <w:rFonts w:ascii="Calibri" w:cs="Calibri" w:eastAsia="Calibri" w:hAnsi="Calibri"/>
          <w:sz w:val="18"/>
          <w:szCs w:val="18"/>
          <w:u w:val="single" w:color="auto"/>
          <w:color w:val="0000FF"/>
        </w:rPr>
        <w:t xml:space="preserve"> </w:t>
      </w:r>
      <w:hyperlink r:id="rId349">
        <w:r>
          <w:rPr>
            <w:rFonts w:ascii="Calibri" w:cs="Calibri" w:eastAsia="Calibri" w:hAnsi="Calibri"/>
            <w:sz w:val="18"/>
            <w:szCs w:val="18"/>
            <w:u w:val="single" w:color="auto"/>
            <w:color w:val="0000FF"/>
          </w:rPr>
          <w:t>August 1, 2022, by and among Evonik Operatons GmbH and the</w:t>
        </w:r>
      </w:hyperlink>
      <w:r>
        <w:rPr>
          <w:rFonts w:ascii="Calibri" w:cs="Calibri" w:eastAsia="Calibri" w:hAnsi="Calibri"/>
          <w:sz w:val="18"/>
          <w:szCs w:val="18"/>
          <w:u w:val="single" w:color="auto"/>
          <w:color w:val="0000FF"/>
        </w:rPr>
        <w:t xml:space="preserve"> </w:t>
      </w:r>
      <w:hyperlink r:id="rId349">
        <w:r>
          <w:rPr>
            <w:rFonts w:ascii="Calibri" w:cs="Calibri" w:eastAsia="Calibri" w:hAnsi="Calibri"/>
            <w:sz w:val="18"/>
            <w:szCs w:val="18"/>
            <w:u w:val="single" w:color="auto"/>
            <w:color w:val="0000FF"/>
          </w:rPr>
          <w:t>Registrant</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-292100</wp:posOffset>
            </wp:positionV>
            <wp:extent cx="324993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50">
                      <a:extLst>
                        <a:ext uri="{28A0092B-C50C-407E-A947-70E740481C1C}"/>
                      </a:extLst>
                    </a:blip>
                    <a:srcRect/>
                    <a:stretch>
                      <a:fillRect/>
                    </a:stretch>
                  </pic:blipFill>
                  <pic:spPr bwMode="auto">
                    <a:xfrm>
                      <a:off x="0" y="0"/>
                      <a:ext cx="3249930"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-154940</wp:posOffset>
            </wp:positionV>
            <wp:extent cx="293243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51">
                      <a:extLst>
                        <a:ext uri="{28A0092B-C50C-407E-A947-70E740481C1C}"/>
                      </a:extLst>
                    </a:blip>
                    <a:srcRect/>
                    <a:stretch>
                      <a:fillRect/>
                    </a:stretch>
                  </pic:blipFill>
                  <pic:spPr bwMode="auto">
                    <a:xfrm>
                      <a:off x="0" y="0"/>
                      <a:ext cx="2932430"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-17780</wp:posOffset>
            </wp:positionV>
            <wp:extent cx="46291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52">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ind w:left="860" w:right="10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10.26†</w:t>
      </w:r>
      <w:r>
        <w:rPr>
          <w:sz w:val="20"/>
          <w:szCs w:val="20"/>
          <w:color w:val="auto"/>
        </w:rPr>
        <w:tab/>
      </w:r>
      <w:hyperlink r:id="rId353">
        <w:r>
          <w:rPr>
            <w:rFonts w:ascii="Calibri" w:cs="Calibri" w:eastAsia="Calibri" w:hAnsi="Calibri"/>
            <w:sz w:val="18"/>
            <w:szCs w:val="18"/>
            <w:u w:val="single" w:color="auto"/>
            <w:color w:val="0000FF"/>
          </w:rPr>
          <w:t>First Amendment to the Commercial Supply Agreement, dated as of</w:t>
        </w:r>
      </w:hyperlink>
      <w:r>
        <w:rPr>
          <w:rFonts w:ascii="Calibri" w:cs="Calibri" w:eastAsia="Calibri" w:hAnsi="Calibri"/>
          <w:sz w:val="18"/>
          <w:szCs w:val="18"/>
          <w:u w:val="single" w:color="auto"/>
          <w:color w:val="0000FF"/>
        </w:rPr>
        <w:t xml:space="preserve"> </w:t>
      </w:r>
      <w:hyperlink r:id="rId353">
        <w:r>
          <w:rPr>
            <w:rFonts w:ascii="Calibri" w:cs="Calibri" w:eastAsia="Calibri" w:hAnsi="Calibri"/>
            <w:sz w:val="18"/>
            <w:szCs w:val="18"/>
            <w:u w:val="single" w:color="auto"/>
            <w:color w:val="0000FF"/>
          </w:rPr>
          <w:t>December 6, 2023, by and among Catalent Pharma Solutons, LLC and the</w:t>
        </w:r>
      </w:hyperlink>
      <w:r>
        <w:rPr>
          <w:rFonts w:ascii="Calibri" w:cs="Calibri" w:eastAsia="Calibri" w:hAnsi="Calibri"/>
          <w:sz w:val="18"/>
          <w:szCs w:val="18"/>
          <w:u w:val="single" w:color="auto"/>
          <w:color w:val="0000FF"/>
        </w:rPr>
        <w:t xml:space="preserve"> </w:t>
      </w:r>
      <w:hyperlink r:id="rId353">
        <w:r>
          <w:rPr>
            <w:rFonts w:ascii="Calibri" w:cs="Calibri" w:eastAsia="Calibri" w:hAnsi="Calibri"/>
            <w:sz w:val="18"/>
            <w:szCs w:val="18"/>
            <w:u w:val="single" w:color="auto"/>
            <w:color w:val="0000FF"/>
          </w:rPr>
          <w:t>Registrant</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-292100</wp:posOffset>
            </wp:positionV>
            <wp:extent cx="309499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54">
                      <a:extLst>
                        <a:ext uri="{28A0092B-C50C-407E-A947-70E740481C1C}"/>
                      </a:extLst>
                    </a:blip>
                    <a:srcRect/>
                    <a:stretch>
                      <a:fillRect/>
                    </a:stretch>
                  </pic:blipFill>
                  <pic:spPr bwMode="auto">
                    <a:xfrm>
                      <a:off x="0" y="0"/>
                      <a:ext cx="3094990"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-154940</wp:posOffset>
            </wp:positionV>
            <wp:extent cx="33515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55">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-17780</wp:posOffset>
            </wp:positionV>
            <wp:extent cx="46291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6">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spacing w:after="0"/>
        <w:tabs>
          <w:tab w:leader="none" w:pos="84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10.27^</w:t>
      </w:r>
      <w:r>
        <w:rPr>
          <w:sz w:val="20"/>
          <w:szCs w:val="20"/>
          <w:color w:val="auto"/>
        </w:rPr>
        <w:tab/>
      </w:r>
      <w:hyperlink r:id="rId357">
        <w:r>
          <w:rPr>
            <w:rFonts w:ascii="Calibri" w:cs="Calibri" w:eastAsia="Calibri" w:hAnsi="Calibri"/>
            <w:sz w:val="17"/>
            <w:szCs w:val="17"/>
            <w:u w:val="single" w:color="auto"/>
            <w:color w:val="0000FF"/>
          </w:rPr>
          <w:t>Fourth Amendment to the Loan and Security Agreement, dated December</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338645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8">
                      <a:extLst>
                        <a:ext uri="{28A0092B-C50C-407E-A947-70E740481C1C}"/>
                      </a:extLst>
                    </a:blip>
                    <a:srcRect/>
                    <a:stretch>
                      <a:fillRect/>
                    </a:stretch>
                  </pic:blipFill>
                  <pic:spPr bwMode="auto">
                    <a:xfrm>
                      <a:off x="0" y="0"/>
                      <a:ext cx="3386455" cy="8890"/>
                    </a:xfrm>
                    <a:prstGeom prst="rect">
                      <a:avLst/>
                    </a:prstGeom>
                    <a:noFill/>
                  </pic:spPr>
                </pic:pic>
              </a:graphicData>
            </a:graphic>
          </wp:anchor>
        </w:drawing>
      </w:r>
    </w:p>
    <w:p>
      <w:pPr>
        <w:ind w:left="860"/>
        <w:spacing w:after="0" w:line="236" w:lineRule="auto"/>
        <w:rPr>
          <w:rFonts w:ascii="Calibri" w:cs="Calibri" w:eastAsia="Calibri" w:hAnsi="Calibri"/>
          <w:sz w:val="18"/>
          <w:szCs w:val="18"/>
          <w:u w:val="single" w:color="auto"/>
          <w:color w:val="0000FF"/>
        </w:rPr>
      </w:pPr>
      <w:hyperlink r:id="rId357">
        <w:r>
          <w:rPr>
            <w:rFonts w:ascii="Calibri" w:cs="Calibri" w:eastAsia="Calibri" w:hAnsi="Calibri"/>
            <w:sz w:val="18"/>
            <w:szCs w:val="18"/>
            <w:u w:val="single" w:color="auto"/>
            <w:color w:val="0000FF"/>
          </w:rPr>
          <w:t>14, 2023, by and among Hercules Capital and the Registrant</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270510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9">
                      <a:extLst>
                        <a:ext uri="{28A0092B-C50C-407E-A947-70E740481C1C}"/>
                      </a:extLst>
                    </a:blip>
                    <a:srcRect/>
                    <a:stretch>
                      <a:fillRect/>
                    </a:stretch>
                  </pic:blipFill>
                  <pic:spPr bwMode="auto">
                    <a:xfrm>
                      <a:off x="0" y="0"/>
                      <a:ext cx="2705100" cy="8255"/>
                    </a:xfrm>
                    <a:prstGeom prst="rect">
                      <a:avLst/>
                    </a:prstGeom>
                    <a:noFill/>
                  </pic:spPr>
                </pic:pic>
              </a:graphicData>
            </a:graphic>
          </wp:anchor>
        </w:drawing>
      </w:r>
    </w:p>
    <w:p>
      <w:pPr>
        <w:spacing w:after="0"/>
        <w:tabs>
          <w:tab w:leader="none" w:pos="840" w:val="left"/>
        </w:tabs>
        <w:rPr>
          <w:rFonts w:ascii="Calibri" w:cs="Calibri" w:eastAsia="Calibri" w:hAnsi="Calibri"/>
          <w:sz w:val="17"/>
          <w:szCs w:val="17"/>
          <w:u w:val="single" w:color="auto"/>
          <w:color w:val="0000FF"/>
        </w:rPr>
      </w:pPr>
      <w:r>
        <w:rPr>
          <w:rFonts w:ascii="Calibri" w:cs="Calibri" w:eastAsia="Calibri" w:hAnsi="Calibri"/>
          <w:sz w:val="18"/>
          <w:szCs w:val="18"/>
          <w:color w:val="auto"/>
        </w:rPr>
        <w:t>10.28#</w:t>
      </w:r>
      <w:r>
        <w:rPr>
          <w:sz w:val="20"/>
          <w:szCs w:val="20"/>
          <w:color w:val="auto"/>
        </w:rPr>
        <w:tab/>
      </w:r>
      <w:hyperlink r:id="rId360">
        <w:r>
          <w:rPr>
            <w:rFonts w:ascii="Calibri" w:cs="Calibri" w:eastAsia="Calibri" w:hAnsi="Calibri"/>
            <w:sz w:val="17"/>
            <w:szCs w:val="17"/>
            <w:u w:val="single" w:color="auto"/>
            <w:color w:val="0000FF"/>
          </w:rPr>
          <w:t>Phathom Pharmaceutcals Inc. 2024 Bonus Plan</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-18415</wp:posOffset>
            </wp:positionV>
            <wp:extent cx="21456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61">
                      <a:extLst>
                        <a:ext uri="{28A0092B-C50C-407E-A947-70E740481C1C}"/>
                      </a:extLst>
                    </a:blip>
                    <a:srcRect/>
                    <a:stretch>
                      <a:fillRect/>
                    </a:stretch>
                  </pic:blipFill>
                  <pic:spPr bwMode="auto">
                    <a:xfrm>
                      <a:off x="0" y="0"/>
                      <a:ext cx="2145665" cy="8255"/>
                    </a:xfrm>
                    <a:prstGeom prst="rect">
                      <a:avLst/>
                    </a:prstGeom>
                    <a:noFill/>
                  </pic:spPr>
                </pic:pic>
              </a:graphicData>
            </a:graphic>
          </wp:anchor>
        </w:drawing>
      </w:r>
    </w:p>
    <w:p>
      <w:pPr>
        <w:ind w:left="860" w:right="240" w:hanging="871"/>
        <w:spacing w:after="0" w:line="235" w:lineRule="auto"/>
        <w:tabs>
          <w:tab w:leader="none" w:pos="840" w:val="left"/>
        </w:tabs>
        <w:rPr>
          <w:rFonts w:ascii="Calibri" w:cs="Calibri" w:eastAsia="Calibri" w:hAnsi="Calibri"/>
          <w:sz w:val="18"/>
          <w:szCs w:val="18"/>
          <w:u w:val="single" w:color="auto"/>
          <w:color w:val="0000FF"/>
        </w:rPr>
      </w:pPr>
      <w:r>
        <w:rPr>
          <w:rFonts w:ascii="Calibri" w:cs="Calibri" w:eastAsia="Calibri" w:hAnsi="Calibri"/>
          <w:sz w:val="18"/>
          <w:szCs w:val="18"/>
          <w:color w:val="auto"/>
        </w:rPr>
        <w:t>10.29†</w:t>
      </w:r>
      <w:r>
        <w:rPr>
          <w:sz w:val="20"/>
          <w:szCs w:val="20"/>
          <w:color w:val="auto"/>
        </w:rPr>
        <w:tab/>
      </w:r>
      <w:hyperlink r:id="rId362">
        <w:r>
          <w:rPr>
            <w:rFonts w:ascii="Calibri" w:cs="Calibri" w:eastAsia="Calibri" w:hAnsi="Calibri"/>
            <w:sz w:val="18"/>
            <w:szCs w:val="18"/>
            <w:u w:val="single" w:color="auto"/>
            <w:color w:val="0000FF"/>
          </w:rPr>
          <w:t>Leter Agreement to Vonoprazan Commercial Supply Agreement, dated</w:t>
        </w:r>
      </w:hyperlink>
      <w:r>
        <w:rPr>
          <w:rFonts w:ascii="Calibri" w:cs="Calibri" w:eastAsia="Calibri" w:hAnsi="Calibri"/>
          <w:sz w:val="18"/>
          <w:szCs w:val="18"/>
          <w:u w:val="single" w:color="auto"/>
          <w:color w:val="0000FF"/>
        </w:rPr>
        <w:t xml:space="preserve"> </w:t>
      </w:r>
      <w:hyperlink r:id="rId362">
        <w:r>
          <w:rPr>
            <w:rFonts w:ascii="Calibri" w:cs="Calibri" w:eastAsia="Calibri" w:hAnsi="Calibri"/>
            <w:sz w:val="18"/>
            <w:szCs w:val="18"/>
            <w:u w:val="single" w:color="auto"/>
            <w:color w:val="0000FF"/>
          </w:rPr>
          <w:t>September 4, 2024, by and among Evonik Operatons GmbH and the</w:t>
        </w:r>
      </w:hyperlink>
      <w:r>
        <w:rPr>
          <w:rFonts w:ascii="Calibri" w:cs="Calibri" w:eastAsia="Calibri" w:hAnsi="Calibri"/>
          <w:sz w:val="18"/>
          <w:szCs w:val="18"/>
          <w:u w:val="single" w:color="auto"/>
          <w:color w:val="0000FF"/>
        </w:rPr>
        <w:t xml:space="preserve"> </w:t>
      </w:r>
      <w:hyperlink r:id="rId362">
        <w:r>
          <w:rPr>
            <w:rFonts w:ascii="Calibri" w:cs="Calibri" w:eastAsia="Calibri" w:hAnsi="Calibri"/>
            <w:sz w:val="18"/>
            <w:szCs w:val="18"/>
            <w:u w:val="single" w:color="auto"/>
            <w:color w:val="0000FF"/>
          </w:rPr>
          <w:t>Registrant</w:t>
        </w:r>
      </w:hyperlink>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-292100</wp:posOffset>
            </wp:positionV>
            <wp:extent cx="32613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63">
                      <a:extLst>
                        <a:ext uri="{28A0092B-C50C-407E-A947-70E740481C1C}"/>
                      </a:extLst>
                    </a:blip>
                    <a:srcRect/>
                    <a:stretch>
                      <a:fillRect/>
                    </a:stretch>
                  </pic:blipFill>
                  <pic:spPr bwMode="auto">
                    <a:xfrm>
                      <a:off x="0" y="0"/>
                      <a:ext cx="3261360"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-154940</wp:posOffset>
            </wp:positionV>
            <wp:extent cx="311721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64">
                      <a:extLst>
                        <a:ext uri="{28A0092B-C50C-407E-A947-70E740481C1C}"/>
                      </a:extLst>
                    </a:blip>
                    <a:srcRect/>
                    <a:stretch>
                      <a:fillRect/>
                    </a:stretch>
                  </pic:blipFill>
                  <pic:spPr bwMode="auto">
                    <a:xfrm>
                      <a:off x="0" y="0"/>
                      <a:ext cx="3117215" cy="8255"/>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-17780</wp:posOffset>
            </wp:positionV>
            <wp:extent cx="46291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65">
                      <a:extLst>
                        <a:ext uri="{28A0092B-C50C-407E-A947-70E740481C1C}"/>
                      </a:extLst>
                    </a:blip>
                    <a:srcRect/>
                    <a:stretch>
                      <a:fillRect/>
                    </a:stretch>
                  </pic:blipFill>
                  <pic:spPr bwMode="auto">
                    <a:xfrm>
                      <a:off x="0" y="0"/>
                      <a:ext cx="462915" cy="8255"/>
                    </a:xfrm>
                    <a:prstGeom prst="rect">
                      <a:avLst/>
                    </a:prstGeom>
                    <a:noFill/>
                  </pic:spPr>
                </pic:pic>
              </a:graphicData>
            </a:graphic>
          </wp:anchor>
        </w:drawing>
      </w:r>
    </w:p>
    <w:p>
      <w:pPr>
        <w:ind w:left="860" w:right="160" w:hanging="827"/>
        <w:spacing w:after="0" w:line="235" w:lineRule="auto"/>
        <w:tabs>
          <w:tab w:leader="none" w:pos="840" w:val="left"/>
        </w:tabs>
        <w:rPr>
          <w:sz w:val="20"/>
          <w:szCs w:val="20"/>
          <w:color w:val="auto"/>
        </w:rPr>
      </w:pPr>
      <w:r>
        <w:rPr>
          <w:rFonts w:ascii="Calibri" w:cs="Calibri" w:eastAsia="Calibri" w:hAnsi="Calibri"/>
          <w:sz w:val="18"/>
          <w:szCs w:val="18"/>
          <w:color w:val="auto"/>
        </w:rPr>
        <w:t>10.30</w:t>
      </w:r>
      <w:r>
        <w:rPr>
          <w:sz w:val="20"/>
          <w:szCs w:val="20"/>
          <w:color w:val="auto"/>
        </w:rPr>
        <w:tab/>
      </w:r>
      <w:r>
        <w:rPr>
          <w:rFonts w:ascii="Calibri" w:cs="Calibri" w:eastAsia="Calibri" w:hAnsi="Calibri"/>
          <w:sz w:val="18"/>
          <w:szCs w:val="18"/>
          <w:u w:val="single" w:color="auto"/>
          <w:color w:val="0000FF"/>
        </w:rPr>
        <w:t>Joinder Agreement dated December 23, 2024 by and among CO Finance III LVS LX LP and the Registrant</w:t>
      </w:r>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547370</wp:posOffset>
            </wp:positionH>
            <wp:positionV relativeFrom="paragraph">
              <wp:posOffset>-155575</wp:posOffset>
            </wp:positionV>
            <wp:extent cx="331343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66">
                      <a:extLst>
                        <a:ext uri="{28A0092B-C50C-407E-A947-70E740481C1C}"/>
                      </a:extLst>
                    </a:blip>
                    <a:srcRect/>
                    <a:stretch>
                      <a:fillRect/>
                    </a:stretch>
                  </pic:blipFill>
                  <pic:spPr bwMode="auto">
                    <a:xfrm>
                      <a:off x="0" y="0"/>
                      <a:ext cx="3313430" cy="8890"/>
                    </a:xfrm>
                    <a:prstGeom prst="rect">
                      <a:avLst/>
                    </a:prstGeom>
                    <a:noFill/>
                  </pic:spPr>
                </pic:pic>
              </a:graphicData>
            </a:graphic>
          </wp:anchor>
        </w:drawing>
        <w:drawing>
          <wp:anchor simplePos="0" relativeHeight="251657728" behindDoc="1" locked="0" layoutInCell="0" allowOverlap="1">
            <wp:simplePos x="0" y="0"/>
            <wp:positionH relativeFrom="column">
              <wp:posOffset>547370</wp:posOffset>
            </wp:positionH>
            <wp:positionV relativeFrom="paragraph">
              <wp:posOffset>-18415</wp:posOffset>
            </wp:positionV>
            <wp:extent cx="139065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67">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drawing>
          <wp:anchor simplePos="0" relativeHeight="251657728" behindDoc="1" locked="0" layoutInCell="0" allowOverlap="1">
            <wp:simplePos x="0" y="0"/>
            <wp:positionH relativeFrom="column">
              <wp:posOffset>-184785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Calibri" w:cs="Calibri" w:eastAsia="Calibri" w:hAnsi="Calibri"/>
          <w:sz w:val="18"/>
          <w:szCs w:val="18"/>
          <w:u w:val="single" w:color="auto"/>
          <w:color w:val="0000FF"/>
        </w:rPr>
      </w:pPr>
      <w:r>
        <w:rPr>
          <w:rFonts w:ascii="Calibri" w:cs="Calibri" w:eastAsia="Calibri" w:hAnsi="Calibri"/>
          <w:sz w:val="18"/>
          <w:szCs w:val="18"/>
          <w:u w:val="single" w:color="auto"/>
          <w:color w:val="0000FF"/>
        </w:rPr>
        <w:br w:type="column"/>
      </w:r>
    </w:p>
    <w:p>
      <w:pPr>
        <w:spacing w:after="0" w:line="1" w:lineRule="exact"/>
        <w:rPr>
          <w:rFonts w:ascii="Calibri" w:cs="Calibri" w:eastAsia="Calibri" w:hAnsi="Calibri"/>
          <w:sz w:val="1"/>
          <w:szCs w:val="1"/>
          <w:u w:val="single" w:color="auto"/>
          <w:color w:val="0000FF"/>
        </w:rPr>
      </w:pPr>
    </w:p>
    <w:tbl>
      <w:tblPr>
        <w:tblLayout w:type="fixed"/>
        <w:tblInd w:w="0" w:type="dxa"/>
        <w:tblCellMar>
          <w:top w:w="0" w:type="dxa"/>
          <w:left w:w="0" w:type="dxa"/>
          <w:bottom w:w="0" w:type="dxa"/>
          <w:right w:w="0" w:type="dxa"/>
        </w:tblCellMar>
      </w:tblPr>
      <w:tr>
        <w:trPr>
          <w:trHeight w:val="220"/>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S-1</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9-30-2019</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10.9</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S-1</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9-30-2019</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10.11</w:t>
            </w:r>
          </w:p>
        </w:tc>
      </w:tr>
      <w:tr>
        <w:trPr>
          <w:trHeight w:val="270"/>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S-1</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9-30-2019</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10.12</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S-1</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9-30-2019</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10.14</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w w:val="96"/>
              </w:rPr>
              <w:t>10-K</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3-30-2021</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10.20</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w w:val="96"/>
              </w:rPr>
              <w:t>10-K</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3-30-2021</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10.21</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8-10-2021</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10.4</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11-8-2021</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10.1</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w w:val="96"/>
              </w:rPr>
              <w:t>10-K</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7"/>
              </w:rPr>
              <w:t>3-1-2022</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10.30</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5-10-2022</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10.1</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7"/>
              </w:rPr>
              <w:t>8-1-2022</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10.2</w:t>
            </w:r>
          </w:p>
        </w:tc>
      </w:tr>
      <w:tr>
        <w:trPr>
          <w:trHeight w:val="648"/>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7"/>
              </w:rPr>
              <w:t>8-1-2022</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10.3</w:t>
            </w:r>
          </w:p>
        </w:tc>
      </w:tr>
      <w:tr>
        <w:trPr>
          <w:trHeight w:val="648"/>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7"/>
              </w:rPr>
              <w:t>8-1-2022</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10.4</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11-9-2022</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10.1</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11-9-2022</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10.2</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w w:val="96"/>
              </w:rPr>
              <w:t>10-K</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2-28-2023</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10.37</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5-10-2023</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10.1</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6"/>
              </w:rPr>
              <w:t>8-10-2023</w:t>
            </w:r>
          </w:p>
        </w:tc>
        <w:tc>
          <w:tcPr>
            <w:tcW w:w="760" w:type="dxa"/>
            <w:vAlign w:val="bottom"/>
          </w:tcPr>
          <w:p>
            <w:pPr>
              <w:jc w:val="center"/>
              <w:ind w:left="250"/>
              <w:spacing w:after="0"/>
              <w:rPr>
                <w:sz w:val="20"/>
                <w:szCs w:val="20"/>
                <w:color w:val="auto"/>
              </w:rPr>
            </w:pPr>
            <w:r>
              <w:rPr>
                <w:rFonts w:ascii="Calibri" w:cs="Calibri" w:eastAsia="Calibri" w:hAnsi="Calibri"/>
                <w:sz w:val="18"/>
                <w:szCs w:val="18"/>
                <w:color w:val="auto"/>
                <w:w w:val="93"/>
              </w:rPr>
              <w:t>10.1</w:t>
            </w:r>
          </w:p>
        </w:tc>
      </w:tr>
      <w:tr>
        <w:trPr>
          <w:trHeight w:val="648"/>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w w:val="96"/>
              </w:rPr>
              <w:t>10-K</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7"/>
              </w:rPr>
              <w:t>3-7-2024</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10.26</w:t>
            </w:r>
          </w:p>
        </w:tc>
      </w:tr>
      <w:tr>
        <w:trPr>
          <w:trHeight w:val="648"/>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w w:val="96"/>
              </w:rPr>
              <w:t>10-K</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7"/>
              </w:rPr>
              <w:t>3-7-2024</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10.27</w:t>
            </w:r>
          </w:p>
        </w:tc>
      </w:tr>
      <w:tr>
        <w:trPr>
          <w:trHeight w:val="432"/>
        </w:trPr>
        <w:tc>
          <w:tcPr>
            <w:tcW w:w="640" w:type="dxa"/>
            <w:vAlign w:val="bottom"/>
          </w:tcPr>
          <w:p>
            <w:pPr>
              <w:jc w:val="center"/>
              <w:ind w:right="190"/>
              <w:spacing w:after="0"/>
              <w:rPr>
                <w:sz w:val="20"/>
                <w:szCs w:val="20"/>
                <w:color w:val="auto"/>
              </w:rPr>
            </w:pPr>
            <w:r>
              <w:rPr>
                <w:rFonts w:ascii="Calibri" w:cs="Calibri" w:eastAsia="Calibri" w:hAnsi="Calibri"/>
                <w:sz w:val="18"/>
                <w:szCs w:val="18"/>
                <w:color w:val="auto"/>
                <w:w w:val="96"/>
              </w:rPr>
              <w:t>10-K</w:t>
            </w:r>
          </w:p>
        </w:tc>
        <w:tc>
          <w:tcPr>
            <w:tcW w:w="1380" w:type="dxa"/>
            <w:vAlign w:val="bottom"/>
          </w:tcPr>
          <w:p>
            <w:pPr>
              <w:jc w:val="center"/>
              <w:spacing w:after="0"/>
              <w:rPr>
                <w:sz w:val="20"/>
                <w:szCs w:val="20"/>
                <w:color w:val="auto"/>
              </w:rPr>
            </w:pPr>
            <w:r>
              <w:rPr>
                <w:rFonts w:ascii="Calibri" w:cs="Calibri" w:eastAsia="Calibri" w:hAnsi="Calibri"/>
                <w:sz w:val="18"/>
                <w:szCs w:val="18"/>
                <w:color w:val="auto"/>
                <w:w w:val="97"/>
              </w:rPr>
              <w:t>3-7-2024</w:t>
            </w:r>
          </w:p>
        </w:tc>
        <w:tc>
          <w:tcPr>
            <w:tcW w:w="760" w:type="dxa"/>
            <w:vAlign w:val="bottom"/>
          </w:tcPr>
          <w:p>
            <w:pPr>
              <w:jc w:val="center"/>
              <w:ind w:left="270"/>
              <w:spacing w:after="0"/>
              <w:rPr>
                <w:sz w:val="20"/>
                <w:szCs w:val="20"/>
                <w:color w:val="auto"/>
              </w:rPr>
            </w:pPr>
            <w:r>
              <w:rPr>
                <w:rFonts w:ascii="Calibri" w:cs="Calibri" w:eastAsia="Calibri" w:hAnsi="Calibri"/>
                <w:sz w:val="18"/>
                <w:szCs w:val="18"/>
                <w:color w:val="auto"/>
                <w:w w:val="97"/>
              </w:rPr>
              <w:t>10.28</w:t>
            </w:r>
          </w:p>
        </w:tc>
      </w:tr>
      <w:tr>
        <w:trPr>
          <w:trHeight w:val="216"/>
        </w:trPr>
        <w:tc>
          <w:tcPr>
            <w:tcW w:w="640" w:type="dxa"/>
            <w:vAlign w:val="bottom"/>
          </w:tcPr>
          <w:p>
            <w:pPr>
              <w:jc w:val="center"/>
              <w:ind w:right="190"/>
              <w:spacing w:after="0" w:line="216" w:lineRule="exact"/>
              <w:rPr>
                <w:sz w:val="20"/>
                <w:szCs w:val="20"/>
                <w:color w:val="auto"/>
              </w:rPr>
            </w:pPr>
            <w:r>
              <w:rPr>
                <w:rFonts w:ascii="Calibri" w:cs="Calibri" w:eastAsia="Calibri" w:hAnsi="Calibri"/>
                <w:sz w:val="18"/>
                <w:szCs w:val="18"/>
                <w:color w:val="auto"/>
              </w:rPr>
              <w:t>10-Q</w:t>
            </w:r>
          </w:p>
        </w:tc>
        <w:tc>
          <w:tcPr>
            <w:tcW w:w="1380" w:type="dxa"/>
            <w:vAlign w:val="bottom"/>
          </w:tcPr>
          <w:p>
            <w:pPr>
              <w:jc w:val="center"/>
              <w:spacing w:after="0" w:line="216" w:lineRule="exact"/>
              <w:rPr>
                <w:sz w:val="20"/>
                <w:szCs w:val="20"/>
                <w:color w:val="auto"/>
              </w:rPr>
            </w:pPr>
            <w:r>
              <w:rPr>
                <w:rFonts w:ascii="Calibri" w:cs="Calibri" w:eastAsia="Calibri" w:hAnsi="Calibri"/>
                <w:sz w:val="18"/>
                <w:szCs w:val="18"/>
                <w:color w:val="auto"/>
                <w:w w:val="96"/>
              </w:rPr>
              <w:t>11-7-2024</w:t>
            </w:r>
          </w:p>
        </w:tc>
        <w:tc>
          <w:tcPr>
            <w:tcW w:w="760" w:type="dxa"/>
            <w:vAlign w:val="bottom"/>
          </w:tcPr>
          <w:p>
            <w:pPr>
              <w:jc w:val="center"/>
              <w:ind w:left="250"/>
              <w:spacing w:after="0" w:line="216" w:lineRule="exact"/>
              <w:rPr>
                <w:sz w:val="20"/>
                <w:szCs w:val="20"/>
                <w:color w:val="auto"/>
              </w:rPr>
            </w:pPr>
            <w:r>
              <w:rPr>
                <w:rFonts w:ascii="Calibri" w:cs="Calibri" w:eastAsia="Calibri" w:hAnsi="Calibri"/>
                <w:sz w:val="18"/>
                <w:szCs w:val="18"/>
                <w:color w:val="auto"/>
                <w:w w:val="93"/>
              </w:rPr>
              <w:t>10.1</w:t>
            </w:r>
          </w:p>
        </w:tc>
      </w:tr>
    </w:tbl>
    <w:p>
      <w:pPr>
        <w:spacing w:after="0" w:line="200" w:lineRule="exact"/>
        <w:rPr>
          <w:rFonts w:ascii="Calibri" w:cs="Calibri" w:eastAsia="Calibri" w:hAnsi="Calibri"/>
          <w:sz w:val="18"/>
          <w:szCs w:val="18"/>
          <w:u w:val="single" w:color="auto"/>
          <w:color w:val="0000FF"/>
        </w:rPr>
      </w:pPr>
    </w:p>
    <w:p>
      <w:pPr>
        <w:spacing w:after="0" w:line="228" w:lineRule="exact"/>
        <w:rPr>
          <w:rFonts w:ascii="Calibri" w:cs="Calibri" w:eastAsia="Calibri" w:hAnsi="Calibri"/>
          <w:sz w:val="18"/>
          <w:szCs w:val="18"/>
          <w:u w:val="single" w:color="auto"/>
          <w:color w:val="0000FF"/>
        </w:rPr>
      </w:pPr>
    </w:p>
    <w:p>
      <w:pPr>
        <w:jc w:val="right"/>
        <w:spacing w:after="0"/>
        <w:rPr>
          <w:sz w:val="20"/>
          <w:szCs w:val="20"/>
          <w:color w:val="auto"/>
        </w:rPr>
      </w:pPr>
      <w:r>
        <w:rPr>
          <w:rFonts w:ascii="Calibri" w:cs="Calibri" w:eastAsia="Calibri" w:hAnsi="Calibri"/>
          <w:sz w:val="18"/>
          <w:szCs w:val="18"/>
          <w:color w:val="auto"/>
        </w:rPr>
        <w:t>X</w:t>
      </w:r>
    </w:p>
    <w:p>
      <w:pPr>
        <w:sectPr>
          <w:pgSz w:w="11900" w:h="16838" w:orient="portrait"/>
          <w:cols w:equalWidth="0" w:num="2">
            <w:col w:w="6200" w:space="360"/>
            <w:col w:w="3900"/>
          </w:cols>
          <w:pgMar w:left="600" w:top="976" w:right="839" w:bottom="1440" w:gutter="0" w:footer="0" w:header="0"/>
        </w:sectPr>
      </w:pPr>
    </w:p>
    <w:bookmarkStart w:id="148" w:name="page149"/>
    <w:bookmarkEnd w:id="148"/>
    <w:tbl>
      <w:tblPr>
        <w:tblLayout w:type="fixed"/>
        <w:tblInd w:w="220" w:type="dxa"/>
        <w:tblCellMar>
          <w:top w:w="0" w:type="dxa"/>
          <w:left w:w="0" w:type="dxa"/>
          <w:bottom w:w="0" w:type="dxa"/>
          <w:right w:w="0" w:type="dxa"/>
        </w:tblCellMar>
      </w:tblPr>
      <w:tr>
        <w:trPr>
          <w:trHeight w:val="220"/>
        </w:trPr>
        <w:tc>
          <w:tcPr>
            <w:tcW w:w="920" w:type="dxa"/>
            <w:vAlign w:val="bottom"/>
          </w:tcPr>
          <w:p>
            <w:pPr>
              <w:jc w:val="center"/>
              <w:ind w:right="250"/>
              <w:spacing w:after="0"/>
              <w:rPr>
                <w:sz w:val="20"/>
                <w:szCs w:val="20"/>
                <w:color w:val="auto"/>
              </w:rPr>
            </w:pPr>
            <w:r>
              <w:rPr>
                <w:rFonts w:ascii="Calibri" w:cs="Calibri" w:eastAsia="Calibri" w:hAnsi="Calibri"/>
                <w:sz w:val="18"/>
                <w:szCs w:val="18"/>
                <w:color w:val="auto"/>
                <w:w w:val="98"/>
              </w:rPr>
              <w:t>19</w:t>
            </w:r>
          </w:p>
        </w:tc>
        <w:tc>
          <w:tcPr>
            <w:tcW w:w="4980" w:type="dxa"/>
            <w:vAlign w:val="bottom"/>
            <w:tcBorders>
              <w:bottom w:val="single" w:sz="8" w:color="0000FF"/>
            </w:tcBorders>
            <w:gridSpan w:val="9"/>
          </w:tcPr>
          <w:p>
            <w:pPr>
              <w:spacing w:after="0"/>
              <w:rPr>
                <w:sz w:val="20"/>
                <w:szCs w:val="20"/>
                <w:color w:val="auto"/>
              </w:rPr>
            </w:pPr>
            <w:r>
              <w:rPr>
                <w:rFonts w:ascii="Calibri" w:cs="Calibri" w:eastAsia="Calibri" w:hAnsi="Calibri"/>
                <w:sz w:val="18"/>
                <w:szCs w:val="18"/>
                <w:color w:val="0000FF"/>
                <w:w w:val="98"/>
              </w:rPr>
              <w:t>Phathom Pharmaceutcals, Inc. Insider Trading Compliance Policy and</w:t>
            </w:r>
          </w:p>
        </w:tc>
        <w:tc>
          <w:tcPr>
            <w:tcW w:w="520" w:type="dxa"/>
            <w:vAlign w:val="bottom"/>
            <w:gridSpan w:val="4"/>
          </w:tcPr>
          <w:p>
            <w:pPr>
              <w:spacing w:after="0"/>
              <w:rPr>
                <w:sz w:val="19"/>
                <w:szCs w:val="19"/>
                <w:color w:val="auto"/>
              </w:rPr>
            </w:pP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40" w:type="dxa"/>
            <w:vAlign w:val="bottom"/>
          </w:tcPr>
          <w:p>
            <w:pPr>
              <w:ind w:left="1740"/>
              <w:spacing w:after="0"/>
              <w:rPr>
                <w:sz w:val="20"/>
                <w:szCs w:val="20"/>
                <w:color w:val="auto"/>
              </w:rPr>
            </w:pPr>
            <w:r>
              <w:rPr>
                <w:rFonts w:ascii="Calibri" w:cs="Calibri" w:eastAsia="Calibri" w:hAnsi="Calibri"/>
                <w:sz w:val="18"/>
                <w:szCs w:val="18"/>
                <w:color w:val="auto"/>
                <w:w w:val="85"/>
              </w:rPr>
              <w:t>X</w:t>
            </w:r>
          </w:p>
        </w:tc>
      </w:tr>
      <w:tr>
        <w:trPr>
          <w:trHeight w:val="196"/>
        </w:trPr>
        <w:tc>
          <w:tcPr>
            <w:tcW w:w="92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Calibri" w:cs="Calibri" w:eastAsia="Calibri" w:hAnsi="Calibri"/>
                <w:sz w:val="18"/>
                <w:szCs w:val="18"/>
                <w:color w:val="0000FF"/>
              </w:rPr>
              <w:t>Procedures</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jc w:val="center"/>
              <w:ind w:right="230"/>
              <w:spacing w:after="0" w:line="196" w:lineRule="exact"/>
              <w:rPr>
                <w:sz w:val="20"/>
                <w:szCs w:val="20"/>
                <w:color w:val="auto"/>
              </w:rPr>
            </w:pPr>
            <w:r>
              <w:rPr>
                <w:rFonts w:ascii="Calibri" w:cs="Calibri" w:eastAsia="Calibri" w:hAnsi="Calibri"/>
                <w:sz w:val="18"/>
                <w:szCs w:val="18"/>
                <w:color w:val="auto"/>
              </w:rPr>
              <w:t>23.1</w:t>
            </w:r>
          </w:p>
        </w:tc>
        <w:tc>
          <w:tcPr>
            <w:tcW w:w="4240" w:type="dxa"/>
            <w:vAlign w:val="bottom"/>
            <w:tcBorders>
              <w:bottom w:val="single" w:sz="8" w:color="0000FF"/>
            </w:tcBorders>
            <w:gridSpan w:val="6"/>
          </w:tcPr>
          <w:p>
            <w:pPr>
              <w:spacing w:after="0" w:line="196" w:lineRule="exact"/>
              <w:rPr>
                <w:sz w:val="20"/>
                <w:szCs w:val="20"/>
                <w:color w:val="auto"/>
              </w:rPr>
            </w:pPr>
            <w:r>
              <w:rPr>
                <w:rFonts w:ascii="Calibri" w:cs="Calibri" w:eastAsia="Calibri" w:hAnsi="Calibri"/>
                <w:sz w:val="18"/>
                <w:szCs w:val="18"/>
                <w:color w:val="0000FF"/>
                <w:w w:val="98"/>
              </w:rPr>
              <w:t>Consent of Independent Registered Public Accountng Firm</w:t>
            </w:r>
          </w:p>
        </w:tc>
        <w:tc>
          <w:tcPr>
            <w:tcW w:w="126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ind w:left="1740"/>
              <w:spacing w:after="0" w:line="196" w:lineRule="exact"/>
              <w:rPr>
                <w:sz w:val="20"/>
                <w:szCs w:val="20"/>
                <w:color w:val="auto"/>
              </w:rPr>
            </w:pPr>
            <w:r>
              <w:rPr>
                <w:rFonts w:ascii="Calibri" w:cs="Calibri" w:eastAsia="Calibri" w:hAnsi="Calibri"/>
                <w:sz w:val="18"/>
                <w:szCs w:val="18"/>
                <w:color w:val="auto"/>
                <w:w w:val="85"/>
              </w:rPr>
              <w:t>X</w:t>
            </w:r>
          </w:p>
        </w:tc>
      </w:tr>
      <w:tr>
        <w:trPr>
          <w:trHeight w:val="196"/>
        </w:trPr>
        <w:tc>
          <w:tcPr>
            <w:tcW w:w="920" w:type="dxa"/>
            <w:vAlign w:val="bottom"/>
          </w:tcPr>
          <w:p>
            <w:pPr>
              <w:jc w:val="center"/>
              <w:ind w:right="230"/>
              <w:spacing w:after="0" w:line="196" w:lineRule="exact"/>
              <w:rPr>
                <w:sz w:val="20"/>
                <w:szCs w:val="20"/>
                <w:color w:val="auto"/>
              </w:rPr>
            </w:pPr>
            <w:r>
              <w:rPr>
                <w:rFonts w:ascii="Calibri" w:cs="Calibri" w:eastAsia="Calibri" w:hAnsi="Calibri"/>
                <w:sz w:val="18"/>
                <w:szCs w:val="18"/>
                <w:color w:val="auto"/>
              </w:rPr>
              <w:t>24.1</w:t>
            </w:r>
          </w:p>
        </w:tc>
        <w:tc>
          <w:tcPr>
            <w:tcW w:w="1340" w:type="dxa"/>
            <w:vAlign w:val="bottom"/>
            <w:tcBorders>
              <w:bottom w:val="single" w:sz="8" w:color="0000EE"/>
            </w:tcBorders>
            <w:gridSpan w:val="2"/>
          </w:tcPr>
          <w:p>
            <w:pPr>
              <w:spacing w:after="0" w:line="196" w:lineRule="exact"/>
              <w:rPr>
                <w:sz w:val="20"/>
                <w:szCs w:val="20"/>
                <w:color w:val="auto"/>
              </w:rPr>
            </w:pPr>
            <w:r>
              <w:rPr>
                <w:rFonts w:ascii="Calibri" w:cs="Calibri" w:eastAsia="Calibri" w:hAnsi="Calibri"/>
                <w:sz w:val="18"/>
                <w:szCs w:val="18"/>
                <w:color w:val="0000FF"/>
              </w:rPr>
              <w:t>Power of Atorney</w:t>
            </w:r>
          </w:p>
        </w:tc>
        <w:tc>
          <w:tcPr>
            <w:tcW w:w="416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ind w:left="1740"/>
              <w:spacing w:after="0" w:line="196" w:lineRule="exact"/>
              <w:rPr>
                <w:sz w:val="20"/>
                <w:szCs w:val="20"/>
                <w:color w:val="auto"/>
              </w:rPr>
            </w:pPr>
            <w:r>
              <w:rPr>
                <w:rFonts w:ascii="Calibri" w:cs="Calibri" w:eastAsia="Calibri" w:hAnsi="Calibri"/>
                <w:sz w:val="18"/>
                <w:szCs w:val="18"/>
                <w:color w:val="auto"/>
                <w:w w:val="85"/>
              </w:rPr>
              <w:t>X</w:t>
            </w:r>
          </w:p>
        </w:tc>
      </w:tr>
      <w:tr>
        <w:trPr>
          <w:trHeight w:val="196"/>
        </w:trPr>
        <w:tc>
          <w:tcPr>
            <w:tcW w:w="920" w:type="dxa"/>
            <w:vAlign w:val="bottom"/>
          </w:tcPr>
          <w:p>
            <w:pPr>
              <w:jc w:val="center"/>
              <w:ind w:right="230"/>
              <w:spacing w:after="0" w:line="196" w:lineRule="exact"/>
              <w:rPr>
                <w:sz w:val="20"/>
                <w:szCs w:val="20"/>
                <w:color w:val="auto"/>
              </w:rPr>
            </w:pPr>
            <w:r>
              <w:rPr>
                <w:rFonts w:ascii="Calibri" w:cs="Calibri" w:eastAsia="Calibri" w:hAnsi="Calibri"/>
                <w:sz w:val="18"/>
                <w:szCs w:val="18"/>
                <w:color w:val="auto"/>
              </w:rPr>
              <w:t>31.1</w:t>
            </w:r>
          </w:p>
        </w:tc>
        <w:tc>
          <w:tcPr>
            <w:tcW w:w="5220" w:type="dxa"/>
            <w:vAlign w:val="bottom"/>
            <w:tcBorders>
              <w:bottom w:val="single" w:sz="8" w:color="0000FF"/>
            </w:tcBorders>
            <w:gridSpan w:val="12"/>
          </w:tcPr>
          <w:p>
            <w:pPr>
              <w:spacing w:after="0" w:line="196" w:lineRule="exact"/>
              <w:rPr>
                <w:sz w:val="20"/>
                <w:szCs w:val="20"/>
                <w:color w:val="auto"/>
              </w:rPr>
            </w:pPr>
            <w:r>
              <w:rPr>
                <w:rFonts w:ascii="Calibri" w:cs="Calibri" w:eastAsia="Calibri" w:hAnsi="Calibri"/>
                <w:sz w:val="18"/>
                <w:szCs w:val="18"/>
                <w:color w:val="0000FF"/>
              </w:rPr>
              <w:t>Certfcaton of Chief Executve Ofcer of Phathom Pharmaceutcals, Inc.,</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ind w:left="1740"/>
              <w:spacing w:after="0" w:line="196" w:lineRule="exact"/>
              <w:rPr>
                <w:sz w:val="20"/>
                <w:szCs w:val="20"/>
                <w:color w:val="auto"/>
              </w:rPr>
            </w:pPr>
            <w:r>
              <w:rPr>
                <w:rFonts w:ascii="Calibri" w:cs="Calibri" w:eastAsia="Calibri" w:hAnsi="Calibri"/>
                <w:sz w:val="18"/>
                <w:szCs w:val="18"/>
                <w:color w:val="auto"/>
                <w:w w:val="85"/>
              </w:rPr>
              <w:t>X</w:t>
            </w:r>
          </w:p>
        </w:tc>
      </w:tr>
      <w:tr>
        <w:trPr>
          <w:trHeight w:val="196"/>
        </w:trPr>
        <w:tc>
          <w:tcPr>
            <w:tcW w:w="920" w:type="dxa"/>
            <w:vAlign w:val="bottom"/>
          </w:tcPr>
          <w:p>
            <w:pPr>
              <w:spacing w:after="0"/>
              <w:rPr>
                <w:sz w:val="17"/>
                <w:szCs w:val="17"/>
                <w:color w:val="auto"/>
              </w:rPr>
            </w:pPr>
          </w:p>
        </w:tc>
        <w:tc>
          <w:tcPr>
            <w:tcW w:w="4880" w:type="dxa"/>
            <w:vAlign w:val="bottom"/>
            <w:tcBorders>
              <w:bottom w:val="single" w:sz="8" w:color="0000FF"/>
            </w:tcBorders>
            <w:gridSpan w:val="7"/>
          </w:tcPr>
          <w:p>
            <w:pPr>
              <w:spacing w:after="0" w:line="196" w:lineRule="exact"/>
              <w:rPr>
                <w:sz w:val="20"/>
                <w:szCs w:val="20"/>
                <w:color w:val="auto"/>
              </w:rPr>
            </w:pPr>
            <w:r>
              <w:rPr>
                <w:rFonts w:ascii="Calibri" w:cs="Calibri" w:eastAsia="Calibri" w:hAnsi="Calibri"/>
                <w:sz w:val="18"/>
                <w:szCs w:val="18"/>
                <w:color w:val="0000FF"/>
                <w:w w:val="98"/>
              </w:rPr>
              <w:t>as required by Rule 13a-14(a) or Rule 15d-14(a) under the Securites</w:t>
            </w:r>
          </w:p>
        </w:tc>
        <w:tc>
          <w:tcPr>
            <w:tcW w:w="620" w:type="dxa"/>
            <w:vAlign w:val="bottom"/>
            <w:gridSpan w:val="6"/>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Calibri" w:cs="Calibri" w:eastAsia="Calibri" w:hAnsi="Calibri"/>
                <w:sz w:val="18"/>
                <w:szCs w:val="18"/>
                <w:color w:val="0000FF"/>
              </w:rPr>
              <w:t>Exchange Act of 1934, as amended</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jc w:val="center"/>
              <w:ind w:right="230"/>
              <w:spacing w:after="0" w:line="196" w:lineRule="exact"/>
              <w:rPr>
                <w:sz w:val="20"/>
                <w:szCs w:val="20"/>
                <w:color w:val="auto"/>
              </w:rPr>
            </w:pPr>
            <w:r>
              <w:rPr>
                <w:rFonts w:ascii="Calibri" w:cs="Calibri" w:eastAsia="Calibri" w:hAnsi="Calibri"/>
                <w:sz w:val="18"/>
                <w:szCs w:val="18"/>
                <w:color w:val="auto"/>
              </w:rPr>
              <w:t>31.2</w:t>
            </w:r>
          </w:p>
        </w:tc>
        <w:tc>
          <w:tcPr>
            <w:tcW w:w="5080" w:type="dxa"/>
            <w:vAlign w:val="bottom"/>
            <w:tcBorders>
              <w:bottom w:val="single" w:sz="8" w:color="0000FF"/>
            </w:tcBorders>
            <w:gridSpan w:val="10"/>
          </w:tcPr>
          <w:p>
            <w:pPr>
              <w:spacing w:after="0" w:line="196" w:lineRule="exact"/>
              <w:rPr>
                <w:sz w:val="20"/>
                <w:szCs w:val="20"/>
                <w:color w:val="auto"/>
              </w:rPr>
            </w:pPr>
            <w:r>
              <w:rPr>
                <w:rFonts w:ascii="Calibri" w:cs="Calibri" w:eastAsia="Calibri" w:hAnsi="Calibri"/>
                <w:sz w:val="18"/>
                <w:szCs w:val="18"/>
                <w:color w:val="0000FF"/>
              </w:rPr>
              <w:t>Certfcaton of Principal Financial Ofcer of Phathom Pharmaceutcals,</w:t>
            </w:r>
          </w:p>
        </w:tc>
        <w:tc>
          <w:tcPr>
            <w:tcW w:w="42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ind w:left="1740"/>
              <w:spacing w:after="0" w:line="196" w:lineRule="exact"/>
              <w:rPr>
                <w:sz w:val="20"/>
                <w:szCs w:val="20"/>
                <w:color w:val="auto"/>
              </w:rPr>
            </w:pPr>
            <w:r>
              <w:rPr>
                <w:rFonts w:ascii="Calibri" w:cs="Calibri" w:eastAsia="Calibri" w:hAnsi="Calibri"/>
                <w:sz w:val="18"/>
                <w:szCs w:val="18"/>
                <w:color w:val="auto"/>
                <w:w w:val="85"/>
              </w:rPr>
              <w:t>X</w:t>
            </w:r>
          </w:p>
        </w:tc>
      </w:tr>
      <w:tr>
        <w:trPr>
          <w:trHeight w:val="196"/>
        </w:trPr>
        <w:tc>
          <w:tcPr>
            <w:tcW w:w="920" w:type="dxa"/>
            <w:vAlign w:val="bottom"/>
          </w:tcPr>
          <w:p>
            <w:pPr>
              <w:spacing w:after="0"/>
              <w:rPr>
                <w:sz w:val="17"/>
                <w:szCs w:val="17"/>
                <w:color w:val="auto"/>
              </w:rPr>
            </w:pPr>
          </w:p>
        </w:tc>
        <w:tc>
          <w:tcPr>
            <w:tcW w:w="5220" w:type="dxa"/>
            <w:vAlign w:val="bottom"/>
            <w:tcBorders>
              <w:bottom w:val="single" w:sz="8" w:color="0000FF"/>
            </w:tcBorders>
            <w:gridSpan w:val="12"/>
          </w:tcPr>
          <w:p>
            <w:pPr>
              <w:spacing w:after="0" w:line="196" w:lineRule="exact"/>
              <w:rPr>
                <w:sz w:val="20"/>
                <w:szCs w:val="20"/>
                <w:color w:val="auto"/>
              </w:rPr>
            </w:pPr>
            <w:r>
              <w:rPr>
                <w:rFonts w:ascii="Calibri" w:cs="Calibri" w:eastAsia="Calibri" w:hAnsi="Calibri"/>
                <w:sz w:val="18"/>
                <w:szCs w:val="18"/>
                <w:color w:val="0000FF"/>
                <w:w w:val="98"/>
              </w:rPr>
              <w:t>Inc., as required by Rule 13a-14(a) or Rule 15d-14(a) under the Securites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Calibri" w:cs="Calibri" w:eastAsia="Calibri" w:hAnsi="Calibri"/>
                <w:sz w:val="18"/>
                <w:szCs w:val="18"/>
                <w:color w:val="0000FF"/>
              </w:rPr>
              <w:t>Exchange Act of 1934, as amended</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jc w:val="center"/>
              <w:ind w:right="230"/>
              <w:spacing w:after="0" w:line="196" w:lineRule="exact"/>
              <w:rPr>
                <w:sz w:val="20"/>
                <w:szCs w:val="20"/>
                <w:color w:val="auto"/>
              </w:rPr>
            </w:pPr>
            <w:r>
              <w:rPr>
                <w:rFonts w:ascii="Calibri" w:cs="Calibri" w:eastAsia="Calibri" w:hAnsi="Calibri"/>
                <w:sz w:val="18"/>
                <w:szCs w:val="18"/>
                <w:color w:val="auto"/>
                <w:w w:val="97"/>
              </w:rPr>
              <w:t>32.1*</w:t>
            </w:r>
          </w:p>
        </w:tc>
        <w:tc>
          <w:tcPr>
            <w:tcW w:w="4960" w:type="dxa"/>
            <w:vAlign w:val="bottom"/>
            <w:tcBorders>
              <w:bottom w:val="single" w:sz="8" w:color="0000FF"/>
            </w:tcBorders>
            <w:gridSpan w:val="8"/>
          </w:tcPr>
          <w:p>
            <w:pPr>
              <w:spacing w:after="0" w:line="196" w:lineRule="exact"/>
              <w:rPr>
                <w:sz w:val="20"/>
                <w:szCs w:val="20"/>
                <w:color w:val="auto"/>
              </w:rPr>
            </w:pPr>
            <w:r>
              <w:rPr>
                <w:rFonts w:ascii="Calibri" w:cs="Calibri" w:eastAsia="Calibri" w:hAnsi="Calibri"/>
                <w:sz w:val="18"/>
                <w:szCs w:val="18"/>
                <w:color w:val="0000FF"/>
              </w:rPr>
              <w:t>Certfcaton of Chief Executve Ofcer pursuant to Secton 906 of the</w:t>
            </w:r>
          </w:p>
        </w:tc>
        <w:tc>
          <w:tcPr>
            <w:tcW w:w="5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ind w:left="1740"/>
              <w:spacing w:after="0" w:line="196" w:lineRule="exact"/>
              <w:rPr>
                <w:sz w:val="20"/>
                <w:szCs w:val="20"/>
                <w:color w:val="auto"/>
              </w:rPr>
            </w:pPr>
            <w:r>
              <w:rPr>
                <w:rFonts w:ascii="Calibri" w:cs="Calibri" w:eastAsia="Calibri" w:hAnsi="Calibri"/>
                <w:sz w:val="18"/>
                <w:szCs w:val="18"/>
                <w:color w:val="auto"/>
                <w:w w:val="85"/>
              </w:rPr>
              <w:t>X</w:t>
            </w:r>
          </w:p>
        </w:tc>
      </w:tr>
      <w:tr>
        <w:trPr>
          <w:trHeight w:val="196"/>
        </w:trPr>
        <w:tc>
          <w:tcPr>
            <w:tcW w:w="92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980" w:type="dxa"/>
            <w:vAlign w:val="bottom"/>
            <w:tcBorders>
              <w:right w:val="single" w:sz="8" w:color="0000EE"/>
            </w:tcBorders>
            <w:gridSpan w:val="3"/>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jc w:val="center"/>
              <w:ind w:right="230"/>
              <w:spacing w:after="0" w:line="196" w:lineRule="exact"/>
              <w:rPr>
                <w:sz w:val="20"/>
                <w:szCs w:val="20"/>
                <w:color w:val="auto"/>
              </w:rPr>
            </w:pPr>
            <w:r>
              <w:rPr>
                <w:rFonts w:ascii="Calibri" w:cs="Calibri" w:eastAsia="Calibri" w:hAnsi="Calibri"/>
                <w:sz w:val="18"/>
                <w:szCs w:val="18"/>
                <w:color w:val="auto"/>
                <w:w w:val="97"/>
              </w:rPr>
              <w:t>32.2*</w:t>
            </w:r>
          </w:p>
        </w:tc>
        <w:tc>
          <w:tcPr>
            <w:tcW w:w="5160" w:type="dxa"/>
            <w:vAlign w:val="bottom"/>
            <w:tcBorders>
              <w:bottom w:val="single" w:sz="8" w:color="0000FF"/>
            </w:tcBorders>
            <w:gridSpan w:val="11"/>
          </w:tcPr>
          <w:p>
            <w:pPr>
              <w:spacing w:after="0" w:line="196" w:lineRule="exact"/>
              <w:rPr>
                <w:sz w:val="20"/>
                <w:szCs w:val="20"/>
                <w:color w:val="auto"/>
              </w:rPr>
            </w:pPr>
            <w:r>
              <w:rPr>
                <w:rFonts w:ascii="Calibri" w:cs="Calibri" w:eastAsia="Calibri" w:hAnsi="Calibri"/>
                <w:sz w:val="18"/>
                <w:szCs w:val="18"/>
                <w:color w:val="0000FF"/>
              </w:rPr>
              <w:t>Certfcaton of Principal Financial Ofcer pursuant to Secton 906 of the</w:t>
            </w:r>
          </w:p>
        </w:tc>
        <w:tc>
          <w:tcPr>
            <w:tcW w:w="3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ind w:left="1740"/>
              <w:spacing w:after="0" w:line="196" w:lineRule="exact"/>
              <w:rPr>
                <w:sz w:val="20"/>
                <w:szCs w:val="20"/>
                <w:color w:val="auto"/>
              </w:rPr>
            </w:pPr>
            <w:r>
              <w:rPr>
                <w:rFonts w:ascii="Calibri" w:cs="Calibri" w:eastAsia="Calibri" w:hAnsi="Calibri"/>
                <w:sz w:val="18"/>
                <w:szCs w:val="18"/>
                <w:color w:val="auto"/>
                <w:w w:val="85"/>
              </w:rPr>
              <w:t>X</w:t>
            </w:r>
          </w:p>
        </w:tc>
      </w:tr>
      <w:tr>
        <w:trPr>
          <w:trHeight w:val="196"/>
        </w:trPr>
        <w:tc>
          <w:tcPr>
            <w:tcW w:w="920" w:type="dxa"/>
            <w:vAlign w:val="bottom"/>
          </w:tcPr>
          <w:p>
            <w:pPr>
              <w:spacing w:after="0"/>
              <w:rPr>
                <w:sz w:val="17"/>
                <w:szCs w:val="17"/>
                <w:color w:val="auto"/>
              </w:rPr>
            </w:pPr>
          </w:p>
        </w:tc>
        <w:tc>
          <w:tcPr>
            <w:tcW w:w="5500" w:type="dxa"/>
            <w:vAlign w:val="bottom"/>
            <w:gridSpan w:val="13"/>
          </w:tcPr>
          <w:p>
            <w:pPr>
              <w:spacing w:after="0" w:line="196" w:lineRule="exact"/>
              <w:rPr>
                <w:sz w:val="20"/>
                <w:szCs w:val="20"/>
                <w:color w:val="auto"/>
              </w:rPr>
            </w:pPr>
            <w:r>
              <w:rPr>
                <w:rFonts w:ascii="Calibri" w:cs="Calibri" w:eastAsia="Calibri" w:hAnsi="Calibri"/>
                <w:sz w:val="18"/>
                <w:szCs w:val="18"/>
                <w:color w:val="0000FF"/>
              </w:rPr>
              <w:t>Sarbanes-Oxley Act of 2002</w:t>
            </w:r>
          </w:p>
        </w:tc>
        <w:tc>
          <w:tcPr>
            <w:tcW w:w="8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980" w:type="dxa"/>
            <w:vAlign w:val="bottom"/>
            <w:tcBorders>
              <w:right w:val="single" w:sz="8" w:color="0000EE"/>
            </w:tcBorders>
            <w:gridSpan w:val="3"/>
            <w:shd w:val="clear" w:color="auto" w:fill="0000FF"/>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196"/>
        </w:trPr>
        <w:tc>
          <w:tcPr>
            <w:tcW w:w="920" w:type="dxa"/>
            <w:vAlign w:val="bottom"/>
          </w:tcPr>
          <w:p>
            <w:pPr>
              <w:jc w:val="center"/>
              <w:ind w:right="250"/>
              <w:spacing w:after="0" w:line="196" w:lineRule="exact"/>
              <w:rPr>
                <w:sz w:val="20"/>
                <w:szCs w:val="20"/>
                <w:color w:val="auto"/>
              </w:rPr>
            </w:pPr>
            <w:r>
              <w:rPr>
                <w:rFonts w:ascii="Calibri" w:cs="Calibri" w:eastAsia="Calibri" w:hAnsi="Calibri"/>
                <w:sz w:val="18"/>
                <w:szCs w:val="18"/>
                <w:color w:val="auto"/>
                <w:w w:val="95"/>
              </w:rPr>
              <w:t>97#</w:t>
            </w:r>
          </w:p>
        </w:tc>
        <w:tc>
          <w:tcPr>
            <w:tcW w:w="5500" w:type="dxa"/>
            <w:vAlign w:val="bottom"/>
            <w:gridSpan w:val="13"/>
          </w:tcPr>
          <w:p>
            <w:pPr>
              <w:spacing w:after="0" w:line="196" w:lineRule="exact"/>
              <w:rPr>
                <w:rFonts w:ascii="Calibri" w:cs="Calibri" w:eastAsia="Calibri" w:hAnsi="Calibri"/>
                <w:sz w:val="18"/>
                <w:szCs w:val="18"/>
                <w:color w:val="0000FF"/>
              </w:rPr>
            </w:pPr>
            <w:hyperlink r:id="rId369">
              <w:r>
                <w:rPr>
                  <w:rFonts w:ascii="Calibri" w:cs="Calibri" w:eastAsia="Calibri" w:hAnsi="Calibri"/>
                  <w:sz w:val="18"/>
                  <w:szCs w:val="18"/>
                  <w:color w:val="0000FF"/>
                </w:rPr>
                <w:t>Policy for Recovery of Erroneously Awarded Compensaton</w:t>
              </w:r>
            </w:hyperlink>
          </w:p>
        </w:tc>
        <w:tc>
          <w:tcPr>
            <w:tcW w:w="860" w:type="dxa"/>
            <w:vAlign w:val="bottom"/>
          </w:tcPr>
          <w:p>
            <w:pPr>
              <w:ind w:left="220"/>
              <w:spacing w:after="0" w:line="196" w:lineRule="exact"/>
              <w:rPr>
                <w:sz w:val="20"/>
                <w:szCs w:val="20"/>
                <w:color w:val="auto"/>
              </w:rPr>
            </w:pPr>
            <w:r>
              <w:rPr>
                <w:rFonts w:ascii="Calibri" w:cs="Calibri" w:eastAsia="Calibri" w:hAnsi="Calibri"/>
                <w:sz w:val="18"/>
                <w:szCs w:val="18"/>
                <w:color w:val="auto"/>
              </w:rPr>
              <w:t>10-K</w:t>
            </w:r>
          </w:p>
        </w:tc>
        <w:tc>
          <w:tcPr>
            <w:tcW w:w="1400" w:type="dxa"/>
            <w:vAlign w:val="bottom"/>
          </w:tcPr>
          <w:p>
            <w:pPr>
              <w:jc w:val="right"/>
              <w:ind w:right="350"/>
              <w:spacing w:after="0" w:line="196" w:lineRule="exact"/>
              <w:rPr>
                <w:sz w:val="20"/>
                <w:szCs w:val="20"/>
                <w:color w:val="auto"/>
              </w:rPr>
            </w:pPr>
            <w:r>
              <w:rPr>
                <w:rFonts w:ascii="Calibri" w:cs="Calibri" w:eastAsia="Calibri" w:hAnsi="Calibri"/>
                <w:sz w:val="18"/>
                <w:szCs w:val="18"/>
                <w:color w:val="auto"/>
              </w:rPr>
              <w:t>3-7-2024</w:t>
            </w:r>
          </w:p>
        </w:tc>
        <w:tc>
          <w:tcPr>
            <w:tcW w:w="1840" w:type="dxa"/>
            <w:vAlign w:val="bottom"/>
          </w:tcPr>
          <w:p>
            <w:pPr>
              <w:ind w:left="420"/>
              <w:spacing w:after="0" w:line="196" w:lineRule="exact"/>
              <w:rPr>
                <w:sz w:val="20"/>
                <w:szCs w:val="20"/>
                <w:color w:val="auto"/>
              </w:rPr>
            </w:pPr>
            <w:r>
              <w:rPr>
                <w:rFonts w:ascii="Calibri" w:cs="Calibri" w:eastAsia="Calibri" w:hAnsi="Calibri"/>
                <w:sz w:val="18"/>
                <w:szCs w:val="18"/>
                <w:color w:val="auto"/>
              </w:rPr>
              <w:t>97</w:t>
            </w:r>
          </w:p>
        </w:tc>
      </w:tr>
      <w:tr>
        <w:trPr>
          <w:trHeight w:val="20"/>
        </w:trPr>
        <w:tc>
          <w:tcPr>
            <w:tcW w:w="920" w:type="dxa"/>
            <w:vAlign w:val="bottom"/>
          </w:tcPr>
          <w:p>
            <w:pPr>
              <w:spacing w:after="0" w:line="20" w:lineRule="exact"/>
              <w:rPr>
                <w:sz w:val="1"/>
                <w:szCs w:val="1"/>
                <w:color w:val="auto"/>
              </w:rPr>
            </w:pPr>
          </w:p>
        </w:tc>
        <w:tc>
          <w:tcPr>
            <w:tcW w:w="4220" w:type="dxa"/>
            <w:vAlign w:val="bottom"/>
            <w:tcBorders>
              <w:right w:val="single" w:sz="8" w:color="0000EE"/>
            </w:tcBorders>
            <w:gridSpan w:val="5"/>
            <w:shd w:val="clear" w:color="auto" w:fill="0000FF"/>
          </w:tcPr>
          <w:p>
            <w:pPr>
              <w:spacing w:after="0" w:line="20" w:lineRule="exact"/>
              <w:rPr>
                <w:sz w:val="1"/>
                <w:szCs w:val="1"/>
                <w:color w:val="auto"/>
              </w:rPr>
            </w:pPr>
          </w:p>
        </w:tc>
        <w:tc>
          <w:tcPr>
            <w:tcW w:w="1280" w:type="dxa"/>
            <w:vAlign w:val="bottom"/>
            <w:gridSpan w:val="8"/>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27"/>
        </w:trPr>
        <w:tc>
          <w:tcPr>
            <w:tcW w:w="920" w:type="dxa"/>
            <w:vAlign w:val="bottom"/>
          </w:tcPr>
          <w:p>
            <w:pPr>
              <w:ind w:left="20"/>
              <w:spacing w:after="0"/>
              <w:rPr>
                <w:sz w:val="20"/>
                <w:szCs w:val="20"/>
                <w:color w:val="auto"/>
              </w:rPr>
            </w:pPr>
            <w:r>
              <w:rPr>
                <w:rFonts w:ascii="Calibri" w:cs="Calibri" w:eastAsia="Calibri" w:hAnsi="Calibri"/>
                <w:sz w:val="18"/>
                <w:szCs w:val="18"/>
                <w:color w:val="auto"/>
              </w:rPr>
              <w:t>101.INS</w:t>
            </w:r>
          </w:p>
        </w:tc>
        <w:tc>
          <w:tcPr>
            <w:tcW w:w="5500" w:type="dxa"/>
            <w:vAlign w:val="bottom"/>
            <w:gridSpan w:val="13"/>
          </w:tcPr>
          <w:p>
            <w:pPr>
              <w:spacing w:after="0"/>
              <w:rPr>
                <w:sz w:val="20"/>
                <w:szCs w:val="20"/>
                <w:color w:val="auto"/>
              </w:rPr>
            </w:pPr>
            <w:r>
              <w:rPr>
                <w:rFonts w:ascii="Calibri" w:cs="Calibri" w:eastAsia="Calibri" w:hAnsi="Calibri"/>
                <w:sz w:val="18"/>
                <w:szCs w:val="18"/>
                <w:color w:val="auto"/>
              </w:rPr>
              <w:t>Inline XBRL Instance Document – the instance document does not appear</w:t>
            </w:r>
          </w:p>
        </w:tc>
        <w:tc>
          <w:tcPr>
            <w:tcW w:w="8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40" w:type="dxa"/>
            <w:vAlign w:val="bottom"/>
          </w:tcPr>
          <w:p>
            <w:pPr>
              <w:ind w:left="1740"/>
              <w:spacing w:after="0"/>
              <w:rPr>
                <w:sz w:val="20"/>
                <w:szCs w:val="20"/>
                <w:color w:val="auto"/>
              </w:rPr>
            </w:pPr>
            <w:r>
              <w:rPr>
                <w:rFonts w:ascii="Calibri" w:cs="Calibri" w:eastAsia="Calibri" w:hAnsi="Calibri"/>
                <w:sz w:val="16"/>
                <w:szCs w:val="16"/>
                <w:color w:val="auto"/>
                <w:w w:val="95"/>
              </w:rPr>
              <w:t>X</w:t>
            </w:r>
          </w:p>
        </w:tc>
      </w:tr>
      <w:tr>
        <w:trPr>
          <w:trHeight w:val="216"/>
        </w:trPr>
        <w:tc>
          <w:tcPr>
            <w:tcW w:w="920" w:type="dxa"/>
            <w:vAlign w:val="bottom"/>
          </w:tcPr>
          <w:p>
            <w:pPr>
              <w:spacing w:after="0"/>
              <w:rPr>
                <w:sz w:val="18"/>
                <w:szCs w:val="18"/>
                <w:color w:val="auto"/>
              </w:rPr>
            </w:pPr>
          </w:p>
        </w:tc>
        <w:tc>
          <w:tcPr>
            <w:tcW w:w="5500" w:type="dxa"/>
            <w:vAlign w:val="bottom"/>
            <w:gridSpan w:val="13"/>
          </w:tcPr>
          <w:p>
            <w:pPr>
              <w:spacing w:after="0" w:line="216" w:lineRule="exact"/>
              <w:rPr>
                <w:sz w:val="20"/>
                <w:szCs w:val="20"/>
                <w:color w:val="auto"/>
              </w:rPr>
            </w:pPr>
            <w:r>
              <w:rPr>
                <w:rFonts w:ascii="Calibri" w:cs="Calibri" w:eastAsia="Calibri" w:hAnsi="Calibri"/>
                <w:sz w:val="18"/>
                <w:szCs w:val="18"/>
                <w:color w:val="auto"/>
              </w:rPr>
              <w:t>in the Interactve Data File as its XBRL tags are embedded within the Inline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500" w:type="dxa"/>
            <w:vAlign w:val="bottom"/>
            <w:gridSpan w:val="13"/>
          </w:tcPr>
          <w:p>
            <w:pPr>
              <w:spacing w:after="0" w:line="216" w:lineRule="exact"/>
              <w:rPr>
                <w:sz w:val="20"/>
                <w:szCs w:val="20"/>
                <w:color w:val="auto"/>
              </w:rPr>
            </w:pPr>
            <w:r>
              <w:rPr>
                <w:rFonts w:ascii="Calibri" w:cs="Calibri" w:eastAsia="Calibri" w:hAnsi="Calibri"/>
                <w:sz w:val="18"/>
                <w:szCs w:val="18"/>
                <w:color w:val="auto"/>
              </w:rPr>
              <w:t>XBRL document</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0" w:type="dxa"/>
            <w:vAlign w:val="bottom"/>
          </w:tcPr>
          <w:p>
            <w:pPr>
              <w:spacing w:after="0" w:line="216" w:lineRule="exact"/>
              <w:rPr>
                <w:sz w:val="20"/>
                <w:szCs w:val="20"/>
                <w:color w:val="auto"/>
              </w:rPr>
            </w:pPr>
            <w:r>
              <w:rPr>
                <w:rFonts w:ascii="Calibri" w:cs="Calibri" w:eastAsia="Calibri" w:hAnsi="Calibri"/>
                <w:sz w:val="18"/>
                <w:szCs w:val="18"/>
                <w:color w:val="auto"/>
              </w:rPr>
              <w:t>101.SCH</w:t>
            </w:r>
          </w:p>
        </w:tc>
        <w:tc>
          <w:tcPr>
            <w:tcW w:w="5500" w:type="dxa"/>
            <w:vAlign w:val="bottom"/>
            <w:gridSpan w:val="13"/>
          </w:tcPr>
          <w:p>
            <w:pPr>
              <w:spacing w:after="0" w:line="216" w:lineRule="exact"/>
              <w:rPr>
                <w:sz w:val="20"/>
                <w:szCs w:val="20"/>
                <w:color w:val="auto"/>
              </w:rPr>
            </w:pPr>
            <w:r>
              <w:rPr>
                <w:rFonts w:ascii="Calibri" w:cs="Calibri" w:eastAsia="Calibri" w:hAnsi="Calibri"/>
                <w:sz w:val="18"/>
                <w:szCs w:val="18"/>
                <w:color w:val="auto"/>
              </w:rPr>
              <w:t>Inline XBRL Taxonomy Extension Schema With Embedded Linkbase</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40" w:type="dxa"/>
            <w:vAlign w:val="bottom"/>
          </w:tcPr>
          <w:p>
            <w:pPr>
              <w:ind w:left="1740"/>
              <w:spacing w:after="0"/>
              <w:rPr>
                <w:sz w:val="20"/>
                <w:szCs w:val="20"/>
                <w:color w:val="auto"/>
              </w:rPr>
            </w:pPr>
            <w:r>
              <w:rPr>
                <w:rFonts w:ascii="Calibri" w:cs="Calibri" w:eastAsia="Calibri" w:hAnsi="Calibri"/>
                <w:sz w:val="16"/>
                <w:szCs w:val="16"/>
                <w:color w:val="auto"/>
                <w:w w:val="95"/>
              </w:rPr>
              <w:t>X</w:t>
            </w:r>
          </w:p>
        </w:tc>
      </w:tr>
      <w:tr>
        <w:trPr>
          <w:trHeight w:val="216"/>
        </w:trPr>
        <w:tc>
          <w:tcPr>
            <w:tcW w:w="920" w:type="dxa"/>
            <w:vAlign w:val="bottom"/>
          </w:tcPr>
          <w:p>
            <w:pPr>
              <w:spacing w:after="0"/>
              <w:rPr>
                <w:sz w:val="18"/>
                <w:szCs w:val="18"/>
                <w:color w:val="auto"/>
              </w:rPr>
            </w:pPr>
          </w:p>
        </w:tc>
        <w:tc>
          <w:tcPr>
            <w:tcW w:w="5500" w:type="dxa"/>
            <w:vAlign w:val="bottom"/>
            <w:gridSpan w:val="13"/>
          </w:tcPr>
          <w:p>
            <w:pPr>
              <w:spacing w:after="0" w:line="216" w:lineRule="exact"/>
              <w:rPr>
                <w:sz w:val="20"/>
                <w:szCs w:val="20"/>
                <w:color w:val="auto"/>
              </w:rPr>
            </w:pPr>
            <w:r>
              <w:rPr>
                <w:rFonts w:ascii="Calibri" w:cs="Calibri" w:eastAsia="Calibri" w:hAnsi="Calibri"/>
                <w:sz w:val="18"/>
                <w:szCs w:val="18"/>
                <w:color w:val="auto"/>
              </w:rPr>
              <w:t>Documents</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216"/>
        </w:trPr>
        <w:tc>
          <w:tcPr>
            <w:tcW w:w="920" w:type="dxa"/>
            <w:vAlign w:val="bottom"/>
          </w:tcPr>
          <w:p>
            <w:pPr>
              <w:jc w:val="center"/>
              <w:ind w:right="250"/>
              <w:spacing w:after="0" w:line="216" w:lineRule="exact"/>
              <w:rPr>
                <w:sz w:val="20"/>
                <w:szCs w:val="20"/>
                <w:color w:val="auto"/>
              </w:rPr>
            </w:pPr>
            <w:r>
              <w:rPr>
                <w:rFonts w:ascii="Calibri" w:cs="Calibri" w:eastAsia="Calibri" w:hAnsi="Calibri"/>
                <w:sz w:val="18"/>
                <w:szCs w:val="18"/>
                <w:color w:val="auto"/>
                <w:w w:val="94"/>
              </w:rPr>
              <w:t>104</w:t>
            </w:r>
          </w:p>
        </w:tc>
        <w:tc>
          <w:tcPr>
            <w:tcW w:w="5500" w:type="dxa"/>
            <w:vAlign w:val="bottom"/>
            <w:gridSpan w:val="13"/>
          </w:tcPr>
          <w:p>
            <w:pPr>
              <w:spacing w:after="0" w:line="216" w:lineRule="exact"/>
              <w:rPr>
                <w:sz w:val="20"/>
                <w:szCs w:val="20"/>
                <w:color w:val="auto"/>
              </w:rPr>
            </w:pPr>
            <w:r>
              <w:rPr>
                <w:rFonts w:ascii="Calibri" w:cs="Calibri" w:eastAsia="Calibri" w:hAnsi="Calibri"/>
                <w:sz w:val="18"/>
                <w:szCs w:val="18"/>
                <w:color w:val="auto"/>
              </w:rPr>
              <w:t>Cover Page formated as Inline XBRL and contained in Exhibit 101</w:t>
            </w:r>
          </w:p>
        </w:tc>
        <w:tc>
          <w:tcPr>
            <w:tcW w:w="8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840" w:type="dxa"/>
            <w:vAlign w:val="bottom"/>
          </w:tcPr>
          <w:p>
            <w:pPr>
              <w:ind w:left="1740"/>
              <w:spacing w:after="0"/>
              <w:rPr>
                <w:sz w:val="20"/>
                <w:szCs w:val="20"/>
                <w:color w:val="auto"/>
              </w:rPr>
            </w:pPr>
            <w:r>
              <w:rPr>
                <w:rFonts w:ascii="Calibri" w:cs="Calibri" w:eastAsia="Calibri" w:hAnsi="Calibri"/>
                <w:sz w:val="16"/>
                <w:szCs w:val="16"/>
                <w:color w:val="auto"/>
                <w:w w:val="95"/>
              </w:rPr>
              <w:t>X</w:t>
            </w:r>
          </w:p>
        </w:tc>
      </w:tr>
    </w:tbl>
    <w:p>
      <w:pPr>
        <w:spacing w:after="0" w:line="49" w:lineRule="exact"/>
        <w:rPr>
          <w:sz w:val="20"/>
          <w:szCs w:val="20"/>
          <w:color w:val="auto"/>
        </w:rPr>
      </w:pPr>
    </w:p>
    <w:p>
      <w:pPr>
        <w:spacing w:after="0"/>
        <w:rPr>
          <w:sz w:val="20"/>
          <w:szCs w:val="20"/>
          <w:color w:val="auto"/>
        </w:rPr>
      </w:pPr>
      <w:r>
        <w:rPr>
          <w:rFonts w:ascii="Calibri" w:cs="Calibri" w:eastAsia="Calibri" w:hAnsi="Calibri"/>
          <w:sz w:val="14"/>
          <w:szCs w:val="14"/>
          <w:color w:val="auto"/>
        </w:rPr>
        <w:t># Indicates management contract or compensatory plan.</w:t>
      </w:r>
    </w:p>
    <w:p>
      <w:pPr>
        <w:spacing w:after="0" w:line="59" w:lineRule="exact"/>
        <w:rPr>
          <w:sz w:val="20"/>
          <w:szCs w:val="20"/>
          <w:color w:val="auto"/>
        </w:rPr>
      </w:pPr>
    </w:p>
    <w:p>
      <w:pPr>
        <w:spacing w:after="0"/>
        <w:rPr>
          <w:sz w:val="20"/>
          <w:szCs w:val="20"/>
          <w:color w:val="auto"/>
        </w:rPr>
      </w:pPr>
      <w:r>
        <w:rPr>
          <w:rFonts w:ascii="Calibri" w:cs="Calibri" w:eastAsia="Calibri" w:hAnsi="Calibri"/>
          <w:sz w:val="14"/>
          <w:szCs w:val="14"/>
          <w:color w:val="auto"/>
        </w:rPr>
        <w:t>† Portons of this exhibit have been omited for confdentality purposes.</w:t>
      </w:r>
    </w:p>
    <w:p>
      <w:pPr>
        <w:spacing w:after="0" w:line="46" w:lineRule="exact"/>
        <w:rPr>
          <w:sz w:val="20"/>
          <w:szCs w:val="20"/>
          <w:color w:val="auto"/>
        </w:rPr>
      </w:pPr>
    </w:p>
    <w:p>
      <w:pPr>
        <w:ind w:right="240" w:firstLine="8"/>
        <w:spacing w:after="0" w:line="245" w:lineRule="auto"/>
        <w:tabs>
          <w:tab w:leader="none" w:pos="104" w:val="left"/>
        </w:tabs>
        <w:numPr>
          <w:ilvl w:val="0"/>
          <w:numId w:val="65"/>
        </w:numPr>
        <w:rPr>
          <w:rFonts w:ascii="Calibri" w:cs="Calibri" w:eastAsia="Calibri" w:hAnsi="Calibri"/>
          <w:sz w:val="14"/>
          <w:szCs w:val="14"/>
          <w:color w:val="auto"/>
        </w:rPr>
      </w:pPr>
      <w:r>
        <w:rPr>
          <w:rFonts w:ascii="Calibri" w:cs="Calibri" w:eastAsia="Calibri" w:hAnsi="Calibri"/>
          <w:sz w:val="14"/>
          <w:szCs w:val="14"/>
          <w:color w:val="auto"/>
        </w:rPr>
        <w:t>These certfcatons are being furnished solely to accompany this annual report pursuant to 18 U.S.C. Secton 1350, and are not being fled for purposes of Secton 18 of the Securites Exchange Act of 1934 and are not to be incorporated by reference into any fling of the Registrant, whether made before or afer the date hereof, regardless of any general incorporaton language in such fling.</w:t>
      </w:r>
    </w:p>
    <w:p>
      <w:pPr>
        <w:spacing w:after="0" w:line="44" w:lineRule="exact"/>
        <w:rPr>
          <w:sz w:val="20"/>
          <w:szCs w:val="20"/>
          <w:color w:val="auto"/>
        </w:rPr>
      </w:pPr>
    </w:p>
    <w:p>
      <w:pPr>
        <w:ind w:firstLine="8"/>
        <w:spacing w:after="0" w:line="245" w:lineRule="auto"/>
        <w:tabs>
          <w:tab w:leader="none" w:pos="104" w:val="left"/>
        </w:tabs>
        <w:numPr>
          <w:ilvl w:val="0"/>
          <w:numId w:val="66"/>
        </w:numPr>
        <w:rPr>
          <w:rFonts w:ascii="Calibri" w:cs="Calibri" w:eastAsia="Calibri" w:hAnsi="Calibri"/>
          <w:sz w:val="14"/>
          <w:szCs w:val="14"/>
          <w:color w:val="auto"/>
        </w:rPr>
      </w:pPr>
      <w:r>
        <w:rPr>
          <w:rFonts w:ascii="Calibri" w:cs="Calibri" w:eastAsia="Calibri" w:hAnsi="Calibri"/>
          <w:sz w:val="14"/>
          <w:szCs w:val="14"/>
          <w:color w:val="auto"/>
        </w:rPr>
        <w:t>Certain exhibits and schedules have been omited pursuant to Item 601(a)(5) of Regulaton S-K. The registrant hereby undertakes to furnish supplementally a copy of any omited exhibit or schedule upon request by the SEC.</w:t>
      </w:r>
    </w:p>
    <w:p>
      <w:pPr>
        <w:spacing w:after="0" w:line="26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46" w:right="499" w:bottom="1440" w:gutter="0" w:footer="0" w:header="0"/>
        </w:sectPr>
      </w:pPr>
    </w:p>
    <w:bookmarkStart w:id="149" w:name="page150"/>
    <w:bookmarkEnd w:id="14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annual report to be signed on its behalf by the undersigned, thereunto duly authorized.</w:t>
      </w:r>
    </w:p>
    <w:p>
      <w:pPr>
        <w:spacing w:after="0" w:line="15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PHATHOM PHARMACEUTICALS, INC.</w:t>
      </w:r>
    </w:p>
    <w:p>
      <w:pPr>
        <w:spacing w:after="0" w:line="229" w:lineRule="exact"/>
        <w:rPr>
          <w:sz w:val="20"/>
          <w:szCs w:val="20"/>
          <w:color w:val="auto"/>
        </w:rPr>
      </w:pPr>
    </w:p>
    <w:p>
      <w:pPr>
        <w:ind w:left="8400"/>
        <w:spacing w:after="0"/>
        <w:rPr>
          <w:sz w:val="20"/>
          <w:szCs w:val="20"/>
          <w:color w:val="auto"/>
        </w:rPr>
      </w:pPr>
      <w:r>
        <w:rPr>
          <w:rFonts w:ascii="Times New Roman" w:cs="Times New Roman" w:eastAsia="Times New Roman" w:hAnsi="Times New Roman"/>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17145</wp:posOffset>
            </wp:positionV>
            <wp:extent cx="28289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7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8"/>
          <w:szCs w:val="18"/>
          <w:color w:val="auto"/>
        </w:rPr>
        <w:t>Terrie Curran</w:t>
      </w:r>
    </w:p>
    <w:p>
      <w:pPr>
        <w:spacing w:after="0" w:line="23"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6, 2025</w:t>
      </w:r>
    </w:p>
    <w:p>
      <w:pPr>
        <w:spacing w:after="0" w:line="19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has been signed below by the following persons on behalf of the registrant and in the capacities and on the dates indicated.</w:t>
      </w:r>
    </w:p>
    <w:p>
      <w:pPr>
        <w:spacing w:after="0" w:line="155" w:lineRule="exact"/>
        <w:rPr>
          <w:sz w:val="20"/>
          <w:szCs w:val="20"/>
          <w:color w:val="auto"/>
        </w:rPr>
      </w:pPr>
    </w:p>
    <w:p>
      <w:pPr>
        <w:ind w:left="1360"/>
        <w:spacing w:after="0"/>
        <w:tabs>
          <w:tab w:leader="none" w:pos="5480" w:val="left"/>
          <w:tab w:leader="none" w:pos="9440" w:val="left"/>
        </w:tabs>
        <w:rPr>
          <w:sz w:val="20"/>
          <w:szCs w:val="20"/>
          <w:color w:val="auto"/>
        </w:rPr>
      </w:pPr>
      <w:r>
        <w:rPr>
          <w:rFonts w:ascii="Times New Roman" w:cs="Times New Roman" w:eastAsia="Times New Roman" w:hAnsi="Times New Roman"/>
          <w:sz w:val="14"/>
          <w:szCs w:val="14"/>
          <w:b w:val="1"/>
          <w:bCs w:val="1"/>
          <w:color w:val="auto"/>
        </w:rPr>
        <w:t>Signature</w:t>
      </w:r>
      <w:r>
        <w:rPr>
          <w:sz w:val="20"/>
          <w:szCs w:val="20"/>
          <w:color w:val="auto"/>
        </w:rPr>
        <w:tab/>
      </w: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7620</wp:posOffset>
            </wp:positionV>
            <wp:extent cx="711517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7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p>
      <w:pPr>
        <w:spacing w:after="0" w:line="2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73">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b w:val="1"/>
          <w:bCs w:val="1"/>
          <w:color w:val="auto"/>
        </w:rPr>
        <w:t>Terrie Curran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74">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Molly Henderson</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75">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F. Cola</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76">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Frank Karbe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77">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Heidi Kunz</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78">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Asit Parikh, M.D., Ph.D.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79">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David Socks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80">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 Stenhouse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207454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81">
                      <a:extLst>
                        <a:ext uri="{28A0092B-C50C-407E-A947-70E740481C1C}"/>
                      </a:extLst>
                    </a:blip>
                    <a:srcRect/>
                    <a:stretch>
                      <a:fillRect/>
                    </a:stretch>
                  </pic:blipFill>
                  <pic:spPr bwMode="auto">
                    <a:xfrm>
                      <a:off x="0" y="0"/>
                      <a:ext cx="2074545"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James Topper, M.D., Ph.D.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Terrie Curran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Terrie Curran, Attorney-in-fact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President, Chief Executive Officer and</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234"/>
        </w:trPr>
        <w:tc>
          <w:tcPr>
            <w:tcW w:w="41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Director (Principal Executive Officer)</w:t>
            </w:r>
          </w:p>
        </w:tc>
        <w:tc>
          <w:tcPr>
            <w:tcW w:w="1980" w:type="dxa"/>
            <w:vAlign w:val="bottom"/>
          </w:tcPr>
          <w:p>
            <w:pPr>
              <w:spacing w:after="0"/>
              <w:rPr>
                <w:sz w:val="20"/>
                <w:szCs w:val="20"/>
                <w:color w:val="auto"/>
              </w:rPr>
            </w:pPr>
          </w:p>
        </w:tc>
      </w:tr>
      <w:tr>
        <w:trPr>
          <w:trHeight w:val="441"/>
        </w:trPr>
        <w:tc>
          <w:tcPr>
            <w:tcW w:w="41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Chief Financial and Business Officer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234"/>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980" w:type="dxa"/>
            <w:vAlign w:val="bottom"/>
          </w:tcPr>
          <w:p>
            <w:pPr>
              <w:spacing w:after="0"/>
              <w:rPr>
                <w:sz w:val="20"/>
                <w:szCs w:val="20"/>
                <w:color w:val="auto"/>
              </w:rPr>
            </w:pPr>
          </w:p>
        </w:tc>
      </w:tr>
      <w:tr>
        <w:trPr>
          <w:trHeight w:val="459"/>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796"/>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553"/>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675"/>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662"/>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661"/>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r>
        <w:trPr>
          <w:trHeight w:val="662"/>
        </w:trPr>
        <w:tc>
          <w:tcPr>
            <w:tcW w:w="4140" w:type="dxa"/>
            <w:vAlign w:val="bottom"/>
          </w:tcPr>
          <w:p>
            <w:pPr>
              <w:jc w:val="center"/>
              <w:ind w:right="810"/>
              <w:spacing w:after="0"/>
              <w:rPr>
                <w:sz w:val="20"/>
                <w:szCs w:val="20"/>
                <w:color w:val="auto"/>
              </w:rPr>
            </w:pPr>
            <w:r>
              <w:rPr>
                <w:rFonts w:ascii="Times New Roman" w:cs="Times New Roman" w:eastAsia="Times New Roman" w:hAnsi="Times New Roman"/>
                <w:sz w:val="18"/>
                <w:szCs w:val="18"/>
                <w:color w:val="auto"/>
                <w:w w:val="99"/>
              </w:rPr>
              <w:t>Director</w:t>
            </w: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March 6, 2025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484505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300" w:space="720"/>
            <w:col w:w="7200"/>
          </w:cols>
          <w:pgMar w:left="320" w:top="981" w:right="359" w:bottom="1440" w:gutter="0" w:footer="0" w:header="0"/>
          <w:type w:val="continuous"/>
        </w:sectPr>
      </w:pPr>
    </w:p>
    <w:bookmarkStart w:id="150" w:name="page151"/>
    <w:bookmarkEnd w:id="150"/>
    <w:p>
      <w:pPr>
        <w:ind w:left="10320"/>
        <w:spacing w:after="0"/>
        <w:rPr>
          <w:sz w:val="20"/>
          <w:szCs w:val="20"/>
          <w:color w:val="auto"/>
        </w:rPr>
      </w:pPr>
      <w:r>
        <w:rPr>
          <w:rFonts w:ascii="Times New Roman" w:cs="Times New Roman" w:eastAsia="Times New Roman" w:hAnsi="Times New Roman"/>
          <w:sz w:val="19"/>
          <w:szCs w:val="19"/>
          <w:b w:val="1"/>
          <w:bCs w:val="1"/>
          <w:color w:val="auto"/>
        </w:rPr>
        <w:t>Exhibit 4.8</w:t>
      </w:r>
    </w:p>
    <w:p>
      <w:pPr>
        <w:spacing w:after="0" w:line="295"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u w:val="single" w:color="auto"/>
          <w:color w:val="auto"/>
        </w:rPr>
        <w:t>DESCRIPTION OF THE REGISTRANT’S SECURITIES REGISTERED PURSUANT TO SECTION 12 OF THE SECURITIES EXCHANGE ACT OF 1934</w:t>
      </w:r>
    </w:p>
    <w:p>
      <w:pPr>
        <w:spacing w:after="0" w:line="48"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As of December 31, 2024, Phathom Pharmaceuticals, Inc. (“we,” “us” and “our”) had one class of securities registered pursuant to Section 12 of the Securities Exchange Act of 1934, as amended: our common stock.</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Common Stock</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General</w:t>
      </w:r>
    </w:p>
    <w:p>
      <w:pPr>
        <w:spacing w:after="0" w:line="11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following description summarizes some of the terms of our common stock. Because it is only a summary, it does not contain all the information that may be important to you and is subject to and qualified in its entirety by reference to our amended and restated certificate of incorporation (the “certificate of incorporation”), and amended and restated Bylaws (“bylaws”), which are filed as exhibits to our most recent Annual Report on Form 10-K and are incorporated by reference herein. We encourage you to read our certificate of incorporation and our bylaws for additional information.</w:t>
      </w:r>
    </w:p>
    <w:p>
      <w:pPr>
        <w:spacing w:after="0" w:line="77" w:lineRule="exact"/>
        <w:rPr>
          <w:sz w:val="20"/>
          <w:szCs w:val="20"/>
          <w:color w:val="auto"/>
        </w:rPr>
      </w:pPr>
    </w:p>
    <w:p>
      <w:pPr>
        <w:ind w:right="220"/>
        <w:spacing w:after="0" w:line="269" w:lineRule="auto"/>
        <w:rPr>
          <w:sz w:val="20"/>
          <w:szCs w:val="20"/>
          <w:color w:val="auto"/>
        </w:rPr>
      </w:pPr>
      <w:r>
        <w:rPr>
          <w:rFonts w:ascii="Times New Roman" w:cs="Times New Roman" w:eastAsia="Times New Roman" w:hAnsi="Times New Roman"/>
          <w:sz w:val="20"/>
          <w:szCs w:val="20"/>
          <w:color w:val="auto"/>
        </w:rPr>
        <w:t>As of December 31, 2024, our authorized capital stock consisted of 400,000,000 shares of common stock, $0.0001 par value per share, and 40,000,000 shares of preferred stock, $0.0001 par value per share.</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Voting Rights</w:t>
      </w:r>
    </w:p>
    <w:p>
      <w:pPr>
        <w:spacing w:after="0" w:line="112"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Holders of our common stock are entitled to one vote for each share held on all matters submitted to a vote of stockholders, including the election of directors, and do not have cumulative voting rights. Accordingly, the holders of a majority of the outstanding shares of common stock entitled to vote in any election of directors can elect all of the directors standing for election, if they so choose, other than any directors that holders of any preferred stock we may issue may be entitled to elect. Subject to the supermajority votes for some matters, other matters shall be decided by the affirmative vote of our stockholders having a majority in voting power of the votes cast by the stockholders present or represented and voting on such matter. Our amended and restated certificate of incorporation and amended and restated bylaws also provide that our directors may be removed only for cause and only by the affirmative vote of the holders of at least two-thirds in voting power of the outstanding shares of capital stock entitled to vote thereon. In addition, the affirmative vote of the holders of at least two-thirds in voting power of the outstanding shares of capital stock entitled to vote thereon is required to amend or repeal, or to adopt any provision inconsistent with, several of the provisions of our amended and restated certificate of incorporation.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Dividend Rights</w:t>
      </w:r>
    </w:p>
    <w:p>
      <w:pPr>
        <w:spacing w:after="0" w:line="112"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0"/>
          <w:szCs w:val="20"/>
          <w:color w:val="auto"/>
        </w:rPr>
        <w:t>Subject to preferences that may be applicable to any then outstanding preferred stock, holders of common stock are entitled to receive ratably those dividends, if any, as may be declared by the board of directors out of legally available funds.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Liquidation Rights</w:t>
      </w:r>
    </w:p>
    <w:p>
      <w:pPr>
        <w:spacing w:after="0" w:line="112" w:lineRule="exact"/>
        <w:rPr>
          <w:sz w:val="20"/>
          <w:szCs w:val="20"/>
          <w:color w:val="auto"/>
        </w:rPr>
      </w:pPr>
    </w:p>
    <w:p>
      <w:pPr>
        <w:jc w:val="both"/>
        <w:ind w:right="180"/>
        <w:spacing w:after="0" w:line="254" w:lineRule="auto"/>
        <w:rPr>
          <w:sz w:val="20"/>
          <w:szCs w:val="20"/>
          <w:color w:val="auto"/>
        </w:rPr>
      </w:pPr>
      <w:r>
        <w:rPr>
          <w:rFonts w:ascii="Times New Roman" w:cs="Times New Roman" w:eastAsia="Times New Roman" w:hAnsi="Times New Roman"/>
          <w:sz w:val="20"/>
          <w:szCs w:val="20"/>
          <w:color w:val="auto"/>
        </w:rPr>
        <w:t>In the event of our liquidation, dissolution or winding up, the holders of common stock will be entitled to share ratably in the assets legally available for distribution to stockholders after the payment of or provision for all of our debts and other liabilities, subject to the prior rights of any preferred stock then outstanding.</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Rights and Preferences</w:t>
      </w:r>
    </w:p>
    <w:p>
      <w:pPr>
        <w:spacing w:after="0" w:line="112" w:lineRule="exact"/>
        <w:rPr>
          <w:sz w:val="20"/>
          <w:szCs w:val="20"/>
          <w:color w:val="auto"/>
        </w:rPr>
      </w:pPr>
    </w:p>
    <w:p>
      <w:pPr>
        <w:ind w:right="140"/>
        <w:spacing w:after="0" w:line="269" w:lineRule="auto"/>
        <w:rPr>
          <w:sz w:val="20"/>
          <w:szCs w:val="20"/>
          <w:color w:val="auto"/>
        </w:rPr>
      </w:pPr>
      <w:r>
        <w:rPr>
          <w:rFonts w:ascii="Times New Roman" w:cs="Times New Roman" w:eastAsia="Times New Roman" w:hAnsi="Times New Roman"/>
          <w:sz w:val="20"/>
          <w:szCs w:val="20"/>
          <w:color w:val="auto"/>
        </w:rPr>
        <w:t>Holders of common stock have no preemptive or conversion rights or other subscription rights and there are no redemption or sinking funds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920115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Fully paid and nonassessable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outstanding shares of common stock are duly authorized, validly issued, fully paid and nonassessable.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Transfer Agent and Registrar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transfer agent and registrar for our common stock is Computershare Trust Company, N.A.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The Nasdaq Global Market Listing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common stock is listed and traded on the Nasdaq Global Select Market under the ticker symbol “PHAT.”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Anti-Takeover Effects of Delaware Law and Our Certificate of Incorporation and Bylaws</w:t>
      </w:r>
    </w:p>
    <w:p>
      <w:pPr>
        <w:spacing w:after="0" w:line="11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Some provisions of Delaware law, our amended and restated certificate of incorporation and our amended and restated bylaws contain provisions that could make the following transactions more difficult: 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 These provisions, summarized below, are intended to discourage coercive takeover practices and inadequate takeover bids.</w:t>
      </w:r>
    </w:p>
    <w:p>
      <w:pPr>
        <w:spacing w:after="0" w:line="76"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0"/>
          <w:szCs w:val="20"/>
          <w:color w:val="auto"/>
        </w:rPr>
        <w:t>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Undesignated Preferred Stock</w:t>
      </w:r>
    </w:p>
    <w:p>
      <w:pPr>
        <w:spacing w:after="0" w:line="112"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The ability of our board of directors, without action by the stockholders, to issue up to 40,000,000 shares of undesignated preferred stock with voting or other rights or preferences as designated by our board of directors could impede the success of any attempt to change control of us. These and other provisions may have the effect of deferring hostile takeovers or delaying changes in control or management of our company.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 Meetings</w:t>
      </w:r>
    </w:p>
    <w:p>
      <w:pPr>
        <w:spacing w:after="0" w:line="112"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Requirements for Advance Notification of Stockholder Nominations and Proposals</w:t>
      </w:r>
    </w:p>
    <w:p>
      <w:pPr>
        <w:spacing w:after="0" w:line="112" w:lineRule="exact"/>
        <w:rPr>
          <w:sz w:val="20"/>
          <w:szCs w:val="20"/>
          <w:color w:val="auto"/>
        </w:rPr>
      </w:pPr>
    </w:p>
    <w:p>
      <w:pPr>
        <w:ind w:right="400"/>
        <w:spacing w:after="0" w:line="254" w:lineRule="auto"/>
        <w:rPr>
          <w:sz w:val="20"/>
          <w:szCs w:val="20"/>
          <w:color w:val="auto"/>
        </w:rPr>
      </w:pPr>
      <w:r>
        <w:rPr>
          <w:rFonts w:ascii="Times New Roman" w:cs="Times New Roman" w:eastAsia="Times New Roman" w:hAnsi="Times New Roman"/>
          <w:sz w:val="20"/>
          <w:szCs w:val="20"/>
          <w:color w:val="auto"/>
        </w:rPr>
        <w:t>Our amended and restated bylaws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Elimination of Stockholder Action by Written Consent</w:t>
      </w:r>
    </w:p>
    <w:p>
      <w:pPr>
        <w:spacing w:after="0" w:line="112"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Our amended and restated certificate of incorporation and amended and restated bylaws eliminate the right of stockholders to act by written consent without a meeting.</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Staggered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2" w:name="page153"/>
    <w:bookmarkEnd w:id="152"/>
    <w:p>
      <w:pPr>
        <w:ind w:right="180"/>
        <w:spacing w:after="0" w:line="254" w:lineRule="auto"/>
        <w:rPr>
          <w:sz w:val="20"/>
          <w:szCs w:val="20"/>
          <w:color w:val="auto"/>
        </w:rPr>
      </w:pPr>
      <w:r>
        <w:rPr>
          <w:rFonts w:ascii="Times New Roman" w:cs="Times New Roman" w:eastAsia="Times New Roman" w:hAnsi="Times New Roman"/>
          <w:sz w:val="20"/>
          <w:szCs w:val="20"/>
          <w:color w:val="auto"/>
        </w:rPr>
        <w:t>Our board of directors is divided into three classes. The directors in each class will serve for a three-year term, one class being elected each year by our stockholders. This system of electing and removing directors may tend to discourage a third party from attempting to obtain control of us, because it generally makes it more difficult for stockholders to replace a majority of the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Removal of Directors</w:t>
      </w:r>
    </w:p>
    <w:p>
      <w:pPr>
        <w:spacing w:after="0" w:line="11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no member of our board of directors may be removed from office except for cause and, in addition to any other vote required by law, upon the approval of not less than two thirds of the total voting power of all of our outstanding voting stock then entitled to vote in the election of directors.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Stockholders Not Entitled to Cumulative Voting</w:t>
      </w:r>
    </w:p>
    <w:p>
      <w:pPr>
        <w:spacing w:after="0" w:line="11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Our amended and restated certificate of incorporation does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Delaware Anti-Takeover Statute</w:t>
      </w:r>
    </w:p>
    <w:p>
      <w:pPr>
        <w:spacing w:after="0" w:line="11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Choice of Forum</w:t>
      </w:r>
    </w:p>
    <w:p>
      <w:pPr>
        <w:spacing w:after="0" w:line="112" w:lineRule="exact"/>
        <w:rPr>
          <w:sz w:val="20"/>
          <w:szCs w:val="20"/>
          <w:color w:val="auto"/>
        </w:rPr>
      </w:pPr>
    </w:p>
    <w:p>
      <w:pPr>
        <w:ind w:right="60"/>
        <w:spacing w:after="0" w:line="243" w:lineRule="auto"/>
        <w:rPr>
          <w:sz w:val="20"/>
          <w:szCs w:val="20"/>
          <w:color w:val="auto"/>
        </w:rPr>
      </w:pPr>
      <w:r>
        <w:rPr>
          <w:rFonts w:ascii="Times New Roman" w:cs="Times New Roman" w:eastAsia="Times New Roman" w:hAnsi="Times New Roman"/>
          <w:sz w:val="20"/>
          <w:szCs w:val="20"/>
          <w:color w:val="auto"/>
        </w:rPr>
        <w:t>Our amended and restated certificate of incorporation provides that, unless we consent in writing to the selection of an alternative form, the Court of Chancery of the State of Delaware will be the sole and exclusive forum under Delaware statutory or common law for: (i) any derivative action or proceeding brought on our behalf; (ii) any action asserting a claim of breach of a fiduciary duty or other wrongdoing by any of our directors, officers, employees or agents to us or our stockholders, creditors or other constituents; (iii) any action asserting a claim against us arising pursuant to any provision of the General Corporation Law of the State of Delaware or our amended and restated certificate of incorporation or amended and restated bylaws; (iv) any action to interpret, apply, enforce or determine the validity of our certificate of incorporation or bylaws; or (v) any action asserting a claim governed by the internal affairs doctrine. This provision would not apply to suits brought to enforce a duty or liability created by the Securities Exchange Act of 1934 (the “Exchange Act”), or any other claim for which the federal courts have exclusive jurisdiction.</w:t>
      </w:r>
    </w:p>
    <w:p>
      <w:pPr>
        <w:spacing w:after="0" w:line="78"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In addition, our bylaws provide that unless we consent in writing to the selection of an alternative forum, the federal district courts of the United States shall be the exclusive forum for the resolution of any complaint asserting a cause of action arising under the Securities Act of 1933, as amended (the “Securities Act”). Our certificate of incorporation and bylaws each provide that any person or entity purchasing or otherwise acquiring any interest in shares of our capital stock will be deemed to have notice of and to have consented to this choice of forum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53" w:name="page154"/>
    <w:bookmarkEnd w:id="153"/>
    <w:p>
      <w:pPr>
        <w:ind w:right="160"/>
        <w:spacing w:after="0" w:line="249" w:lineRule="auto"/>
        <w:rPr>
          <w:sz w:val="20"/>
          <w:szCs w:val="20"/>
          <w:color w:val="auto"/>
        </w:rPr>
      </w:pPr>
      <w:r>
        <w:rPr>
          <w:rFonts w:ascii="Times New Roman" w:cs="Times New Roman" w:eastAsia="Times New Roman" w:hAnsi="Times New Roman"/>
          <w:sz w:val="20"/>
          <w:szCs w:val="20"/>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 of Charter Provisions</w:t>
      </w:r>
    </w:p>
    <w:p>
      <w:pPr>
        <w:spacing w:after="0" w:line="112"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amendment of any of the above provisions, except for the provision making it possible for our board of directors to issue preferred stock, would require approval by holders of at least two thirds of the total voting power of all of our outstanding voting stock.</w:t>
      </w:r>
    </w:p>
    <w:p>
      <w:pPr>
        <w:spacing w:after="0" w:line="51" w:lineRule="exact"/>
        <w:rPr>
          <w:sz w:val="20"/>
          <w:szCs w:val="20"/>
          <w:color w:val="auto"/>
        </w:rPr>
      </w:pPr>
    </w:p>
    <w:p>
      <w:pPr>
        <w:ind w:right="160"/>
        <w:spacing w:after="0" w:line="246" w:lineRule="auto"/>
        <w:rPr>
          <w:sz w:val="20"/>
          <w:szCs w:val="20"/>
          <w:color w:val="auto"/>
        </w:rPr>
      </w:pPr>
      <w:r>
        <w:rPr>
          <w:rFonts w:ascii="Times New Roman" w:cs="Times New Roman" w:eastAsia="Times New Roman" w:hAnsi="Times New Roman"/>
          <w:sz w:val="20"/>
          <w:szCs w:val="20"/>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the composition of our board of directors and management. It is possible that these provisions could make it more difficult to accomplish transactions that stockholders may otherwise deem to be in their best interests.</w:t>
      </w: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8"/>
          <w:szCs w:val="18"/>
          <w:b w:val="1"/>
          <w:bCs w:val="1"/>
          <w:color w:val="auto"/>
        </w:rPr>
        <w:t>Exhibit 10.30</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JOINDER AGREEMENT</w:t>
      </w:r>
    </w:p>
    <w:p>
      <w:pPr>
        <w:spacing w:after="0" w:line="251" w:lineRule="exact"/>
        <w:rPr>
          <w:sz w:val="20"/>
          <w:szCs w:val="20"/>
          <w:color w:val="auto"/>
        </w:rPr>
      </w:pPr>
    </w:p>
    <w:p>
      <w:pPr>
        <w:jc w:val="both"/>
        <w:ind w:left="180" w:right="160" w:firstLine="747"/>
        <w:spacing w:after="0" w:line="222" w:lineRule="auto"/>
        <w:rPr>
          <w:sz w:val="20"/>
          <w:szCs w:val="20"/>
          <w:color w:val="auto"/>
        </w:rPr>
      </w:pPr>
      <w:r>
        <w:rPr>
          <w:rFonts w:ascii="Times New Roman" w:cs="Times New Roman" w:eastAsia="Times New Roman" w:hAnsi="Times New Roman"/>
          <w:sz w:val="22"/>
          <w:szCs w:val="22"/>
          <w:color w:val="auto"/>
        </w:rPr>
        <w:t>This Joinder Agreement is dated as of December 23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2024 (“</w:t>
      </w:r>
      <w:r>
        <w:rPr>
          <w:rFonts w:ascii="Times New Roman" w:cs="Times New Roman" w:eastAsia="Times New Roman" w:hAnsi="Times New Roman"/>
          <w:sz w:val="22"/>
          <w:szCs w:val="22"/>
          <w:u w:val="single" w:color="auto"/>
          <w:color w:val="auto"/>
        </w:rPr>
        <w:t>Joinder Agreement</w:t>
      </w:r>
      <w:r>
        <w:rPr>
          <w:rFonts w:ascii="Times New Roman" w:cs="Times New Roman" w:eastAsia="Times New Roman" w:hAnsi="Times New Roman"/>
          <w:sz w:val="22"/>
          <w:szCs w:val="22"/>
          <w:color w:val="auto"/>
        </w:rPr>
        <w:t>”), by OC III LVS LX LP (the “</w:t>
      </w:r>
      <w:r>
        <w:rPr>
          <w:rFonts w:ascii="Times New Roman" w:cs="Times New Roman" w:eastAsia="Times New Roman" w:hAnsi="Times New Roman"/>
          <w:sz w:val="22"/>
          <w:szCs w:val="22"/>
          <w:u w:val="single" w:color="auto"/>
          <w:color w:val="auto"/>
        </w:rPr>
        <w:t>Additional Investor</w:t>
      </w:r>
      <w:r>
        <w:rPr>
          <w:rFonts w:ascii="Times New Roman" w:cs="Times New Roman" w:eastAsia="Times New Roman" w:hAnsi="Times New Roman"/>
          <w:sz w:val="22"/>
          <w:szCs w:val="22"/>
          <w:color w:val="auto"/>
        </w:rPr>
        <w:t>”). All capitalized terms used but not defined herein shall have the respective meanings ascribed to them in the Financing Agreement (as defined below).</w:t>
      </w:r>
    </w:p>
    <w:p>
      <w:pPr>
        <w:spacing w:after="0" w:line="206" w:lineRule="exact"/>
        <w:rPr>
          <w:sz w:val="20"/>
          <w:szCs w:val="20"/>
          <w:color w:val="auto"/>
        </w:rPr>
      </w:pPr>
    </w:p>
    <w:p>
      <w:pPr>
        <w:jc w:val="both"/>
        <w:ind w:left="180" w:right="160" w:firstLine="747"/>
        <w:spacing w:after="0" w:line="244" w:lineRule="auto"/>
        <w:rPr>
          <w:sz w:val="20"/>
          <w:szCs w:val="20"/>
          <w:color w:val="auto"/>
        </w:rPr>
      </w:pPr>
      <w:r>
        <w:rPr>
          <w:rFonts w:ascii="Times New Roman" w:cs="Times New Roman" w:eastAsia="Times New Roman" w:hAnsi="Times New Roman"/>
          <w:sz w:val="22"/>
          <w:szCs w:val="22"/>
          <w:color w:val="auto"/>
        </w:rPr>
        <w:t>WHEREAS, Phathom Pharmaceuticals,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the Initial Investors are parties to that certain Revenue Interest Financing Agreement, dated as of May 3, 2022 (as may be amended, supplemented or otherwise modified from time to time, the “</w:t>
      </w:r>
      <w:r>
        <w:rPr>
          <w:rFonts w:ascii="Times New Roman" w:cs="Times New Roman" w:eastAsia="Times New Roman" w:hAnsi="Times New Roman"/>
          <w:sz w:val="22"/>
          <w:szCs w:val="22"/>
          <w:u w:val="single" w:color="auto"/>
          <w:color w:val="auto"/>
        </w:rPr>
        <w:t>Financing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jc w:val="both"/>
        <w:ind w:left="100" w:right="160" w:firstLine="747"/>
        <w:spacing w:after="0" w:line="244" w:lineRule="auto"/>
        <w:rPr>
          <w:sz w:val="20"/>
          <w:szCs w:val="20"/>
          <w:color w:val="auto"/>
        </w:rPr>
      </w:pPr>
      <w:r>
        <w:rPr>
          <w:rFonts w:ascii="Times New Roman" w:cs="Times New Roman" w:eastAsia="Times New Roman" w:hAnsi="Times New Roman"/>
          <w:sz w:val="22"/>
          <w:szCs w:val="22"/>
          <w:color w:val="auto"/>
        </w:rPr>
        <w:t>WHEREAS, CO Finance LVS XXXVII LLC (“</w:t>
      </w: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 has agreed to assign and transfer to the Additional Investor all of Assignor’s rights, title and interest in and to an Additional Regulatory Milestone Payment in an amount equal to $15,000,000 (the “</w:t>
      </w:r>
      <w:r>
        <w:rPr>
          <w:rFonts w:ascii="Times New Roman" w:cs="Times New Roman" w:eastAsia="Times New Roman" w:hAnsi="Times New Roman"/>
          <w:sz w:val="22"/>
          <w:szCs w:val="22"/>
          <w:u w:val="single" w:color="auto"/>
          <w:color w:val="auto"/>
        </w:rPr>
        <w:t>Assigned Interest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100" w:right="180" w:firstLine="747"/>
        <w:spacing w:after="0" w:line="258" w:lineRule="auto"/>
        <w:rPr>
          <w:sz w:val="20"/>
          <w:szCs w:val="20"/>
          <w:color w:val="auto"/>
        </w:rPr>
      </w:pPr>
      <w:r>
        <w:rPr>
          <w:rFonts w:ascii="Times New Roman" w:cs="Times New Roman" w:eastAsia="Times New Roman" w:hAnsi="Times New Roman"/>
          <w:sz w:val="22"/>
          <w:szCs w:val="22"/>
          <w:color w:val="auto"/>
        </w:rPr>
        <w:t>WHEREAS, Section 9.4 of the Financing Agreement requires the Additional Investor to execute and deliver this Joinder Agreement to the Company.</w:t>
      </w:r>
    </w:p>
    <w:p>
      <w:pPr>
        <w:spacing w:after="0" w:line="158" w:lineRule="exact"/>
        <w:rPr>
          <w:sz w:val="20"/>
          <w:szCs w:val="20"/>
          <w:color w:val="auto"/>
        </w:rPr>
      </w:pPr>
    </w:p>
    <w:p>
      <w:pPr>
        <w:ind w:left="180" w:right="180" w:firstLine="810"/>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adequacy of which are hereby acknowledged, the Additional Investor agrees as follows:</w:t>
      </w:r>
    </w:p>
    <w:p>
      <w:pPr>
        <w:spacing w:after="0" w:line="158" w:lineRule="exact"/>
        <w:rPr>
          <w:sz w:val="20"/>
          <w:szCs w:val="20"/>
          <w:color w:val="auto"/>
        </w:rPr>
      </w:pPr>
    </w:p>
    <w:p>
      <w:pPr>
        <w:jc w:val="both"/>
        <w:ind w:right="240" w:firstLine="951"/>
        <w:spacing w:after="0" w:line="236" w:lineRule="auto"/>
        <w:tabs>
          <w:tab w:leader="none" w:pos="139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Joinder.</w:t>
      </w:r>
      <w:r>
        <w:rPr>
          <w:rFonts w:ascii="Times New Roman" w:cs="Times New Roman" w:eastAsia="Times New Roman" w:hAnsi="Times New Roman"/>
          <w:sz w:val="22"/>
          <w:szCs w:val="22"/>
          <w:color w:val="auto"/>
        </w:rPr>
        <w:t xml:space="preserve"> Upon execution and delivery of this Joinder Agreement, the Additional Investor hereby becomes a party to the Financing Agreement as an Investor, to the extent of the Assigned Interest as if originally named in the Financing Agreement as an Investor and (ii) shall be bound by the terms and conditions of the Financing Agreement as an Investor to the extent of the Assigned Interest. Notwithstanding the foregoing, the representations and warranties set forth in Sections 4.2 and 4.3 of the Financing Agreement are hereby made to the Company by the Additional Investor as of the date hereof rather than as of the Effective Date. The Additional Investor represents that it is not a Prohibited Assignee.</w:t>
      </w:r>
    </w:p>
    <w:p>
      <w:pPr>
        <w:spacing w:after="0" w:line="194" w:lineRule="exact"/>
        <w:rPr>
          <w:rFonts w:ascii="Times New Roman" w:cs="Times New Roman" w:eastAsia="Times New Roman" w:hAnsi="Times New Roman"/>
          <w:sz w:val="22"/>
          <w:szCs w:val="22"/>
          <w:color w:val="auto"/>
        </w:rPr>
      </w:pPr>
    </w:p>
    <w:p>
      <w:pPr>
        <w:ind w:left="1400" w:hanging="448"/>
        <w:spacing w:after="0"/>
        <w:tabs>
          <w:tab w:leader="none" w:pos="140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All notices and other communications to be provided to the Additional Investor pursuant to Section</w:t>
      </w:r>
    </w:p>
    <w:p>
      <w:pPr>
        <w:spacing w:after="0" w:line="14" w:lineRule="exact"/>
        <w:rPr>
          <w:rFonts w:ascii="Times New Roman" w:cs="Times New Roman" w:eastAsia="Times New Roman" w:hAnsi="Times New Roman"/>
          <w:sz w:val="22"/>
          <w:szCs w:val="22"/>
          <w:color w:val="auto"/>
        </w:rPr>
      </w:pPr>
    </w:p>
    <w:p>
      <w:pPr>
        <w:ind w:left="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9.2 of the Financing Agreement shall be addressed as follows:</w:t>
      </w:r>
    </w:p>
    <w:p>
      <w:pPr>
        <w:spacing w:after="0" w:line="20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OC III LVS LX LP</w:t>
      </w:r>
    </w:p>
    <w:p>
      <w:pPr>
        <w:spacing w:after="0" w:line="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c/o Pacific Investment Management Company LLC 650 Newport Center</w:t>
      </w:r>
    </w:p>
    <w:p>
      <w:pPr>
        <w:jc w:val="center"/>
        <w:spacing w:after="0" w:line="230" w:lineRule="auto"/>
        <w:rPr>
          <w:sz w:val="20"/>
          <w:szCs w:val="20"/>
          <w:color w:val="auto"/>
        </w:rPr>
      </w:pPr>
      <w:r>
        <w:rPr>
          <w:rFonts w:ascii="Times New Roman" w:cs="Times New Roman" w:eastAsia="Times New Roman" w:hAnsi="Times New Roman"/>
          <w:sz w:val="22"/>
          <w:szCs w:val="22"/>
          <w:color w:val="auto"/>
        </w:rPr>
        <w:t>Drive</w:t>
      </w:r>
    </w:p>
    <w:p>
      <w:pPr>
        <w:jc w:val="center"/>
        <w:ind w:right="60"/>
        <w:spacing w:after="0" w:line="231" w:lineRule="auto"/>
        <w:rPr>
          <w:sz w:val="20"/>
          <w:szCs w:val="20"/>
          <w:color w:val="auto"/>
        </w:rPr>
      </w:pPr>
      <w:r>
        <w:rPr>
          <w:rFonts w:ascii="Times New Roman" w:cs="Times New Roman" w:eastAsia="Times New Roman" w:hAnsi="Times New Roman"/>
          <w:sz w:val="22"/>
          <w:szCs w:val="22"/>
          <w:color w:val="auto"/>
        </w:rPr>
        <w:t>Newport Beach, CA 92660 Attention: Joseph Silva;</w:t>
      </w:r>
    </w:p>
    <w:p>
      <w:pPr>
        <w:jc w:val="center"/>
        <w:spacing w:after="0"/>
        <w:rPr>
          <w:sz w:val="20"/>
          <w:szCs w:val="20"/>
          <w:color w:val="auto"/>
        </w:rPr>
      </w:pPr>
      <w:r>
        <w:rPr>
          <w:rFonts w:ascii="Times New Roman" w:cs="Times New Roman" w:eastAsia="Times New Roman" w:hAnsi="Times New Roman"/>
          <w:sz w:val="22"/>
          <w:szCs w:val="22"/>
          <w:color w:val="auto"/>
        </w:rPr>
        <w:t>Paul Jeffrey</w:t>
      </w:r>
    </w:p>
    <w:p>
      <w:pPr>
        <w:spacing w:after="0" w:line="209" w:lineRule="exact"/>
        <w:rPr>
          <w:sz w:val="20"/>
          <w:szCs w:val="20"/>
          <w:color w:val="auto"/>
        </w:rPr>
      </w:pPr>
    </w:p>
    <w:p>
      <w:pPr>
        <w:ind w:left="100" w:right="500" w:firstLine="747"/>
        <w:spacing w:after="0" w:line="244" w:lineRule="auto"/>
        <w:tabs>
          <w:tab w:leader="none" w:pos="1402"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Joinder Agreement shall be governed by, and construed in accordance with, the laws of the State of New York without giving effect to any choice or conflict of law provision or rule that would cause the application of the laws of any other jurisdiction.</w:t>
      </w:r>
    </w:p>
    <w:p>
      <w:pPr>
        <w:spacing w:after="0" w:line="213" w:lineRule="exact"/>
        <w:rPr>
          <w:rFonts w:ascii="Times New Roman" w:cs="Times New Roman" w:eastAsia="Times New Roman" w:hAnsi="Times New Roman"/>
          <w:sz w:val="22"/>
          <w:szCs w:val="22"/>
          <w:color w:val="auto"/>
        </w:rPr>
      </w:pPr>
    </w:p>
    <w:p>
      <w:pPr>
        <w:ind w:left="1600" w:hanging="753"/>
        <w:spacing w:after="0"/>
        <w:tabs>
          <w:tab w:leader="none" w:pos="1600"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Miscellaneous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581025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941" w:right="339" w:bottom="1440" w:gutter="0" w:footer="0" w:header="0"/>
        </w:sectPr>
      </w:pPr>
    </w:p>
    <w:bookmarkStart w:id="155" w:name="page156"/>
    <w:bookmarkEnd w:id="155"/>
    <w:p>
      <w:pPr>
        <w:ind w:right="20" w:firstLine="741"/>
        <w:spacing w:after="0" w:line="258" w:lineRule="auto"/>
        <w:tabs>
          <w:tab w:leader="none" w:pos="123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provisions of Sections 9.2, 9.5, 9.9 and 9.12 of the Financing Agreement are hereby incorporated by reference herein as if set forth in full force herein, mutatis mutandis.</w:t>
      </w:r>
    </w:p>
    <w:p>
      <w:pPr>
        <w:spacing w:after="0" w:line="198" w:lineRule="exact"/>
        <w:rPr>
          <w:rFonts w:ascii="Times New Roman" w:cs="Times New Roman" w:eastAsia="Times New Roman" w:hAnsi="Times New Roman"/>
          <w:sz w:val="22"/>
          <w:szCs w:val="22"/>
          <w:color w:val="auto"/>
        </w:rPr>
      </w:pPr>
    </w:p>
    <w:p>
      <w:pPr>
        <w:ind w:left="1220" w:hanging="479"/>
        <w:spacing w:after="0"/>
        <w:tabs>
          <w:tab w:leader="none" w:pos="122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Joinder Agreement is a “Loan Document” for the purposes of the Hercules Loan Agreement.</w:t>
      </w:r>
    </w:p>
    <w:p>
      <w:pPr>
        <w:spacing w:after="0" w:line="233" w:lineRule="exact"/>
        <w:rPr>
          <w:rFonts w:ascii="Times New Roman" w:cs="Times New Roman" w:eastAsia="Times New Roman" w:hAnsi="Times New Roman"/>
          <w:sz w:val="22"/>
          <w:szCs w:val="22"/>
          <w:color w:val="auto"/>
        </w:rPr>
      </w:pPr>
    </w:p>
    <w:p>
      <w:pPr>
        <w:ind w:firstLine="741"/>
        <w:spacing w:after="0" w:line="258" w:lineRule="auto"/>
        <w:tabs>
          <w:tab w:leader="none" w:pos="123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Additional Investor shall do all acts and execute all such documents as the Company may reasonably specify from time to time as necessary to give effect to the provisions of this Joinder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intentionally left blank)</w:t>
      </w: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581025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620" w:top="1422" w:right="579" w:bottom="1440" w:gutter="0" w:footer="0" w:header="0"/>
        </w:sectPr>
      </w:pPr>
    </w:p>
    <w:bookmarkStart w:id="156" w:name="page157"/>
    <w:bookmarkEnd w:id="1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firstLine="747"/>
        <w:spacing w:after="0" w:line="258" w:lineRule="auto"/>
        <w:rPr>
          <w:sz w:val="20"/>
          <w:szCs w:val="20"/>
          <w:color w:val="auto"/>
        </w:rPr>
      </w:pPr>
      <w:r>
        <w:rPr>
          <w:rFonts w:ascii="Times New Roman" w:cs="Times New Roman" w:eastAsia="Times New Roman" w:hAnsi="Times New Roman"/>
          <w:sz w:val="22"/>
          <w:szCs w:val="22"/>
          <w:color w:val="auto"/>
        </w:rPr>
        <w:t>IN WITNESS WHEREOF, the undersigned have caused this Joinder Agreement to be duly executed and delivered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ADDITIONAL INVESTOR:</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OC III LVS LX LP</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OC III GP LLC, its general partner</w:t>
      </w:r>
    </w:p>
    <w:p>
      <w:pPr>
        <w:spacing w:after="0" w:line="200" w:lineRule="exact"/>
        <w:rPr>
          <w:sz w:val="20"/>
          <w:szCs w:val="20"/>
          <w:color w:val="auto"/>
        </w:rPr>
      </w:pPr>
    </w:p>
    <w:p>
      <w:pPr>
        <w:spacing w:after="0" w:line="24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Adam L. Gubner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-13970</wp:posOffset>
            </wp:positionV>
            <wp:extent cx="13716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9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Adam L. Gubner</w:t>
      </w:r>
    </w:p>
    <w:p>
      <w:pPr>
        <w:ind w:left="4440"/>
        <w:spacing w:after="0"/>
        <w:rPr>
          <w:sz w:val="20"/>
          <w:szCs w:val="20"/>
          <w:color w:val="auto"/>
        </w:rPr>
      </w:pPr>
      <w:r>
        <w:rPr>
          <w:rFonts w:ascii="Times New Roman" w:cs="Times New Roman" w:eastAsia="Times New Roman" w:hAnsi="Times New Roman"/>
          <w:sz w:val="22"/>
          <w:szCs w:val="22"/>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ACKNOWLEDGED BY THE COMPANY:</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PHATHOM PHARMACEUTICALS,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/s/ William Aprea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-13970</wp:posOffset>
            </wp:positionV>
            <wp:extent cx="10972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9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22"/>
          <w:szCs w:val="22"/>
          <w:color w:val="auto"/>
        </w:rPr>
        <w:t>Name: William Aprea</w:t>
      </w:r>
    </w:p>
    <w:p>
      <w:pPr>
        <w:jc w:val="right"/>
        <w:spacing w:after="0"/>
        <w:rPr>
          <w:sz w:val="20"/>
          <w:szCs w:val="20"/>
          <w:color w:val="auto"/>
        </w:rPr>
      </w:pPr>
      <w:r>
        <w:rPr>
          <w:rFonts w:ascii="Times New Roman" w:cs="Times New Roman" w:eastAsia="Times New Roman" w:hAnsi="Times New Roman"/>
          <w:sz w:val="22"/>
          <w:szCs w:val="22"/>
          <w:color w:val="auto"/>
        </w:rPr>
        <w:t>Title: Senior Vice President, Legal and Interim Chief Compliance Officer</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-146685</wp:posOffset>
            </wp:positionH>
            <wp:positionV relativeFrom="paragraph">
              <wp:posOffset>581025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540" w:top="1440" w:right="439" w:bottom="1440" w:gutter="0" w:footer="0" w:header="0"/>
        </w:sectPr>
      </w:pPr>
    </w:p>
    <w:bookmarkStart w:id="157" w:name="page158"/>
    <w:bookmarkEnd w:id="157"/>
    <w:p>
      <w:pPr>
        <w:jc w:val="right"/>
        <w:spacing w:after="0"/>
        <w:rPr>
          <w:sz w:val="20"/>
          <w:szCs w:val="20"/>
          <w:color w:val="auto"/>
        </w:rPr>
      </w:pPr>
      <w:r>
        <w:rPr>
          <w:rFonts w:ascii="Times New Roman" w:cs="Times New Roman" w:eastAsia="Times New Roman" w:hAnsi="Times New Roman"/>
          <w:sz w:val="18"/>
          <w:szCs w:val="18"/>
          <w:b w:val="1"/>
          <w:bCs w:val="1"/>
          <w:color w:val="auto"/>
        </w:rPr>
        <w:t>Exhibit 19</w:t>
      </w:r>
    </w:p>
    <w:p>
      <w:pPr>
        <w:spacing w:after="0" w:line="200" w:lineRule="exact"/>
        <w:rPr>
          <w:sz w:val="20"/>
          <w:szCs w:val="20"/>
          <w:color w:val="auto"/>
        </w:rPr>
      </w:pPr>
    </w:p>
    <w:p>
      <w:pPr>
        <w:spacing w:after="0" w:line="238"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auto"/>
        </w:rPr>
        <w:t>Phathom Pharmaceutcals, Inc.</w:t>
      </w:r>
    </w:p>
    <w:p>
      <w:pPr>
        <w:spacing w:after="0" w:line="1" w:lineRule="exact"/>
        <w:rPr>
          <w:sz w:val="20"/>
          <w:szCs w:val="20"/>
          <w:color w:val="auto"/>
        </w:rPr>
      </w:pPr>
    </w:p>
    <w:p>
      <w:pPr>
        <w:jc w:val="center"/>
        <w:ind w:right="120"/>
        <w:spacing w:after="0"/>
        <w:rPr>
          <w:sz w:val="20"/>
          <w:szCs w:val="20"/>
          <w:color w:val="auto"/>
        </w:rPr>
      </w:pPr>
      <w:r>
        <w:rPr>
          <w:rFonts w:ascii="Calibri" w:cs="Calibri" w:eastAsia="Calibri" w:hAnsi="Calibri"/>
          <w:sz w:val="22"/>
          <w:szCs w:val="22"/>
          <w:b w:val="1"/>
          <w:bCs w:val="1"/>
          <w:color w:val="auto"/>
        </w:rPr>
        <w:t>Insider Trading Compliance Policy and Procedures (as of May 23, 2024)</w:t>
      </w:r>
    </w:p>
    <w:p>
      <w:pPr>
        <w:spacing w:after="0" w:line="200" w:lineRule="exact"/>
        <w:rPr>
          <w:sz w:val="20"/>
          <w:szCs w:val="20"/>
          <w:color w:val="auto"/>
        </w:rPr>
      </w:pPr>
    </w:p>
    <w:p>
      <w:pPr>
        <w:spacing w:after="0" w:line="298" w:lineRule="exact"/>
        <w:rPr>
          <w:sz w:val="20"/>
          <w:szCs w:val="20"/>
          <w:color w:val="auto"/>
        </w:rPr>
      </w:pPr>
    </w:p>
    <w:p>
      <w:pPr>
        <w:jc w:val="both"/>
        <w:ind w:right="120" w:firstLine="749"/>
        <w:spacing w:after="0" w:line="239" w:lineRule="auto"/>
        <w:rPr>
          <w:sz w:val="20"/>
          <w:szCs w:val="20"/>
          <w:color w:val="auto"/>
        </w:rPr>
      </w:pPr>
      <w:r>
        <w:rPr>
          <w:rFonts w:ascii="Calibri" w:cs="Calibri" w:eastAsia="Calibri" w:hAnsi="Calibri"/>
          <w:sz w:val="22"/>
          <w:szCs w:val="22"/>
          <w:color w:val="auto"/>
        </w:rPr>
        <w:t>Federal and state laws prohibit trading in the securites of a company while in possession of material nonpublic informaton and in breach of a duty of trust or confdence. These laws also prohibit anyone who is aware of material nonpublic informaton from providing this informaton to others who may trade. Violatng such laws can undermine investor trust, harm the reputaton and integrity of Phathom Pharmaceutcals, Inc. (the “</w:t>
      </w:r>
      <w:r>
        <w:rPr>
          <w:rFonts w:ascii="Calibri" w:cs="Calibri" w:eastAsia="Calibri" w:hAnsi="Calibri"/>
          <w:sz w:val="22"/>
          <w:szCs w:val="22"/>
          <w:u w:val="single" w:color="auto"/>
          <w:color w:val="auto"/>
        </w:rPr>
        <w:t>Company</w:t>
      </w:r>
      <w:r>
        <w:rPr>
          <w:rFonts w:ascii="Calibri" w:cs="Calibri" w:eastAsia="Calibri" w:hAnsi="Calibri"/>
          <w:sz w:val="22"/>
          <w:szCs w:val="22"/>
          <w:color w:val="auto"/>
        </w:rPr>
        <w:t>”), and result in dismissal from the Company or even serious criminal and civil charges against the individual and the Company. The Company reserves the right to take whatever disciplinary or other measure(s) it determines in its sole discreton to be appropriate in any partcular situaton, including disclosure of wrongdoing to governmental authorites.</w:t>
      </w:r>
    </w:p>
    <w:p>
      <w:pPr>
        <w:spacing w:after="0" w:line="223"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Persons Covered and Administraton of Policy</w:t>
      </w:r>
    </w:p>
    <w:p>
      <w:pPr>
        <w:spacing w:after="0" w:line="228" w:lineRule="exact"/>
        <w:rPr>
          <w:sz w:val="20"/>
          <w:szCs w:val="20"/>
          <w:color w:val="auto"/>
        </w:rPr>
      </w:pPr>
    </w:p>
    <w:p>
      <w:pPr>
        <w:jc w:val="both"/>
        <w:ind w:right="120" w:firstLine="749"/>
        <w:spacing w:after="0"/>
        <w:rPr>
          <w:sz w:val="20"/>
          <w:szCs w:val="20"/>
          <w:color w:val="auto"/>
        </w:rPr>
      </w:pPr>
      <w:r>
        <w:rPr>
          <w:rFonts w:ascii="Calibri" w:cs="Calibri" w:eastAsia="Calibri" w:hAnsi="Calibri"/>
          <w:sz w:val="22"/>
          <w:szCs w:val="22"/>
          <w:color w:val="auto"/>
        </w:rPr>
        <w:t>This Insider Trading Compliance Policy and Procedures (this “</w:t>
      </w:r>
      <w:r>
        <w:rPr>
          <w:rFonts w:ascii="Calibri" w:cs="Calibri" w:eastAsia="Calibri" w:hAnsi="Calibri"/>
          <w:sz w:val="22"/>
          <w:szCs w:val="22"/>
          <w:u w:val="single" w:color="auto"/>
          <w:color w:val="auto"/>
        </w:rPr>
        <w:t>Policy</w:t>
      </w:r>
      <w:r>
        <w:rPr>
          <w:rFonts w:ascii="Calibri" w:cs="Calibri" w:eastAsia="Calibri" w:hAnsi="Calibri"/>
          <w:sz w:val="22"/>
          <w:szCs w:val="22"/>
          <w:color w:val="auto"/>
        </w:rPr>
        <w:t>”) applies to all ofcers, directors and employees of the Company. For purposes of this Policy, “ofcers” refer to those individuals who meet the defniton of “ofcer” under Secton 16 of the Securites Exchange Act of 1934 (as amended, the “</w:t>
      </w:r>
      <w:r>
        <w:rPr>
          <w:rFonts w:ascii="Calibri" w:cs="Calibri" w:eastAsia="Calibri" w:hAnsi="Calibri"/>
          <w:sz w:val="22"/>
          <w:szCs w:val="22"/>
          <w:u w:val="single" w:color="auto"/>
          <w:color w:val="auto"/>
        </w:rPr>
        <w:t>Exchange Act</w:t>
      </w:r>
      <w:r>
        <w:rPr>
          <w:rFonts w:ascii="Calibri" w:cs="Calibri" w:eastAsia="Calibri" w:hAnsi="Calibri"/>
          <w:sz w:val="22"/>
          <w:szCs w:val="22"/>
          <w:color w:val="auto"/>
        </w:rPr>
        <w:t>”). Individuals subject to this Policy are responsible for ensuring that members of their household comply with this Policy. This Policy also applies to any enttes controlled by individuals subject to the Policy, including any corporatons, limited liability companies, partnerships or trusts, and transactons by these enttes should be treated for the purposes of this Policy as if they were for the individual’s own account. Notwithstanding the foregoing, this insider trading policy, including without limitaton, the preclearance policy, blackout periods and prohibited transactons, does not apply to venture capital enttes or other insttutonal investors, and the related transactons in the Company’s equity securites by such enttes, that may be afliated with a director of the Company or for Company equity securites that a director may be deemed to have benefcial ownership of by virtue of such afliaton; provided, however, it is the responsibility of each such entty, in consultaton with its own counsel (as appropriate), to determine compliance with applicable securites laws in considering whether to adhere to this Policy. The Company may determine that this Policy applies to additonal persons with access to material nonpublic informaton, such as contractors or consultants. Ofcers, directors and employees, together with any other person designated as being subject to this Policy by the General Counsel or his or her designee or such other ofcer appointed by the Company (the “</w:t>
      </w:r>
      <w:r>
        <w:rPr>
          <w:rFonts w:ascii="Calibri" w:cs="Calibri" w:eastAsia="Calibri" w:hAnsi="Calibri"/>
          <w:sz w:val="22"/>
          <w:szCs w:val="22"/>
          <w:u w:val="single" w:color="auto"/>
          <w:color w:val="auto"/>
        </w:rPr>
        <w:t>Compliance</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Ofcer</w:t>
      </w:r>
      <w:r>
        <w:rPr>
          <w:rFonts w:ascii="Calibri" w:cs="Calibri" w:eastAsia="Calibri" w:hAnsi="Calibri"/>
          <w:sz w:val="22"/>
          <w:szCs w:val="22"/>
          <w:color w:val="auto"/>
        </w:rPr>
        <w:t>”), are referred to collectvely as “</w:t>
      </w:r>
      <w:r>
        <w:rPr>
          <w:rFonts w:ascii="Calibri" w:cs="Calibri" w:eastAsia="Calibri" w:hAnsi="Calibri"/>
          <w:sz w:val="22"/>
          <w:szCs w:val="22"/>
          <w:u w:val="single" w:color="auto"/>
          <w:color w:val="auto"/>
        </w:rPr>
        <w:t>Covered Persons.</w:t>
      </w:r>
      <w:r>
        <w:rPr>
          <w:rFonts w:ascii="Calibri" w:cs="Calibri" w:eastAsia="Calibri" w:hAnsi="Calibri"/>
          <w:sz w:val="22"/>
          <w:szCs w:val="22"/>
          <w:color w:val="auto"/>
        </w:rPr>
        <w:t>”</w:t>
      </w:r>
    </w:p>
    <w:p>
      <w:pPr>
        <w:spacing w:after="0" w:line="239" w:lineRule="exact"/>
        <w:rPr>
          <w:sz w:val="20"/>
          <w:szCs w:val="20"/>
          <w:color w:val="auto"/>
        </w:rPr>
      </w:pPr>
    </w:p>
    <w:p>
      <w:pPr>
        <w:ind w:right="1320" w:firstLine="749"/>
        <w:spacing w:after="0" w:line="235" w:lineRule="auto"/>
        <w:rPr>
          <w:sz w:val="20"/>
          <w:szCs w:val="20"/>
          <w:color w:val="auto"/>
        </w:rPr>
      </w:pPr>
      <w:r>
        <w:rPr>
          <w:rFonts w:ascii="Calibri" w:cs="Calibri" w:eastAsia="Calibri" w:hAnsi="Calibri"/>
          <w:sz w:val="22"/>
          <w:szCs w:val="22"/>
          <w:color w:val="auto"/>
        </w:rPr>
        <w:t>Questons regarding the Policy should be directed to the Compliance Ofcer, who is responsible for the administraton of this Policy.</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Policy Statement</w:t>
      </w:r>
    </w:p>
    <w:p>
      <w:pPr>
        <w:spacing w:after="0" w:line="228" w:lineRule="exact"/>
        <w:rPr>
          <w:sz w:val="20"/>
          <w:szCs w:val="20"/>
          <w:color w:val="auto"/>
        </w:rPr>
      </w:pPr>
    </w:p>
    <w:p>
      <w:pPr>
        <w:ind w:right="260" w:firstLine="749"/>
        <w:spacing w:after="0" w:line="235" w:lineRule="auto"/>
        <w:rPr>
          <w:sz w:val="20"/>
          <w:szCs w:val="20"/>
          <w:color w:val="auto"/>
        </w:rPr>
      </w:pPr>
      <w:r>
        <w:rPr>
          <w:rFonts w:ascii="Calibri" w:cs="Calibri" w:eastAsia="Calibri" w:hAnsi="Calibri"/>
          <w:sz w:val="22"/>
          <w:szCs w:val="22"/>
          <w:color w:val="auto"/>
        </w:rPr>
        <w:t>No Covered Person shall purchase or sell any type of security while in possession of material nonpublic informaton relatng to the security or the issuer of such security in breach of</w:t>
      </w:r>
    </w:p>
    <w:p>
      <w:pPr>
        <w:spacing w:after="0" w:line="200" w:lineRule="exact"/>
        <w:rPr>
          <w:sz w:val="20"/>
          <w:szCs w:val="20"/>
          <w:color w:val="auto"/>
        </w:rPr>
      </w:pPr>
    </w:p>
    <w:p>
      <w:pPr>
        <w:spacing w:after="0" w:line="20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765" w:right="339" w:bottom="1440" w:gutter="0" w:footer="0" w:header="0"/>
        </w:sectPr>
      </w:pPr>
    </w:p>
    <w:bookmarkStart w:id="158" w:name="page159"/>
    <w:bookmarkEnd w:id="158"/>
    <w:p>
      <w:pPr>
        <w:spacing w:after="0" w:line="200" w:lineRule="exact"/>
        <w:rPr>
          <w:sz w:val="20"/>
          <w:szCs w:val="20"/>
          <w:color w:val="auto"/>
        </w:rPr>
      </w:pPr>
    </w:p>
    <w:p>
      <w:pPr>
        <w:spacing w:after="0" w:line="281" w:lineRule="exact"/>
        <w:rPr>
          <w:sz w:val="20"/>
          <w:szCs w:val="20"/>
          <w:color w:val="auto"/>
        </w:rPr>
      </w:pPr>
    </w:p>
    <w:p>
      <w:pPr>
        <w:jc w:val="both"/>
        <w:spacing w:after="0" w:line="239" w:lineRule="auto"/>
        <w:rPr>
          <w:sz w:val="20"/>
          <w:szCs w:val="20"/>
          <w:color w:val="auto"/>
        </w:rPr>
      </w:pPr>
      <w:r>
        <w:rPr>
          <w:rFonts w:ascii="Calibri" w:cs="Calibri" w:eastAsia="Calibri" w:hAnsi="Calibri"/>
          <w:sz w:val="22"/>
          <w:szCs w:val="22"/>
          <w:color w:val="auto"/>
        </w:rPr>
        <w:t>a duty of trust or confdence, whether the issuer of such security is the Company or any other company. In additon, if a Covered Person is in possession of material nonpublic informaton about other publicly‐traded companies, such as suppliers, customers, compettors or potental acquisiton targets, the Covered Person may not trade in such other companies’ securites untl the informaton becomes public or is no longer material. Further, no Covered Person shall purchase or sell any security of any other company, including another company in the Company’s industry, while in possession of material nonpublic informaton if such informaton is obtained in the course of the Covered Person’s employment or service with the Company.</w:t>
      </w:r>
    </w:p>
    <w:p>
      <w:pPr>
        <w:spacing w:after="0" w:line="234"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In additon, Covered Persons shall not directly or indirectly communicate material nonpublic informaton to anyone outside the Company (except in accordance with the Company’s policies regarding confdental informaton) or to anyone within the Company other than on a “need‐to‐know” basis.</w:t>
      </w:r>
    </w:p>
    <w:p>
      <w:pPr>
        <w:spacing w:after="0" w:line="244"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i w:val="1"/>
          <w:iCs w:val="1"/>
          <w:color w:val="auto"/>
        </w:rPr>
        <w:t>“</w:t>
      </w:r>
      <w:r>
        <w:rPr>
          <w:rFonts w:ascii="Calibri" w:cs="Calibri" w:eastAsia="Calibri" w:hAnsi="Calibri"/>
          <w:sz w:val="22"/>
          <w:szCs w:val="22"/>
          <w:u w:val="single" w:color="auto"/>
          <w:color w:val="auto"/>
        </w:rPr>
        <w:t>Securites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includes stocks, bonds, notes, debentures, optons, warrants, equity and other convertble securites, as</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well as derivatve instruments.</w:t>
      </w:r>
    </w:p>
    <w:p>
      <w:pPr>
        <w:spacing w:after="0" w:line="217" w:lineRule="exact"/>
        <w:rPr>
          <w:sz w:val="20"/>
          <w:szCs w:val="20"/>
          <w:color w:val="auto"/>
        </w:rPr>
      </w:pPr>
    </w:p>
    <w:p>
      <w:pPr>
        <w:jc w:val="both"/>
        <w:ind w:firstLine="749"/>
        <w:spacing w:after="0" w:line="253" w:lineRule="auto"/>
        <w:rPr>
          <w:sz w:val="20"/>
          <w:szCs w:val="20"/>
          <w:color w:val="auto"/>
        </w:rPr>
      </w:pPr>
      <w:r>
        <w:rPr>
          <w:rFonts w:ascii="Calibri" w:cs="Calibri" w:eastAsia="Calibri" w:hAnsi="Calibri"/>
          <w:sz w:val="21"/>
          <w:szCs w:val="21"/>
          <w:i w:val="1"/>
          <w:iCs w:val="1"/>
          <w:color w:val="auto"/>
        </w:rPr>
        <w:t>“</w:t>
      </w:r>
      <w:r>
        <w:rPr>
          <w:rFonts w:ascii="Calibri" w:cs="Calibri" w:eastAsia="Calibri" w:hAnsi="Calibri"/>
          <w:sz w:val="21"/>
          <w:szCs w:val="21"/>
          <w:u w:val="single" w:color="auto"/>
          <w:color w:val="auto"/>
        </w:rPr>
        <w:t>Purchase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and</w:t>
      </w:r>
      <w:r>
        <w:rPr>
          <w:rFonts w:ascii="Calibri" w:cs="Calibri" w:eastAsia="Calibri" w:hAnsi="Calibri"/>
          <w:sz w:val="21"/>
          <w:szCs w:val="21"/>
          <w:i w:val="1"/>
          <w:iCs w:val="1"/>
          <w:color w:val="auto"/>
        </w:rPr>
        <w:t xml:space="preserve"> “</w:t>
      </w:r>
      <w:r>
        <w:rPr>
          <w:rFonts w:ascii="Calibri" w:cs="Calibri" w:eastAsia="Calibri" w:hAnsi="Calibri"/>
          <w:sz w:val="21"/>
          <w:szCs w:val="21"/>
          <w:u w:val="single" w:color="auto"/>
          <w:color w:val="auto"/>
        </w:rPr>
        <w:t>sale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are defned broadly under the federal securites law.</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Purchase</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includes not only the actual</w:t>
      </w:r>
      <w:r>
        <w:rPr>
          <w:rFonts w:ascii="Calibri" w:cs="Calibri" w:eastAsia="Calibri" w:hAnsi="Calibri"/>
          <w:sz w:val="21"/>
          <w:szCs w:val="21"/>
          <w:i w:val="1"/>
          <w:iCs w:val="1"/>
          <w:color w:val="auto"/>
        </w:rPr>
        <w:t xml:space="preserve"> </w:t>
      </w:r>
      <w:r>
        <w:rPr>
          <w:rFonts w:ascii="Calibri" w:cs="Calibri" w:eastAsia="Calibri" w:hAnsi="Calibri"/>
          <w:sz w:val="21"/>
          <w:szCs w:val="21"/>
          <w:color w:val="auto"/>
        </w:rPr>
        <w:t xml:space="preserve">purchase of a security, but also any contract to purchase or otherwise acquire a security. </w:t>
      </w:r>
      <w:r>
        <w:rPr>
          <w:rFonts w:ascii="Calibri" w:cs="Calibri" w:eastAsia="Calibri" w:hAnsi="Calibri"/>
          <w:sz w:val="21"/>
          <w:szCs w:val="21"/>
          <w:i w:val="1"/>
          <w:iCs w:val="1"/>
          <w:color w:val="auto"/>
        </w:rPr>
        <w:t>“</w:t>
      </w:r>
      <w:r>
        <w:rPr>
          <w:rFonts w:ascii="Calibri" w:cs="Calibri" w:eastAsia="Calibri" w:hAnsi="Calibri"/>
          <w:sz w:val="21"/>
          <w:szCs w:val="21"/>
          <w:color w:val="auto"/>
        </w:rPr>
        <w:t>Sale</w:t>
      </w:r>
      <w:r>
        <w:rPr>
          <w:rFonts w:ascii="Calibri" w:cs="Calibri" w:eastAsia="Calibri" w:hAnsi="Calibri"/>
          <w:sz w:val="21"/>
          <w:szCs w:val="21"/>
          <w:i w:val="1"/>
          <w:iCs w:val="1"/>
          <w:color w:val="auto"/>
        </w:rPr>
        <w:t>”</w:t>
      </w:r>
      <w:r>
        <w:rPr>
          <w:rFonts w:ascii="Calibri" w:cs="Calibri" w:eastAsia="Calibri" w:hAnsi="Calibri"/>
          <w:sz w:val="21"/>
          <w:szCs w:val="21"/>
          <w:color w:val="auto"/>
        </w:rPr>
        <w:t xml:space="preserve"> includes not only the actual sale of a security, but also any contract to sell or otherwise dispose of a security. These defnitons extend to a broad range of transactons, including conventonal cash‐for‐stock transactons, conversions, the exercise of stock optons, transfers, gifs, and acquisitons and exercises of warrants or puts, calls, pledging and margin loans, or other derivatve securites.</w:t>
      </w:r>
    </w:p>
    <w:p>
      <w:pPr>
        <w:spacing w:after="0" w:line="215"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The laws and regulatons concerning insider trading are complex, and Covered Persons are encouraged to seek guidance from the Compliance Ofcer prior to considering a transacton in Company securites.</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Blackout Periods</w:t>
      </w:r>
    </w:p>
    <w:p>
      <w:pPr>
        <w:spacing w:after="0" w:line="243" w:lineRule="exact"/>
        <w:rPr>
          <w:sz w:val="20"/>
          <w:szCs w:val="20"/>
          <w:color w:val="auto"/>
        </w:rPr>
      </w:pPr>
    </w:p>
    <w:p>
      <w:pPr>
        <w:jc w:val="both"/>
        <w:ind w:firstLine="749"/>
        <w:spacing w:after="0" w:line="223" w:lineRule="auto"/>
        <w:rPr>
          <w:sz w:val="20"/>
          <w:szCs w:val="20"/>
          <w:color w:val="auto"/>
        </w:rPr>
      </w:pPr>
      <w:r>
        <w:rPr>
          <w:rFonts w:ascii="Calibri" w:cs="Calibri" w:eastAsia="Calibri" w:hAnsi="Calibri"/>
          <w:sz w:val="22"/>
          <w:szCs w:val="22"/>
          <w:color w:val="auto"/>
        </w:rPr>
        <w:t xml:space="preserve">No ofcer, director, or specifed employee listed on </w:t>
      </w:r>
      <w:r>
        <w:rPr>
          <w:rFonts w:ascii="Calibri" w:cs="Calibri" w:eastAsia="Calibri" w:hAnsi="Calibri"/>
          <w:sz w:val="22"/>
          <w:szCs w:val="22"/>
          <w:u w:val="single" w:color="auto"/>
          <w:color w:val="auto"/>
        </w:rPr>
        <w:t>Schedule I</w:t>
      </w:r>
      <w:r>
        <w:rPr>
          <w:rFonts w:ascii="Calibri" w:cs="Calibri" w:eastAsia="Calibri" w:hAnsi="Calibri"/>
          <w:sz w:val="22"/>
          <w:szCs w:val="22"/>
          <w:color w:val="auto"/>
        </w:rPr>
        <w:t xml:space="preserve"> (as amended from tme to tme) shall purchase or sell any security of the Company during the period beginning on the 15</w:t>
      </w:r>
      <w:r>
        <w:rPr>
          <w:rFonts w:ascii="Calibri" w:cs="Calibri" w:eastAsia="Calibri" w:hAnsi="Calibri"/>
          <w:sz w:val="28"/>
          <w:szCs w:val="28"/>
          <w:color w:val="auto"/>
          <w:vertAlign w:val="superscript"/>
        </w:rPr>
        <w:t>th</w:t>
      </w:r>
      <w:r>
        <w:rPr>
          <w:rFonts w:ascii="Calibri" w:cs="Calibri" w:eastAsia="Calibri" w:hAnsi="Calibri"/>
          <w:sz w:val="22"/>
          <w:szCs w:val="22"/>
          <w:color w:val="auto"/>
        </w:rPr>
        <w:t xml:space="preserve"> calendar day of the last month of any fscal quarter of the Company and ending upon the completon of the second full trading day afer the public release of earnings data for such fscal quarter or during any other trading suspension period declared by the Company.</w:t>
      </w:r>
    </w:p>
    <w:p>
      <w:pPr>
        <w:spacing w:after="0" w:line="216"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In additon, from tme to tme, the Compliance Ofcer may recommend that directors, ofcers, employees or others suspend trading in Company securites because of developments that have not yet been disclosed to the public. Subject to the exceptons noted below, all of those individuals afected should not trade in the Company’s securites while the suspension is in efect and should not disclose to others that the Company has suspended trading.</w:t>
      </w:r>
    </w:p>
    <w:p>
      <w:pPr>
        <w:spacing w:after="0" w:line="231" w:lineRule="exact"/>
        <w:rPr>
          <w:sz w:val="20"/>
          <w:szCs w:val="20"/>
          <w:color w:val="auto"/>
        </w:rPr>
      </w:pPr>
    </w:p>
    <w:p>
      <w:pPr>
        <w:jc w:val="both"/>
        <w:ind w:right="20" w:firstLine="749"/>
        <w:spacing w:after="0" w:line="235" w:lineRule="auto"/>
        <w:rPr>
          <w:sz w:val="20"/>
          <w:szCs w:val="20"/>
          <w:color w:val="auto"/>
        </w:rPr>
      </w:pPr>
      <w:r>
        <w:rPr>
          <w:rFonts w:ascii="Calibri" w:cs="Calibri" w:eastAsia="Calibri" w:hAnsi="Calibri"/>
          <w:sz w:val="22"/>
          <w:szCs w:val="22"/>
          <w:color w:val="auto"/>
        </w:rPr>
        <w:t>Exceptons to prohibitons on trading during the foregoing periods (such periods, “</w:t>
      </w:r>
      <w:r>
        <w:rPr>
          <w:rFonts w:ascii="Calibri" w:cs="Calibri" w:eastAsia="Calibri" w:hAnsi="Calibri"/>
          <w:sz w:val="22"/>
          <w:szCs w:val="22"/>
          <w:u w:val="single" w:color="auto"/>
          <w:color w:val="auto"/>
        </w:rPr>
        <w:t>blackout periods</w:t>
      </w:r>
      <w:r>
        <w:rPr>
          <w:rFonts w:ascii="Calibri" w:cs="Calibri" w:eastAsia="Calibri" w:hAnsi="Calibri"/>
          <w:sz w:val="22"/>
          <w:szCs w:val="22"/>
          <w:color w:val="auto"/>
        </w:rPr>
        <w:t>”) may be approved by the Compliance Ofcer.</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159" w:name="page160"/>
    <w:bookmarkEnd w:id="159"/>
    <w:p>
      <w:pPr>
        <w:ind w:left="740"/>
        <w:spacing w:after="0"/>
        <w:rPr>
          <w:sz w:val="20"/>
          <w:szCs w:val="20"/>
          <w:color w:val="auto"/>
        </w:rPr>
      </w:pPr>
      <w:r>
        <w:rPr>
          <w:rFonts w:ascii="Calibri" w:cs="Calibri" w:eastAsia="Calibri" w:hAnsi="Calibri"/>
          <w:sz w:val="22"/>
          <w:szCs w:val="22"/>
          <w:color w:val="auto"/>
        </w:rPr>
        <w:t>In additon, these trading prohibitons do not apply to:</w:t>
      </w:r>
    </w:p>
    <w:p>
      <w:pPr>
        <w:spacing w:after="0" w:line="228" w:lineRule="exact"/>
        <w:rPr>
          <w:sz w:val="20"/>
          <w:szCs w:val="20"/>
          <w:color w:val="auto"/>
        </w:rPr>
      </w:pPr>
    </w:p>
    <w:p>
      <w:pPr>
        <w:ind w:left="1480" w:right="20" w:hanging="744"/>
        <w:spacing w:after="0" w:line="235" w:lineRule="auto"/>
        <w:tabs>
          <w:tab w:leader="none" w:pos="1480" w:val="left"/>
        </w:tabs>
        <w:numPr>
          <w:ilvl w:val="0"/>
          <w:numId w:val="70"/>
        </w:numPr>
        <w:rPr>
          <w:rFonts w:ascii="Times New Roman" w:cs="Times New Roman" w:eastAsia="Times New Roman" w:hAnsi="Times New Roman"/>
          <w:sz w:val="22"/>
          <w:szCs w:val="22"/>
          <w:color w:val="auto"/>
        </w:rPr>
      </w:pPr>
      <w:r>
        <w:rPr>
          <w:rFonts w:ascii="Calibri" w:cs="Calibri" w:eastAsia="Calibri" w:hAnsi="Calibri"/>
          <w:sz w:val="22"/>
          <w:szCs w:val="22"/>
          <w:color w:val="auto"/>
        </w:rPr>
        <w:t>purchases of the Company’s securites from the Company (</w:t>
      </w:r>
      <w:r>
        <w:rPr>
          <w:rFonts w:ascii="Calibri" w:cs="Calibri" w:eastAsia="Calibri" w:hAnsi="Calibri"/>
          <w:sz w:val="22"/>
          <w:szCs w:val="22"/>
          <w:i w:val="1"/>
          <w:iCs w:val="1"/>
          <w:color w:val="auto"/>
        </w:rPr>
        <w:t>e.g.</w:t>
      </w:r>
      <w:r>
        <w:rPr>
          <w:rFonts w:ascii="Calibri" w:cs="Calibri" w:eastAsia="Calibri" w:hAnsi="Calibri"/>
          <w:sz w:val="22"/>
          <w:szCs w:val="22"/>
          <w:color w:val="auto"/>
        </w:rPr>
        <w:t>, purchases pursuant to an Employee Stock Purchase Plan), or sales of the Company’s securites to the Company;</w:t>
      </w:r>
    </w:p>
    <w:p>
      <w:pPr>
        <w:spacing w:after="0" w:line="230" w:lineRule="exact"/>
        <w:rPr>
          <w:rFonts w:ascii="Times New Roman" w:cs="Times New Roman" w:eastAsia="Times New Roman" w:hAnsi="Times New Roman"/>
          <w:sz w:val="22"/>
          <w:szCs w:val="22"/>
          <w:color w:val="auto"/>
        </w:rPr>
      </w:pPr>
    </w:p>
    <w:p>
      <w:pPr>
        <w:jc w:val="both"/>
        <w:ind w:left="1480" w:hanging="744"/>
        <w:spacing w:after="0" w:line="239" w:lineRule="auto"/>
        <w:tabs>
          <w:tab w:leader="none" w:pos="1480" w:val="left"/>
        </w:tabs>
        <w:numPr>
          <w:ilvl w:val="0"/>
          <w:numId w:val="70"/>
        </w:numPr>
        <w:rPr>
          <w:rFonts w:ascii="Times New Roman" w:cs="Times New Roman" w:eastAsia="Times New Roman" w:hAnsi="Times New Roman"/>
          <w:sz w:val="22"/>
          <w:szCs w:val="22"/>
          <w:color w:val="auto"/>
        </w:rPr>
      </w:pPr>
      <w:r>
        <w:rPr>
          <w:rFonts w:ascii="Calibri" w:cs="Calibri" w:eastAsia="Calibri" w:hAnsi="Calibri"/>
          <w:sz w:val="22"/>
          <w:szCs w:val="22"/>
          <w:color w:val="auto"/>
        </w:rPr>
        <w:t>exercises of stock optons or other equity awards or the surrender of shares to the Company in payment of the exercise price or in satsfacton of any tax withholding obligatons in a manner permited by the applicable equity award agreement, or vestng of equity‐based awards, in each case, that do not involve a market sale of the Company’s securites (the “cashless exercise” of a Company stock opton or other equity award through a broker does involve a market sale of the Company’s securites, and therefore would not qualify under this excepton);</w:t>
      </w:r>
    </w:p>
    <w:p>
      <w:pPr>
        <w:spacing w:after="0" w:line="231" w:lineRule="exact"/>
        <w:rPr>
          <w:rFonts w:ascii="Times New Roman" w:cs="Times New Roman" w:eastAsia="Times New Roman" w:hAnsi="Times New Roman"/>
          <w:sz w:val="22"/>
          <w:szCs w:val="22"/>
          <w:color w:val="auto"/>
        </w:rPr>
      </w:pPr>
    </w:p>
    <w:p>
      <w:pPr>
        <w:jc w:val="both"/>
        <w:ind w:left="1480" w:hanging="744"/>
        <w:spacing w:after="0" w:line="237" w:lineRule="auto"/>
        <w:tabs>
          <w:tab w:leader="none" w:pos="1480" w:val="left"/>
        </w:tabs>
        <w:numPr>
          <w:ilvl w:val="0"/>
          <w:numId w:val="70"/>
        </w:numPr>
        <w:rPr>
          <w:rFonts w:ascii="Times New Roman" w:cs="Times New Roman" w:eastAsia="Times New Roman" w:hAnsi="Times New Roman"/>
          <w:sz w:val="22"/>
          <w:szCs w:val="22"/>
          <w:color w:val="auto"/>
        </w:rPr>
      </w:pPr>
      <w:r>
        <w:rPr>
          <w:rFonts w:ascii="Calibri" w:cs="Calibri" w:eastAsia="Calibri" w:hAnsi="Calibri"/>
          <w:sz w:val="22"/>
          <w:szCs w:val="22"/>
          <w:i w:val="1"/>
          <w:iCs w:val="1"/>
          <w:color w:val="auto"/>
        </w:rPr>
        <w:t xml:space="preserve">bona fde </w:t>
      </w:r>
      <w:r>
        <w:rPr>
          <w:rFonts w:ascii="Calibri" w:cs="Calibri" w:eastAsia="Calibri" w:hAnsi="Calibri"/>
          <w:sz w:val="22"/>
          <w:szCs w:val="22"/>
          <w:color w:val="auto"/>
        </w:rPr>
        <w:t>gifs of the Company’s securites, unless the individual making the gif knows, or is reckless in not</w:t>
      </w:r>
      <w:r>
        <w:rPr>
          <w:rFonts w:ascii="Calibri" w:cs="Calibri" w:eastAsia="Calibri" w:hAnsi="Calibri"/>
          <w:sz w:val="22"/>
          <w:szCs w:val="22"/>
          <w:i w:val="1"/>
          <w:iCs w:val="1"/>
          <w:color w:val="auto"/>
        </w:rPr>
        <w:t xml:space="preserve"> </w:t>
      </w:r>
      <w:r>
        <w:rPr>
          <w:rFonts w:ascii="Calibri" w:cs="Calibri" w:eastAsia="Calibri" w:hAnsi="Calibri"/>
          <w:sz w:val="22"/>
          <w:szCs w:val="22"/>
          <w:color w:val="auto"/>
        </w:rPr>
        <w:t>knowing, the recipient intends to sell the securites while the donor is in possession of material nonpublic informaton about the Company;</w:t>
      </w:r>
    </w:p>
    <w:p>
      <w:pPr>
        <w:spacing w:after="0" w:line="230" w:lineRule="exact"/>
        <w:rPr>
          <w:rFonts w:ascii="Times New Roman" w:cs="Times New Roman" w:eastAsia="Times New Roman" w:hAnsi="Times New Roman"/>
          <w:sz w:val="22"/>
          <w:szCs w:val="22"/>
          <w:color w:val="auto"/>
        </w:rPr>
      </w:pPr>
    </w:p>
    <w:p>
      <w:pPr>
        <w:jc w:val="both"/>
        <w:ind w:left="1480" w:hanging="744"/>
        <w:spacing w:after="0" w:line="238" w:lineRule="auto"/>
        <w:tabs>
          <w:tab w:leader="none" w:pos="1480" w:val="left"/>
        </w:tabs>
        <w:numPr>
          <w:ilvl w:val="0"/>
          <w:numId w:val="70"/>
        </w:numPr>
        <w:rPr>
          <w:rFonts w:ascii="Times New Roman" w:cs="Times New Roman" w:eastAsia="Times New Roman" w:hAnsi="Times New Roman"/>
          <w:sz w:val="22"/>
          <w:szCs w:val="22"/>
          <w:color w:val="auto"/>
        </w:rPr>
      </w:pPr>
      <w:r>
        <w:rPr>
          <w:rFonts w:ascii="Calibri" w:cs="Calibri" w:eastAsia="Calibri" w:hAnsi="Calibri"/>
          <w:sz w:val="22"/>
          <w:szCs w:val="22"/>
          <w:color w:val="auto"/>
        </w:rPr>
        <w:t>purchases or sales of the Company’s securites mandated under an employee beneft plan maintained by the Company which authorizes the sale of only such securites as are necessary to satsfy tax withholding obligatons arising exclusively from the vestng of a compensatory award or made pursuant to a plan adopted to comply with the Exchange Act Rule 10b5‐1 (“</w:t>
      </w:r>
      <w:r>
        <w:rPr>
          <w:rFonts w:ascii="Calibri" w:cs="Calibri" w:eastAsia="Calibri" w:hAnsi="Calibri"/>
          <w:sz w:val="22"/>
          <w:szCs w:val="22"/>
          <w:u w:val="single" w:color="auto"/>
          <w:color w:val="auto"/>
        </w:rPr>
        <w:t>Rule 10b5‐1</w:t>
      </w:r>
      <w:r>
        <w:rPr>
          <w:rFonts w:ascii="Calibri" w:cs="Calibri" w:eastAsia="Calibri" w:hAnsi="Calibri"/>
          <w:sz w:val="22"/>
          <w:szCs w:val="22"/>
          <w:color w:val="auto"/>
        </w:rPr>
        <w:t>”); or</w:t>
      </w:r>
    </w:p>
    <w:p>
      <w:pPr>
        <w:spacing w:after="0" w:line="230" w:lineRule="exact"/>
        <w:rPr>
          <w:rFonts w:ascii="Times New Roman" w:cs="Times New Roman" w:eastAsia="Times New Roman" w:hAnsi="Times New Roman"/>
          <w:sz w:val="22"/>
          <w:szCs w:val="22"/>
          <w:color w:val="auto"/>
        </w:rPr>
      </w:pPr>
    </w:p>
    <w:p>
      <w:pPr>
        <w:jc w:val="both"/>
        <w:ind w:left="1480" w:hanging="744"/>
        <w:spacing w:after="0" w:line="237" w:lineRule="auto"/>
        <w:tabs>
          <w:tab w:leader="none" w:pos="1480" w:val="left"/>
        </w:tabs>
        <w:numPr>
          <w:ilvl w:val="0"/>
          <w:numId w:val="70"/>
        </w:numPr>
        <w:rPr>
          <w:rFonts w:ascii="Times New Roman" w:cs="Times New Roman" w:eastAsia="Times New Roman" w:hAnsi="Times New Roman"/>
          <w:sz w:val="22"/>
          <w:szCs w:val="22"/>
          <w:color w:val="auto"/>
        </w:rPr>
      </w:pPr>
      <w:r>
        <w:rPr>
          <w:rFonts w:ascii="Calibri" w:cs="Calibri" w:eastAsia="Calibri" w:hAnsi="Calibri"/>
          <w:sz w:val="22"/>
          <w:szCs w:val="22"/>
          <w:color w:val="auto"/>
        </w:rPr>
        <w:t>the creditng of Company securites as employer matching contributons into the Company stock fund under the Company 401(k) plan resultng from your contributons to the plan pursuant to your payroll deducton electon, even if that matching contributon is made during a trading suspension period.</w:t>
      </w:r>
    </w:p>
    <w:p>
      <w:pPr>
        <w:spacing w:after="0" w:line="230"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b w:val="1"/>
          <w:bCs w:val="1"/>
          <w:color w:val="auto"/>
        </w:rPr>
        <w:t xml:space="preserve">However, the prohibitons of this Policy do apply to certain transactons under the Company’s 401(k) plan. </w:t>
      </w:r>
      <w:r>
        <w:rPr>
          <w:rFonts w:ascii="Calibri" w:cs="Calibri" w:eastAsia="Calibri" w:hAnsi="Calibri"/>
          <w:sz w:val="22"/>
          <w:szCs w:val="22"/>
          <w:color w:val="auto"/>
        </w:rPr>
        <w:t>Specifcally, the prohibitons of this Policy apply to electons you may make under the 401(k) plan that result in a liquidaton of some or all of your Company stock fund investment, including any electon to (i) transfer funds from the Company stock fund to another 401(k) plan investment; (ii) take an in‐service distributon if the distributon will result in a liquidaton of some or all of your Company stock fund balance; or (iii) borrow money from the porton of the 401(k) plan account invested in the Company stock fund. As a result, your ability to immediately diversify any porton of your 401(k) plan account invested in the Company stock fund may be limited by this Policy if the matching contributon is made during a blackout period or at a tme when you are in possession of material, non‐public informaton.</w:t>
      </w:r>
    </w:p>
    <w:p>
      <w:pPr>
        <w:spacing w:after="0" w:line="237"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Also, Regulaton BTR (Blackout Trading Restricton), promulgated by the SEC under Secton 306(a) of the Sarbanes‐ Oxley Act of 2002, provides that a director or executve ofcer of the Company is prohibited from engaging in any transacton involving Company stock during a “pension plan blackout period” if the securites were acquired in connecton with the director’s</w:t>
      </w:r>
    </w:p>
    <w:p>
      <w:pPr>
        <w:spacing w:after="0" w:line="29" w:lineRule="exact"/>
        <w:rPr>
          <w:sz w:val="20"/>
          <w:szCs w:val="20"/>
          <w:color w:val="auto"/>
        </w:rPr>
      </w:pPr>
    </w:p>
    <w:p>
      <w:pPr>
        <w:spacing w:after="0"/>
        <w:rPr>
          <w:sz w:val="20"/>
          <w:szCs w:val="20"/>
          <w:color w:val="auto"/>
        </w:rPr>
      </w:pPr>
      <w:r>
        <w:rPr>
          <w:rFonts w:ascii="Calibri" w:cs="Calibri" w:eastAsia="Calibri" w:hAnsi="Calibri"/>
          <w:sz w:val="22"/>
          <w:szCs w:val="22"/>
          <w:color w:val="auto"/>
        </w:rPr>
        <w:t>or executve ofcer’s service or employment as a director or executve ofcer. For purposes of</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10" w:right="459" w:bottom="1440" w:gutter="0" w:footer="0" w:header="0"/>
        </w:sectPr>
      </w:pPr>
    </w:p>
    <w:bookmarkStart w:id="160" w:name="page161"/>
    <w:bookmarkEnd w:id="160"/>
    <w:p>
      <w:pPr>
        <w:jc w:val="both"/>
        <w:ind w:right="60"/>
        <w:spacing w:after="0" w:line="239" w:lineRule="auto"/>
        <w:rPr>
          <w:sz w:val="20"/>
          <w:szCs w:val="20"/>
          <w:color w:val="auto"/>
        </w:rPr>
      </w:pPr>
      <w:r>
        <w:rPr>
          <w:rFonts w:ascii="Calibri" w:cs="Calibri" w:eastAsia="Calibri" w:hAnsi="Calibri"/>
          <w:sz w:val="22"/>
          <w:szCs w:val="22"/>
          <w:color w:val="auto"/>
        </w:rPr>
        <w:t>this Policy, a “pension plan blackout period” means any period of more than three consecutve business days during which the ability of at least 50% of the partcipants under all of the Company’s individual account plans (including pension plans, 401(k) plans, proft sharing plans and stock bonus plans maintained by the Company) to acquire or transfer an interest in Company securites held in an individual account is temporarily suspended by the Company or by a fduciary of the plans. The Company will provide directors and executve ofcers with notce in writng of upcoming pension plan blackout periods in accordance with the requirements of Regulaton BTR. There are limited exceptons to this rule and directors and executve ofcers should consult with the General Counsel prior to atemptng a stock transacton during any Regulaton BTR blackout period.</w:t>
      </w:r>
    </w:p>
    <w:p>
      <w:pPr>
        <w:spacing w:after="0" w:line="226"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Preclearance of Trades by Directors, Ofcers and Employees</w:t>
      </w:r>
    </w:p>
    <w:p>
      <w:pPr>
        <w:spacing w:after="0" w:line="228" w:lineRule="exact"/>
        <w:rPr>
          <w:sz w:val="20"/>
          <w:szCs w:val="20"/>
          <w:color w:val="auto"/>
        </w:rPr>
      </w:pPr>
    </w:p>
    <w:p>
      <w:pPr>
        <w:jc w:val="both"/>
        <w:ind w:right="60" w:firstLine="749"/>
        <w:spacing w:after="0" w:line="238" w:lineRule="auto"/>
        <w:rPr>
          <w:sz w:val="20"/>
          <w:szCs w:val="20"/>
          <w:color w:val="auto"/>
        </w:rPr>
      </w:pPr>
      <w:r>
        <w:rPr>
          <w:rFonts w:ascii="Calibri" w:cs="Calibri" w:eastAsia="Calibri" w:hAnsi="Calibri"/>
          <w:sz w:val="22"/>
          <w:szCs w:val="22"/>
          <w:color w:val="auto"/>
        </w:rPr>
        <w:t>All transactons in the Company’s securites by directors or ofcers of the Company (each, a “</w:t>
      </w:r>
      <w:r>
        <w:rPr>
          <w:rFonts w:ascii="Calibri" w:cs="Calibri" w:eastAsia="Calibri" w:hAnsi="Calibri"/>
          <w:sz w:val="22"/>
          <w:szCs w:val="22"/>
          <w:u w:val="single" w:color="auto"/>
          <w:color w:val="auto"/>
        </w:rPr>
        <w:t>Preclearance Person</w:t>
      </w:r>
      <w:r>
        <w:rPr>
          <w:rFonts w:ascii="Calibri" w:cs="Calibri" w:eastAsia="Calibri" w:hAnsi="Calibri"/>
          <w:sz w:val="22"/>
          <w:szCs w:val="22"/>
          <w:color w:val="auto"/>
        </w:rPr>
        <w:t>”) must be precleared by the Compliance Ofcer or the Chief Financial Ofcer for transactons by the Compliance Ofcer. Preclearance should not be understood to represent legal advice by the company that a proposed transacton complies with the law.</w:t>
      </w:r>
    </w:p>
    <w:p>
      <w:pPr>
        <w:spacing w:after="0" w:line="231" w:lineRule="exact"/>
        <w:rPr>
          <w:sz w:val="20"/>
          <w:szCs w:val="20"/>
          <w:color w:val="auto"/>
        </w:rPr>
      </w:pPr>
    </w:p>
    <w:p>
      <w:pPr>
        <w:jc w:val="both"/>
        <w:ind w:right="60" w:firstLine="749"/>
        <w:spacing w:after="0"/>
        <w:rPr>
          <w:sz w:val="20"/>
          <w:szCs w:val="20"/>
          <w:color w:val="auto"/>
        </w:rPr>
      </w:pPr>
      <w:r>
        <w:rPr>
          <w:rFonts w:ascii="Calibri" w:cs="Calibri" w:eastAsia="Calibri" w:hAnsi="Calibri"/>
          <w:sz w:val="22"/>
          <w:szCs w:val="22"/>
          <w:color w:val="auto"/>
        </w:rPr>
        <w:t>A request for preclearance must be in writng, should be made at least two (2) business days in advance of the proposed transacton, and should include the identty of the Preclearance Person, a descripton of the proposed transacton, the proposed date of the transacton, and the number of shares or other securites involved. In additon, the Preclearance Person must execute a certfcaton that he or she is not aware of material nonpublic informaton about the Company. The Compliance Ofcer, or the Chief Financial Ofcer for transactons by the Compliance Ofcer, shall have sole discreton to decide whether to clear any contemplated transacton. All trades that are precleared must be efected within two (2) business days of receipt of the preclearance. A precleared trade (or any porton of a precleared trade) that has not been efected during the two (2) business day period must be submited for preclearance determinaton again prior to executon. Notwithstanding receipt of preclearance, if the Preclearance Person becomes aware of material nonpublic informaton, or becomes subject to a blackout period before the transacton is efected, the transacton may not be completed. Transactons under a previously established Rule 10b5‐1 Trading Plan that has been preapproved in accordance with this Policy are not subject to further preclearance.</w:t>
      </w:r>
    </w:p>
    <w:p>
      <w:pPr>
        <w:spacing w:after="0" w:line="233" w:lineRule="exact"/>
        <w:rPr>
          <w:sz w:val="20"/>
          <w:szCs w:val="20"/>
          <w:color w:val="auto"/>
        </w:rPr>
      </w:pPr>
    </w:p>
    <w:p>
      <w:pPr>
        <w:jc w:val="both"/>
        <w:ind w:right="60" w:firstLine="749"/>
        <w:spacing w:after="0" w:line="235" w:lineRule="auto"/>
        <w:rPr>
          <w:sz w:val="20"/>
          <w:szCs w:val="20"/>
          <w:color w:val="auto"/>
        </w:rPr>
      </w:pPr>
      <w:r>
        <w:rPr>
          <w:rFonts w:ascii="Calibri" w:cs="Calibri" w:eastAsia="Calibri" w:hAnsi="Calibri"/>
          <w:sz w:val="22"/>
          <w:szCs w:val="22"/>
          <w:color w:val="auto"/>
        </w:rPr>
        <w:t>None of the Company, the Compliance Ofcer, or the Company’s other employees will have any liability for any delay in reviewing, or refusal of, a request for preclearance.</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Material Nonpublic Informaton</w:t>
      </w:r>
    </w:p>
    <w:p>
      <w:pPr>
        <w:spacing w:after="0" w:line="230" w:lineRule="exact"/>
        <w:rPr>
          <w:sz w:val="20"/>
          <w:szCs w:val="20"/>
          <w:color w:val="auto"/>
        </w:rPr>
      </w:pPr>
    </w:p>
    <w:p>
      <w:pPr>
        <w:jc w:val="both"/>
        <w:ind w:right="60" w:firstLine="749"/>
        <w:spacing w:after="0" w:line="238" w:lineRule="auto"/>
        <w:rPr>
          <w:sz w:val="20"/>
          <w:szCs w:val="20"/>
          <w:color w:val="auto"/>
        </w:rPr>
      </w:pPr>
      <w:r>
        <w:rPr>
          <w:rFonts w:ascii="Calibri" w:cs="Calibri" w:eastAsia="Calibri" w:hAnsi="Calibri"/>
          <w:sz w:val="22"/>
          <w:szCs w:val="22"/>
          <w:color w:val="auto"/>
        </w:rPr>
        <w:t>Informaton is considered “</w:t>
      </w:r>
      <w:r>
        <w:rPr>
          <w:rFonts w:ascii="Calibri" w:cs="Calibri" w:eastAsia="Calibri" w:hAnsi="Calibri"/>
          <w:sz w:val="22"/>
          <w:szCs w:val="22"/>
          <w:u w:val="single" w:color="auto"/>
          <w:color w:val="auto"/>
        </w:rPr>
        <w:t>material</w:t>
      </w:r>
      <w:r>
        <w:rPr>
          <w:rFonts w:ascii="Calibri" w:cs="Calibri" w:eastAsia="Calibri" w:hAnsi="Calibri"/>
          <w:sz w:val="22"/>
          <w:szCs w:val="22"/>
          <w:color w:val="auto"/>
        </w:rPr>
        <w:t>” if there is a substantal likelihood that a reasonable investor would consider it important in making a decision to buy, sell, or hold a security, or if the informaton is likely to have a signifcant efect on the market price of the security. Material informaton can be positve or negatve, and can relate to virtually any aspect of a company’s</w:t>
      </w:r>
    </w:p>
    <w:p>
      <w:pPr>
        <w:spacing w:after="0" w:line="42" w:lineRule="exact"/>
        <w:rPr>
          <w:sz w:val="20"/>
          <w:szCs w:val="20"/>
          <w:color w:val="auto"/>
        </w:rPr>
      </w:pPr>
    </w:p>
    <w:p>
      <w:pPr>
        <w:spacing w:after="0" w:line="235" w:lineRule="auto"/>
        <w:rPr>
          <w:sz w:val="20"/>
          <w:szCs w:val="20"/>
          <w:color w:val="auto"/>
        </w:rPr>
      </w:pPr>
      <w:r>
        <w:rPr>
          <w:rFonts w:ascii="Calibri" w:cs="Calibri" w:eastAsia="Calibri" w:hAnsi="Calibri"/>
          <w:sz w:val="22"/>
          <w:szCs w:val="22"/>
          <w:color w:val="auto"/>
        </w:rPr>
        <w:t>business or to any type of security, debt, or equity. Also, informaton that something is likely to happen in the future—or even just that it may happen—could be deemed material.</w:t>
      </w:r>
    </w:p>
    <w:p>
      <w:pPr>
        <w:spacing w:after="0" w:line="218" w:lineRule="exact"/>
        <w:rPr>
          <w:sz w:val="20"/>
          <w:szCs w:val="20"/>
          <w:color w:val="auto"/>
        </w:rPr>
      </w:pPr>
    </w:p>
    <w:p>
      <w:pPr>
        <w:ind w:left="740"/>
        <w:spacing w:after="0"/>
        <w:rPr>
          <w:sz w:val="20"/>
          <w:szCs w:val="20"/>
          <w:color w:val="auto"/>
        </w:rPr>
      </w:pPr>
      <w:r>
        <w:rPr>
          <w:rFonts w:ascii="Calibri" w:cs="Calibri" w:eastAsia="Calibri" w:hAnsi="Calibri"/>
          <w:sz w:val="22"/>
          <w:szCs w:val="22"/>
          <w:color w:val="auto"/>
        </w:rPr>
        <w:t>Examples of material informaton may include (but are not limited to) informaton about:</w:t>
      </w:r>
    </w:p>
    <w:p>
      <w:pPr>
        <w:spacing w:after="0" w:line="1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60" w:top="1421" w:right="399" w:bottom="1440" w:gutter="0" w:footer="0" w:header="0"/>
        </w:sectPr>
      </w:pPr>
    </w:p>
    <w:bookmarkStart w:id="161" w:name="page162"/>
    <w:bookmarkEnd w:id="161"/>
    <w:p>
      <w:pPr>
        <w:spacing w:after="0" w:line="144" w:lineRule="exact"/>
        <w:rPr>
          <w:sz w:val="20"/>
          <w:szCs w:val="20"/>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corporate earnings or earnings forecasts;</w:t>
      </w:r>
    </w:p>
    <w:p>
      <w:pPr>
        <w:spacing w:after="0" w:line="111"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possible mergers, acquisitons, tender ofers, or dispositons;</w:t>
      </w:r>
    </w:p>
    <w:p>
      <w:pPr>
        <w:spacing w:after="0" w:line="109"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major new products or product developments;</w:t>
      </w:r>
    </w:p>
    <w:p>
      <w:pPr>
        <w:spacing w:after="0" w:line="109"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results of clinical trials or preclinical studies;</w:t>
      </w:r>
    </w:p>
    <w:p>
      <w:pPr>
        <w:spacing w:after="0" w:line="120" w:lineRule="exact"/>
        <w:rPr>
          <w:rFonts w:ascii="Times New Roman" w:cs="Times New Roman" w:eastAsia="Times New Roman" w:hAnsi="Times New Roman"/>
          <w:sz w:val="22"/>
          <w:szCs w:val="22"/>
          <w:color w:val="auto"/>
        </w:rPr>
      </w:pPr>
    </w:p>
    <w:p>
      <w:pPr>
        <w:ind w:left="1100" w:right="940" w:hanging="364"/>
        <w:spacing w:after="0" w:line="235" w:lineRule="auto"/>
        <w:tabs>
          <w:tab w:leader="none" w:pos="110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communicatons sent to or received from the U.S. Food and Drug Administraton or foreign regulatory authorites;</w:t>
      </w:r>
    </w:p>
    <w:p>
      <w:pPr>
        <w:spacing w:after="0" w:line="122" w:lineRule="exact"/>
        <w:rPr>
          <w:rFonts w:ascii="Times New Roman" w:cs="Times New Roman" w:eastAsia="Times New Roman" w:hAnsi="Times New Roman"/>
          <w:sz w:val="22"/>
          <w:szCs w:val="22"/>
          <w:color w:val="auto"/>
        </w:rPr>
      </w:pPr>
    </w:p>
    <w:p>
      <w:pPr>
        <w:ind w:left="1100" w:right="180" w:hanging="364"/>
        <w:spacing w:after="0" w:line="235" w:lineRule="auto"/>
        <w:tabs>
          <w:tab w:leader="none" w:pos="110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important business developments, such as trial results, developments regarding strategic collaboratons or the status of regulatory submissions;</w:t>
      </w:r>
    </w:p>
    <w:p>
      <w:pPr>
        <w:spacing w:after="0" w:line="111"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management or control changes;</w:t>
      </w:r>
    </w:p>
    <w:p>
      <w:pPr>
        <w:spacing w:after="0" w:line="107" w:lineRule="exact"/>
        <w:rPr>
          <w:rFonts w:ascii="Times New Roman" w:cs="Times New Roman" w:eastAsia="Times New Roman" w:hAnsi="Times New Roman"/>
          <w:sz w:val="22"/>
          <w:szCs w:val="22"/>
          <w:color w:val="auto"/>
        </w:rPr>
      </w:pPr>
    </w:p>
    <w:p>
      <w:pPr>
        <w:ind w:left="1100" w:hanging="364"/>
        <w:spacing w:after="0"/>
        <w:tabs>
          <w:tab w:leader="none" w:pos="110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fnancing developments including pending public sales or oferings of debt or equity securites;</w:t>
      </w:r>
    </w:p>
    <w:p>
      <w:pPr>
        <w:spacing w:after="0" w:line="111"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defaults on borrowings;</w:t>
      </w:r>
    </w:p>
    <w:p>
      <w:pPr>
        <w:spacing w:after="0" w:line="109"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bankruptcies;</w:t>
      </w:r>
    </w:p>
    <w:p>
      <w:pPr>
        <w:spacing w:after="0" w:line="109"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cybersecurity or data security incidents; and</w:t>
      </w:r>
    </w:p>
    <w:p>
      <w:pPr>
        <w:spacing w:after="0" w:line="109" w:lineRule="exact"/>
        <w:rPr>
          <w:rFonts w:ascii="Times New Roman" w:cs="Times New Roman" w:eastAsia="Times New Roman" w:hAnsi="Times New Roman"/>
          <w:sz w:val="22"/>
          <w:szCs w:val="22"/>
          <w:color w:val="auto"/>
        </w:rPr>
      </w:pPr>
    </w:p>
    <w:p>
      <w:pPr>
        <w:ind w:left="1120" w:hanging="384"/>
        <w:spacing w:after="0"/>
        <w:tabs>
          <w:tab w:leader="none" w:pos="1120" w:val="left"/>
        </w:tabs>
        <w:numPr>
          <w:ilvl w:val="0"/>
          <w:numId w:val="71"/>
        </w:numPr>
        <w:rPr>
          <w:rFonts w:ascii="Times New Roman" w:cs="Times New Roman" w:eastAsia="Times New Roman" w:hAnsi="Times New Roman"/>
          <w:sz w:val="22"/>
          <w:szCs w:val="22"/>
          <w:color w:val="auto"/>
        </w:rPr>
      </w:pPr>
      <w:r>
        <w:rPr>
          <w:rFonts w:ascii="Calibri" w:cs="Calibri" w:eastAsia="Calibri" w:hAnsi="Calibri"/>
          <w:sz w:val="22"/>
          <w:szCs w:val="22"/>
          <w:color w:val="auto"/>
        </w:rPr>
        <w:t>signifcant litgaton or regulatory actons.</w:t>
      </w:r>
    </w:p>
    <w:p>
      <w:pPr>
        <w:spacing w:after="0" w:line="228"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Informaton is “</w:t>
      </w:r>
      <w:r>
        <w:rPr>
          <w:rFonts w:ascii="Calibri" w:cs="Calibri" w:eastAsia="Calibri" w:hAnsi="Calibri"/>
          <w:sz w:val="22"/>
          <w:szCs w:val="22"/>
          <w:u w:val="single" w:color="auto"/>
          <w:color w:val="auto"/>
        </w:rPr>
        <w:t>nonpublic</w:t>
      </w:r>
      <w:r>
        <w:rPr>
          <w:rFonts w:ascii="Calibri" w:cs="Calibri" w:eastAsia="Calibri" w:hAnsi="Calibri"/>
          <w:sz w:val="22"/>
          <w:szCs w:val="22"/>
          <w:color w:val="auto"/>
        </w:rPr>
        <w:t>” if it is not available to the general public. In order for informaton to be considered “</w:t>
      </w:r>
      <w:r>
        <w:rPr>
          <w:rFonts w:ascii="Calibri" w:cs="Calibri" w:eastAsia="Calibri" w:hAnsi="Calibri"/>
          <w:sz w:val="22"/>
          <w:szCs w:val="22"/>
          <w:u w:val="single" w:color="auto"/>
          <w:color w:val="auto"/>
        </w:rPr>
        <w:t>public</w:t>
      </w:r>
      <w:r>
        <w:rPr>
          <w:rFonts w:ascii="Calibri" w:cs="Calibri" w:eastAsia="Calibri" w:hAnsi="Calibri"/>
          <w:sz w:val="22"/>
          <w:szCs w:val="22"/>
          <w:color w:val="auto"/>
        </w:rPr>
        <w:t>,” it must be widely disseminated in a manner that makes it generally available to investors in a Regulaton FD‐ compliant method, such as through a press release, a fling with the U.S. Securites and Exchange Commission (the “</w:t>
      </w:r>
      <w:r>
        <w:rPr>
          <w:rFonts w:ascii="Calibri" w:cs="Calibri" w:eastAsia="Calibri" w:hAnsi="Calibri"/>
          <w:sz w:val="22"/>
          <w:szCs w:val="22"/>
          <w:u w:val="single" w:color="auto"/>
          <w:color w:val="auto"/>
        </w:rPr>
        <w:t>SEC</w:t>
      </w:r>
      <w:r>
        <w:rPr>
          <w:rFonts w:ascii="Calibri" w:cs="Calibri" w:eastAsia="Calibri" w:hAnsi="Calibri"/>
          <w:sz w:val="22"/>
          <w:szCs w:val="22"/>
          <w:color w:val="auto"/>
        </w:rPr>
        <w:t>”) or a Regulaton FD‐ compliant conference call. The Compliance Ofcer shall have sole discreton to decide whether informaton is public for purposes of this Policy.</w:t>
      </w:r>
    </w:p>
    <w:p>
      <w:pPr>
        <w:spacing w:after="0" w:line="234"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The circulaton of rumors, even if accurate and reported in the media, does not consttute public disseminaton. In additon, even afer a public announcement, a reasonable period of tme may need to lapse in order for the market to react to the informaton. Generally, the passage of one to two full trading days following release of the informaton to the public, is a reasonable waitng period before such informaton is deemed to be public.</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Post‐Terminaton Transactons</w:t>
      </w:r>
    </w:p>
    <w:p>
      <w:pPr>
        <w:spacing w:after="0" w:line="228"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If an individual is in possession of material nonpublic informaton when the individual’s service terminates, the individual may not trade in the Company’s securites untl that informaton has become public or is no longer material.</w:t>
      </w:r>
    </w:p>
    <w:p>
      <w:pPr>
        <w:spacing w:after="0" w:line="42"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Prohibited Transactons</w:t>
      </w:r>
    </w:p>
    <w:p>
      <w:pPr>
        <w:spacing w:after="0" w:line="230"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The Company has determined that there is a heightened legal risk and the appearance of improper or inappropriate conduct if persons subject to this Policy engage in certain types of transactons. Therefore, Covered Persons shall comply with the following policies with respect to certain transactons in the Company’s securites.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162" w:name="page163"/>
    <w:bookmarkEnd w:id="162"/>
    <w:p>
      <w:pPr>
        <w:spacing w:after="0" w:line="146"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Short Sales</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Short sales of the Company’s securites are prohibited by this Policy. Short sales of the Company’s securites, or sales of shares that the insider does not own at the tme of sale, or sales of shares against which the insider does not deliver the shares within 20 days afer the sale, evidence an expectaton on the part of the seller that the securites will decline in value, and, therefore, signal to the market that the seller has no confdence in the Company or its short‐term prospects. In additon, Secton 16(c) of the Exchange Act prohibits Secton 16 reportng persons (i.e., directors, ofcers, and the Company’s 10% stockholders) from making short sales of the Company’s equity securites.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Optons</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Transactons in puts, calls, or other derivatve securites involving the Company’s equity securites, on an exchange, on an over‐the‐counter market, or in any other organized market, are prohibited by this Policy. A transacton in optons is, in efect, a bet on the short‐term movement of the Company’s stock and, therefore, creates the appearance that a Covered Person is trading based on material nonpublic informaton. Transactons in optons, whether traded on an exchange, on an over‐the‐counter market, or any other organized market, also may focus a Covered Person’s atenton on short‐term performance at the expense of the Company’s long‐ term objectves.</w:t>
      </w:r>
    </w:p>
    <w:p>
      <w:pPr>
        <w:spacing w:after="0" w:line="221"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Hedging Transactons</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Hedging transactons involving the Company’s securites, such as prepaid variable forward contracts, equity swaps, collars and exchange funds, or other transactons that hedge or ofset, or are designed to hedge or ofset, any decrease in the market value of the Company’s equity securites, are prohibited by this Policy. Such transactons allow the Covered Person to contnue to own the covered securites, but without the full risks and rewards of ownership. When that occurs, the Covered Person may no longer have the same objectves as the Company’s other stockholders.</w:t>
      </w:r>
    </w:p>
    <w:p>
      <w:pPr>
        <w:spacing w:after="0" w:line="216"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Margin Accounts and Pledging</w:t>
      </w:r>
    </w:p>
    <w:p>
      <w:pPr>
        <w:spacing w:after="0" w:line="230"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Individuals are prohibited from pledging Company securites as collateral for a loan, purchasing Company securites on margin (i.e., borrowing money to purchase the securites), or placing Company securites in a margin account. This prohibiton does not apply</w:t>
      </w:r>
    </w:p>
    <w:p>
      <w:pPr>
        <w:spacing w:after="0" w:line="55" w:lineRule="exact"/>
        <w:rPr>
          <w:sz w:val="20"/>
          <w:szCs w:val="20"/>
          <w:color w:val="auto"/>
        </w:rPr>
      </w:pPr>
    </w:p>
    <w:p>
      <w:pPr>
        <w:ind w:right="660"/>
        <w:spacing w:after="0" w:line="235" w:lineRule="auto"/>
        <w:rPr>
          <w:sz w:val="20"/>
          <w:szCs w:val="20"/>
          <w:color w:val="auto"/>
        </w:rPr>
      </w:pPr>
      <w:r>
        <w:rPr>
          <w:rFonts w:ascii="Calibri" w:cs="Calibri" w:eastAsia="Calibri" w:hAnsi="Calibri"/>
          <w:sz w:val="22"/>
          <w:szCs w:val="22"/>
          <w:color w:val="auto"/>
        </w:rPr>
        <w:t>to cashless exercises of stock optons under the Company’s equity plans, nor to situatons approved in advance by the Compliance Ofcer.</w:t>
      </w:r>
    </w:p>
    <w:p>
      <w:pPr>
        <w:spacing w:after="0" w:line="220" w:lineRule="exact"/>
        <w:rPr>
          <w:sz w:val="20"/>
          <w:szCs w:val="20"/>
          <w:color w:val="auto"/>
        </w:rPr>
      </w:pPr>
    </w:p>
    <w:p>
      <w:pPr>
        <w:spacing w:after="0"/>
        <w:rPr>
          <w:sz w:val="20"/>
          <w:szCs w:val="20"/>
          <w:color w:val="auto"/>
        </w:rPr>
      </w:pPr>
      <w:r>
        <w:rPr>
          <w:rFonts w:ascii="Calibri" w:cs="Calibri" w:eastAsia="Calibri" w:hAnsi="Calibri"/>
          <w:sz w:val="22"/>
          <w:szCs w:val="22"/>
          <w:i w:val="1"/>
          <w:iCs w:val="1"/>
          <w:color w:val="auto"/>
        </w:rPr>
        <w:t>Partnership Distributons</w:t>
      </w:r>
    </w:p>
    <w:p>
      <w:pPr>
        <w:spacing w:after="0" w:line="228"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Nothing in this Policy is intended to limit the ability of an investment fund, venture capital partnership or other similar entty with which a director is afliated to distribute Company securites to its partners, members, or other similar persons; provided, however, it is the responsibility of each such entty, in consultaton with its own counsel (as appropriate), to determine the tming of any distributons, based on relevant facts and circumstances,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163" w:name="page164"/>
    <w:bookmarkEnd w:id="163"/>
    <w:p>
      <w:pPr>
        <w:spacing w:after="0" w:line="146" w:lineRule="exact"/>
        <w:rPr>
          <w:sz w:val="20"/>
          <w:szCs w:val="20"/>
          <w:color w:val="auto"/>
        </w:rPr>
      </w:pPr>
    </w:p>
    <w:p>
      <w:pPr>
        <w:spacing w:after="0"/>
        <w:rPr>
          <w:sz w:val="20"/>
          <w:szCs w:val="20"/>
          <w:color w:val="auto"/>
        </w:rPr>
      </w:pPr>
      <w:r>
        <w:rPr>
          <w:rFonts w:ascii="Calibri" w:cs="Calibri" w:eastAsia="Calibri" w:hAnsi="Calibri"/>
          <w:sz w:val="22"/>
          <w:szCs w:val="22"/>
          <w:color w:val="auto"/>
        </w:rPr>
        <w:t>applicable securites laws.</w:t>
      </w:r>
    </w:p>
    <w:p>
      <w:pPr>
        <w:spacing w:after="0" w:line="217"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Rule 10b5‐1 Trading Plans</w:t>
      </w:r>
    </w:p>
    <w:p>
      <w:pPr>
        <w:spacing w:after="0" w:line="228" w:lineRule="exact"/>
        <w:rPr>
          <w:sz w:val="20"/>
          <w:szCs w:val="20"/>
          <w:color w:val="auto"/>
        </w:rPr>
      </w:pPr>
    </w:p>
    <w:p>
      <w:pPr>
        <w:jc w:val="both"/>
        <w:ind w:right="20" w:firstLine="749"/>
        <w:spacing w:after="0" w:line="237" w:lineRule="auto"/>
        <w:rPr>
          <w:sz w:val="20"/>
          <w:szCs w:val="20"/>
          <w:color w:val="auto"/>
        </w:rPr>
      </w:pPr>
      <w:r>
        <w:rPr>
          <w:rFonts w:ascii="Calibri" w:cs="Calibri" w:eastAsia="Calibri" w:hAnsi="Calibri"/>
          <w:sz w:val="22"/>
          <w:szCs w:val="22"/>
          <w:color w:val="auto"/>
        </w:rPr>
        <w:t>The trading restrictons set forth in this Policy, other than those transactons described under “</w:t>
      </w:r>
      <w:r>
        <w:rPr>
          <w:rFonts w:ascii="Calibri" w:cs="Calibri" w:eastAsia="Calibri" w:hAnsi="Calibri"/>
          <w:sz w:val="22"/>
          <w:szCs w:val="22"/>
          <w:u w:val="single" w:color="auto"/>
          <w:color w:val="auto"/>
        </w:rPr>
        <w:t>Prohibited</w:t>
      </w:r>
      <w:r>
        <w:rPr>
          <w:rFonts w:ascii="Calibri" w:cs="Calibri" w:eastAsia="Calibri" w:hAnsi="Calibri"/>
          <w:sz w:val="22"/>
          <w:szCs w:val="22"/>
          <w:color w:val="auto"/>
        </w:rPr>
        <w:t xml:space="preserve"> </w:t>
      </w:r>
      <w:r>
        <w:rPr>
          <w:rFonts w:ascii="Calibri" w:cs="Calibri" w:eastAsia="Calibri" w:hAnsi="Calibri"/>
          <w:sz w:val="22"/>
          <w:szCs w:val="22"/>
          <w:u w:val="single" w:color="auto"/>
          <w:color w:val="auto"/>
        </w:rPr>
        <w:t>Transactons</w:t>
      </w:r>
      <w:r>
        <w:rPr>
          <w:rFonts w:ascii="Calibri" w:cs="Calibri" w:eastAsia="Calibri" w:hAnsi="Calibri"/>
          <w:sz w:val="22"/>
          <w:szCs w:val="22"/>
          <w:color w:val="auto"/>
        </w:rPr>
        <w:t>,” do not apply to transactons under a previously established contract, plan or instructon to trade in the Company’s securites entered into in accordance with Rule 10b5‐1 (a “</w:t>
      </w:r>
      <w:r>
        <w:rPr>
          <w:rFonts w:ascii="Calibri" w:cs="Calibri" w:eastAsia="Calibri" w:hAnsi="Calibri"/>
          <w:sz w:val="22"/>
          <w:szCs w:val="22"/>
          <w:u w:val="single" w:color="auto"/>
          <w:color w:val="auto"/>
        </w:rPr>
        <w:t>Trading Plan</w:t>
      </w:r>
      <w:r>
        <w:rPr>
          <w:rFonts w:ascii="Calibri" w:cs="Calibri" w:eastAsia="Calibri" w:hAnsi="Calibri"/>
          <w:sz w:val="22"/>
          <w:szCs w:val="22"/>
          <w:color w:val="auto"/>
        </w:rPr>
        <w:t>”) that:</w:t>
      </w:r>
    </w:p>
    <w:p>
      <w:pPr>
        <w:spacing w:after="0" w:line="220" w:lineRule="exact"/>
        <w:rPr>
          <w:sz w:val="20"/>
          <w:szCs w:val="20"/>
          <w:color w:val="auto"/>
        </w:rPr>
      </w:pPr>
    </w:p>
    <w:p>
      <w:pPr>
        <w:ind w:left="1480" w:hanging="744"/>
        <w:spacing w:after="0"/>
        <w:tabs>
          <w:tab w:leader="none" w:pos="1480" w:val="left"/>
        </w:tabs>
        <w:numPr>
          <w:ilvl w:val="0"/>
          <w:numId w:val="72"/>
        </w:numPr>
        <w:rPr>
          <w:rFonts w:ascii="Times New Roman" w:cs="Times New Roman" w:eastAsia="Times New Roman" w:hAnsi="Times New Roman"/>
          <w:sz w:val="22"/>
          <w:szCs w:val="22"/>
          <w:color w:val="auto"/>
        </w:rPr>
      </w:pPr>
      <w:r>
        <w:rPr>
          <w:rFonts w:ascii="Calibri" w:cs="Calibri" w:eastAsia="Calibri" w:hAnsi="Calibri"/>
          <w:sz w:val="22"/>
          <w:szCs w:val="22"/>
          <w:color w:val="auto"/>
        </w:rPr>
        <w:t>has been submited to and preapproved by the Compliance Ofcer;</w:t>
      </w:r>
    </w:p>
    <w:p>
      <w:pPr>
        <w:spacing w:after="0" w:line="217"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72"/>
        </w:numPr>
        <w:rPr>
          <w:rFonts w:ascii="Times New Roman" w:cs="Times New Roman" w:eastAsia="Times New Roman" w:hAnsi="Times New Roman"/>
          <w:sz w:val="22"/>
          <w:szCs w:val="22"/>
          <w:color w:val="auto"/>
        </w:rPr>
      </w:pPr>
      <w:r>
        <w:rPr>
          <w:rFonts w:ascii="Calibri" w:cs="Calibri" w:eastAsia="Calibri" w:hAnsi="Calibri"/>
          <w:sz w:val="22"/>
          <w:szCs w:val="22"/>
          <w:color w:val="auto"/>
        </w:rPr>
        <w:t>includes a “Cooling Of Period” for</w:t>
      </w:r>
    </w:p>
    <w:p>
      <w:pPr>
        <w:spacing w:after="0" w:line="228" w:lineRule="exact"/>
        <w:rPr>
          <w:sz w:val="20"/>
          <w:szCs w:val="20"/>
          <w:color w:val="auto"/>
        </w:rPr>
      </w:pPr>
    </w:p>
    <w:p>
      <w:pPr>
        <w:jc w:val="both"/>
        <w:ind w:left="2220" w:hanging="361"/>
        <w:spacing w:after="0" w:line="237" w:lineRule="auto"/>
        <w:tabs>
          <w:tab w:leader="none" w:pos="2220" w:val="left"/>
        </w:tabs>
        <w:numPr>
          <w:ilvl w:val="2"/>
          <w:numId w:val="73"/>
        </w:numPr>
        <w:rPr>
          <w:rFonts w:ascii="Times New Roman" w:cs="Times New Roman" w:eastAsia="Times New Roman" w:hAnsi="Times New Roman"/>
          <w:sz w:val="22"/>
          <w:szCs w:val="22"/>
          <w:color w:val="auto"/>
        </w:rPr>
      </w:pPr>
      <w:r>
        <w:rPr>
          <w:rFonts w:ascii="Calibri" w:cs="Calibri" w:eastAsia="Calibri" w:hAnsi="Calibri"/>
          <w:sz w:val="22"/>
          <w:szCs w:val="22"/>
          <w:color w:val="auto"/>
        </w:rPr>
        <w:t>Secton 16 reportng persons that extends to the later of 90 days afer adopton or modifcaton of a Trading Plan or two business days afer fling the Form 10‐K or Form 10‐Q covering the fscal quarter in which the Trading Plan was adopted, up to a maximum of 120 days; and</w:t>
      </w:r>
    </w:p>
    <w:p>
      <w:pPr>
        <w:spacing w:after="0" w:line="243" w:lineRule="exact"/>
        <w:rPr>
          <w:rFonts w:ascii="Times New Roman" w:cs="Times New Roman" w:eastAsia="Times New Roman" w:hAnsi="Times New Roman"/>
          <w:sz w:val="22"/>
          <w:szCs w:val="22"/>
          <w:color w:val="auto"/>
        </w:rPr>
      </w:pPr>
    </w:p>
    <w:p>
      <w:pPr>
        <w:ind w:left="2220" w:hanging="361"/>
        <w:spacing w:after="0" w:line="235" w:lineRule="auto"/>
        <w:tabs>
          <w:tab w:leader="none" w:pos="2220" w:val="left"/>
        </w:tabs>
        <w:numPr>
          <w:ilvl w:val="2"/>
          <w:numId w:val="7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employees and any other persons, other than the Company, that extends 30 days afer adopton or modifcaton of a Trading Plan;</w:t>
      </w:r>
    </w:p>
    <w:p>
      <w:pPr>
        <w:spacing w:after="0" w:line="230" w:lineRule="exact"/>
        <w:rPr>
          <w:rFonts w:ascii="Times New Roman" w:cs="Times New Roman" w:eastAsia="Times New Roman" w:hAnsi="Times New Roman"/>
          <w:sz w:val="22"/>
          <w:szCs w:val="22"/>
          <w:color w:val="auto"/>
        </w:rPr>
      </w:pPr>
    </w:p>
    <w:p>
      <w:pPr>
        <w:jc w:val="both"/>
        <w:ind w:left="1480" w:hanging="744"/>
        <w:spacing w:after="0" w:line="237" w:lineRule="auto"/>
        <w:tabs>
          <w:tab w:leader="none" w:pos="1480" w:val="left"/>
        </w:tabs>
        <w:numPr>
          <w:ilvl w:val="0"/>
          <w:numId w:val="73"/>
        </w:numPr>
        <w:rPr>
          <w:rFonts w:ascii="Times New Roman" w:cs="Times New Roman" w:eastAsia="Times New Roman" w:hAnsi="Times New Roman"/>
          <w:sz w:val="22"/>
          <w:szCs w:val="22"/>
          <w:color w:val="auto"/>
        </w:rPr>
      </w:pPr>
      <w:r>
        <w:rPr>
          <w:rFonts w:ascii="Calibri" w:cs="Calibri" w:eastAsia="Calibri" w:hAnsi="Calibri"/>
          <w:sz w:val="22"/>
          <w:szCs w:val="22"/>
          <w:color w:val="auto"/>
        </w:rPr>
        <w:t>for Secton 16 reportng persons, includes a representaton in the Trading Plan that the Secton 16 reportng person is (1) not aware of any material nonpublic informaton about the Company or its securites; and (2) adoptng the Trading Plan in good faith and not as part of a plan or scheme to evade Rule 10b‐5;</w:t>
      </w:r>
    </w:p>
    <w:p>
      <w:pPr>
        <w:spacing w:after="0" w:line="230" w:lineRule="exact"/>
        <w:rPr>
          <w:rFonts w:ascii="Times New Roman" w:cs="Times New Roman" w:eastAsia="Times New Roman" w:hAnsi="Times New Roman"/>
          <w:sz w:val="22"/>
          <w:szCs w:val="22"/>
          <w:color w:val="auto"/>
        </w:rPr>
      </w:pPr>
    </w:p>
    <w:p>
      <w:pPr>
        <w:jc w:val="both"/>
        <w:ind w:left="1480" w:hanging="369"/>
        <w:spacing w:after="0" w:line="237" w:lineRule="auto"/>
        <w:tabs>
          <w:tab w:leader="none" w:pos="1480" w:val="left"/>
        </w:tabs>
        <w:numPr>
          <w:ilvl w:val="1"/>
          <w:numId w:val="73"/>
        </w:numPr>
        <w:rPr>
          <w:rFonts w:ascii="Times New Roman" w:cs="Times New Roman" w:eastAsia="Times New Roman" w:hAnsi="Times New Roman"/>
          <w:sz w:val="22"/>
          <w:szCs w:val="22"/>
          <w:color w:val="auto"/>
        </w:rPr>
      </w:pPr>
      <w:r>
        <w:rPr>
          <w:rFonts w:ascii="Calibri" w:cs="Calibri" w:eastAsia="Calibri" w:hAnsi="Calibri"/>
          <w:sz w:val="22"/>
          <w:szCs w:val="22"/>
          <w:color w:val="auto"/>
        </w:rPr>
        <w:t>has been entered into in good faith at a tme when the individual was not in possession of material nonpublic informaton about the Company and not otherwise in a blackout period, and the person who entered into the Trading Plan has acted in good faith with respect to the Trading Plan;</w:t>
      </w:r>
    </w:p>
    <w:p>
      <w:pPr>
        <w:spacing w:after="0" w:line="230" w:lineRule="exact"/>
        <w:rPr>
          <w:rFonts w:ascii="Times New Roman" w:cs="Times New Roman" w:eastAsia="Times New Roman" w:hAnsi="Times New Roman"/>
          <w:sz w:val="22"/>
          <w:szCs w:val="22"/>
          <w:color w:val="auto"/>
        </w:rPr>
      </w:pPr>
    </w:p>
    <w:p>
      <w:pPr>
        <w:jc w:val="both"/>
        <w:ind w:left="1480" w:hanging="744"/>
        <w:spacing w:after="0" w:line="238" w:lineRule="auto"/>
        <w:tabs>
          <w:tab w:leader="none" w:pos="1480" w:val="left"/>
        </w:tabs>
        <w:numPr>
          <w:ilvl w:val="0"/>
          <w:numId w:val="73"/>
        </w:numPr>
        <w:rPr>
          <w:rFonts w:ascii="Times New Roman" w:cs="Times New Roman" w:eastAsia="Times New Roman" w:hAnsi="Times New Roman"/>
          <w:sz w:val="22"/>
          <w:szCs w:val="22"/>
          <w:color w:val="auto"/>
        </w:rPr>
      </w:pPr>
      <w:r>
        <w:rPr>
          <w:rFonts w:ascii="Calibri" w:cs="Calibri" w:eastAsia="Calibri" w:hAnsi="Calibri"/>
          <w:sz w:val="22"/>
          <w:szCs w:val="22"/>
          <w:color w:val="auto"/>
        </w:rPr>
        <w:t>either (1) specifes the amounts, prices, and dates of all transactons under the Trading Plan; or (2) provides a writen formula, algorithm, or computer program for determining the amount, price, and date of the transactons, and (3) prohibits the individual from exercising any subsequent infuence over the transactons; and</w:t>
      </w:r>
    </w:p>
    <w:p>
      <w:pPr>
        <w:spacing w:after="0" w:line="71" w:lineRule="exact"/>
        <w:rPr>
          <w:rFonts w:ascii="Times New Roman" w:cs="Times New Roman" w:eastAsia="Times New Roman" w:hAnsi="Times New Roman"/>
          <w:sz w:val="22"/>
          <w:szCs w:val="22"/>
          <w:color w:val="auto"/>
        </w:rPr>
      </w:pPr>
    </w:p>
    <w:p>
      <w:pPr>
        <w:ind w:left="1480" w:hanging="744"/>
        <w:spacing w:after="0"/>
        <w:tabs>
          <w:tab w:leader="none" w:pos="1480" w:val="left"/>
        </w:tabs>
        <w:numPr>
          <w:ilvl w:val="0"/>
          <w:numId w:val="73"/>
        </w:numPr>
        <w:rPr>
          <w:rFonts w:ascii="Times New Roman" w:cs="Times New Roman" w:eastAsia="Times New Roman" w:hAnsi="Times New Roman"/>
          <w:sz w:val="22"/>
          <w:szCs w:val="22"/>
          <w:color w:val="auto"/>
        </w:rPr>
      </w:pPr>
      <w:r>
        <w:rPr>
          <w:rFonts w:ascii="Calibri" w:cs="Calibri" w:eastAsia="Calibri" w:hAnsi="Calibri"/>
          <w:sz w:val="22"/>
          <w:szCs w:val="22"/>
          <w:color w:val="auto"/>
        </w:rPr>
        <w:t>complies with all other applicable requirements of Rule 10b5‐1.</w:t>
      </w:r>
    </w:p>
    <w:p>
      <w:pPr>
        <w:spacing w:after="0" w:line="228"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The Compliance Ofcer may impose such other conditons on the implementaton and operaton of the Trading Plan as the Compliance Ofcer deems necessary or advisable. Individuals may not adopt more than one Trading Plan at a tme except under the limited circumstances permited by Rule 10b5‐1 (including Trading Plans which authorize an agent to sell only such securites as are necessary to satsfy tax withholding obligatons arising exclusively from the vestng of a compensatory award) and subject to preapproval by the Compliance Ofcer.</w:t>
      </w:r>
    </w:p>
    <w:p>
      <w:pPr>
        <w:spacing w:after="0" w:line="229" w:lineRule="exact"/>
        <w:rPr>
          <w:sz w:val="20"/>
          <w:szCs w:val="20"/>
          <w:color w:val="auto"/>
        </w:rPr>
      </w:pPr>
    </w:p>
    <w:p>
      <w:pPr>
        <w:jc w:val="both"/>
        <w:ind w:firstLine="749"/>
        <w:spacing w:after="0" w:line="237" w:lineRule="auto"/>
        <w:rPr>
          <w:sz w:val="20"/>
          <w:szCs w:val="20"/>
          <w:color w:val="auto"/>
        </w:rPr>
      </w:pPr>
      <w:r>
        <w:rPr>
          <w:rFonts w:ascii="Calibri" w:cs="Calibri" w:eastAsia="Calibri" w:hAnsi="Calibri"/>
          <w:sz w:val="22"/>
          <w:szCs w:val="22"/>
          <w:color w:val="auto"/>
        </w:rPr>
        <w:t>An individual may only modify a Trading Plan outside of a blackout period and, in any event, when the individual does not possess material nonpublic informaton. Modifcatons to and terminatons of a Trading Plan are subject to preapproval by the Compliance Ofcer and</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164" w:name="page165"/>
    <w:bookmarkEnd w:id="164"/>
    <w:p>
      <w:pPr>
        <w:spacing w:after="0" w:line="157" w:lineRule="exact"/>
        <w:rPr>
          <w:sz w:val="20"/>
          <w:szCs w:val="20"/>
          <w:color w:val="auto"/>
        </w:rPr>
      </w:pPr>
    </w:p>
    <w:p>
      <w:pPr>
        <w:jc w:val="both"/>
        <w:ind w:right="20"/>
        <w:spacing w:after="0" w:line="235" w:lineRule="auto"/>
        <w:rPr>
          <w:sz w:val="20"/>
          <w:szCs w:val="20"/>
          <w:color w:val="auto"/>
        </w:rPr>
      </w:pPr>
      <w:r>
        <w:rPr>
          <w:rFonts w:ascii="Calibri" w:cs="Calibri" w:eastAsia="Calibri" w:hAnsi="Calibri"/>
          <w:sz w:val="22"/>
          <w:szCs w:val="22"/>
          <w:color w:val="auto"/>
        </w:rPr>
        <w:t>modifcatons of a Trading Plan that change the amount, price, or tming of the purchase or sale of the securites underlying a Trading Plan will trigger a new Cooling‐Of Period.</w:t>
      </w:r>
    </w:p>
    <w:p>
      <w:pPr>
        <w:spacing w:after="0" w:line="230"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The Company reserves the right to publicly disclose, announce, or respond to inquiries from the media regarding the adopton, modifcaton, or terminaton of a Trading Plan and non‐ Rule 10b5‐1 trading arrangements, or the executon of transactons made under a Trading Plan. The Company also reserves the right from tme to tme to suspend, discontnue, or otherwise prohibit transactons under a Trading Plan if the Compliance Ofcer or the Board of Directors, in its discreton, determines that such suspension, discontnuaton, or other prohibiton is in the best interests of the Company.</w:t>
      </w:r>
    </w:p>
    <w:p>
      <w:pPr>
        <w:spacing w:after="0" w:line="229" w:lineRule="exact"/>
        <w:rPr>
          <w:sz w:val="20"/>
          <w:szCs w:val="20"/>
          <w:color w:val="auto"/>
        </w:rPr>
      </w:pPr>
    </w:p>
    <w:p>
      <w:pPr>
        <w:jc w:val="both"/>
        <w:ind w:firstLine="749"/>
        <w:spacing w:after="0" w:line="239" w:lineRule="auto"/>
        <w:rPr>
          <w:sz w:val="20"/>
          <w:szCs w:val="20"/>
          <w:color w:val="auto"/>
        </w:rPr>
      </w:pPr>
      <w:r>
        <w:rPr>
          <w:rFonts w:ascii="Calibri" w:cs="Calibri" w:eastAsia="Calibri" w:hAnsi="Calibri"/>
          <w:sz w:val="22"/>
          <w:szCs w:val="22"/>
          <w:color w:val="auto"/>
        </w:rPr>
        <w:t>Compliance of a Trading Plan with the terms of Rule 10b5‐1 and the executon of transactons pursuant to the Trading Plan are the sole responsibility of the person initatng the Trading Plan, and none of the Company, the Compliance Ofcer, or the Company’s other employees assumes any liability for any delay in reviewing and/or refusing to approve a Trading Plan submited for approval, nor the legality or consequences relatng to a person entering into, informing the Company of, or trading under, a Trading Plan.</w:t>
      </w:r>
    </w:p>
    <w:p>
      <w:pPr>
        <w:spacing w:after="0" w:line="218"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Interpretaton, Amendment, and Implementaton of this Policy</w:t>
      </w:r>
    </w:p>
    <w:p>
      <w:pPr>
        <w:spacing w:after="0" w:line="228" w:lineRule="exact"/>
        <w:rPr>
          <w:sz w:val="20"/>
          <w:szCs w:val="20"/>
          <w:color w:val="auto"/>
        </w:rPr>
      </w:pPr>
    </w:p>
    <w:p>
      <w:pPr>
        <w:jc w:val="both"/>
        <w:ind w:firstLine="749"/>
        <w:spacing w:after="0" w:line="238" w:lineRule="auto"/>
        <w:rPr>
          <w:sz w:val="20"/>
          <w:szCs w:val="20"/>
          <w:color w:val="auto"/>
        </w:rPr>
      </w:pPr>
      <w:r>
        <w:rPr>
          <w:rFonts w:ascii="Calibri" w:cs="Calibri" w:eastAsia="Calibri" w:hAnsi="Calibri"/>
          <w:sz w:val="22"/>
          <w:szCs w:val="22"/>
          <w:color w:val="auto"/>
        </w:rPr>
        <w:t>The Compliance Ofcer shall have the authority to interpret and update this Policy and all related policies and procedures. In partcular, such interpretatons and updates of this Policy, as authorized by the Compliance Ofcer, may include amendments to or departures from the terms of this Policy, to the extent consistent with the general purpose of this Policy and applicable securites laws.</w:t>
      </w:r>
    </w:p>
    <w:p>
      <w:pPr>
        <w:spacing w:after="0" w:line="231" w:lineRule="exact"/>
        <w:rPr>
          <w:sz w:val="20"/>
          <w:szCs w:val="20"/>
          <w:color w:val="auto"/>
        </w:rPr>
      </w:pPr>
    </w:p>
    <w:p>
      <w:pPr>
        <w:jc w:val="both"/>
        <w:ind w:firstLine="749"/>
        <w:spacing w:after="0" w:line="235" w:lineRule="auto"/>
        <w:rPr>
          <w:sz w:val="20"/>
          <w:szCs w:val="20"/>
          <w:color w:val="auto"/>
        </w:rPr>
      </w:pPr>
      <w:r>
        <w:rPr>
          <w:rFonts w:ascii="Calibri" w:cs="Calibri" w:eastAsia="Calibri" w:hAnsi="Calibri"/>
          <w:sz w:val="22"/>
          <w:szCs w:val="22"/>
          <w:color w:val="auto"/>
        </w:rPr>
        <w:t>Actons taken by the Company, the Compliance Ofcer, or any other Company personnel do not consttute legal advice, nor do they insulate you from the consequences of noncompliance with this Policy or with securites laws.</w:t>
      </w:r>
    </w:p>
    <w:p>
      <w:pPr>
        <w:spacing w:after="0" w:line="42" w:lineRule="exact"/>
        <w:rPr>
          <w:sz w:val="20"/>
          <w:szCs w:val="20"/>
          <w:color w:val="auto"/>
        </w:rPr>
      </w:pPr>
    </w:p>
    <w:p>
      <w:pPr>
        <w:spacing w:after="0"/>
        <w:rPr>
          <w:sz w:val="20"/>
          <w:szCs w:val="20"/>
          <w:color w:val="auto"/>
        </w:rPr>
      </w:pPr>
      <w:r>
        <w:rPr>
          <w:rFonts w:ascii="Calibri" w:cs="Calibri" w:eastAsia="Calibri" w:hAnsi="Calibri"/>
          <w:sz w:val="22"/>
          <w:szCs w:val="22"/>
          <w:b w:val="1"/>
          <w:bCs w:val="1"/>
          <w:u w:val="single" w:color="auto"/>
          <w:color w:val="auto"/>
        </w:rPr>
        <w:t>Certfcaton of Compliance</w:t>
      </w:r>
    </w:p>
    <w:p>
      <w:pPr>
        <w:spacing w:after="0" w:line="230" w:lineRule="exact"/>
        <w:rPr>
          <w:sz w:val="20"/>
          <w:szCs w:val="20"/>
          <w:color w:val="auto"/>
        </w:rPr>
      </w:pPr>
    </w:p>
    <w:p>
      <w:pPr>
        <w:ind w:right="920" w:firstLine="749"/>
        <w:spacing w:after="0" w:line="235" w:lineRule="auto"/>
        <w:rPr>
          <w:sz w:val="20"/>
          <w:szCs w:val="20"/>
          <w:color w:val="auto"/>
        </w:rPr>
      </w:pPr>
      <w:r>
        <w:rPr>
          <w:rFonts w:ascii="Calibri" w:cs="Calibri" w:eastAsia="Calibri" w:hAnsi="Calibri"/>
          <w:sz w:val="22"/>
          <w:szCs w:val="22"/>
          <w:color w:val="auto"/>
        </w:rPr>
        <w:t>All directors, ofcers, employees and others subject to this Policy may be asked periodically to certfy their compliance with the terms and provisions of this Policy.</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165" w:name="page166"/>
    <w:bookmarkEnd w:id="165"/>
    <w:p>
      <w:pPr>
        <w:ind w:left="4660"/>
        <w:spacing w:after="0"/>
        <w:rPr>
          <w:sz w:val="20"/>
          <w:szCs w:val="20"/>
          <w:color w:val="auto"/>
        </w:rPr>
      </w:pPr>
      <w:r>
        <w:rPr>
          <w:rFonts w:ascii="Calibri" w:cs="Calibri" w:eastAsia="Calibri" w:hAnsi="Calibri"/>
          <w:sz w:val="22"/>
          <w:szCs w:val="22"/>
          <w:b w:val="1"/>
          <w:bCs w:val="1"/>
          <w:color w:val="auto"/>
        </w:rPr>
        <w:t>Schedule I</w:t>
      </w:r>
    </w:p>
    <w:p>
      <w:pPr>
        <w:spacing w:after="0" w:line="217" w:lineRule="exact"/>
        <w:rPr>
          <w:sz w:val="20"/>
          <w:szCs w:val="20"/>
          <w:color w:val="auto"/>
        </w:rPr>
      </w:pPr>
    </w:p>
    <w:p>
      <w:pPr>
        <w:jc w:val="right"/>
        <w:ind w:right="2319"/>
        <w:spacing w:after="0"/>
        <w:rPr>
          <w:sz w:val="20"/>
          <w:szCs w:val="20"/>
          <w:color w:val="auto"/>
        </w:rPr>
      </w:pPr>
      <w:r>
        <w:rPr>
          <w:rFonts w:ascii="Calibri" w:cs="Calibri" w:eastAsia="Calibri" w:hAnsi="Calibri"/>
          <w:sz w:val="22"/>
          <w:szCs w:val="22"/>
          <w:b w:val="1"/>
          <w:bCs w:val="1"/>
          <w:color w:val="auto"/>
        </w:rPr>
        <w:t>Individuals Subject to Quarterly Blackout Periods</w:t>
      </w:r>
    </w:p>
    <w:p>
      <w:pPr>
        <w:spacing w:after="0" w:line="215" w:lineRule="exact"/>
        <w:rPr>
          <w:sz w:val="20"/>
          <w:szCs w:val="20"/>
          <w:color w:val="auto"/>
        </w:rPr>
      </w:pPr>
    </w:p>
    <w:p>
      <w:pPr>
        <w:ind w:left="380" w:hanging="378"/>
        <w:spacing w:after="0"/>
        <w:tabs>
          <w:tab w:leader="none" w:pos="380" w:val="left"/>
        </w:tabs>
        <w:numPr>
          <w:ilvl w:val="0"/>
          <w:numId w:val="74"/>
        </w:numPr>
        <w:rPr>
          <w:rFonts w:ascii="Times New Roman" w:cs="Times New Roman" w:eastAsia="Times New Roman" w:hAnsi="Times New Roman"/>
          <w:sz w:val="22"/>
          <w:szCs w:val="22"/>
          <w:color w:val="auto"/>
        </w:rPr>
      </w:pPr>
      <w:r>
        <w:rPr>
          <w:rFonts w:ascii="Calibri" w:cs="Calibri" w:eastAsia="Calibri" w:hAnsi="Calibri"/>
          <w:sz w:val="22"/>
          <w:szCs w:val="22"/>
          <w:color w:val="auto"/>
        </w:rPr>
        <w:t>Ofcers of the Company</w:t>
      </w:r>
    </w:p>
    <w:p>
      <w:pPr>
        <w:spacing w:after="0" w:line="14" w:lineRule="exact"/>
        <w:rPr>
          <w:rFonts w:ascii="Times New Roman" w:cs="Times New Roman" w:eastAsia="Times New Roman" w:hAnsi="Times New Roman"/>
          <w:sz w:val="22"/>
          <w:szCs w:val="22"/>
          <w:color w:val="auto"/>
        </w:rPr>
      </w:pPr>
    </w:p>
    <w:p>
      <w:pPr>
        <w:ind w:left="380" w:hanging="378"/>
        <w:spacing w:after="0" w:line="228" w:lineRule="auto"/>
        <w:tabs>
          <w:tab w:leader="none" w:pos="380" w:val="left"/>
        </w:tabs>
        <w:numPr>
          <w:ilvl w:val="0"/>
          <w:numId w:val="74"/>
        </w:numPr>
        <w:rPr>
          <w:rFonts w:ascii="Times New Roman" w:cs="Times New Roman" w:eastAsia="Times New Roman" w:hAnsi="Times New Roman"/>
          <w:sz w:val="22"/>
          <w:szCs w:val="22"/>
          <w:color w:val="auto"/>
        </w:rPr>
      </w:pPr>
      <w:r>
        <w:rPr>
          <w:rFonts w:ascii="Calibri" w:cs="Calibri" w:eastAsia="Calibri" w:hAnsi="Calibri"/>
          <w:sz w:val="22"/>
          <w:szCs w:val="22"/>
          <w:color w:val="auto"/>
        </w:rPr>
        <w:t>Employees at the level of Vice President or above</w:t>
      </w:r>
    </w:p>
    <w:p>
      <w:pPr>
        <w:spacing w:after="0" w:line="14" w:lineRule="exact"/>
        <w:rPr>
          <w:rFonts w:ascii="Times New Roman" w:cs="Times New Roman" w:eastAsia="Times New Roman" w:hAnsi="Times New Roman"/>
          <w:sz w:val="22"/>
          <w:szCs w:val="22"/>
          <w:color w:val="auto"/>
        </w:rPr>
      </w:pPr>
    </w:p>
    <w:p>
      <w:pPr>
        <w:ind w:left="380" w:hanging="378"/>
        <w:spacing w:after="0" w:line="230" w:lineRule="auto"/>
        <w:tabs>
          <w:tab w:leader="none" w:pos="380" w:val="left"/>
        </w:tabs>
        <w:numPr>
          <w:ilvl w:val="0"/>
          <w:numId w:val="74"/>
        </w:numPr>
        <w:rPr>
          <w:rFonts w:ascii="Times New Roman" w:cs="Times New Roman" w:eastAsia="Times New Roman" w:hAnsi="Times New Roman"/>
          <w:sz w:val="22"/>
          <w:szCs w:val="22"/>
          <w:color w:val="auto"/>
        </w:rPr>
      </w:pPr>
      <w:r>
        <w:rPr>
          <w:rFonts w:ascii="Calibri" w:cs="Calibri" w:eastAsia="Calibri" w:hAnsi="Calibri"/>
          <w:sz w:val="22"/>
          <w:szCs w:val="22"/>
          <w:color w:val="auto"/>
        </w:rPr>
        <w:t>Members of the Company’s Board of Directors</w:t>
      </w:r>
    </w:p>
    <w:p>
      <w:pPr>
        <w:spacing w:after="0" w:line="12" w:lineRule="exact"/>
        <w:rPr>
          <w:rFonts w:ascii="Times New Roman" w:cs="Times New Roman" w:eastAsia="Times New Roman" w:hAnsi="Times New Roman"/>
          <w:sz w:val="22"/>
          <w:szCs w:val="22"/>
          <w:color w:val="auto"/>
        </w:rPr>
      </w:pPr>
    </w:p>
    <w:p>
      <w:pPr>
        <w:ind w:left="760" w:right="4839" w:hanging="758"/>
        <w:spacing w:after="0" w:line="241" w:lineRule="auto"/>
        <w:tabs>
          <w:tab w:leader="none" w:pos="385" w:val="left"/>
        </w:tabs>
        <w:numPr>
          <w:ilvl w:val="0"/>
          <w:numId w:val="74"/>
        </w:numPr>
        <w:rPr>
          <w:rFonts w:ascii="Times New Roman" w:cs="Times New Roman" w:eastAsia="Times New Roman" w:hAnsi="Times New Roman"/>
          <w:sz w:val="22"/>
          <w:szCs w:val="22"/>
          <w:color w:val="auto"/>
        </w:rPr>
      </w:pPr>
      <w:r>
        <w:rPr>
          <w:rFonts w:ascii="Calibri" w:cs="Calibri" w:eastAsia="Calibri" w:hAnsi="Calibri"/>
          <w:sz w:val="22"/>
          <w:szCs w:val="22"/>
          <w:color w:val="auto"/>
        </w:rPr>
        <w:t xml:space="preserve">Members of the following groups at the Company: </w:t>
      </w:r>
      <w:r>
        <w:rPr>
          <w:rFonts w:ascii="Times New Roman" w:cs="Times New Roman" w:eastAsia="Times New Roman" w:hAnsi="Times New Roman"/>
          <w:sz w:val="22"/>
          <w:szCs w:val="22"/>
          <w:color w:val="auto"/>
        </w:rPr>
        <w:t xml:space="preserve">o </w:t>
      </w:r>
      <w:r>
        <w:rPr>
          <w:rFonts w:ascii="Calibri" w:cs="Calibri" w:eastAsia="Calibri" w:hAnsi="Calibri"/>
          <w:sz w:val="22"/>
          <w:szCs w:val="22"/>
          <w:color w:val="auto"/>
        </w:rPr>
        <w:t>Finance</w:t>
      </w:r>
    </w:p>
    <w:p>
      <w:pPr>
        <w:ind w:left="760" w:right="693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Calibri" w:cs="Calibri" w:eastAsia="Calibri" w:hAnsi="Calibri"/>
          <w:sz w:val="22"/>
          <w:szCs w:val="22"/>
          <w:color w:val="auto"/>
        </w:rPr>
        <w:t>Investor Relatons</w:t>
      </w:r>
      <w:r>
        <w:rPr>
          <w:rFonts w:ascii="Times New Roman" w:cs="Times New Roman" w:eastAsia="Times New Roman" w:hAnsi="Times New Roman"/>
          <w:sz w:val="22"/>
          <w:szCs w:val="22"/>
          <w:color w:val="auto"/>
        </w:rPr>
        <w:t xml:space="preserve"> o </w:t>
      </w:r>
      <w:r>
        <w:rPr>
          <w:rFonts w:ascii="Calibri" w:cs="Calibri" w:eastAsia="Calibri" w:hAnsi="Calibri"/>
          <w:sz w:val="22"/>
          <w:szCs w:val="22"/>
          <w:color w:val="auto"/>
        </w:rPr>
        <w:t>Analytcs</w:t>
      </w:r>
    </w:p>
    <w:p>
      <w:pPr>
        <w:ind w:left="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   </w:t>
      </w:r>
      <w:r>
        <w:rPr>
          <w:rFonts w:ascii="Calibri" w:cs="Calibri" w:eastAsia="Calibri" w:hAnsi="Calibri"/>
          <w:sz w:val="22"/>
          <w:szCs w:val="22"/>
          <w:color w:val="auto"/>
        </w:rPr>
        <w:t>Sales (Area Sales Directors only)</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602615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39"/>
          </w:cols>
          <w:pgMar w:left="820" w:top="1410" w:right="1440"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b w:val="1"/>
          <w:bCs w:val="1"/>
          <w:color w:val="333333"/>
        </w:rPr>
        <w:t>Exhibit 23.1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333333"/>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333333"/>
        </w:rPr>
        <w:t>We consent to the incorporation by reference in the following Registration Statements:</w:t>
      </w:r>
    </w:p>
    <w:p>
      <w:pPr>
        <w:spacing w:after="0" w:line="333" w:lineRule="exact"/>
        <w:rPr>
          <w:sz w:val="20"/>
          <w:szCs w:val="20"/>
          <w:color w:val="auto"/>
        </w:rPr>
      </w:pPr>
    </w:p>
    <w:p>
      <w:pPr>
        <w:ind w:left="1020" w:right="440" w:hanging="503"/>
        <w:spacing w:after="0" w:line="282" w:lineRule="auto"/>
        <w:tabs>
          <w:tab w:leader="none" w:pos="1020" w:val="left"/>
        </w:tabs>
        <w:numPr>
          <w:ilvl w:val="0"/>
          <w:numId w:val="7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333-234357) pertaining to the 2019 Equity Incentive Plan, 2019 Incentive Award Plan, and 2019 Employee Stock Purchase Plan of Phathom Pharmaceuticals, Inc.,</w:t>
      </w:r>
    </w:p>
    <w:p>
      <w:pPr>
        <w:spacing w:after="0" w:line="53" w:lineRule="exact"/>
        <w:rPr>
          <w:rFonts w:ascii="Times New Roman" w:cs="Times New Roman" w:eastAsia="Times New Roman" w:hAnsi="Times New Roman"/>
          <w:sz w:val="18"/>
          <w:szCs w:val="18"/>
          <w:color w:val="333333"/>
        </w:rPr>
      </w:pPr>
    </w:p>
    <w:p>
      <w:pPr>
        <w:ind w:left="1020" w:right="60" w:hanging="503"/>
        <w:spacing w:after="0" w:line="282" w:lineRule="auto"/>
        <w:tabs>
          <w:tab w:leader="none" w:pos="1020" w:val="left"/>
        </w:tabs>
        <w:numPr>
          <w:ilvl w:val="0"/>
          <w:numId w:val="7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S-8 No. 333-263420) pertaining to the 2019 Incentive Award Plan and 2019 Employee Stock Purchase Plan of Phathom Pharmaceuticals, Inc., and</w:t>
      </w:r>
    </w:p>
    <w:p>
      <w:pPr>
        <w:spacing w:after="0" w:line="53" w:lineRule="exact"/>
        <w:rPr>
          <w:rFonts w:ascii="Times New Roman" w:cs="Times New Roman" w:eastAsia="Times New Roman" w:hAnsi="Times New Roman"/>
          <w:sz w:val="18"/>
          <w:szCs w:val="18"/>
          <w:color w:val="333333"/>
        </w:rPr>
      </w:pPr>
    </w:p>
    <w:p>
      <w:pPr>
        <w:ind w:left="1020" w:hanging="503"/>
        <w:spacing w:after="0"/>
        <w:tabs>
          <w:tab w:leader="none" w:pos="1020" w:val="left"/>
        </w:tabs>
        <w:numPr>
          <w:ilvl w:val="0"/>
          <w:numId w:val="75"/>
        </w:numPr>
        <w:rPr>
          <w:rFonts w:ascii="Times New Roman" w:cs="Times New Roman" w:eastAsia="Times New Roman" w:hAnsi="Times New Roman"/>
          <w:sz w:val="18"/>
          <w:szCs w:val="18"/>
          <w:color w:val="333333"/>
        </w:rPr>
      </w:pPr>
      <w:r>
        <w:rPr>
          <w:rFonts w:ascii="Times New Roman" w:cs="Times New Roman" w:eastAsia="Times New Roman" w:hAnsi="Times New Roman"/>
          <w:sz w:val="18"/>
          <w:szCs w:val="18"/>
          <w:color w:val="333333"/>
        </w:rPr>
        <w:t>Registration Statement (Form S-3 No. 333-275431) of Phathom Pharmaceuticals, Inc.;</w:t>
      </w:r>
    </w:p>
    <w:p>
      <w:pPr>
        <w:spacing w:after="0" w:line="22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333333"/>
        </w:rPr>
        <w:t>of our report dated March 6, 2025, with respect to the financial statements of Phathom Pharmaceuticals, Inc. included in this Annual Report (Form 10-K) of Phathom Pharmaceuticals, Inc. for the year ended December 31, 2024.</w:t>
      </w: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Ernst &amp; Young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Iselin, New Jersey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1116330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2"/>
          <w:szCs w:val="22"/>
          <w:color w:val="auto"/>
        </w:rPr>
        <w:t>Exhibit 24.1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LIMITED POWER OF ATTORNEY</w:t>
      </w:r>
    </w:p>
    <w:p>
      <w:pPr>
        <w:spacing w:after="0" w:line="237" w:lineRule="exact"/>
        <w:rPr>
          <w:sz w:val="20"/>
          <w:szCs w:val="20"/>
          <w:color w:val="auto"/>
        </w:rPr>
      </w:pPr>
    </w:p>
    <w:p>
      <w:pPr>
        <w:jc w:val="both"/>
        <w:ind w:firstLine="432"/>
        <w:spacing w:after="0" w:line="235" w:lineRule="auto"/>
        <w:rPr>
          <w:sz w:val="20"/>
          <w:szCs w:val="20"/>
          <w:color w:val="auto"/>
        </w:rPr>
      </w:pPr>
      <w:r>
        <w:rPr>
          <w:rFonts w:ascii="Times New Roman" w:cs="Times New Roman" w:eastAsia="Times New Roman" w:hAnsi="Times New Roman"/>
          <w:sz w:val="22"/>
          <w:szCs w:val="22"/>
          <w:color w:val="auto"/>
        </w:rPr>
        <w:t>KNOW ALL PERSONS BY THESE PRESENTS, that each person or entity whose signature appears below constitutes, designates and appoints each of Terrie Curran and Molly Henderson, each of whom are officers of Phathom Pharmaceuticals, Inc. (the “Company”), as its true and lawful attorneys-in-fact and agent, each with power of substitution, with full power to act without the other and on behalf of and as attorney for me, for the purpose of executing and filing with the Securities and Exchange Commission the Company’s Annual Report on Form 10-K for the year ended December 31, 2024, and any and all amendments thereto, and to do all such other acts and execute all such other instruments which said attorney may deem necessary or desirable in connection therewith.</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b w:val="1"/>
                <w:bCs w:val="1"/>
                <w:color w:val="auto"/>
              </w:rPr>
              <w:t>Signature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b w:val="1"/>
                <w:bCs w:val="1"/>
                <w:color w:val="auto"/>
              </w:rPr>
              <w:t>Title</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Date</w:t>
            </w:r>
          </w:p>
        </w:tc>
      </w:tr>
      <w:tr>
        <w:trPr>
          <w:trHeight w:val="677"/>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Michael Cola</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6, 2025</w:t>
            </w:r>
          </w:p>
        </w:tc>
      </w:tr>
      <w:tr>
        <w:trPr>
          <w:trHeight w:val="276"/>
        </w:trPr>
        <w:tc>
          <w:tcPr>
            <w:tcW w:w="100" w:type="dxa"/>
            <w:vAlign w:val="bottom"/>
          </w:tcPr>
          <w:p>
            <w:pPr>
              <w:spacing w:after="0"/>
              <w:rPr>
                <w:sz w:val="23"/>
                <w:szCs w:val="23"/>
                <w:color w:val="auto"/>
              </w:rPr>
            </w:pPr>
          </w:p>
        </w:tc>
        <w:tc>
          <w:tcPr>
            <w:tcW w:w="144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22"/>
                <w:szCs w:val="22"/>
                <w:color w:val="auto"/>
              </w:rPr>
              <w:t>Michael Cola</w:t>
            </w: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67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Frank Karbe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6, 2025</w:t>
            </w:r>
          </w:p>
        </w:tc>
      </w:tr>
      <w:tr>
        <w:trPr>
          <w:trHeight w:val="276"/>
        </w:trPr>
        <w:tc>
          <w:tcPr>
            <w:tcW w:w="100" w:type="dxa"/>
            <w:vAlign w:val="bottom"/>
          </w:tcPr>
          <w:p>
            <w:pPr>
              <w:spacing w:after="0"/>
              <w:rPr>
                <w:sz w:val="23"/>
                <w:szCs w:val="23"/>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22"/>
                <w:szCs w:val="22"/>
                <w:color w:val="auto"/>
              </w:rPr>
              <w:t>Frank Karbe</w:t>
            </w:r>
          </w:p>
        </w:tc>
        <w:tc>
          <w:tcPr>
            <w:tcW w:w="2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67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Heidi Kunz</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6, 2025</w:t>
            </w:r>
          </w:p>
        </w:tc>
      </w:tr>
      <w:tr>
        <w:trPr>
          <w:trHeight w:val="276"/>
        </w:trPr>
        <w:tc>
          <w:tcPr>
            <w:tcW w:w="100" w:type="dxa"/>
            <w:vAlign w:val="bottom"/>
          </w:tcPr>
          <w:p>
            <w:pPr>
              <w:spacing w:after="0"/>
              <w:rPr>
                <w:sz w:val="23"/>
                <w:szCs w:val="23"/>
                <w:color w:val="auto"/>
              </w:rPr>
            </w:pPr>
          </w:p>
        </w:tc>
        <w:tc>
          <w:tcPr>
            <w:tcW w:w="12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Heidi Kunz</w:t>
            </w:r>
          </w:p>
        </w:tc>
        <w:tc>
          <w:tcPr>
            <w:tcW w:w="100" w:type="dxa"/>
            <w:vAlign w:val="bottom"/>
            <w:gridSpan w:val="2"/>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67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Asit Parikh</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6, 2025</w:t>
            </w:r>
          </w:p>
        </w:tc>
      </w:tr>
      <w:tr>
        <w:trPr>
          <w:trHeight w:val="276"/>
        </w:trPr>
        <w:tc>
          <w:tcPr>
            <w:tcW w:w="100" w:type="dxa"/>
            <w:vAlign w:val="bottom"/>
          </w:tcPr>
          <w:p>
            <w:pPr>
              <w:spacing w:after="0"/>
              <w:rPr>
                <w:sz w:val="23"/>
                <w:szCs w:val="23"/>
                <w:color w:val="auto"/>
              </w:rPr>
            </w:pPr>
          </w:p>
        </w:tc>
        <w:tc>
          <w:tcPr>
            <w:tcW w:w="12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22"/>
                <w:szCs w:val="22"/>
                <w:color w:val="auto"/>
              </w:rPr>
              <w:t>Asit Parikh</w:t>
            </w:r>
          </w:p>
        </w:tc>
        <w:tc>
          <w:tcPr>
            <w:tcW w:w="120" w:type="dxa"/>
            <w:vAlign w:val="bottom"/>
            <w:gridSpan w:val="3"/>
          </w:tcPr>
          <w:p>
            <w:pPr>
              <w:spacing w:after="0"/>
              <w:rPr>
                <w:sz w:val="23"/>
                <w:szCs w:val="23"/>
                <w:color w:val="auto"/>
              </w:rPr>
            </w:pP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67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David Socks</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6, 2025</w:t>
            </w:r>
          </w:p>
        </w:tc>
      </w:tr>
      <w:tr>
        <w:trPr>
          <w:trHeight w:val="276"/>
        </w:trPr>
        <w:tc>
          <w:tcPr>
            <w:tcW w:w="100" w:type="dxa"/>
            <w:vAlign w:val="bottom"/>
          </w:tcPr>
          <w:p>
            <w:pPr>
              <w:spacing w:after="0"/>
              <w:rPr>
                <w:sz w:val="23"/>
                <w:szCs w:val="23"/>
                <w:color w:val="auto"/>
              </w:rPr>
            </w:pPr>
          </w:p>
        </w:tc>
        <w:tc>
          <w:tcPr>
            <w:tcW w:w="136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22"/>
                <w:szCs w:val="22"/>
                <w:color w:val="auto"/>
              </w:rPr>
              <w:t>David Socks</w:t>
            </w:r>
          </w:p>
        </w:tc>
        <w:tc>
          <w:tcPr>
            <w:tcW w:w="10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67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Mark Stenhouse</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6, 2025</w:t>
            </w:r>
          </w:p>
        </w:tc>
      </w:tr>
      <w:tr>
        <w:trPr>
          <w:trHeight w:val="276"/>
        </w:trPr>
        <w:tc>
          <w:tcPr>
            <w:tcW w:w="100" w:type="dxa"/>
            <w:vAlign w:val="bottom"/>
          </w:tcPr>
          <w:p>
            <w:pPr>
              <w:spacing w:after="0"/>
              <w:rPr>
                <w:sz w:val="23"/>
                <w:szCs w:val="23"/>
                <w:color w:val="auto"/>
              </w:rPr>
            </w:pPr>
          </w:p>
        </w:tc>
        <w:tc>
          <w:tcPr>
            <w:tcW w:w="168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22"/>
                <w:szCs w:val="22"/>
                <w:color w:val="auto"/>
              </w:rPr>
              <w:t>Mark Stenhouse</w:t>
            </w:r>
          </w:p>
        </w:tc>
        <w:tc>
          <w:tcPr>
            <w:tcW w:w="1040" w:type="dxa"/>
            <w:vAlign w:val="bottom"/>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676"/>
        </w:trPr>
        <w:tc>
          <w:tcPr>
            <w:tcW w:w="100" w:type="dxa"/>
            <w:vAlign w:val="bottom"/>
          </w:tcPr>
          <w:p>
            <w:pPr>
              <w:spacing w:after="0"/>
              <w:rPr>
                <w:sz w:val="24"/>
                <w:szCs w:val="24"/>
                <w:color w:val="auto"/>
              </w:rPr>
            </w:pPr>
          </w:p>
        </w:tc>
        <w:tc>
          <w:tcPr>
            <w:tcW w:w="2720" w:type="dxa"/>
            <w:vAlign w:val="bottom"/>
            <w:gridSpan w:val="8"/>
          </w:tcPr>
          <w:p>
            <w:pPr>
              <w:spacing w:after="0"/>
              <w:rPr>
                <w:sz w:val="20"/>
                <w:szCs w:val="20"/>
                <w:color w:val="auto"/>
              </w:rPr>
            </w:pPr>
            <w:r>
              <w:rPr>
                <w:rFonts w:ascii="Times New Roman" w:cs="Times New Roman" w:eastAsia="Times New Roman" w:hAnsi="Times New Roman"/>
                <w:sz w:val="22"/>
                <w:szCs w:val="22"/>
                <w:color w:val="auto"/>
              </w:rPr>
              <w:t>/s/ James Topper</w:t>
            </w:r>
          </w:p>
        </w:tc>
        <w:tc>
          <w:tcPr>
            <w:tcW w:w="478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Director</w:t>
            </w:r>
          </w:p>
        </w:tc>
        <w:tc>
          <w:tcPr>
            <w:tcW w:w="36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March 6, 2025</w:t>
            </w:r>
          </w:p>
        </w:tc>
      </w:tr>
      <w:tr>
        <w:trPr>
          <w:trHeight w:val="276"/>
        </w:trPr>
        <w:tc>
          <w:tcPr>
            <w:tcW w:w="100" w:type="dxa"/>
            <w:vAlign w:val="bottom"/>
          </w:tcPr>
          <w:p>
            <w:pPr>
              <w:spacing w:after="0"/>
              <w:rPr>
                <w:sz w:val="23"/>
                <w:szCs w:val="23"/>
                <w:color w:val="auto"/>
              </w:rPr>
            </w:pPr>
          </w:p>
        </w:tc>
        <w:tc>
          <w:tcPr>
            <w:tcW w:w="146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22"/>
                <w:szCs w:val="22"/>
                <w:color w:val="auto"/>
              </w:rPr>
              <w:t>James Topper</w:t>
            </w:r>
          </w:p>
        </w:tc>
        <w:tc>
          <w:tcPr>
            <w:tcW w:w="1260" w:type="dxa"/>
            <w:vAlign w:val="bottom"/>
            <w:gridSpan w:val="2"/>
          </w:tcPr>
          <w:p>
            <w:pPr>
              <w:spacing w:after="0"/>
              <w:rPr>
                <w:sz w:val="23"/>
                <w:szCs w:val="23"/>
                <w:color w:val="auto"/>
              </w:rPr>
            </w:pPr>
          </w:p>
        </w:tc>
        <w:tc>
          <w:tcPr>
            <w:tcW w:w="4780" w:type="dxa"/>
            <w:vAlign w:val="bottom"/>
          </w:tcPr>
          <w:p>
            <w:pPr>
              <w:spacing w:after="0"/>
              <w:rPr>
                <w:sz w:val="23"/>
                <w:szCs w:val="23"/>
                <w:color w:val="auto"/>
              </w:rPr>
            </w:pPr>
          </w:p>
        </w:tc>
        <w:tc>
          <w:tcPr>
            <w:tcW w:w="1260" w:type="dxa"/>
            <w:vAlign w:val="bottom"/>
            <w:tcBorders>
              <w:top w:val="single" w:sz="8" w:color="auto"/>
            </w:tcBorders>
          </w:tcPr>
          <w:p>
            <w:pPr>
              <w:spacing w:after="0"/>
              <w:rPr>
                <w:sz w:val="23"/>
                <w:szCs w:val="23"/>
                <w:color w:val="auto"/>
              </w:rPr>
            </w:pPr>
          </w:p>
        </w:tc>
        <w:tc>
          <w:tcPr>
            <w:tcW w:w="2380" w:type="dxa"/>
            <w:vAlign w:val="bottom"/>
          </w:tcPr>
          <w:p>
            <w:pPr>
              <w:spacing w:after="0"/>
              <w:rPr>
                <w:sz w:val="23"/>
                <w:szCs w:val="23"/>
                <w:color w:val="auto"/>
              </w:rPr>
            </w:pPr>
          </w:p>
        </w:tc>
      </w:tr>
      <w:tr>
        <w:trPr>
          <w:trHeight w:val="1858"/>
        </w:trPr>
        <w:tc>
          <w:tcPr>
            <w:tcW w:w="1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7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Terrie Curran, certify that:</w:t>
      </w:r>
    </w:p>
    <w:p>
      <w:pPr>
        <w:spacing w:after="0" w:line="237" w:lineRule="exact"/>
        <w:rPr>
          <w:sz w:val="20"/>
          <w:szCs w:val="20"/>
          <w:color w:val="auto"/>
        </w:rPr>
      </w:pPr>
    </w:p>
    <w:p>
      <w:pPr>
        <w:ind w:left="840" w:hanging="832"/>
        <w:spacing w:after="0"/>
        <w:tabs>
          <w:tab w:leader="none" w:pos="8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Phathom Pharmaceuticals, Inc.</w:t>
      </w:r>
    </w:p>
    <w:p>
      <w:pPr>
        <w:spacing w:after="0" w:line="196" w:lineRule="exact"/>
        <w:rPr>
          <w:rFonts w:ascii="Times New Roman" w:cs="Times New Roman" w:eastAsia="Times New Roman" w:hAnsi="Times New Roman"/>
          <w:sz w:val="17"/>
          <w:szCs w:val="17"/>
          <w:color w:val="auto"/>
        </w:rPr>
      </w:pPr>
    </w:p>
    <w:p>
      <w:pPr>
        <w:jc w:val="both"/>
        <w:ind w:left="840" w:right="420" w:hanging="832"/>
        <w:spacing w:after="0" w:line="265" w:lineRule="auto"/>
        <w:tabs>
          <w:tab w:leader="none" w:pos="8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7"/>
          <w:szCs w:val="17"/>
          <w:color w:val="auto"/>
        </w:rPr>
      </w:pPr>
    </w:p>
    <w:p>
      <w:pPr>
        <w:ind w:left="840" w:right="400" w:hanging="832"/>
        <w:spacing w:after="0" w:line="281" w:lineRule="auto"/>
        <w:tabs>
          <w:tab w:leader="none" w:pos="8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7"/>
          <w:szCs w:val="17"/>
          <w:color w:val="auto"/>
        </w:rPr>
      </w:pPr>
    </w:p>
    <w:p>
      <w:pPr>
        <w:ind w:left="840" w:right="20" w:hanging="832"/>
        <w:spacing w:after="0" w:line="265" w:lineRule="auto"/>
        <w:tabs>
          <w:tab w:leader="none" w:pos="8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7"/>
          <w:szCs w:val="17"/>
          <w:color w:val="auto"/>
        </w:rPr>
      </w:pPr>
    </w:p>
    <w:p>
      <w:pPr>
        <w:ind w:left="1660" w:right="160" w:hanging="829"/>
        <w:spacing w:after="0" w:line="265" w:lineRule="auto"/>
        <w:tabs>
          <w:tab w:leader="none" w:pos="16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35" w:lineRule="exact"/>
        <w:rPr>
          <w:rFonts w:ascii="Times New Roman" w:cs="Times New Roman" w:eastAsia="Times New Roman" w:hAnsi="Times New Roman"/>
          <w:sz w:val="17"/>
          <w:szCs w:val="17"/>
          <w:color w:val="auto"/>
        </w:rPr>
      </w:pPr>
    </w:p>
    <w:p>
      <w:pPr>
        <w:jc w:val="both"/>
        <w:ind w:left="1660" w:right="300" w:hanging="829"/>
        <w:spacing w:after="0" w:line="281" w:lineRule="auto"/>
        <w:tabs>
          <w:tab w:leader="none" w:pos="16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7"/>
          <w:szCs w:val="17"/>
          <w:color w:val="auto"/>
        </w:rPr>
      </w:pPr>
    </w:p>
    <w:p>
      <w:pPr>
        <w:ind w:left="840" w:right="320" w:hanging="832"/>
        <w:spacing w:after="0" w:line="281" w:lineRule="auto"/>
        <w:tabs>
          <w:tab w:leader="none" w:pos="84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7"/>
          <w:szCs w:val="17"/>
          <w:color w:val="auto"/>
        </w:rPr>
      </w:pPr>
    </w:p>
    <w:p>
      <w:pPr>
        <w:ind w:left="1660" w:right="540" w:hanging="829"/>
        <w:spacing w:after="0" w:line="281" w:lineRule="auto"/>
        <w:tabs>
          <w:tab w:leader="none" w:pos="16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1660" w:right="240" w:hanging="829"/>
        <w:spacing w:after="0" w:line="281" w:lineRule="auto"/>
        <w:tabs>
          <w:tab w:leader="none" w:pos="166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color w:val="auto"/>
        </w:rPr>
        <w:t>Date: March 6, 2025</w:t>
      </w:r>
    </w:p>
    <w:p>
      <w:pPr>
        <w:spacing w:after="0" w:line="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/s/ Terrie Curran</w:t>
      </w:r>
    </w:p>
    <w:p>
      <w:pPr>
        <w:spacing w:after="0" w:line="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-121920</wp:posOffset>
            </wp:positionV>
            <wp:extent cx="26746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07">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Chief Executive Officer and President</w:t>
      </w:r>
    </w:p>
    <w:p>
      <w:pPr>
        <w:spacing w:after="0" w:line="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1074420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69" w:name="page170"/>
    <w:bookmarkEnd w:id="1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Molly Henderson, certify that:</w:t>
      </w:r>
    </w:p>
    <w:p>
      <w:pPr>
        <w:spacing w:after="0" w:line="237" w:lineRule="exact"/>
        <w:rPr>
          <w:sz w:val="20"/>
          <w:szCs w:val="20"/>
          <w:color w:val="auto"/>
        </w:rPr>
      </w:pPr>
    </w:p>
    <w:p>
      <w:pPr>
        <w:ind w:left="840" w:hanging="832"/>
        <w:spacing w:after="0"/>
        <w:tabs>
          <w:tab w:leader="none" w:pos="8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of Phathom Pharmaceuticals, Inc.</w:t>
      </w:r>
    </w:p>
    <w:p>
      <w:pPr>
        <w:spacing w:after="0" w:line="196" w:lineRule="exact"/>
        <w:rPr>
          <w:rFonts w:ascii="Times New Roman" w:cs="Times New Roman" w:eastAsia="Times New Roman" w:hAnsi="Times New Roman"/>
          <w:sz w:val="17"/>
          <w:szCs w:val="17"/>
          <w:color w:val="auto"/>
        </w:rPr>
      </w:pPr>
    </w:p>
    <w:p>
      <w:pPr>
        <w:jc w:val="both"/>
        <w:ind w:left="840" w:right="420" w:hanging="832"/>
        <w:spacing w:after="0" w:line="265" w:lineRule="auto"/>
        <w:tabs>
          <w:tab w:leader="none" w:pos="8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7"/>
          <w:szCs w:val="17"/>
          <w:color w:val="auto"/>
        </w:rPr>
      </w:pPr>
    </w:p>
    <w:p>
      <w:pPr>
        <w:ind w:left="840" w:right="400" w:hanging="832"/>
        <w:spacing w:after="0" w:line="281" w:lineRule="auto"/>
        <w:tabs>
          <w:tab w:leader="none" w:pos="8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Times New Roman" w:cs="Times New Roman" w:eastAsia="Times New Roman" w:hAnsi="Times New Roman"/>
          <w:sz w:val="17"/>
          <w:szCs w:val="17"/>
          <w:color w:val="auto"/>
        </w:rPr>
      </w:pPr>
    </w:p>
    <w:p>
      <w:pPr>
        <w:ind w:left="840" w:right="20" w:hanging="832"/>
        <w:spacing w:after="0" w:line="265" w:lineRule="auto"/>
        <w:tabs>
          <w:tab w:leader="none" w:pos="8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7"/>
          <w:szCs w:val="17"/>
          <w:color w:val="auto"/>
        </w:rPr>
      </w:pPr>
    </w:p>
    <w:p>
      <w:pPr>
        <w:ind w:left="1660" w:right="160" w:hanging="829"/>
        <w:spacing w:after="0" w:line="265" w:lineRule="auto"/>
        <w:tabs>
          <w:tab w:leader="none" w:pos="16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r>
        <w:rPr>
          <w:rFonts w:ascii="Times New Roman" w:cs="Times New Roman" w:eastAsia="Times New Roman" w:hAnsi="Times New Roman"/>
          <w:sz w:val="17"/>
          <w:szCs w:val="17"/>
          <w:color w:val="010000"/>
        </w:rPr>
        <w:t>;</w:t>
      </w:r>
    </w:p>
    <w:p>
      <w:pPr>
        <w:spacing w:after="0" w:line="135" w:lineRule="exact"/>
        <w:rPr>
          <w:rFonts w:ascii="Times New Roman" w:cs="Times New Roman" w:eastAsia="Times New Roman" w:hAnsi="Times New Roman"/>
          <w:sz w:val="17"/>
          <w:szCs w:val="17"/>
          <w:color w:val="auto"/>
        </w:rPr>
      </w:pPr>
    </w:p>
    <w:p>
      <w:pPr>
        <w:jc w:val="both"/>
        <w:ind w:left="1660" w:right="300" w:hanging="829"/>
        <w:spacing w:after="0" w:line="281" w:lineRule="auto"/>
        <w:tabs>
          <w:tab w:leader="none" w:pos="16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7"/>
          <w:szCs w:val="17"/>
          <w:color w:val="auto"/>
        </w:rPr>
      </w:pPr>
    </w:p>
    <w:p>
      <w:pPr>
        <w:ind w:left="1660" w:right="20" w:hanging="829"/>
        <w:spacing w:after="0" w:line="265" w:lineRule="auto"/>
        <w:tabs>
          <w:tab w:leader="none" w:pos="16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7"/>
          <w:szCs w:val="17"/>
          <w:color w:val="auto"/>
        </w:rPr>
      </w:pPr>
    </w:p>
    <w:p>
      <w:pPr>
        <w:ind w:left="840" w:right="320" w:hanging="832"/>
        <w:spacing w:after="0" w:line="281" w:lineRule="auto"/>
        <w:tabs>
          <w:tab w:leader="none" w:pos="8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Times New Roman" w:cs="Times New Roman" w:eastAsia="Times New Roman" w:hAnsi="Times New Roman"/>
          <w:sz w:val="17"/>
          <w:szCs w:val="17"/>
          <w:color w:val="auto"/>
        </w:rPr>
      </w:pPr>
    </w:p>
    <w:p>
      <w:pPr>
        <w:ind w:left="1660" w:right="540" w:hanging="829"/>
        <w:spacing w:after="0" w:line="281" w:lineRule="auto"/>
        <w:tabs>
          <w:tab w:leader="none" w:pos="16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1660" w:right="240" w:hanging="829"/>
        <w:spacing w:after="0" w:line="281" w:lineRule="auto"/>
        <w:tabs>
          <w:tab w:leader="none" w:pos="166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39" w:lineRule="exact"/>
        <w:rPr>
          <w:sz w:val="20"/>
          <w:szCs w:val="20"/>
          <w:color w:val="auto"/>
        </w:rPr>
      </w:pPr>
    </w:p>
    <w:p>
      <w:pPr>
        <w:ind w:left="1200"/>
        <w:spacing w:after="0"/>
        <w:tabs>
          <w:tab w:leader="none" w:pos="5260" w:val="left"/>
        </w:tabs>
        <w:rPr>
          <w:sz w:val="20"/>
          <w:szCs w:val="20"/>
          <w:color w:val="auto"/>
        </w:rPr>
      </w:pPr>
      <w:r>
        <w:rPr>
          <w:rFonts w:ascii="Times New Roman" w:cs="Times New Roman" w:eastAsia="Times New Roman" w:hAnsi="Times New Roman"/>
          <w:sz w:val="17"/>
          <w:szCs w:val="17"/>
          <w:color w:val="auto"/>
        </w:rPr>
        <w:t>Date: March 6, 2025</w:t>
      </w:r>
      <w:r>
        <w:rPr>
          <w:sz w:val="20"/>
          <w:szCs w:val="20"/>
          <w:color w:val="auto"/>
        </w:rPr>
        <w:tab/>
      </w:r>
      <w:r>
        <w:rPr>
          <w:rFonts w:ascii="Times New Roman" w:cs="Times New Roman" w:eastAsia="Times New Roman" w:hAnsi="Times New Roman"/>
          <w:sz w:val="17"/>
          <w:szCs w:val="17"/>
          <w:color w:val="auto"/>
        </w:rPr>
        <w:t>/s/ Molly Henderson</w:t>
      </w:r>
    </w:p>
    <w:p>
      <w:pPr>
        <w:spacing w:after="0" w:line="4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-118110</wp:posOffset>
            </wp:positionV>
            <wp:extent cx="304355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09">
                      <a:extLst>
                        <a:ext uri="{28A0092B-C50C-407E-A947-70E740481C1C}"/>
                      </a:extLst>
                    </a:blip>
                    <a:srcRect/>
                    <a:stretch>
                      <a:fillRect/>
                    </a:stretch>
                  </pic:blipFill>
                  <pic:spPr bwMode="auto">
                    <a:xfrm>
                      <a:off x="0" y="0"/>
                      <a:ext cx="3043555" cy="8255"/>
                    </a:xfrm>
                    <a:prstGeom prst="rect">
                      <a:avLst/>
                    </a:prstGeom>
                    <a:noFill/>
                  </pic:spPr>
                </pic:pic>
              </a:graphicData>
            </a:graphic>
          </wp:anchor>
        </w:drawing>
      </w:r>
    </w:p>
    <w:p>
      <w:pPr>
        <w:spacing w:after="0" w:line="4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Chief Financial and Business Officer</w:t>
      </w:r>
    </w:p>
    <w:p>
      <w:pPr>
        <w:spacing w:after="0" w:line="25"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1288415</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70" w:name="page171"/>
    <w:bookmarkEnd w:id="170"/>
    <w:p>
      <w:pPr>
        <w:spacing w:after="0" w:line="1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2024 as filed with the Securities and Exchange Commission on the date hereof (the “Report”), I, Terrie Curran, as Chief Executive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420"/>
        <w:spacing w:after="0"/>
        <w:tabs>
          <w:tab w:leader="none" w:pos="546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/s/ Terrie Curran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17145</wp:posOffset>
            </wp:positionV>
            <wp:extent cx="276860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11">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4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Terrie Curran</w:t>
      </w:r>
    </w:p>
    <w:p>
      <w:pPr>
        <w:spacing w:after="0" w:line="3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25"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1010285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1" w:name="page172"/>
    <w:bookmarkEnd w:id="171"/>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56" w:lineRule="exact"/>
        <w:rPr>
          <w:sz w:val="20"/>
          <w:szCs w:val="20"/>
          <w:color w:val="auto"/>
        </w:rPr>
      </w:pPr>
    </w:p>
    <w:p>
      <w:pPr>
        <w:ind w:right="20" w:firstLine="823"/>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Phathom Pharmaceuticals, Inc. (the “Company”) for the year ended December 31, 2024 as filed with the Securities and Exchange Commission on the date hereof (the “Report”), I, Molly Henderson, as Chief Financial and Business Officer of the Company, certify, pursuant to 18 U.S.C. Section 1350, as adopted pursuant to Section 906 of the Sarbanes-Oxley Act of 2002, to my knowledge, that:</w:t>
      </w:r>
    </w:p>
    <w:p>
      <w:pPr>
        <w:spacing w:after="0" w:line="203" w:lineRule="exact"/>
        <w:rPr>
          <w:sz w:val="20"/>
          <w:szCs w:val="20"/>
          <w:color w:val="auto"/>
        </w:rPr>
      </w:pPr>
    </w:p>
    <w:p>
      <w:pPr>
        <w:ind w:left="840" w:right="180" w:hanging="832"/>
        <w:spacing w:after="0" w:line="282" w:lineRule="auto"/>
        <w:tabs>
          <w:tab w:leader="none" w:pos="84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as amended; and</w:t>
      </w:r>
    </w:p>
    <w:p>
      <w:pPr>
        <w:spacing w:after="0" w:line="175" w:lineRule="exact"/>
        <w:rPr>
          <w:rFonts w:ascii="Times New Roman" w:cs="Times New Roman" w:eastAsia="Times New Roman" w:hAnsi="Times New Roman"/>
          <w:sz w:val="18"/>
          <w:szCs w:val="18"/>
          <w:color w:val="auto"/>
        </w:rPr>
      </w:pPr>
    </w:p>
    <w:p>
      <w:pPr>
        <w:ind w:left="840" w:hanging="832"/>
        <w:spacing w:after="0"/>
        <w:tabs>
          <w:tab w:leader="none" w:pos="84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040"/>
        <w:spacing w:after="0"/>
        <w:tabs>
          <w:tab w:leader="none" w:pos="5060" w:val="left"/>
        </w:tabs>
        <w:rPr>
          <w:sz w:val="20"/>
          <w:szCs w:val="20"/>
          <w:color w:val="auto"/>
        </w:rPr>
      </w:pPr>
      <w:r>
        <w:rPr>
          <w:rFonts w:ascii="Times New Roman" w:cs="Times New Roman" w:eastAsia="Times New Roman" w:hAnsi="Times New Roman"/>
          <w:sz w:val="18"/>
          <w:szCs w:val="18"/>
          <w:color w:val="auto"/>
        </w:rPr>
        <w:t>Date: March 6, 2025</w:t>
      </w:r>
      <w:r>
        <w:rPr>
          <w:sz w:val="20"/>
          <w:szCs w:val="20"/>
          <w:color w:val="auto"/>
        </w:rPr>
        <w:tab/>
      </w:r>
      <w:r>
        <w:rPr>
          <w:rFonts w:ascii="Times New Roman" w:cs="Times New Roman" w:eastAsia="Times New Roman" w:hAnsi="Times New Roman"/>
          <w:sz w:val="17"/>
          <w:szCs w:val="17"/>
          <w:color w:val="auto"/>
        </w:rPr>
        <w:t>/s/ Molly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17145</wp:posOffset>
            </wp:positionV>
            <wp:extent cx="327469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43"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Molly Henderson</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Chief Financial and Business Officer</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ind w:right="460" w:firstLine="823"/>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72" w:name="page173"/>
    <w:bookmarkEnd w:id="17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
      <w:numFmt w:val="bullet"/>
      <w:start w:val="1"/>
    </w:lvl>
  </w:abstractNum>
  <w:abstractNum w:abstractNumId="6">
    <w:nsid w:val="2A487CB0"/>
    <w:multiLevelType w:val="hybridMultilevel"/>
    <w:lvl w:ilvl="0">
      <w:lvlJc w:val="left"/>
      <w:lvlText w:val="•"/>
      <w:numFmt w:val="bullet"/>
      <w:start w:val="1"/>
    </w:lvl>
  </w:abstractNum>
  <w:abstractNum w:abstractNumId="7">
    <w:nsid w:val="1D4ED43B"/>
    <w:multiLevelType w:val="hybridMultilevel"/>
    <w:lvl w:ilvl="0">
      <w:lvlJc w:val="left"/>
      <w:lvlText w:val="•"/>
      <w:numFmt w:val="bullet"/>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
      <w:numFmt w:val="bullet"/>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
      <w:numFmt w:val="bullet"/>
      <w:start w:val="1"/>
    </w:lvl>
  </w:abstractNum>
  <w:abstractNum w:abstractNumId="13">
    <w:nsid w:val="542289EC"/>
    <w:multiLevelType w:val="hybridMultilevel"/>
    <w:lvl w:ilvl="0">
      <w:lvlJc w:val="left"/>
      <w:lvlText w:val="•"/>
      <w:numFmt w:val="bullet"/>
      <w:start w:val="1"/>
    </w:lvl>
  </w:abstractNum>
  <w:abstractNum w:abstractNumId="14">
    <w:nsid w:val="6DE91B18"/>
    <w:multiLevelType w:val="hybridMultilevel"/>
    <w:lvl w:ilvl="0">
      <w:lvlJc w:val="left"/>
      <w:lvlText w:val="•"/>
      <w:numFmt w:val="bullet"/>
      <w:start w:val="1"/>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
      <w:numFmt w:val="bullet"/>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
      <w:numFmt w:val="bullet"/>
      <w:start w:val="1"/>
    </w:lvl>
  </w:abstractNum>
  <w:abstractNum w:abstractNumId="22">
    <w:nsid w:val="1BA026FA"/>
    <w:multiLevelType w:val="hybridMultilevel"/>
    <w:lvl w:ilvl="0">
      <w:lvlJc w:val="left"/>
      <w:lvlText w:val="•"/>
      <w:numFmt w:val="bullet"/>
      <w:start w:val="1"/>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
      <w:numFmt w:val="bullet"/>
      <w:start w:val="1"/>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
      <w:numFmt w:val="bullet"/>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
      <w:numFmt w:val="bullet"/>
      <w:start w:val="1"/>
    </w:lvl>
  </w:abstractNum>
  <w:abstractNum w:abstractNumId="44">
    <w:nsid w:val="61574095"/>
    <w:multiLevelType w:val="hybridMultilevel"/>
    <w:lvl w:ilvl="0">
      <w:lvlJc w:val="left"/>
      <w:lvlText w:val="•"/>
      <w:numFmt w:val="bullet"/>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
      <w:numFmt w:val="bullet"/>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
      <w:numFmt w:val="bullet"/>
      <w:start w:val="1"/>
    </w:lvl>
  </w:abstractNum>
  <w:abstractNum w:abstractNumId="49">
    <w:nsid w:val="5FF87E05"/>
    <w:multiLevelType w:val="hybridMultilevel"/>
    <w:lvl w:ilvl="0">
      <w:lvlJc w:val="left"/>
      <w:lvlText w:val="•"/>
      <w:numFmt w:val="bullet"/>
      <w:start w:val="1"/>
    </w:lvl>
  </w:abstractNum>
  <w:abstractNum w:abstractNumId="50">
    <w:nsid w:val="2F305DEF"/>
    <w:multiLevelType w:val="hybridMultilevel"/>
    <w:lvl w:ilvl="0">
      <w:lvlJc w:val="left"/>
      <w:lvlText w:val="•"/>
      <w:numFmt w:val="bullet"/>
      <w:start w:val="1"/>
    </w:lvl>
  </w:abstractNum>
  <w:abstractNum w:abstractNumId="51">
    <w:nsid w:val="25A70BF7"/>
    <w:multiLevelType w:val="hybridMultilevel"/>
    <w:lvl w:ilvl="0">
      <w:lvlJc w:val="left"/>
      <w:lvlText w:val="•"/>
      <w:numFmt w:val="bullet"/>
      <w:start w:val="1"/>
    </w:lvl>
  </w:abstractNum>
  <w:abstractNum w:abstractNumId="52">
    <w:nsid w:val="1DBABF00"/>
    <w:multiLevelType w:val="hybridMultilevel"/>
    <w:lvl w:ilvl="0">
      <w:lvlJc w:val="left"/>
      <w:lvlText w:val="•"/>
      <w:numFmt w:val="bullet"/>
      <w:start w:val="1"/>
    </w:lvl>
  </w:abstractNum>
  <w:abstractNum w:abstractNumId="53">
    <w:nsid w:val="4AD084E9"/>
    <w:multiLevelType w:val="hybridMultilevel"/>
    <w:lvl w:ilvl="0">
      <w:lvlJc w:val="left"/>
      <w:lvlText w:val="•"/>
      <w:numFmt w:val="bullet"/>
      <w:start w:val="1"/>
    </w:lvl>
  </w:abstractNum>
  <w:abstractNum w:abstractNumId="54">
    <w:nsid w:val="1F48EAA1"/>
    <w:multiLevelType w:val="hybridMultilevel"/>
    <w:lvl w:ilvl="0">
      <w:lvlJc w:val="left"/>
      <w:lvlText w:val="%1:"/>
      <w:numFmt w:val="decimal"/>
      <w:start w:val="3"/>
    </w:lvl>
  </w:abstractNum>
  <w:abstractNum w:abstractNumId="55">
    <w:nsid w:val="1381823A"/>
    <w:multiLevelType w:val="hybridMultilevel"/>
    <w:lvl w:ilvl="0">
      <w:lvlJc w:val="left"/>
      <w:lvlText w:val="(%1)"/>
      <w:numFmt w:val="lowerRoman"/>
      <w:start w:val="1"/>
    </w:lvl>
    <w:lvl w:ilvl="1">
      <w:lvlJc w:val="left"/>
      <w:lvlText w:val="%2."/>
      <w:numFmt w:val="lowerLetter"/>
      <w:start w:val="1"/>
    </w:lvl>
  </w:abstractNum>
  <w:abstractNum w:abstractNumId="56">
    <w:nsid w:val="5DB70AE5"/>
    <w:multiLevelType w:val="hybridMultilevel"/>
    <w:lvl w:ilvl="0">
      <w:lvlJc w:val="left"/>
      <w:lvlText w:val="•"/>
      <w:numFmt w:val="bullet"/>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2"/>
    </w:lvl>
  </w:abstractNum>
  <w:abstractNum w:abstractNumId="59">
    <w:nsid w:val="15014ACB"/>
    <w:multiLevelType w:val="hybridMultilevel"/>
    <w:lvl w:ilvl="0">
      <w:lvlJc w:val="left"/>
      <w:lvlText w:val="%1."/>
      <w:numFmt w:val="decimal"/>
      <w:start w:val="3"/>
    </w:lvl>
  </w:abstractNum>
  <w:abstractNum w:abstractNumId="60">
    <w:nsid w:val="5F5E7FD0"/>
    <w:multiLevelType w:val="hybridMultilevel"/>
    <w:lvl w:ilvl="0">
      <w:lvlJc w:val="left"/>
      <w:lvlText w:val="•"/>
      <w:numFmt w:val="bullet"/>
      <w:start w:val="1"/>
    </w:lvl>
  </w:abstractNum>
  <w:abstractNum w:abstractNumId="61">
    <w:nsid w:val="98A3148"/>
    <w:multiLevelType w:val="hybridMultilevel"/>
    <w:lvl w:ilvl="0">
      <w:lvlJc w:val="left"/>
      <w:lvlText w:val="(%1)"/>
      <w:numFmt w:val="lowerRoman"/>
      <w:start w:val="4"/>
    </w:lvl>
  </w:abstractNum>
  <w:abstractNum w:abstractNumId="62">
    <w:nsid w:val="799D0247"/>
    <w:multiLevelType w:val="hybridMultilevel"/>
    <w:lvl w:ilvl="0">
      <w:lvlJc w:val="left"/>
      <w:lvlText w:val="(%1)"/>
      <w:numFmt w:val="lowerLetter"/>
      <w:start w:val="5"/>
    </w:lvl>
  </w:abstractNum>
  <w:abstractNum w:abstractNumId="63">
    <w:nsid w:val="6B94764"/>
    <w:multiLevelType w:val="hybridMultilevel"/>
    <w:lvl w:ilvl="0">
      <w:lvlJc w:val="left"/>
      <w:lvlText w:val="(%1)"/>
      <w:numFmt w:val="lowerRoman"/>
      <w:start w:val="1"/>
    </w:lvl>
    <w:lvl w:ilvl="1">
      <w:lvlJc w:val="left"/>
      <w:lvlText w:val="%2."/>
      <w:numFmt w:val="lowerLetter"/>
      <w:start w:val="1"/>
    </w:lvl>
  </w:abstractNum>
  <w:abstractNum w:abstractNumId="64">
    <w:nsid w:val="42C296BD"/>
    <w:multiLevelType w:val="hybridMultilevel"/>
    <w:lvl w:ilvl="0">
      <w:lvlJc w:val="left"/>
      <w:lvlText w:val="*"/>
      <w:numFmt w:val="bullet"/>
      <w:start w:val="1"/>
    </w:lvl>
  </w:abstractNum>
  <w:abstractNum w:abstractNumId="65">
    <w:nsid w:val="168E121F"/>
    <w:multiLevelType w:val="hybridMultilevel"/>
    <w:lvl w:ilvl="0">
      <w:lvlJc w:val="left"/>
      <w:lvlText w:val="^"/>
      <w:numFmt w:val="bullet"/>
      <w:start w:val="1"/>
    </w:lvl>
  </w:abstractNum>
  <w:abstractNum w:abstractNumId="66">
    <w:nsid w:val="1EBA5D23"/>
    <w:multiLevelType w:val="hybridMultilevel"/>
    <w:lvl w:ilvl="0">
      <w:lvlJc w:val="left"/>
      <w:lvlText w:val="%1."/>
      <w:numFmt w:val="decimal"/>
      <w:start w:val="1"/>
    </w:lvl>
  </w:abstractNum>
  <w:abstractNum w:abstractNumId="67">
    <w:nsid w:val="661E3F1E"/>
    <w:multiLevelType w:val="hybridMultilevel"/>
    <w:lvl w:ilvl="0">
      <w:lvlJc w:val="left"/>
      <w:lvlText w:val="%1."/>
      <w:numFmt w:val="decimal"/>
      <w:start w:val="3"/>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
      <w:numFmt w:val="bullet"/>
      <w:start w:val="1"/>
    </w:lvl>
  </w:abstractNum>
  <w:abstractNum w:abstractNumId="70">
    <w:nsid w:val="7BD3EE7B"/>
    <w:multiLevelType w:val="hybridMultilevel"/>
    <w:lvl w:ilvl="0">
      <w:lvlJc w:val="left"/>
      <w:lvlText w:val="•"/>
      <w:numFmt w:val="bullet"/>
      <w:start w:val="1"/>
    </w:lvl>
  </w:abstractNum>
  <w:abstractNum w:abstractNumId="71">
    <w:nsid w:val="51D9C564"/>
    <w:multiLevelType w:val="hybridMultilevel"/>
    <w:lvl w:ilvl="0">
      <w:lvlJc w:val="left"/>
      <w:lvlText w:val="•"/>
      <w:numFmt w:val="bullet"/>
      <w:start w:val="1"/>
    </w:lvl>
  </w:abstractNum>
  <w:abstractNum w:abstractNumId="72">
    <w:nsid w:val="613EFDC5"/>
    <w:multiLevelType w:val="hybridMultilevel"/>
    <w:lvl w:ilvl="0">
      <w:lvlJc w:val="left"/>
      <w:lvlText w:val="•"/>
      <w:numFmt w:val="bullet"/>
      <w:start w:val="1"/>
    </w:lvl>
    <w:lvl w:ilvl="1">
      <w:lvlJc w:val="left"/>
      <w:lvlText w:val="•"/>
      <w:numFmt w:val="bullet"/>
      <w:start w:val="1"/>
    </w:lvl>
    <w:lvl w:ilvl="2">
      <w:lvlJc w:val="left"/>
      <w:lvlText w:val="o"/>
      <w:numFmt w:val="bullet"/>
      <w:start w:val="1"/>
    </w:lvl>
  </w:abstractNum>
  <w:abstractNum w:abstractNumId="73">
    <w:nsid w:val="BF72B14"/>
    <w:multiLevelType w:val="hybridMultilevel"/>
    <w:lvl w:ilvl="0">
      <w:lvlJc w:val="left"/>
      <w:lvlText w:val="•"/>
      <w:numFmt w:val="bullet"/>
      <w:start w:val="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96" Type="http://schemas.openxmlformats.org/officeDocument/2006/relationships/image" Target="media/image271.png"/><Relationship Id="rId298" Type="http://schemas.openxmlformats.org/officeDocument/2006/relationships/image" Target="media/image272.png"/><Relationship Id="rId299" Type="http://schemas.openxmlformats.org/officeDocument/2006/relationships/image" Target="media/image273.png"/><Relationship Id="rId301"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6" Type="http://schemas.openxmlformats.org/officeDocument/2006/relationships/image" Target="media/image277.png"/><Relationship Id="rId307"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2" Type="http://schemas.openxmlformats.org/officeDocument/2006/relationships/image" Target="media/image281.png"/><Relationship Id="rId313" Type="http://schemas.openxmlformats.org/officeDocument/2006/relationships/image" Target="media/image282.png"/><Relationship Id="rId315" Type="http://schemas.openxmlformats.org/officeDocument/2006/relationships/image" Target="media/image283.png"/><Relationship Id="rId316"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1" Type="http://schemas.openxmlformats.org/officeDocument/2006/relationships/image" Target="media/image287.png"/><Relationship Id="rId322"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7" Type="http://schemas.openxmlformats.org/officeDocument/2006/relationships/image" Target="media/image291.png"/><Relationship Id="rId328" Type="http://schemas.openxmlformats.org/officeDocument/2006/relationships/image" Target="media/image292.png"/><Relationship Id="rId329" Type="http://schemas.openxmlformats.org/officeDocument/2006/relationships/image" Target="media/image293.png"/><Relationship Id="rId331" Type="http://schemas.openxmlformats.org/officeDocument/2006/relationships/image" Target="media/image294.png"/><Relationship Id="rId332" Type="http://schemas.openxmlformats.org/officeDocument/2006/relationships/image" Target="media/image295.png"/><Relationship Id="rId333"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1" Type="http://schemas.openxmlformats.org/officeDocument/2006/relationships/image" Target="media/image301.png"/><Relationship Id="rId342" Type="http://schemas.openxmlformats.org/officeDocument/2006/relationships/image" Target="media/image302.png"/><Relationship Id="rId344" Type="http://schemas.openxmlformats.org/officeDocument/2006/relationships/image" Target="media/image303.png"/><Relationship Id="rId345" Type="http://schemas.openxmlformats.org/officeDocument/2006/relationships/image" Target="media/image304.png"/><Relationship Id="rId347" Type="http://schemas.openxmlformats.org/officeDocument/2006/relationships/image" Target="media/image305.png"/><Relationship Id="rId348" Type="http://schemas.openxmlformats.org/officeDocument/2006/relationships/image" Target="media/image306.png"/><Relationship Id="rId350" Type="http://schemas.openxmlformats.org/officeDocument/2006/relationships/image" Target="media/image307.png"/><Relationship Id="rId351" Type="http://schemas.openxmlformats.org/officeDocument/2006/relationships/image" Target="media/image308.png"/><Relationship Id="rId352" Type="http://schemas.openxmlformats.org/officeDocument/2006/relationships/image" Target="media/image309.png"/><Relationship Id="rId354" Type="http://schemas.openxmlformats.org/officeDocument/2006/relationships/image" Target="media/image310.png"/><Relationship Id="rId355" Type="http://schemas.openxmlformats.org/officeDocument/2006/relationships/image" Target="media/image311.png"/><Relationship Id="rId356" Type="http://schemas.openxmlformats.org/officeDocument/2006/relationships/image" Target="media/image312.png"/><Relationship Id="rId358" Type="http://schemas.openxmlformats.org/officeDocument/2006/relationships/image" Target="media/image313.png"/><Relationship Id="rId359" Type="http://schemas.openxmlformats.org/officeDocument/2006/relationships/image" Target="media/image314.png"/><Relationship Id="rId361" Type="http://schemas.openxmlformats.org/officeDocument/2006/relationships/image" Target="media/image315.png"/><Relationship Id="rId363" Type="http://schemas.openxmlformats.org/officeDocument/2006/relationships/image" Target="media/image316.png"/><Relationship Id="rId364" Type="http://schemas.openxmlformats.org/officeDocument/2006/relationships/image" Target="media/image317.png"/><Relationship Id="rId365" Type="http://schemas.openxmlformats.org/officeDocument/2006/relationships/image" Target="media/image318.png"/><Relationship Id="rId366" Type="http://schemas.openxmlformats.org/officeDocument/2006/relationships/image" Target="media/image319.png"/><Relationship Id="rId367" Type="http://schemas.openxmlformats.org/officeDocument/2006/relationships/image" Target="media/image320.png"/><Relationship Id="rId368" Type="http://schemas.openxmlformats.org/officeDocument/2006/relationships/image" Target="media/image321.png"/><Relationship Id="rId370" Type="http://schemas.openxmlformats.org/officeDocument/2006/relationships/image" Target="media/image322.png"/><Relationship Id="rId371" Type="http://schemas.openxmlformats.org/officeDocument/2006/relationships/image" Target="media/image323.png"/><Relationship Id="rId372" Type="http://schemas.openxmlformats.org/officeDocument/2006/relationships/image" Target="media/image324.png"/><Relationship Id="rId373" Type="http://schemas.openxmlformats.org/officeDocument/2006/relationships/image" Target="media/image325.png"/><Relationship Id="rId374" Type="http://schemas.openxmlformats.org/officeDocument/2006/relationships/image" Target="media/image326.png"/><Relationship Id="rId375" Type="http://schemas.openxmlformats.org/officeDocument/2006/relationships/image" Target="media/image327.png"/><Relationship Id="rId376" Type="http://schemas.openxmlformats.org/officeDocument/2006/relationships/image" Target="media/image328.png"/><Relationship Id="rId377" Type="http://schemas.openxmlformats.org/officeDocument/2006/relationships/image" Target="media/image329.png"/><Relationship Id="rId378" Type="http://schemas.openxmlformats.org/officeDocument/2006/relationships/image" Target="media/image330.png"/><Relationship Id="rId379" Type="http://schemas.openxmlformats.org/officeDocument/2006/relationships/image" Target="media/image331.png"/><Relationship Id="rId380" Type="http://schemas.openxmlformats.org/officeDocument/2006/relationships/image" Target="media/image332.png"/><Relationship Id="rId381" Type="http://schemas.openxmlformats.org/officeDocument/2006/relationships/image" Target="media/image333.png"/><Relationship Id="rId382" Type="http://schemas.openxmlformats.org/officeDocument/2006/relationships/image" Target="media/image334.png"/><Relationship Id="rId383" Type="http://schemas.openxmlformats.org/officeDocument/2006/relationships/image" Target="media/image335.png"/><Relationship Id="rId384" Type="http://schemas.openxmlformats.org/officeDocument/2006/relationships/image" Target="media/image336.png"/><Relationship Id="rId385" Type="http://schemas.openxmlformats.org/officeDocument/2006/relationships/image" Target="media/image337.png"/><Relationship Id="rId386" Type="http://schemas.openxmlformats.org/officeDocument/2006/relationships/image" Target="media/image338.png"/><Relationship Id="rId387" Type="http://schemas.openxmlformats.org/officeDocument/2006/relationships/image" Target="media/image339.png"/><Relationship Id="rId388" Type="http://schemas.openxmlformats.org/officeDocument/2006/relationships/image" Target="media/image340.png"/><Relationship Id="rId389" Type="http://schemas.openxmlformats.org/officeDocument/2006/relationships/image" Target="media/image341.png"/><Relationship Id="rId390" Type="http://schemas.openxmlformats.org/officeDocument/2006/relationships/image" Target="media/image342.png"/><Relationship Id="rId391" Type="http://schemas.openxmlformats.org/officeDocument/2006/relationships/image" Target="media/image343.png"/><Relationship Id="rId392" Type="http://schemas.openxmlformats.org/officeDocument/2006/relationships/image" Target="media/image344.png"/><Relationship Id="rId393" Type="http://schemas.openxmlformats.org/officeDocument/2006/relationships/image" Target="media/image345.png"/><Relationship Id="rId394" Type="http://schemas.openxmlformats.org/officeDocument/2006/relationships/image" Target="media/image346.png"/><Relationship Id="rId395" Type="http://schemas.openxmlformats.org/officeDocument/2006/relationships/image" Target="media/image347.png"/><Relationship Id="rId396" Type="http://schemas.openxmlformats.org/officeDocument/2006/relationships/image" Target="media/image348.png"/><Relationship Id="rId397" Type="http://schemas.openxmlformats.org/officeDocument/2006/relationships/image" Target="media/image349.png"/><Relationship Id="rId398" Type="http://schemas.openxmlformats.org/officeDocument/2006/relationships/image" Target="media/image350.png"/><Relationship Id="rId399" Type="http://schemas.openxmlformats.org/officeDocument/2006/relationships/image" Target="media/image351.png"/><Relationship Id="rId400" Type="http://schemas.openxmlformats.org/officeDocument/2006/relationships/image" Target="media/image352.png"/><Relationship Id="rId401" Type="http://schemas.openxmlformats.org/officeDocument/2006/relationships/image" Target="media/image353.png"/><Relationship Id="rId402" Type="http://schemas.openxmlformats.org/officeDocument/2006/relationships/image" Target="media/image354.png"/><Relationship Id="rId403" Type="http://schemas.openxmlformats.org/officeDocument/2006/relationships/image" Target="media/image355.png"/><Relationship Id="rId404" Type="http://schemas.openxmlformats.org/officeDocument/2006/relationships/image" Target="media/image356.png"/><Relationship Id="rId405" Type="http://schemas.openxmlformats.org/officeDocument/2006/relationships/image" Target="media/image357.png"/><Relationship Id="rId406" Type="http://schemas.openxmlformats.org/officeDocument/2006/relationships/image" Target="media/image358.png"/><Relationship Id="rId407" Type="http://schemas.openxmlformats.org/officeDocument/2006/relationships/image" Target="media/image359.png"/><Relationship Id="rId408" Type="http://schemas.openxmlformats.org/officeDocument/2006/relationships/image" Target="media/image360.png"/><Relationship Id="rId409" Type="http://schemas.openxmlformats.org/officeDocument/2006/relationships/image" Target="media/image361.png"/><Relationship Id="rId410" Type="http://schemas.openxmlformats.org/officeDocument/2006/relationships/image" Target="media/image362.png"/><Relationship Id="rId411" Type="http://schemas.openxmlformats.org/officeDocument/2006/relationships/image" Target="media/image363.png"/><Relationship Id="rId412" Type="http://schemas.openxmlformats.org/officeDocument/2006/relationships/image" Target="media/image364.png"/><Relationship Id="rId413" Type="http://schemas.openxmlformats.org/officeDocument/2006/relationships/image" Target="media/image365.png"/><Relationship Id="rId414" Type="http://schemas.openxmlformats.org/officeDocument/2006/relationships/image" Target="media/image366.png"/><Relationship Id="rId278" Type="http://schemas.openxmlformats.org/officeDocument/2006/relationships/hyperlink" Target="https://www.sec.gov/Archives/edgar/data/1783183/000119312519277761/d795888dex31.htm" TargetMode="External"/><Relationship Id="rId279" Type="http://schemas.openxmlformats.org/officeDocument/2006/relationships/hyperlink" Target="https://www.sec.gov/Archives/edgar/data/1783183/000119312523156713/d487635dex31.htm" TargetMode="External"/><Relationship Id="rId280" Type="http://schemas.openxmlformats.org/officeDocument/2006/relationships/hyperlink" Target="https://www.sec.gov/Archives/edgar/data/1783183/000119312523296630/d602391dex31.htm" TargetMode="External"/><Relationship Id="rId281" Type="http://schemas.openxmlformats.org/officeDocument/2006/relationships/hyperlink" Target="https://www.sec.gov/Archives/edgar/data/1783183/000119312519267053/d63338dex41.htm" TargetMode="External"/><Relationship Id="rId282" Type="http://schemas.openxmlformats.org/officeDocument/2006/relationships/hyperlink" Target="https://www.sec.gov/Archives/edgar/data/1783183/000119312519258922/d63338dex43.htm" TargetMode="External"/><Relationship Id="rId283" Type="http://schemas.openxmlformats.org/officeDocument/2006/relationships/hyperlink" Target="https://www.sec.gov/Archives/edgar/data/1783183/000119312519258922/d63338dex44.htm" TargetMode="External"/><Relationship Id="rId284" Type="http://schemas.openxmlformats.org/officeDocument/2006/relationships/hyperlink" Target="https://www.sec.gov/Archives/edgar/data/1783183/000119312519267053/d63338dex45.htm" TargetMode="External"/><Relationship Id="rId285" Type="http://schemas.openxmlformats.org/officeDocument/2006/relationships/hyperlink" Target="https://www.sec.gov/Archives/edgar/data/1783183/000156459021055073/phat-ex102_212.htm" TargetMode="External"/><Relationship Id="rId286" Type="http://schemas.openxmlformats.org/officeDocument/2006/relationships/hyperlink" Target="https://www.sec.gov/Archives/edgar/data/1783183/000095017023020109/phat-ex4_6.htm" TargetMode="External"/><Relationship Id="rId287" Type="http://schemas.openxmlformats.org/officeDocument/2006/relationships/hyperlink" Target="https://www.sec.gov/Archives/edgar/data/1783183/000095017023020109/phat-ex4_5.htm" TargetMode="External"/><Relationship Id="rId288" Type="http://schemas.openxmlformats.org/officeDocument/2006/relationships/hyperlink" Target="https://www.sec.gov/Archives/edgar/data/1783183/000119312524202879/d816262dex41.htm" TargetMode="External"/><Relationship Id="rId289" Type="http://schemas.openxmlformats.org/officeDocument/2006/relationships/hyperlink" Target="https://www.sec.gov/Archives/edgar/data/1783183/000119312519258922/d63338dex101.htm" TargetMode="External"/><Relationship Id="rId290" Type="http://schemas.openxmlformats.org/officeDocument/2006/relationships/hyperlink" Target="https://www.sec.gov/Archives/edgar/data/1783183/000119312519258922/d63338dex102.htm" TargetMode="External"/><Relationship Id="rId291" Type="http://schemas.openxmlformats.org/officeDocument/2006/relationships/hyperlink" Target="https://www.sec.gov/Archives/edgar/data/1783183/000119312519258922/d63338dex103.htm" TargetMode="External"/><Relationship Id="rId292" Type="http://schemas.openxmlformats.org/officeDocument/2006/relationships/hyperlink" Target="https://www.sec.gov/Archives/edgar/data/1783183/000119312519267053/d63338dex104.htm" TargetMode="External"/><Relationship Id="rId293" Type="http://schemas.openxmlformats.org/officeDocument/2006/relationships/hyperlink" Target="https://www.sec.gov/Archives/edgar/data/1783183/000156459020037296/phat-ex103_248.htm" TargetMode="External"/><Relationship Id="rId294" Type="http://schemas.openxmlformats.org/officeDocument/2006/relationships/hyperlink" Target="https://www.sec.gov/Archives/edgar/data/1783183/000119312519267053/d63338dex105.htm" TargetMode="External"/><Relationship Id="rId295" Type="http://schemas.openxmlformats.org/officeDocument/2006/relationships/hyperlink" Target="https://www.sec.gov/Archives/edgar/data/1783183/000095017024093885/phat-ex10_1.htm" TargetMode="External"/><Relationship Id="rId297" Type="http://schemas.openxmlformats.org/officeDocument/2006/relationships/hyperlink" Target="https://www.sec.gov/Archives/edgar/data/1783183/000119312519258922/d63338dex109.htm" TargetMode="External"/><Relationship Id="rId300" Type="http://schemas.openxmlformats.org/officeDocument/2006/relationships/hyperlink" Target="https://www.sec.gov/Archives/edgar/data/1783183/000119312519258922/d63338dex1011.htm" TargetMode="External"/><Relationship Id="rId302" Type="http://schemas.openxmlformats.org/officeDocument/2006/relationships/hyperlink" Target="https://www.sec.gov/Archives/edgar/data/1783183/000119312519258922/d63338dex1012.htm" TargetMode="External"/><Relationship Id="rId305" Type="http://schemas.openxmlformats.org/officeDocument/2006/relationships/hyperlink" Target="https://www.sec.gov/Archives/edgar/data/1783183/000119312519258922/d63338dex1014.htm" TargetMode="External"/><Relationship Id="rId308" Type="http://schemas.openxmlformats.org/officeDocument/2006/relationships/hyperlink" Target="https://www.sec.gov/Archives/edgar/data/1783183/000156459021016682/phat-ex1020_1409.htm" TargetMode="External"/><Relationship Id="rId311" Type="http://schemas.openxmlformats.org/officeDocument/2006/relationships/hyperlink" Target="https://www.sec.gov/Archives/edgar/data/1783183/000156459021016682/phat-ex1021_1410.htm" TargetMode="External"/><Relationship Id="rId314" Type="http://schemas.openxmlformats.org/officeDocument/2006/relationships/hyperlink" Target="https://www.sec.gov/Archives/edgar/data/1783183/000156459021042895/phat-ex104_267.htm" TargetMode="External"/><Relationship Id="rId317" Type="http://schemas.openxmlformats.org/officeDocument/2006/relationships/hyperlink" Target="https://www.sec.gov/Archives/edgar/data/1783183/000156459021055073/phat-ex101_211.htm" TargetMode="External"/><Relationship Id="rId320" Type="http://schemas.openxmlformats.org/officeDocument/2006/relationships/hyperlink" Target="https://www.sec.gov/Archives/edgar/data/1783183/000095017022002536/phat-ex10_30.htm" TargetMode="External"/><Relationship Id="rId323" Type="http://schemas.openxmlformats.org/officeDocument/2006/relationships/hyperlink" Target="https://www.sec.gov/Archives/edgar/data/1783183/000095017022008741/phat-ex10_1.htm" TargetMode="External"/><Relationship Id="rId326" Type="http://schemas.openxmlformats.org/officeDocument/2006/relationships/hyperlink" Target="https://www.sec.gov/Archives/edgar/data/1783183/000095017022013743/phat-ex10_2.htm" TargetMode="External"/><Relationship Id="rId330" Type="http://schemas.openxmlformats.org/officeDocument/2006/relationships/hyperlink" Target="https://www.sec.gov/Archives/edgar/data/1783183/000095017022013743/phat-ex10_3.htm" TargetMode="External"/><Relationship Id="rId334" Type="http://schemas.openxmlformats.org/officeDocument/2006/relationships/hyperlink" Target="https://www.sec.gov/Archives/edgar/data/1783183/000095017022013743/phat-ex10_4.htm" TargetMode="External"/><Relationship Id="rId337" Type="http://schemas.openxmlformats.org/officeDocument/2006/relationships/hyperlink" Target="https://www.sec.gov/Archives/edgar/data/1783183/000095017022023372/phat-ex10_1.htm" TargetMode="External"/><Relationship Id="rId340" Type="http://schemas.openxmlformats.org/officeDocument/2006/relationships/hyperlink" Target="https://www.sec.gov/Archives/edgar/data/1783183/000095017022023372/phat-ex10_2.htm" TargetMode="External"/><Relationship Id="rId343" Type="http://schemas.openxmlformats.org/officeDocument/2006/relationships/hyperlink" Target="https://www.sec.gov/Archives/edgar/data/1783183/000095017023004875/phat-ex10_37.htm" TargetMode="External"/><Relationship Id="rId346" Type="http://schemas.openxmlformats.org/officeDocument/2006/relationships/hyperlink" Target="https://www.sec.gov/Archives/edgar/data/1783183/000095017023020109/phat-ex10_1.htm" TargetMode="External"/><Relationship Id="rId349" Type="http://schemas.openxmlformats.org/officeDocument/2006/relationships/hyperlink" Target="https://www.sec.gov/Archives/edgar/data/1783183/000095017023040977/phat-ex10_1.htm" TargetMode="External"/><Relationship Id="rId353" Type="http://schemas.openxmlformats.org/officeDocument/2006/relationships/hyperlink" Target="https://www.sec.gov/Archives/edgar/data/1783183/000095017024027910/phat-ex10_26.htm" TargetMode="External"/><Relationship Id="rId357" Type="http://schemas.openxmlformats.org/officeDocument/2006/relationships/hyperlink" Target="https://www.sec.gov/Archives/edgar/data/1783183/000095017024027910/phat-ex10_27.htm" TargetMode="External"/><Relationship Id="rId360" Type="http://schemas.openxmlformats.org/officeDocument/2006/relationships/hyperlink" Target="https://www.sec.gov/Archives/edgar/data/1783183/000095017024027910/phat-ex10_28.htm" TargetMode="External"/><Relationship Id="rId362" Type="http://schemas.openxmlformats.org/officeDocument/2006/relationships/hyperlink" Target="https://www.sec.gov/Archives/edgar/data/1783183/000095017024123264/phat-ex10_1.htm" TargetMode="External"/><Relationship Id="rId369" Type="http://schemas.openxmlformats.org/officeDocument/2006/relationships/hyperlink" Target="https://www.sec.gov/Archives/edgar/data/1783183/000095017024027910/phat-ex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2025-03-06T07:18:25Z</dcterms:created>
  <dcterms:modified xsi:type="dcterms:W3CDTF">2025-03-06T07:18:25Z</dcterms:modified>
</cp:coreProperties>
</file>