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295275</wp:posOffset>
            </wp:positionV>
            <wp:extent cx="71424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311150</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62230</wp:posOffset>
            </wp:positionV>
            <wp:extent cx="18472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86995</wp:posOffset>
            </wp:positionV>
            <wp:extent cx="18472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spacing w:after="0" w:line="162" w:lineRule="exact"/>
        <w:rPr>
          <w:sz w:val="24"/>
          <w:szCs w:val="24"/>
          <w:color w:val="auto"/>
        </w:rPr>
      </w:pPr>
    </w:p>
    <w:p>
      <w:pPr>
        <w:ind w:left="400" w:hanging="400"/>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00" w:hanging="400"/>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tbl>
      <w:tblPr>
        <w:tblLayout w:type="fixed"/>
        <w:tblInd w:w="3640" w:type="dxa"/>
        <w:tblCellMar>
          <w:top w:w="0" w:type="dxa"/>
          <w:left w:w="0" w:type="dxa"/>
          <w:bottom w:w="0" w:type="dxa"/>
          <w:right w:w="0" w:type="dxa"/>
        </w:tblCellMar>
      </w:tblPr>
      <w:tr>
        <w:trPr>
          <w:trHeight w:val="195"/>
        </w:trPr>
        <w:tc>
          <w:tcPr>
            <w:tcW w:w="2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9"/>
              </w:rPr>
              <w:t>For the transition period from</w:t>
            </w:r>
          </w:p>
        </w:tc>
        <w:tc>
          <w:tcPr>
            <w:tcW w:w="78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2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0"/>
        </w:trPr>
        <w:tc>
          <w:tcPr>
            <w:tcW w:w="3620" w:type="dxa"/>
            <w:vAlign w:val="bottom"/>
            <w:gridSpan w:val="4"/>
          </w:tcPr>
          <w:p>
            <w:pPr>
              <w:ind w:left="660"/>
              <w:spacing w:after="0"/>
              <w:rPr>
                <w:sz w:val="20"/>
                <w:szCs w:val="20"/>
                <w:color w:val="auto"/>
              </w:rPr>
            </w:pPr>
            <w:r>
              <w:rPr>
                <w:rFonts w:ascii="Times New Roman" w:cs="Times New Roman" w:eastAsia="Times New Roman" w:hAnsi="Times New Roman"/>
                <w:sz w:val="17"/>
                <w:szCs w:val="17"/>
                <w:b w:val="1"/>
                <w:bCs w:val="1"/>
                <w:color w:val="auto"/>
              </w:rPr>
              <w:t>Commission File Number: 001-39094</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-270510</wp:posOffset>
            </wp:positionV>
            <wp:extent cx="1435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65405</wp:posOffset>
            </wp:positionV>
            <wp:extent cx="1435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50" w:lineRule="exact"/>
        <w:rPr>
          <w:sz w:val="24"/>
          <w:szCs w:val="24"/>
          <w:color w:val="auto"/>
        </w:rPr>
      </w:pPr>
    </w:p>
    <w:tbl>
      <w:tblPr>
        <w:tblLayout w:type="fixed"/>
        <w:tblInd w:w="1660" w:type="dxa"/>
        <w:tblCellMar>
          <w:top w:w="0" w:type="dxa"/>
          <w:left w:w="0" w:type="dxa"/>
          <w:bottom w:w="0" w:type="dxa"/>
          <w:right w:w="0" w:type="dxa"/>
        </w:tblCellMar>
      </w:tblPr>
      <w:tr>
        <w:trPr>
          <w:trHeight w:val="210"/>
        </w:trPr>
        <w:tc>
          <w:tcPr>
            <w:tcW w:w="4260" w:type="dxa"/>
            <w:vAlign w:val="bottom"/>
          </w:tcPr>
          <w:p>
            <w:pPr>
              <w:jc w:val="center"/>
              <w:ind w:right="198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100" w:type="dxa"/>
            <w:vAlign w:val="bottom"/>
          </w:tcPr>
          <w:p>
            <w:pPr>
              <w:jc w:val="right"/>
              <w:ind w:right="47"/>
              <w:spacing w:after="0"/>
              <w:rPr>
                <w:sz w:val="20"/>
                <w:szCs w:val="20"/>
                <w:color w:val="auto"/>
              </w:rPr>
            </w:pPr>
            <w:r>
              <w:rPr>
                <w:rFonts w:ascii="Times New Roman" w:cs="Times New Roman" w:eastAsia="Times New Roman" w:hAnsi="Times New Roman"/>
                <w:sz w:val="17"/>
                <w:szCs w:val="17"/>
                <w:b w:val="1"/>
                <w:bCs w:val="1"/>
                <w:color w:val="auto"/>
              </w:rPr>
              <w:t>82-4151574</w:t>
            </w:r>
          </w:p>
        </w:tc>
        <w:tc>
          <w:tcPr>
            <w:tcW w:w="0" w:type="dxa"/>
            <w:vAlign w:val="bottom"/>
          </w:tcPr>
          <w:p>
            <w:pPr>
              <w:spacing w:after="0"/>
              <w:rPr>
                <w:sz w:val="1"/>
                <w:szCs w:val="1"/>
                <w:color w:val="auto"/>
              </w:rPr>
            </w:pPr>
          </w:p>
        </w:tc>
      </w:tr>
      <w:tr>
        <w:trPr>
          <w:trHeight w:val="137"/>
        </w:trPr>
        <w:tc>
          <w:tcPr>
            <w:tcW w:w="4260" w:type="dxa"/>
            <w:vAlign w:val="bottom"/>
          </w:tcPr>
          <w:p>
            <w:pPr>
              <w:jc w:val="center"/>
              <w:ind w:right="1985"/>
              <w:spacing w:after="0" w:line="138"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100" w:type="dxa"/>
            <w:vAlign w:val="bottom"/>
          </w:tcPr>
          <w:p>
            <w:pPr>
              <w:jc w:val="center"/>
              <w:ind w:left="1987"/>
              <w:spacing w:after="0" w:line="13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5"/>
        </w:trPr>
        <w:tc>
          <w:tcPr>
            <w:tcW w:w="4260" w:type="dxa"/>
            <w:vAlign w:val="bottom"/>
          </w:tcPr>
          <w:p>
            <w:pPr>
              <w:jc w:val="center"/>
              <w:ind w:right="1985"/>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100" w:type="dxa"/>
            <w:vAlign w:val="bottom"/>
          </w:tcPr>
          <w:p>
            <w:pPr>
              <w:jc w:val="center"/>
              <w:ind w:left="1987"/>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352"/>
        </w:trPr>
        <w:tc>
          <w:tcPr>
            <w:tcW w:w="4260" w:type="dxa"/>
            <w:vAlign w:val="bottom"/>
          </w:tcPr>
          <w:p>
            <w:pPr>
              <w:jc w:val="center"/>
              <w:ind w:right="1985"/>
              <w:spacing w:after="0"/>
              <w:rPr>
                <w:sz w:val="20"/>
                <w:szCs w:val="20"/>
                <w:color w:val="auto"/>
              </w:rPr>
            </w:pPr>
            <w:r>
              <w:rPr>
                <w:rFonts w:ascii="Times New Roman" w:cs="Times New Roman" w:eastAsia="Times New Roman" w:hAnsi="Times New Roman"/>
                <w:sz w:val="17"/>
                <w:szCs w:val="17"/>
                <w:b w:val="1"/>
                <w:bCs w:val="1"/>
                <w:color w:val="auto"/>
                <w:w w:val="97"/>
              </w:rPr>
              <w:t>100 Campus Drive, Suite 102</w:t>
            </w:r>
          </w:p>
        </w:tc>
        <w:tc>
          <w:tcPr>
            <w:tcW w:w="3100" w:type="dxa"/>
            <w:vAlign w:val="bottom"/>
            <w:vMerge w:val="restart"/>
          </w:tcPr>
          <w:p>
            <w:pPr>
              <w:jc w:val="right"/>
              <w:ind w:right="247"/>
              <w:spacing w:after="0"/>
              <w:rPr>
                <w:sz w:val="20"/>
                <w:szCs w:val="20"/>
                <w:color w:val="auto"/>
              </w:rPr>
            </w:pPr>
            <w:r>
              <w:rPr>
                <w:rFonts w:ascii="Times New Roman" w:cs="Times New Roman" w:eastAsia="Times New Roman" w:hAnsi="Times New Roman"/>
                <w:sz w:val="17"/>
                <w:szCs w:val="17"/>
                <w:b w:val="1"/>
                <w:bCs w:val="1"/>
                <w:color w:val="auto"/>
              </w:rPr>
              <w:t>07932</w:t>
            </w:r>
          </w:p>
        </w:tc>
        <w:tc>
          <w:tcPr>
            <w:tcW w:w="0" w:type="dxa"/>
            <w:vAlign w:val="bottom"/>
          </w:tcPr>
          <w:p>
            <w:pPr>
              <w:spacing w:after="0"/>
              <w:rPr>
                <w:sz w:val="1"/>
                <w:szCs w:val="1"/>
                <w:color w:val="auto"/>
              </w:rPr>
            </w:pPr>
          </w:p>
        </w:tc>
      </w:tr>
      <w:tr>
        <w:trPr>
          <w:trHeight w:val="210"/>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Florham Park, New Jersey</w:t>
            </w: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60" w:type="dxa"/>
            <w:vAlign w:val="bottom"/>
          </w:tcPr>
          <w:p>
            <w:pPr>
              <w:jc w:val="center"/>
              <w:ind w:right="1985"/>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jc w:val="center"/>
              <w:ind w:left="1967"/>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(877) 742-8466</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20" w:type="dxa"/>
            <w:vAlign w:val="bottom"/>
          </w:tcPr>
          <w:p>
            <w:pPr>
              <w:spacing w:after="0"/>
              <w:rPr>
                <w:sz w:val="12"/>
                <w:szCs w:val="12"/>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72"/>
        </w:trPr>
        <w:tc>
          <w:tcPr>
            <w:tcW w:w="4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20" w:type="dxa"/>
            <w:vAlign w:val="bottom"/>
          </w:tcPr>
          <w:p>
            <w:pPr>
              <w:spacing w:after="0"/>
              <w:rPr>
                <w:sz w:val="14"/>
                <w:szCs w:val="14"/>
                <w:color w:val="auto"/>
              </w:rPr>
            </w:pPr>
          </w:p>
        </w:tc>
        <w:tc>
          <w:tcPr>
            <w:tcW w:w="4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PHAT</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Nasdaq Global Select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right="4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 w:lineRule="exact"/>
        <w:rPr>
          <w:sz w:val="24"/>
          <w:szCs w:val="24"/>
          <w:color w:val="auto"/>
        </w:rPr>
      </w:pPr>
    </w:p>
    <w:p>
      <w:pPr>
        <w:ind w:right="60"/>
        <w:spacing w:after="0" w:line="21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 w:lineRule="exact"/>
        <w:rPr>
          <w:sz w:val="24"/>
          <w:szCs w:val="24"/>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8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187"/>
        </w:trPr>
        <w:tc>
          <w:tcPr>
            <w:tcW w:w="23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Non-accelerated filer</w:t>
            </w:r>
          </w:p>
        </w:tc>
        <w:tc>
          <w:tcPr>
            <w:tcW w:w="328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620"/>
              <w:spacing w:after="0" w:line="187" w:lineRule="exact"/>
              <w:rPr>
                <w:sz w:val="20"/>
                <w:szCs w:val="20"/>
                <w:color w:val="auto"/>
              </w:rPr>
            </w:pPr>
            <w:r>
              <w:rPr>
                <w:rFonts w:ascii="Times New Roman" w:cs="Times New Roman" w:eastAsia="Times New Roman" w:hAnsi="Times New Roman"/>
                <w:sz w:val="17"/>
                <w:szCs w:val="17"/>
                <w:color w:val="auto"/>
              </w:rPr>
              <w:t>Smaller reporting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328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48"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 w:lineRule="exact"/>
        <w:rPr>
          <w:sz w:val="24"/>
          <w:szCs w:val="24"/>
          <w:color w:val="auto"/>
        </w:rPr>
      </w:pPr>
    </w:p>
    <w:p>
      <w:pPr>
        <w:ind w:right="2720"/>
        <w:spacing w:after="0" w:line="24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4 2022, the registrant had 39,072,027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42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71120</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502920</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3"/>
          </w:tcPr>
          <w:p>
            <w:pPr>
              <w:ind w:left="560"/>
              <w:spacing w:after="0"/>
              <w:rPr>
                <w:sz w:val="20"/>
                <w:szCs w:val="20"/>
                <w:color w:val="auto"/>
              </w:rPr>
            </w:pPr>
            <w:r>
              <w:rPr>
                <w:rFonts w:ascii="Times New Roman" w:cs="Times New Roman" w:eastAsia="Times New Roman" w:hAnsi="Times New Roman"/>
                <w:sz w:val="17"/>
                <w:szCs w:val="17"/>
                <w:b w:val="1"/>
                <w:bCs w:val="1"/>
                <w:color w:val="231F20"/>
              </w:rPr>
              <w:t>TABLE OF CONTENTS</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62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Item 1</w:t>
            </w:r>
          </w:p>
        </w:tc>
        <w:tc>
          <w:tcPr>
            <w:tcW w:w="59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Balance Sheets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960" w:type="dxa"/>
            <w:vAlign w:val="bottom"/>
            <w:gridSpan w:val="14"/>
          </w:tcPr>
          <w:p>
            <w:pPr>
              <w:spacing w:after="0" w:line="187" w:lineRule="exact"/>
              <w:rPr>
                <w:sz w:val="20"/>
                <w:szCs w:val="20"/>
                <w:color w:val="auto"/>
              </w:rPr>
            </w:pPr>
            <w:r>
              <w:rPr>
                <w:rFonts w:ascii="Times New Roman" w:cs="Times New Roman" w:eastAsia="Times New Roman" w:hAnsi="Times New Roman"/>
                <w:sz w:val="17"/>
                <w:szCs w:val="17"/>
                <w:color w:val="0000FF"/>
              </w:rPr>
              <w:t>Statements of Stockholders’ Equity</w:t>
            </w:r>
          </w:p>
        </w:tc>
        <w:tc>
          <w:tcPr>
            <w:tcW w:w="36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9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3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9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Notes to Unaudited Financial Statements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Item 2</w:t>
            </w:r>
          </w:p>
        </w:tc>
        <w:tc>
          <w:tcPr>
            <w:tcW w:w="59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w w:val="97"/>
              </w:rPr>
              <w:t>Management’s Discussion and Analysis of Financial Condition and Results of Operations</w:t>
            </w: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3</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4</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gridSpan w:val="1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0" w:type="dxa"/>
            <w:vAlign w:val="bottom"/>
            <w:vMerge w:val="continue"/>
          </w:tcPr>
          <w:p>
            <w:pPr>
              <w:spacing w:after="0"/>
              <w:rPr>
                <w:sz w:val="24"/>
                <w:szCs w:val="24"/>
                <w:color w:val="auto"/>
              </w:rPr>
            </w:pPr>
          </w:p>
        </w:tc>
        <w:tc>
          <w:tcPr>
            <w:tcW w:w="7620" w:type="dxa"/>
            <w:vAlign w:val="bottom"/>
            <w:gridSpan w:val="15"/>
            <w:vMerge w:val="continue"/>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Item 1</w:t>
            </w:r>
          </w:p>
        </w:tc>
        <w:tc>
          <w:tcPr>
            <w:tcW w:w="59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1A</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2</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3</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4</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5</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Item 6</w:t>
            </w:r>
          </w:p>
        </w:tc>
        <w:tc>
          <w:tcPr>
            <w:tcW w:w="59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FF"/>
              </w:rPr>
              <w:t>Exhibits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960" w:type="dxa"/>
            <w:vAlign w:val="bottom"/>
            <w:gridSpan w:val="14"/>
            <w:vMerge w:val="continue"/>
          </w:tcPr>
          <w:p>
            <w:pPr>
              <w:spacing w:after="0"/>
              <w:rPr>
                <w:sz w:val="16"/>
                <w:szCs w:val="16"/>
                <w:color w:val="auto"/>
              </w:rPr>
            </w:pP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960" w:type="dxa"/>
            <w:vAlign w:val="bottom"/>
            <w:gridSpan w:val="14"/>
          </w:tcPr>
          <w:p>
            <w:pPr>
              <w:spacing w:after="0" w:line="187" w:lineRule="exact"/>
              <w:rPr>
                <w:sz w:val="20"/>
                <w:szCs w:val="20"/>
                <w:color w:val="auto"/>
              </w:rPr>
            </w:pPr>
            <w:r>
              <w:rPr>
                <w:rFonts w:ascii="Times New Roman" w:cs="Times New Roman" w:eastAsia="Times New Roman" w:hAnsi="Times New Roman"/>
                <w:sz w:val="17"/>
                <w:szCs w:val="17"/>
                <w:color w:val="0000FF"/>
              </w:rPr>
              <w:t>Signatures</w:t>
            </w:r>
          </w:p>
        </w:tc>
        <w:tc>
          <w:tcPr>
            <w:tcW w:w="36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709"/>
        </w:trPr>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PHATHOM PHARMACEUTICALS, INC.</w:t>
      </w:r>
    </w:p>
    <w:p>
      <w:pPr>
        <w:ind w:left="5080"/>
        <w:spacing w:after="0" w:line="235" w:lineRule="auto"/>
        <w:rPr>
          <w:sz w:val="20"/>
          <w:szCs w:val="20"/>
          <w:color w:val="auto"/>
        </w:rPr>
      </w:pPr>
      <w:r>
        <w:rPr>
          <w:rFonts w:ascii="Times New Roman" w:cs="Times New Roman" w:eastAsia="Times New Roman" w:hAnsi="Times New Roman"/>
          <w:sz w:val="17"/>
          <w:szCs w:val="17"/>
          <w:b w:val="1"/>
          <w:bCs w:val="1"/>
          <w:color w:val="auto"/>
        </w:rPr>
        <w:t>Balance Sheets</w:t>
      </w:r>
    </w:p>
    <w:p>
      <w:pPr>
        <w:ind w:left="5200"/>
        <w:spacing w:after="0" w:line="230" w:lineRule="auto"/>
        <w:rPr>
          <w:sz w:val="20"/>
          <w:szCs w:val="20"/>
          <w:color w:val="auto"/>
        </w:rPr>
      </w:pPr>
      <w:r>
        <w:rPr>
          <w:rFonts w:ascii="Times New Roman" w:cs="Times New Roman" w:eastAsia="Times New Roman" w:hAnsi="Times New Roman"/>
          <w:sz w:val="17"/>
          <w:szCs w:val="17"/>
          <w:b w:val="1"/>
          <w:bCs w:val="1"/>
          <w:color w:val="auto"/>
        </w:rPr>
        <w:t>(Unaudited)</w:t>
      </w: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par value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ind w:right="538"/>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7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7700" w:type="dxa"/>
            <w:vAlign w:val="bottom"/>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138,090</w:t>
            </w:r>
          </w:p>
        </w:tc>
        <w:tc>
          <w:tcPr>
            <w:tcW w:w="4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183,259</w:t>
            </w:r>
          </w:p>
        </w:tc>
      </w:tr>
      <w:tr>
        <w:trPr>
          <w:trHeight w:val="20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7,651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3,267</w:t>
            </w:r>
          </w:p>
        </w:tc>
      </w:tr>
      <w:tr>
        <w:trPr>
          <w:trHeight w:val="192"/>
        </w:trPr>
        <w:tc>
          <w:tcPr>
            <w:tcW w:w="7700" w:type="dxa"/>
            <w:vAlign w:val="bottom"/>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145,741</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186,526</w:t>
            </w: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708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650</w:t>
            </w:r>
          </w:p>
        </w:tc>
      </w:tr>
      <w:tr>
        <w:trPr>
          <w:trHeight w:val="20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1,795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1,914</w:t>
            </w: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805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341</w:t>
            </w:r>
          </w:p>
        </w:tc>
      </w:tr>
      <w:tr>
        <w:trPr>
          <w:trHeight w:val="232"/>
        </w:trPr>
        <w:tc>
          <w:tcPr>
            <w:tcW w:w="7700" w:type="dxa"/>
            <w:vAlign w:val="bottom"/>
            <w:tcBorders>
              <w:bottom w:val="single" w:sz="8" w:color="CFF0FC"/>
            </w:tcBorders>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shd w:val="clear" w:color="auto" w:fill="CFF0FC"/>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149,049</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189,431</w:t>
            </w:r>
          </w:p>
        </w:tc>
      </w:tr>
      <w:tr>
        <w:trPr>
          <w:trHeight w:val="177"/>
        </w:trPr>
        <w:tc>
          <w:tcPr>
            <w:tcW w:w="7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Accounts payable (including related party amounts of $82 and $1,343, respectively)</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2,858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5,150</w:t>
            </w:r>
          </w:p>
        </w:tc>
      </w:tr>
      <w:tr>
        <w:trPr>
          <w:trHeight w:val="20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clinical trial expenses</w:t>
            </w:r>
          </w:p>
        </w:tc>
        <w:tc>
          <w:tcPr>
            <w:tcW w:w="3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1,402</w:t>
            </w:r>
          </w:p>
        </w:tc>
      </w:tr>
      <w:tr>
        <w:trPr>
          <w:trHeight w:val="20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Accrued expenses (including related party amounts of $872 and $2,330, respectively)</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7,565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11,405</w:t>
            </w:r>
          </w:p>
        </w:tc>
      </w:tr>
      <w:tr>
        <w:trPr>
          <w:trHeight w:val="20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interest</w:t>
            </w:r>
          </w:p>
        </w:tc>
        <w:tc>
          <w:tcPr>
            <w:tcW w:w="3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481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477</w:t>
            </w:r>
          </w:p>
        </w:tc>
      </w:tr>
      <w:tr>
        <w:trPr>
          <w:trHeight w:val="20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3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490</w:t>
            </w:r>
          </w:p>
        </w:tc>
        <w:tc>
          <w:tcPr>
            <w:tcW w:w="1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487</w:t>
            </w:r>
          </w:p>
        </w:tc>
      </w:tr>
      <w:tr>
        <w:trPr>
          <w:trHeight w:val="192"/>
        </w:trPr>
        <w:tc>
          <w:tcPr>
            <w:tcW w:w="77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tcPr>
          <w:p>
            <w:pPr>
              <w:spacing w:after="0"/>
              <w:rPr>
                <w:sz w:val="16"/>
                <w:szCs w:val="16"/>
                <w:color w:val="auto"/>
              </w:rPr>
            </w:pPr>
          </w:p>
        </w:tc>
        <w:tc>
          <w:tcPr>
            <w:tcW w:w="1420" w:type="dxa"/>
            <w:vAlign w:val="bottom"/>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11,394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18,921</w:t>
            </w:r>
          </w:p>
        </w:tc>
      </w:tr>
      <w:tr>
        <w:trPr>
          <w:trHeight w:val="200"/>
        </w:trPr>
        <w:tc>
          <w:tcPr>
            <w:tcW w:w="7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net of discount</w:t>
            </w:r>
          </w:p>
        </w:tc>
        <w:tc>
          <w:tcPr>
            <w:tcW w:w="3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91,037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89,671</w:t>
            </w:r>
          </w:p>
        </w:tc>
      </w:tr>
      <w:tr>
        <w:trPr>
          <w:trHeight w:val="20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1,083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1,183</w:t>
            </w: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7,500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7,500</w:t>
            </w:r>
          </w:p>
        </w:tc>
      </w:tr>
      <w:tr>
        <w:trPr>
          <w:trHeight w:val="192"/>
        </w:trPr>
        <w:tc>
          <w:tcPr>
            <w:tcW w:w="7700" w:type="dxa"/>
            <w:vAlign w:val="bottom"/>
            <w:tcBorders>
              <w:bottom w:val="single" w:sz="8" w:color="CFF0FC"/>
            </w:tcBorders>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111,014</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117,275</w:t>
            </w:r>
          </w:p>
        </w:tc>
      </w:tr>
      <w:tr>
        <w:trPr>
          <w:trHeight w:val="192"/>
        </w:trPr>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4)</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0"/>
        </w:trPr>
        <w:tc>
          <w:tcPr>
            <w:tcW w:w="7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158"/>
        </w:trPr>
        <w:tc>
          <w:tcPr>
            <w:tcW w:w="7700" w:type="dxa"/>
            <w:vAlign w:val="bottom"/>
          </w:tcPr>
          <w:p>
            <w:pPr>
              <w:ind w:left="180"/>
              <w:spacing w:after="0" w:line="159" w:lineRule="exact"/>
              <w:rPr>
                <w:sz w:val="20"/>
                <w:szCs w:val="20"/>
                <w:color w:val="auto"/>
              </w:rPr>
            </w:pPr>
            <w:r>
              <w:rPr>
                <w:rFonts w:ascii="Times New Roman" w:cs="Times New Roman" w:eastAsia="Times New Roman" w:hAnsi="Times New Roman"/>
                <w:sz w:val="17"/>
                <w:szCs w:val="17"/>
                <w:color w:val="auto"/>
              </w:rPr>
              <w:t>Preferred stock, $0.0001 par value; authorized shares — 40,000,000; no shares issued and outstanding at</w:t>
            </w: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16"/>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March 31, 2022 and December 31, 2021</w:t>
            </w:r>
          </w:p>
        </w:tc>
        <w:tc>
          <w:tcPr>
            <w:tcW w:w="30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158"/>
        </w:trPr>
        <w:tc>
          <w:tcPr>
            <w:tcW w:w="7700" w:type="dxa"/>
            <w:vAlign w:val="bottom"/>
            <w:shd w:val="clear" w:color="auto" w:fill="CFF0FC"/>
          </w:tcPr>
          <w:p>
            <w:pPr>
              <w:ind w:left="180"/>
              <w:spacing w:after="0" w:line="159" w:lineRule="exact"/>
              <w:rPr>
                <w:sz w:val="20"/>
                <w:szCs w:val="20"/>
                <w:color w:val="auto"/>
              </w:rPr>
            </w:pPr>
            <w:r>
              <w:rPr>
                <w:rFonts w:ascii="Times New Roman" w:cs="Times New Roman" w:eastAsia="Times New Roman" w:hAnsi="Times New Roman"/>
                <w:sz w:val="17"/>
                <w:szCs w:val="17"/>
                <w:color w:val="auto"/>
              </w:rPr>
              <w:t>Common stock, $0.0001 par value; authorized shares — 400,000,000; issued shares — 39,072,046 and</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175"/>
        </w:trPr>
        <w:tc>
          <w:tcPr>
            <w:tcW w:w="7700" w:type="dxa"/>
            <w:vAlign w:val="bottom"/>
            <w:shd w:val="clear" w:color="auto" w:fill="CFF0FC"/>
          </w:tcPr>
          <w:p>
            <w:pPr>
              <w:ind w:left="180"/>
              <w:spacing w:after="0" w:line="175" w:lineRule="exact"/>
              <w:rPr>
                <w:sz w:val="20"/>
                <w:szCs w:val="20"/>
                <w:color w:val="auto"/>
              </w:rPr>
            </w:pPr>
            <w:r>
              <w:rPr>
                <w:rFonts w:ascii="Times New Roman" w:cs="Times New Roman" w:eastAsia="Times New Roman" w:hAnsi="Times New Roman"/>
                <w:sz w:val="17"/>
                <w:szCs w:val="17"/>
                <w:color w:val="auto"/>
              </w:rPr>
              <w:t>31,656,035 at March 31, 2022 and December 31, 2021, respectively; outstanding shares — 38,149,813 and</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216"/>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30,511,226 at March 31, 2022 and December 31, 2021, respectively</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3</w:t>
            </w:r>
          </w:p>
        </w:tc>
      </w:tr>
      <w:tr>
        <w:trPr>
          <w:trHeight w:val="20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Treasury stock — 19 and 1 at March 31, 2022 and December 31, 2021, respectively</w:t>
            </w:r>
          </w:p>
        </w:tc>
        <w:tc>
          <w:tcPr>
            <w:tcW w:w="3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608,067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601,523</w:t>
            </w:r>
          </w:p>
        </w:tc>
      </w:tr>
      <w:tr>
        <w:trPr>
          <w:trHeight w:val="20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(570,035 )</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(529,370 )</w:t>
            </w:r>
          </w:p>
        </w:tc>
      </w:tr>
      <w:tr>
        <w:trPr>
          <w:trHeight w:val="192"/>
        </w:trPr>
        <w:tc>
          <w:tcPr>
            <w:tcW w:w="7700" w:type="dxa"/>
            <w:vAlign w:val="bottom"/>
            <w:tcBorders>
              <w:bottom w:val="single" w:sz="8" w:color="CFF0FC"/>
            </w:tcBorders>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38,035</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72,156</w:t>
            </w:r>
          </w:p>
        </w:tc>
      </w:tr>
      <w:tr>
        <w:trPr>
          <w:trHeight w:val="192"/>
        </w:trPr>
        <w:tc>
          <w:tcPr>
            <w:tcW w:w="77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300" w:type="dxa"/>
            <w:vAlign w:val="bottom"/>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149,049</w:t>
            </w:r>
          </w:p>
        </w:tc>
        <w:tc>
          <w:tcPr>
            <w:tcW w:w="400" w:type="dxa"/>
            <w:vAlign w:val="bottom"/>
            <w:gridSpan w:val="2"/>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189,431</w:t>
            </w:r>
          </w:p>
        </w:tc>
      </w:tr>
      <w:tr>
        <w:trPr>
          <w:trHeight w:val="20"/>
        </w:trPr>
        <w:tc>
          <w:tcPr>
            <w:tcW w:w="7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5977255</wp:posOffset>
            </wp:positionH>
            <wp:positionV relativeFrom="paragraph">
              <wp:posOffset>-3590290</wp:posOffset>
            </wp:positionV>
            <wp:extent cx="1028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-3574415</wp:posOffset>
            </wp:positionV>
            <wp:extent cx="1028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-1774825</wp:posOffset>
            </wp:positionV>
            <wp:extent cx="1028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-158115</wp:posOffset>
            </wp:positionV>
            <wp:extent cx="1028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762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PHATHOM PHARMACEUTICALS, INC.</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8220" w:type="dxa"/>
            <w:vAlign w:val="bottom"/>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 (includes related party amounts of $1,430 and $939 respectively)</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17,660</w:t>
            </w:r>
          </w:p>
        </w:tc>
        <w:tc>
          <w:tcPr>
            <w:tcW w:w="640" w:type="dxa"/>
            <w:vAlign w:val="bottom"/>
            <w:gridSpan w:val="2"/>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20,580</w:t>
            </w:r>
          </w:p>
        </w:tc>
        <w:tc>
          <w:tcPr>
            <w:tcW w:w="0" w:type="dxa"/>
            <w:vAlign w:val="bottom"/>
          </w:tcPr>
          <w:p>
            <w:pPr>
              <w:spacing w:after="0"/>
              <w:rPr>
                <w:sz w:val="1"/>
                <w:szCs w:val="1"/>
                <w:color w:val="auto"/>
              </w:rPr>
            </w:pPr>
          </w:p>
        </w:tc>
      </w:tr>
      <w:tr>
        <w:trPr>
          <w:trHeight w:val="200"/>
        </w:trPr>
        <w:tc>
          <w:tcPr>
            <w:tcW w:w="8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General and administrative (includes related party amounts of $0 and $16, respectively)</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20,246</w:t>
            </w:r>
          </w:p>
        </w:tc>
        <w:tc>
          <w:tcPr>
            <w:tcW w:w="1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13,004</w:t>
            </w:r>
          </w:p>
        </w:tc>
        <w:tc>
          <w:tcPr>
            <w:tcW w:w="0" w:type="dxa"/>
            <w:vAlign w:val="bottom"/>
          </w:tcPr>
          <w:p>
            <w:pPr>
              <w:spacing w:after="0"/>
              <w:rPr>
                <w:sz w:val="1"/>
                <w:szCs w:val="1"/>
                <w:color w:val="auto"/>
              </w:rPr>
            </w:pPr>
          </w:p>
        </w:tc>
      </w:tr>
      <w:tr>
        <w:trPr>
          <w:trHeight w:val="192"/>
        </w:trPr>
        <w:tc>
          <w:tcPr>
            <w:tcW w:w="82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
              <w:spacing w:after="0" w:line="193" w:lineRule="exact"/>
              <w:rPr>
                <w:sz w:val="20"/>
                <w:szCs w:val="20"/>
                <w:color w:val="auto"/>
              </w:rPr>
            </w:pPr>
            <w:r>
              <w:rPr>
                <w:rFonts w:ascii="Times New Roman" w:cs="Times New Roman" w:eastAsia="Times New Roman" w:hAnsi="Times New Roman"/>
                <w:sz w:val="17"/>
                <w:szCs w:val="17"/>
                <w:color w:val="auto"/>
              </w:rPr>
              <w:t>37,906</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rPr>
              <w:t>33,584</w:t>
            </w:r>
          </w:p>
        </w:tc>
        <w:tc>
          <w:tcPr>
            <w:tcW w:w="0" w:type="dxa"/>
            <w:vAlign w:val="bottom"/>
          </w:tcPr>
          <w:p>
            <w:pPr>
              <w:spacing w:after="0"/>
              <w:rPr>
                <w:sz w:val="1"/>
                <w:szCs w:val="1"/>
                <w:color w:val="auto"/>
              </w:rPr>
            </w:pPr>
          </w:p>
        </w:tc>
      </w:tr>
      <w:tr>
        <w:trPr>
          <w:trHeight w:val="192"/>
        </w:trPr>
        <w:tc>
          <w:tcPr>
            <w:tcW w:w="8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(37,906 )</w:t>
            </w: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(33,584 )</w:t>
            </w:r>
          </w:p>
        </w:tc>
        <w:tc>
          <w:tcPr>
            <w:tcW w:w="0" w:type="dxa"/>
            <w:vAlign w:val="bottom"/>
          </w:tcPr>
          <w:p>
            <w:pPr>
              <w:spacing w:after="0"/>
              <w:rPr>
                <w:sz w:val="1"/>
                <w:szCs w:val="1"/>
                <w:color w:val="auto"/>
              </w:rPr>
            </w:pPr>
          </w:p>
        </w:tc>
      </w:tr>
      <w:tr>
        <w:trPr>
          <w:trHeight w:val="192"/>
        </w:trPr>
        <w:tc>
          <w:tcPr>
            <w:tcW w:w="8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0"/>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(2,759 )</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(1,272 )</w:t>
            </w:r>
          </w:p>
        </w:tc>
        <w:tc>
          <w:tcPr>
            <w:tcW w:w="0" w:type="dxa"/>
            <w:vAlign w:val="bottom"/>
          </w:tcPr>
          <w:p>
            <w:pPr>
              <w:spacing w:after="0"/>
              <w:rPr>
                <w:sz w:val="1"/>
                <w:szCs w:val="1"/>
                <w:color w:val="auto"/>
              </w:rPr>
            </w:pPr>
          </w:p>
        </w:tc>
      </w:tr>
      <w:tr>
        <w:trPr>
          <w:trHeight w:val="200"/>
        </w:trPr>
        <w:tc>
          <w:tcPr>
            <w:tcW w:w="8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(expense)</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192"/>
        </w:trPr>
        <w:tc>
          <w:tcPr>
            <w:tcW w:w="82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Total other (expense)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(2,759 )</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(1,259 )</w:t>
            </w:r>
          </w:p>
        </w:tc>
        <w:tc>
          <w:tcPr>
            <w:tcW w:w="0" w:type="dxa"/>
            <w:vAlign w:val="bottom"/>
          </w:tcPr>
          <w:p>
            <w:pPr>
              <w:spacing w:after="0"/>
              <w:rPr>
                <w:sz w:val="1"/>
                <w:szCs w:val="1"/>
                <w:color w:val="auto"/>
              </w:rPr>
            </w:pPr>
          </w:p>
        </w:tc>
      </w:tr>
      <w:tr>
        <w:trPr>
          <w:trHeight w:val="232"/>
        </w:trPr>
        <w:tc>
          <w:tcPr>
            <w:tcW w:w="8220" w:type="dxa"/>
            <w:vAlign w:val="bottom"/>
            <w:tcBorders>
              <w:bottom w:val="single" w:sz="8" w:color="CFF0FC"/>
            </w:tcBorders>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Net loss and comprehensive loss</w:t>
            </w:r>
          </w:p>
        </w:tc>
        <w:tc>
          <w:tcPr>
            <w:tcW w:w="320" w:type="dxa"/>
            <w:vAlign w:val="bottom"/>
            <w:tcBorders>
              <w:bottom w:val="single" w:sz="8" w:color="auto"/>
            </w:tcBorders>
            <w:shd w:val="clear" w:color="auto" w:fill="CFF0FC"/>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(40,665 )</w:t>
            </w:r>
          </w:p>
        </w:tc>
        <w:tc>
          <w:tcPr>
            <w:tcW w:w="1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(34,843 )</w:t>
            </w:r>
          </w:p>
        </w:tc>
        <w:tc>
          <w:tcPr>
            <w:tcW w:w="0" w:type="dxa"/>
            <w:vAlign w:val="bottom"/>
          </w:tcPr>
          <w:p>
            <w:pPr>
              <w:spacing w:after="0"/>
              <w:rPr>
                <w:sz w:val="1"/>
                <w:szCs w:val="1"/>
                <w:color w:val="auto"/>
              </w:rPr>
            </w:pPr>
          </w:p>
        </w:tc>
      </w:tr>
      <w:tr>
        <w:trPr>
          <w:trHeight w:val="177"/>
        </w:trPr>
        <w:tc>
          <w:tcPr>
            <w:tcW w:w="82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loss per share, basic and diluted</w:t>
            </w:r>
          </w:p>
        </w:tc>
        <w:tc>
          <w:tcPr>
            <w:tcW w:w="320" w:type="dxa"/>
            <w:vAlign w:val="bottom"/>
          </w:tcPr>
          <w:p>
            <w:pPr>
              <w:jc w:val="right"/>
              <w:ind w:right="137"/>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(1.07 )</w:t>
            </w:r>
          </w:p>
        </w:tc>
        <w:tc>
          <w:tcPr>
            <w:tcW w:w="640" w:type="dxa"/>
            <w:vAlign w:val="bottom"/>
            <w:gridSpan w:val="2"/>
          </w:tcPr>
          <w:p>
            <w:pPr>
              <w:jc w:val="right"/>
              <w:ind w:right="337"/>
              <w:spacing w:after="0" w:line="177"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(0.96 )</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of common stock outstanding, basic</w:t>
            </w:r>
          </w:p>
        </w:tc>
        <w:tc>
          <w:tcPr>
            <w:tcW w:w="32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38,036,960</w:t>
            </w: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36,298,968</w:t>
            </w:r>
          </w:p>
        </w:tc>
        <w:tc>
          <w:tcPr>
            <w:tcW w:w="0" w:type="dxa"/>
            <w:vAlign w:val="bottom"/>
          </w:tcPr>
          <w:p>
            <w:pPr>
              <w:spacing w:after="0"/>
              <w:rPr>
                <w:sz w:val="1"/>
                <w:szCs w:val="1"/>
                <w:color w:val="auto"/>
              </w:rPr>
            </w:pPr>
          </w:p>
        </w:tc>
      </w:tr>
      <w:tr>
        <w:trPr>
          <w:trHeight w:val="219"/>
        </w:trPr>
        <w:tc>
          <w:tcPr>
            <w:tcW w:w="8220" w:type="dxa"/>
            <w:vAlign w:val="bottom"/>
            <w:tcBorders>
              <w:bottom w:val="single" w:sz="8" w:color="CFF0FC"/>
            </w:tcBorders>
            <w:shd w:val="clear" w:color="auto" w:fill="CFF0FC"/>
          </w:tcPr>
          <w:p>
            <w:pPr>
              <w:ind w:left="140"/>
              <w:spacing w:after="0" w:line="179" w:lineRule="exact"/>
              <w:rPr>
                <w:sz w:val="20"/>
                <w:szCs w:val="20"/>
                <w:color w:val="auto"/>
              </w:rPr>
            </w:pPr>
            <w:r>
              <w:rPr>
                <w:rFonts w:ascii="Times New Roman" w:cs="Times New Roman" w:eastAsia="Times New Roman" w:hAnsi="Times New Roman"/>
                <w:sz w:val="17"/>
                <w:szCs w:val="17"/>
                <w:color w:val="auto"/>
              </w:rPr>
              <w:t>and diluted</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-1719580</wp:posOffset>
            </wp:positionV>
            <wp:extent cx="869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-681355</wp:posOffset>
            </wp:positionV>
            <wp:extent cx="869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-411480</wp:posOffset>
            </wp:positionV>
            <wp:extent cx="869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-395605</wp:posOffset>
            </wp:positionV>
            <wp:extent cx="869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-22860</wp:posOffset>
            </wp:positionV>
            <wp:extent cx="869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-6985</wp:posOffset>
            </wp:positionV>
            <wp:extent cx="869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95" cy="762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ind w:left="4080"/>
        <w:spacing w:after="0"/>
        <w:rPr>
          <w:sz w:val="20"/>
          <w:szCs w:val="20"/>
          <w:color w:val="auto"/>
        </w:rPr>
      </w:pPr>
      <w:r>
        <w:rPr>
          <w:rFonts w:ascii="Times New Roman" w:cs="Times New Roman" w:eastAsia="Times New Roman" w:hAnsi="Times New Roman"/>
          <w:sz w:val="17"/>
          <w:szCs w:val="17"/>
          <w:b w:val="1"/>
          <w:bCs w:val="1"/>
          <w:color w:val="auto"/>
        </w:rPr>
        <w:t>PHATHOM PHARMACEUTICALS, INC.</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Statements of Stockholders’ Equity</w:t>
      </w:r>
    </w:p>
    <w:p>
      <w:pPr>
        <w:jc w:val="center"/>
        <w:spacing w:after="0" w:line="229" w:lineRule="auto"/>
        <w:rPr>
          <w:sz w:val="20"/>
          <w:szCs w:val="20"/>
          <w:color w:val="auto"/>
        </w:rPr>
      </w:pPr>
      <w:r>
        <w:rPr>
          <w:rFonts w:ascii="Times New Roman" w:cs="Times New Roman" w:eastAsia="Times New Roman" w:hAnsi="Times New Roman"/>
          <w:sz w:val="17"/>
          <w:szCs w:val="17"/>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2200" w:type="dxa"/>
            <w:vAlign w:val="bottom"/>
            <w:gridSpan w:val="3"/>
            <w:vMerge w:val="restart"/>
          </w:tcPr>
          <w:p>
            <w:pPr>
              <w:jc w:val="right"/>
              <w:ind w:right="44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8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4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3"/>
                <w:szCs w:val="13"/>
                <w:color w:val="auto"/>
              </w:rPr>
            </w:pPr>
          </w:p>
        </w:tc>
        <w:tc>
          <w:tcPr>
            <w:tcW w:w="78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2"/>
        </w:trPr>
        <w:tc>
          <w:tcPr>
            <w:tcW w:w="3980" w:type="dxa"/>
            <w:vAlign w:val="bottom"/>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Balance at December 31, 2021</w:t>
            </w:r>
          </w:p>
        </w:tc>
        <w:tc>
          <w:tcPr>
            <w:tcW w:w="114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30,511,226</w:t>
            </w:r>
          </w:p>
        </w:tc>
        <w:tc>
          <w:tcPr>
            <w:tcW w:w="18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ind w:right="702"/>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601,523</w:t>
            </w: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(529,370</w:t>
            </w:r>
          </w:p>
        </w:tc>
        <w:tc>
          <w:tcPr>
            <w:tcW w:w="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right w:val="single" w:sz="8" w:color="CFF0FC"/>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72,156</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Cashless exercise of common stock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7,359,285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401(k) matching contribution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16,756</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222,595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5,775</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 shares issued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0" w:type="dxa"/>
            <w:vAlign w:val="bottom"/>
          </w:tcPr>
          <w:p>
            <w:pPr>
              <w:spacing w:after="0"/>
              <w:rPr>
                <w:sz w:val="1"/>
                <w:szCs w:val="1"/>
                <w:color w:val="auto"/>
              </w:rPr>
            </w:pPr>
          </w:p>
        </w:tc>
      </w:tr>
      <w:tr>
        <w:trPr>
          <w:trHeight w:val="20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rPr>
              <w:t>(40,665 )</w:t>
            </w:r>
          </w:p>
        </w:tc>
        <w:tc>
          <w:tcPr>
            <w:tcW w:w="1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(40,665 )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8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Balance at March 31, 2022</w:t>
            </w:r>
          </w:p>
        </w:tc>
        <w:tc>
          <w:tcPr>
            <w:tcW w:w="1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38,149,813</w:t>
            </w:r>
          </w:p>
        </w:tc>
        <w:tc>
          <w:tcPr>
            <w:tcW w:w="180" w:type="dxa"/>
            <w:vAlign w:val="bottom"/>
          </w:tcPr>
          <w:p>
            <w:pPr>
              <w:spacing w:after="0"/>
              <w:rPr>
                <w:sz w:val="16"/>
                <w:szCs w:val="16"/>
                <w:color w:val="auto"/>
              </w:rPr>
            </w:pPr>
          </w:p>
        </w:tc>
        <w:tc>
          <w:tcPr>
            <w:tcW w:w="880" w:type="dxa"/>
            <w:vAlign w:val="bottom"/>
          </w:tcPr>
          <w:p>
            <w:pPr>
              <w:jc w:val="right"/>
              <w:ind w:right="702"/>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608,067</w:t>
            </w:r>
          </w:p>
        </w:tc>
        <w:tc>
          <w:tcPr>
            <w:tcW w:w="16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
              <w:spacing w:after="0" w:line="193" w:lineRule="exact"/>
              <w:rPr>
                <w:sz w:val="20"/>
                <w:szCs w:val="20"/>
                <w:color w:val="auto"/>
              </w:rPr>
            </w:pPr>
            <w:r>
              <w:rPr>
                <w:rFonts w:ascii="Times New Roman" w:cs="Times New Roman" w:eastAsia="Times New Roman" w:hAnsi="Times New Roman"/>
                <w:sz w:val="17"/>
                <w:szCs w:val="17"/>
                <w:color w:val="auto"/>
              </w:rPr>
              <w:t>(570,035 )</w:t>
            </w:r>
          </w:p>
        </w:tc>
        <w:tc>
          <w:tcPr>
            <w:tcW w:w="180" w:type="dxa"/>
            <w:vAlign w:val="bottom"/>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38,035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-158115</wp:posOffset>
            </wp:positionV>
            <wp:extent cx="393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370" cy="7620"/>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-158115</wp:posOffset>
            </wp:positionV>
            <wp:extent cx="393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37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-158115</wp:posOffset>
            </wp:positionV>
            <wp:extent cx="393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70" cy="762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-158115</wp:posOffset>
            </wp:positionV>
            <wp:extent cx="393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370" cy="7620"/>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-158115</wp:posOffset>
            </wp:positionV>
            <wp:extent cx="4762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7620"/>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-158115</wp:posOffset>
            </wp:positionV>
            <wp:extent cx="476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762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PHATHOM PHARMACEUTICALS, INC.</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Statements of Stockholders’ Equity</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80" w:type="dxa"/>
            <w:vAlign w:val="bottom"/>
          </w:tcPr>
          <w:p>
            <w:pPr>
              <w:spacing w:after="0"/>
              <w:rPr>
                <w:sz w:val="13"/>
                <w:szCs w:val="13"/>
                <w:color w:val="auto"/>
              </w:rPr>
            </w:pPr>
          </w:p>
        </w:tc>
        <w:tc>
          <w:tcPr>
            <w:tcW w:w="2200" w:type="dxa"/>
            <w:vAlign w:val="bottom"/>
            <w:gridSpan w:val="3"/>
            <w:vMerge w:val="restart"/>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220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21"/>
              <w:spacing w:after="0" w:line="147"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2"/>
        </w:trPr>
        <w:tc>
          <w:tcPr>
            <w:tcW w:w="3980" w:type="dxa"/>
            <w:vAlign w:val="bottom"/>
            <w:shd w:val="clear" w:color="auto" w:fill="CFF0FC"/>
          </w:tcPr>
          <w:p>
            <w:pPr>
              <w:ind w:left="20"/>
              <w:spacing w:after="0" w:line="193" w:lineRule="exact"/>
              <w:rPr>
                <w:sz w:val="20"/>
                <w:szCs w:val="20"/>
                <w:color w:val="auto"/>
              </w:rPr>
            </w:pPr>
            <w:r>
              <w:rPr>
                <w:rFonts w:ascii="Times New Roman" w:cs="Times New Roman" w:eastAsia="Times New Roman" w:hAnsi="Times New Roman"/>
                <w:sz w:val="17"/>
                <w:szCs w:val="17"/>
                <w:color w:val="auto"/>
              </w:rPr>
              <w:t>Balance at December 31, 2020</w:t>
            </w:r>
          </w:p>
        </w:tc>
        <w:tc>
          <w:tcPr>
            <w:tcW w:w="120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28,516,010</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705"/>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579,755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(385,487 )</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5"/>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194,271</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from 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36,998</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0" w:type="dxa"/>
            <w:vAlign w:val="bottom"/>
          </w:tcPr>
          <w:p>
            <w:pPr>
              <w:spacing w:after="0"/>
              <w:rPr>
                <w:sz w:val="1"/>
                <w:szCs w:val="1"/>
                <w:color w:val="auto"/>
              </w:rPr>
            </w:pPr>
          </w:p>
        </w:tc>
      </w:tr>
      <w:tr>
        <w:trPr>
          <w:trHeight w:val="20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401(k) matching contribution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8,356</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301,656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3,818</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 shares issued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13,490</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0"/>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(34,843 )</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(34,843 )</w:t>
            </w:r>
          </w:p>
        </w:tc>
        <w:tc>
          <w:tcPr>
            <w:tcW w:w="0" w:type="dxa"/>
            <w:vAlign w:val="bottom"/>
          </w:tcPr>
          <w:p>
            <w:pPr>
              <w:spacing w:after="0"/>
              <w:rPr>
                <w:sz w:val="1"/>
                <w:szCs w:val="1"/>
                <w:color w:val="auto"/>
              </w:rPr>
            </w:pPr>
          </w:p>
        </w:tc>
      </w:tr>
      <w:tr>
        <w:trPr>
          <w:trHeight w:val="192"/>
        </w:trPr>
        <w:tc>
          <w:tcPr>
            <w:tcW w:w="398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Balance at March 31, 2021</w:t>
            </w:r>
          </w:p>
        </w:tc>
        <w:tc>
          <w:tcPr>
            <w:tcW w:w="12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28,876,510</w:t>
            </w:r>
          </w:p>
        </w:tc>
        <w:tc>
          <w:tcPr>
            <w:tcW w:w="1000" w:type="dxa"/>
            <w:vAlign w:val="bottom"/>
            <w:gridSpan w:val="2"/>
          </w:tcPr>
          <w:p>
            <w:pPr>
              <w:jc w:val="right"/>
              <w:ind w:right="705"/>
              <w:spacing w:after="0" w:line="193"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584,666</w:t>
            </w: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(420,330 )</w:t>
            </w:r>
          </w:p>
        </w:tc>
        <w:tc>
          <w:tcPr>
            <w:tcW w:w="280" w:type="dxa"/>
            <w:vAlign w:val="bottom"/>
            <w:gridSpan w:val="2"/>
          </w:tcPr>
          <w:p>
            <w:pPr>
              <w:jc w:val="right"/>
              <w:ind w:right="5"/>
              <w:spacing w:after="0" w:line="19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164,339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-158115</wp:posOffset>
            </wp:positionV>
            <wp:extent cx="7937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-158115</wp:posOffset>
            </wp:positionV>
            <wp:extent cx="793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-158115</wp:posOffset>
            </wp:positionV>
            <wp:extent cx="793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-158115</wp:posOffset>
            </wp:positionV>
            <wp:extent cx="711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-158115</wp:posOffset>
            </wp:positionV>
            <wp:extent cx="711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 cy="762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PHATHOM PHARMACEUTICALS, INC.</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jc w:val="center"/>
        <w:spacing w:after="0" w:line="229" w:lineRule="auto"/>
        <w:rPr>
          <w:sz w:val="20"/>
          <w:szCs w:val="20"/>
          <w:color w:val="auto"/>
        </w:rPr>
      </w:pPr>
      <w:r>
        <w:rPr>
          <w:rFonts w:ascii="Times New Roman" w:cs="Times New Roman" w:eastAsia="Times New Roman" w:hAnsi="Times New Roman"/>
          <w:sz w:val="17"/>
          <w:szCs w:val="17"/>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18"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65"/>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(40,665 )</w:t>
            </w:r>
          </w:p>
        </w:tc>
        <w:tc>
          <w:tcPr>
            <w:tcW w:w="540" w:type="dxa"/>
            <w:vAlign w:val="bottom"/>
            <w:gridSpan w:val="2"/>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(34,843 )</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20" w:type="dxa"/>
            <w:vAlign w:val="bottom"/>
          </w:tcPr>
          <w:p>
            <w:pPr>
              <w:spacing w:after="0"/>
              <w:rPr>
                <w:sz w:val="16"/>
                <w:szCs w:val="16"/>
                <w:color w:val="auto"/>
              </w:rPr>
            </w:pP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5,775</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3,818</w:t>
            </w:r>
          </w:p>
        </w:tc>
        <w:tc>
          <w:tcPr>
            <w:tcW w:w="0" w:type="dxa"/>
            <w:vAlign w:val="bottom"/>
          </w:tcPr>
          <w:p>
            <w:pPr>
              <w:spacing w:after="0"/>
              <w:rPr>
                <w:sz w:val="1"/>
                <w:szCs w:val="1"/>
                <w:color w:val="auto"/>
              </w:rPr>
            </w:pPr>
          </w:p>
        </w:tc>
      </w:tr>
      <w:tr>
        <w:trPr>
          <w:trHeight w:val="187"/>
        </w:trPr>
        <w:tc>
          <w:tcPr>
            <w:tcW w:w="7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of PIK interest debt</w:t>
            </w:r>
          </w:p>
        </w:tc>
        <w:tc>
          <w:tcPr>
            <w:tcW w:w="1020" w:type="dxa"/>
            <w:vAlign w:val="bottom"/>
          </w:tcPr>
          <w:p>
            <w:pPr>
              <w:spacing w:after="0"/>
              <w:rPr>
                <w:sz w:val="16"/>
                <w:szCs w:val="16"/>
                <w:color w:val="auto"/>
              </w:rPr>
            </w:pP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848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518</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87"/>
        </w:trPr>
        <w:tc>
          <w:tcPr>
            <w:tcW w:w="7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020" w:type="dxa"/>
            <w:vAlign w:val="bottom"/>
          </w:tcPr>
          <w:p>
            <w:pPr>
              <w:spacing w:after="0"/>
              <w:rPr>
                <w:sz w:val="16"/>
                <w:szCs w:val="16"/>
                <w:color w:val="auto"/>
              </w:rPr>
            </w:pP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591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357</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720" w:type="dxa"/>
            <w:vAlign w:val="bottom"/>
          </w:tcPr>
          <w:p>
            <w:pPr>
              <w:ind w:left="340"/>
              <w:spacing w:after="0" w:line="150" w:lineRule="exact"/>
              <w:rPr>
                <w:sz w:val="20"/>
                <w:szCs w:val="20"/>
                <w:color w:val="auto"/>
              </w:rPr>
            </w:pPr>
            <w:r>
              <w:rPr>
                <w:rFonts w:ascii="Times New Roman" w:cs="Times New Roman" w:eastAsia="Times New Roman" w:hAnsi="Times New Roman"/>
                <w:sz w:val="15"/>
                <w:szCs w:val="15"/>
                <w:color w:val="auto"/>
              </w:rPr>
              <w:t>Prepaid expenses and other current assets (includes the change in related party</w:t>
            </w:r>
          </w:p>
        </w:tc>
        <w:tc>
          <w:tcPr>
            <w:tcW w:w="10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(4,384 )</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(965 )</w:t>
            </w:r>
          </w:p>
        </w:tc>
        <w:tc>
          <w:tcPr>
            <w:tcW w:w="0" w:type="dxa"/>
            <w:vAlign w:val="bottom"/>
          </w:tcPr>
          <w:p>
            <w:pPr>
              <w:spacing w:after="0"/>
              <w:rPr>
                <w:sz w:val="1"/>
                <w:szCs w:val="1"/>
                <w:color w:val="auto"/>
              </w:rPr>
            </w:pPr>
          </w:p>
        </w:tc>
      </w:tr>
      <w:tr>
        <w:trPr>
          <w:trHeight w:val="187"/>
        </w:trPr>
        <w:tc>
          <w:tcPr>
            <w:tcW w:w="772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amounts of $0, and $82, respectively)</w:t>
            </w:r>
          </w:p>
        </w:tc>
        <w:tc>
          <w:tcPr>
            <w:tcW w:w="10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720" w:type="dxa"/>
            <w:vAlign w:val="bottom"/>
            <w:shd w:val="clear" w:color="auto" w:fill="CFF0FC"/>
          </w:tcPr>
          <w:p>
            <w:pPr>
              <w:ind w:left="340"/>
              <w:spacing w:after="0" w:line="150" w:lineRule="exact"/>
              <w:rPr>
                <w:sz w:val="20"/>
                <w:szCs w:val="20"/>
                <w:color w:val="auto"/>
              </w:rPr>
            </w:pPr>
            <w:r>
              <w:rPr>
                <w:rFonts w:ascii="Times New Roman" w:cs="Times New Roman" w:eastAsia="Times New Roman" w:hAnsi="Times New Roman"/>
                <w:sz w:val="15"/>
                <w:szCs w:val="15"/>
                <w:color w:val="auto"/>
              </w:rPr>
              <w:t>Accounts payable and accrued expenses (includes the change in related party</w:t>
            </w:r>
          </w:p>
        </w:tc>
        <w:tc>
          <w:tcPr>
            <w:tcW w:w="102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(6,073 )</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(9,516 )</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amounts of $2,719, and $428, respectively)</w:t>
            </w:r>
          </w:p>
        </w:tc>
        <w:tc>
          <w:tcPr>
            <w:tcW w:w="10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clinical trial expenses</w:t>
            </w:r>
          </w:p>
        </w:tc>
        <w:tc>
          <w:tcPr>
            <w:tcW w:w="10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(9,129 )</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Accrued interest</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7"/>
        </w:trPr>
        <w:tc>
          <w:tcPr>
            <w:tcW w:w="77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Operating right-of-use asset and lease liabilities</w:t>
            </w:r>
          </w:p>
        </w:tc>
        <w:tc>
          <w:tcPr>
            <w:tcW w:w="1020" w:type="dxa"/>
            <w:vAlign w:val="bottom"/>
          </w:tcPr>
          <w:p>
            <w:pPr>
              <w:spacing w:after="0"/>
              <w:rPr>
                <w:sz w:val="16"/>
                <w:szCs w:val="16"/>
                <w:color w:val="auto"/>
              </w:rPr>
            </w:pP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Other long-term assets</w:t>
            </w:r>
          </w:p>
        </w:tc>
        <w:tc>
          <w:tcPr>
            <w:tcW w:w="10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(464 )</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(45,102 )</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(49,765 )</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paid for property, plant and equipment</w:t>
            </w:r>
          </w:p>
        </w:tc>
        <w:tc>
          <w:tcPr>
            <w:tcW w:w="10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issuance of common stock from exercise of stock options</w:t>
            </w:r>
          </w:p>
        </w:tc>
        <w:tc>
          <w:tcPr>
            <w:tcW w:w="10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412</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412</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10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(45,169 )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(49,522 )</w:t>
            </w: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183,259</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287,496</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020" w:type="dxa"/>
            <w:vAlign w:val="bottom"/>
            <w:tcBorders>
              <w:bottom w:val="single" w:sz="8" w:color="auto"/>
            </w:tcBorders>
            <w:shd w:val="clear" w:color="auto" w:fill="CFF0FC"/>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138,090</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237,974</w:t>
            </w: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paid</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1,388</w:t>
            </w:r>
          </w:p>
        </w:tc>
        <w:tc>
          <w:tcPr>
            <w:tcW w:w="540" w:type="dxa"/>
            <w:vAlign w:val="bottom"/>
            <w:gridSpan w:val="2"/>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906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purchases included in accounts payable and accrued liabilities</w:t>
            </w:r>
          </w:p>
        </w:tc>
        <w:tc>
          <w:tcPr>
            <w:tcW w:w="102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20" w:type="dxa"/>
            <w:vAlign w:val="bottom"/>
            <w:tcBorders>
              <w:bottom w:val="single" w:sz="8" w:color="CFF0FC"/>
            </w:tcBorders>
            <w:shd w:val="clear" w:color="auto" w:fill="CFF0FC"/>
          </w:tcPr>
          <w:p>
            <w:pPr>
              <w:ind w:left="20"/>
              <w:spacing w:after="0" w:line="165" w:lineRule="exact"/>
              <w:rPr>
                <w:sz w:val="20"/>
                <w:szCs w:val="20"/>
                <w:color w:val="auto"/>
              </w:rPr>
            </w:pPr>
            <w:r>
              <w:rPr>
                <w:rFonts w:ascii="Times New Roman" w:cs="Times New Roman" w:eastAsia="Times New Roman" w:hAnsi="Times New Roman"/>
                <w:sz w:val="15"/>
                <w:szCs w:val="15"/>
                <w:color w:val="auto"/>
              </w:rPr>
              <w:t>Settlement of ESPP liability in common stock</w:t>
            </w:r>
          </w:p>
        </w:tc>
        <w:tc>
          <w:tcPr>
            <w:tcW w:w="1020" w:type="dxa"/>
            <w:vAlign w:val="bottom"/>
            <w:tcBorders>
              <w:top w:val="single" w:sz="8" w:color="auto"/>
              <w:bottom w:val="single" w:sz="8" w:color="auto"/>
            </w:tcBorders>
            <w:shd w:val="clear" w:color="auto" w:fill="CFF0FC"/>
          </w:tcPr>
          <w:p>
            <w:pPr>
              <w:jc w:val="right"/>
              <w:ind w:right="866"/>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FF0FC"/>
          </w:tcPr>
          <w:p>
            <w:pPr>
              <w:jc w:val="right"/>
              <w:ind w:right="25"/>
              <w:spacing w:after="0" w:line="165" w:lineRule="exact"/>
              <w:rPr>
                <w:sz w:val="20"/>
                <w:szCs w:val="20"/>
                <w:color w:val="auto"/>
              </w:rPr>
            </w:pPr>
            <w:r>
              <w:rPr>
                <w:rFonts w:ascii="Times New Roman" w:cs="Times New Roman" w:eastAsia="Times New Roman" w:hAnsi="Times New Roman"/>
                <w:sz w:val="15"/>
                <w:szCs w:val="15"/>
                <w:color w:val="auto"/>
              </w:rPr>
              <w:t>515</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25"/>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FF0FC"/>
          </w:tcPr>
          <w:p>
            <w:pPr>
              <w:jc w:val="right"/>
              <w:ind w:right="5"/>
              <w:spacing w:after="0" w:line="165" w:lineRule="exact"/>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65"/>
        </w:trPr>
        <w:tc>
          <w:tcPr>
            <w:tcW w:w="772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Settlement of 401(k) liability in common stock</w:t>
            </w:r>
          </w:p>
        </w:tc>
        <w:tc>
          <w:tcPr>
            <w:tcW w:w="1020" w:type="dxa"/>
            <w:vAlign w:val="bottom"/>
          </w:tcPr>
          <w:p>
            <w:pPr>
              <w:jc w:val="right"/>
              <w:ind w:right="866"/>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25"/>
              <w:spacing w:after="0" w:line="165" w:lineRule="exact"/>
              <w:rPr>
                <w:sz w:val="20"/>
                <w:szCs w:val="20"/>
                <w:color w:val="auto"/>
              </w:rPr>
            </w:pPr>
            <w:r>
              <w:rPr>
                <w:rFonts w:ascii="Times New Roman" w:cs="Times New Roman" w:eastAsia="Times New Roman" w:hAnsi="Times New Roman"/>
                <w:sz w:val="15"/>
                <w:szCs w:val="15"/>
                <w:color w:val="auto"/>
              </w:rPr>
              <w:t>254</w:t>
            </w:r>
          </w:p>
        </w:tc>
        <w:tc>
          <w:tcPr>
            <w:tcW w:w="540" w:type="dxa"/>
            <w:vAlign w:val="bottom"/>
            <w:gridSpan w:val="2"/>
          </w:tcPr>
          <w:p>
            <w:pPr>
              <w:jc w:val="right"/>
              <w:ind w:right="225"/>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line="165" w:lineRule="exact"/>
              <w:rPr>
                <w:sz w:val="20"/>
                <w:szCs w:val="20"/>
                <w:color w:val="auto"/>
              </w:rPr>
            </w:pPr>
            <w:r>
              <w:rPr>
                <w:rFonts w:ascii="Times New Roman" w:cs="Times New Roman" w:eastAsia="Times New Roman" w:hAnsi="Times New Roman"/>
                <w:sz w:val="15"/>
                <w:szCs w:val="15"/>
                <w:color w:val="auto"/>
              </w:rPr>
              <w:t>323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5977255</wp:posOffset>
            </wp:positionH>
            <wp:positionV relativeFrom="paragraph">
              <wp:posOffset>-2433320</wp:posOffset>
            </wp:positionV>
            <wp:extent cx="1028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-1941830</wp:posOffset>
            </wp:positionV>
            <wp:extent cx="10287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-1463040</wp:posOffset>
            </wp:positionV>
            <wp:extent cx="128270" cy="160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600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-950595</wp:posOffset>
            </wp:positionV>
            <wp:extent cx="1028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-934720</wp:posOffset>
            </wp:positionV>
            <wp:extent cx="1028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-165735</wp:posOffset>
            </wp:positionV>
            <wp:extent cx="10287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-149860</wp:posOffset>
            </wp:positionV>
            <wp:extent cx="10287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762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7" w:name="page8"/>
    <w:bookmarkEnd w:id="7"/>
    <w:p>
      <w:pPr>
        <w:ind w:left="4100"/>
        <w:spacing w:after="0"/>
        <w:rPr>
          <w:sz w:val="20"/>
          <w:szCs w:val="20"/>
          <w:color w:val="auto"/>
        </w:rPr>
      </w:pPr>
      <w:r>
        <w:rPr>
          <w:rFonts w:ascii="Times New Roman" w:cs="Times New Roman" w:eastAsia="Times New Roman" w:hAnsi="Times New Roman"/>
          <w:sz w:val="17"/>
          <w:szCs w:val="17"/>
          <w:b w:val="1"/>
          <w:bCs w:val="1"/>
          <w:color w:val="auto"/>
        </w:rPr>
        <w:t>PHATHOM PHARMACEUTICALS, INC.</w:t>
      </w:r>
    </w:p>
    <w:p>
      <w:pPr>
        <w:spacing w:after="0" w:line="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Notes to Unaudited Financial Statements</w:t>
      </w:r>
    </w:p>
    <w:p>
      <w:pPr>
        <w:spacing w:after="0" w:line="134" w:lineRule="exact"/>
        <w:rPr>
          <w:sz w:val="20"/>
          <w:szCs w:val="20"/>
          <w:color w:val="auto"/>
        </w:rPr>
      </w:pPr>
    </w:p>
    <w:p>
      <w:pPr>
        <w:ind w:right="5080"/>
        <w:spacing w:after="0" w:line="446" w:lineRule="auto"/>
        <w:rPr>
          <w:sz w:val="20"/>
          <w:szCs w:val="20"/>
          <w:color w:val="auto"/>
        </w:rPr>
      </w:pPr>
      <w:r>
        <w:rPr>
          <w:rFonts w:ascii="Times New Roman" w:cs="Times New Roman" w:eastAsia="Times New Roman" w:hAnsi="Times New Roman"/>
          <w:sz w:val="17"/>
          <w:szCs w:val="17"/>
          <w:b w:val="1"/>
          <w:bCs w:val="1"/>
          <w:color w:val="auto"/>
        </w:rPr>
        <w:t xml:space="preserve">1. Organization, Basis of Presentation and Summary of Significant Accounting Policies </w:t>
      </w:r>
      <w:r>
        <w:rPr>
          <w:rFonts w:ascii="Times New Roman" w:cs="Times New Roman" w:eastAsia="Times New Roman" w:hAnsi="Times New Roman"/>
          <w:sz w:val="17"/>
          <w:szCs w:val="17"/>
          <w:b w:val="1"/>
          <w:bCs w:val="1"/>
          <w:i w:val="1"/>
          <w:iCs w:val="1"/>
          <w:color w:val="auto"/>
        </w:rPr>
        <w:t>Organization and Basis of Presentation</w:t>
      </w:r>
    </w:p>
    <w:p>
      <w:pPr>
        <w:spacing w:after="0" w:line="2" w:lineRule="exact"/>
        <w:rPr>
          <w:sz w:val="20"/>
          <w:szCs w:val="20"/>
          <w:color w:val="auto"/>
        </w:rPr>
      </w:pPr>
    </w:p>
    <w:p>
      <w:pPr>
        <w:ind w:right="180" w:firstLine="510"/>
        <w:spacing w:after="0" w:line="242" w:lineRule="auto"/>
        <w:rPr>
          <w:sz w:val="20"/>
          <w:szCs w:val="20"/>
          <w:color w:val="auto"/>
        </w:rPr>
      </w:pPr>
      <w:r>
        <w:rPr>
          <w:rFonts w:ascii="Times New Roman" w:cs="Times New Roman" w:eastAsia="Times New Roman" w:hAnsi="Times New Roman"/>
          <w:sz w:val="17"/>
          <w:szCs w:val="17"/>
          <w:color w:val="auto"/>
        </w:rPr>
        <w:t>Phathom Pharmaceuticals, Inc., or the Company or Phathom, was incorporated in the state of Delaware in January 2018. The Company is a biopharmaceutical company focused on developing and commercializing novel treatments for gastrointestinal diseases. The Company’s financial statements are prepared in accordance with U.S. generally accepted accounting principles, or GAAP.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71" w:lineRule="exact"/>
        <w:rPr>
          <w:sz w:val="20"/>
          <w:szCs w:val="20"/>
          <w:color w:val="auto"/>
        </w:rPr>
      </w:pPr>
    </w:p>
    <w:p>
      <w:pPr>
        <w:ind w:firstLine="510"/>
        <w:spacing w:after="0" w:line="238" w:lineRule="auto"/>
        <w:rPr>
          <w:sz w:val="20"/>
          <w:szCs w:val="20"/>
          <w:color w:val="auto"/>
        </w:rPr>
      </w:pPr>
      <w:r>
        <w:rPr>
          <w:rFonts w:ascii="Times New Roman" w:cs="Times New Roman" w:eastAsia="Times New Roman" w:hAnsi="Times New Roman"/>
          <w:sz w:val="17"/>
          <w:szCs w:val="17"/>
          <w:color w:val="auto"/>
        </w:rPr>
        <w:t>From inception to March 31, 2022, the Company has devoted substantially all of its efforts to organizing and staffing the Company, business planning, raising capital, in-licensing its initial product candidate, vonoprazan, meeting with regulatory authorities, managing the clinical trials of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additional net losses in the future as it continues to develop and prepares for commercialization of vonoprazan. From inception to March 31, 2022, the Company has funded its operations through the issuance of convertible promissory notes, commercial bank debt, the sale of 10,997,630 shares of common stock for net proceeds of approximately $191.5 million in its 2019 IPO, and the sale of 2,250,000 shares of common stock for net proceeds of approximately $88.6 million in its December 2020 follow-on public offering.</w:t>
      </w:r>
    </w:p>
    <w:p>
      <w:pPr>
        <w:spacing w:after="0" w:line="135" w:lineRule="exact"/>
        <w:rPr>
          <w:sz w:val="20"/>
          <w:szCs w:val="20"/>
          <w:color w:val="auto"/>
        </w:rPr>
      </w:pPr>
    </w:p>
    <w:p>
      <w:pPr>
        <w:ind w:right="180" w:firstLine="510"/>
        <w:spacing w:after="0" w:line="241"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46" w:lineRule="exact"/>
        <w:rPr>
          <w:sz w:val="20"/>
          <w:szCs w:val="20"/>
          <w:color w:val="auto"/>
        </w:rPr>
      </w:pPr>
    </w:p>
    <w:p>
      <w:pPr>
        <w:ind w:right="80" w:firstLine="510"/>
        <w:spacing w:after="0" w:line="242" w:lineRule="auto"/>
        <w:rPr>
          <w:sz w:val="20"/>
          <w:szCs w:val="20"/>
          <w:color w:val="auto"/>
        </w:rPr>
      </w:pPr>
      <w:r>
        <w:rPr>
          <w:rFonts w:ascii="Times New Roman" w:cs="Times New Roman" w:eastAsia="Times New Roman" w:hAnsi="Times New Roman"/>
          <w:sz w:val="17"/>
          <w:szCs w:val="17"/>
          <w:color w:val="auto"/>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8" w:lineRule="exact"/>
        <w:rPr>
          <w:sz w:val="20"/>
          <w:szCs w:val="20"/>
          <w:color w:val="auto"/>
        </w:rPr>
      </w:pPr>
    </w:p>
    <w:p>
      <w:pPr>
        <w:ind w:right="120" w:firstLine="510"/>
        <w:spacing w:after="0" w:line="243" w:lineRule="auto"/>
        <w:rPr>
          <w:sz w:val="20"/>
          <w:szCs w:val="20"/>
          <w:color w:val="auto"/>
        </w:rPr>
      </w:pPr>
      <w:r>
        <w:rPr>
          <w:rFonts w:ascii="Times New Roman" w:cs="Times New Roman" w:eastAsia="Times New Roman" w:hAnsi="Times New Roman"/>
          <w:sz w:val="17"/>
          <w:szCs w:val="17"/>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various equity instruments. Although these estimates are based on the Company’s knowledge of current events and actions it may undertake in the future, actual results could differ materially from those estimates and assumptions.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71" w:lineRule="exact"/>
        <w:rPr>
          <w:sz w:val="20"/>
          <w:szCs w:val="20"/>
          <w:color w:val="auto"/>
        </w:rPr>
      </w:pPr>
    </w:p>
    <w:p>
      <w:pPr>
        <w:jc w:val="both"/>
        <w:ind w:firstLine="510"/>
        <w:spacing w:after="0"/>
        <w:rPr>
          <w:sz w:val="20"/>
          <w:szCs w:val="20"/>
          <w:color w:val="auto"/>
        </w:rPr>
      </w:pPr>
      <w:r>
        <w:rPr>
          <w:rFonts w:ascii="Times New Roman" w:cs="Times New Roman" w:eastAsia="Times New Roman" w:hAnsi="Times New Roman"/>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Level 3: Unobservable inputs in which there is little or no market data, which require the reporting entity to develop its own assumptions.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 w:name="page9"/>
    <w:bookmarkEnd w:id="8"/>
    <w:p>
      <w:pPr>
        <w:ind w:right="440" w:firstLine="510"/>
        <w:spacing w:after="0" w:line="255" w:lineRule="auto"/>
        <w:rPr>
          <w:sz w:val="20"/>
          <w:szCs w:val="20"/>
          <w:color w:val="auto"/>
        </w:rPr>
      </w:pPr>
      <w:r>
        <w:rPr>
          <w:rFonts w:ascii="Times New Roman" w:cs="Times New Roman" w:eastAsia="Times New Roman" w:hAnsi="Times New Roman"/>
          <w:sz w:val="17"/>
          <w:szCs w:val="17"/>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w:t>
      </w:r>
    </w:p>
    <w:p>
      <w:pPr>
        <w:spacing w:after="0" w:line="134"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8" w:lineRule="exact"/>
        <w:rPr>
          <w:sz w:val="20"/>
          <w:szCs w:val="20"/>
          <w:color w:val="auto"/>
        </w:rPr>
      </w:pPr>
    </w:p>
    <w:p>
      <w:pPr>
        <w:ind w:right="360" w:firstLine="510"/>
        <w:spacing w:after="0" w:line="270" w:lineRule="auto"/>
        <w:rPr>
          <w:sz w:val="20"/>
          <w:szCs w:val="20"/>
          <w:color w:val="auto"/>
        </w:rPr>
      </w:pPr>
      <w:r>
        <w:rPr>
          <w:rFonts w:ascii="Times New Roman" w:cs="Times New Roman" w:eastAsia="Times New Roman" w:hAnsi="Times New Roman"/>
          <w:sz w:val="17"/>
          <w:szCs w:val="17"/>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71" w:lineRule="exact"/>
        <w:rPr>
          <w:sz w:val="20"/>
          <w:szCs w:val="20"/>
          <w:color w:val="auto"/>
        </w:rPr>
      </w:pPr>
    </w:p>
    <w:p>
      <w:pPr>
        <w:ind w:right="200" w:firstLine="510"/>
        <w:spacing w:after="0" w:line="24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171" w:lineRule="exact"/>
        <w:rPr>
          <w:sz w:val="20"/>
          <w:szCs w:val="20"/>
          <w:color w:val="auto"/>
        </w:rPr>
      </w:pPr>
    </w:p>
    <w:p>
      <w:pPr>
        <w:ind w:right="160" w:firstLine="510"/>
        <w:spacing w:after="0"/>
        <w:rPr>
          <w:sz w:val="20"/>
          <w:szCs w:val="20"/>
          <w:color w:val="auto"/>
        </w:rPr>
      </w:pPr>
      <w:r>
        <w:rPr>
          <w:rFonts w:ascii="Times New Roman" w:cs="Times New Roman" w:eastAsia="Times New Roman" w:hAnsi="Times New Roman"/>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71" w:lineRule="exact"/>
        <w:rPr>
          <w:sz w:val="20"/>
          <w:szCs w:val="20"/>
          <w:color w:val="auto"/>
        </w:rPr>
      </w:pPr>
    </w:p>
    <w:p>
      <w:pPr>
        <w:ind w:firstLine="510"/>
        <w:spacing w:after="0" w:line="243" w:lineRule="auto"/>
        <w:rPr>
          <w:sz w:val="20"/>
          <w:szCs w:val="20"/>
          <w:color w:val="auto"/>
        </w:rPr>
      </w:pPr>
      <w:r>
        <w:rPr>
          <w:rFonts w:ascii="Times New Roman" w:cs="Times New Roman" w:eastAsia="Times New Roman" w:hAnsi="Times New Roman"/>
          <w:sz w:val="17"/>
          <w:szCs w:val="17"/>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March 31, 2022.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 In addition, the Company elected the short-term lease exception for leases with an initial term of one year or less. Consequently, such leases are not recorded on the Company's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 and Accruals</w:t>
      </w:r>
    </w:p>
    <w:p>
      <w:pPr>
        <w:spacing w:after="0" w:line="171" w:lineRule="exact"/>
        <w:rPr>
          <w:sz w:val="20"/>
          <w:szCs w:val="20"/>
          <w:color w:val="auto"/>
        </w:rPr>
      </w:pPr>
    </w:p>
    <w:p>
      <w:pPr>
        <w:ind w:right="380" w:firstLine="510"/>
        <w:spacing w:after="0" w:line="243" w:lineRule="auto"/>
        <w:rPr>
          <w:sz w:val="20"/>
          <w:szCs w:val="20"/>
          <w:color w:val="auto"/>
        </w:rPr>
      </w:pPr>
      <w:r>
        <w:rPr>
          <w:rFonts w:ascii="Times New Roman" w:cs="Times New Roman" w:eastAsia="Times New Roman" w:hAnsi="Times New Roman"/>
          <w:sz w:val="17"/>
          <w:szCs w:val="17"/>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45" w:lineRule="exact"/>
        <w:rPr>
          <w:sz w:val="20"/>
          <w:szCs w:val="20"/>
          <w:color w:val="auto"/>
        </w:rPr>
      </w:pPr>
    </w:p>
    <w:p>
      <w:pPr>
        <w:ind w:firstLine="510"/>
        <w:spacing w:after="0" w:line="238" w:lineRule="auto"/>
        <w:rPr>
          <w:sz w:val="20"/>
          <w:szCs w:val="20"/>
          <w:color w:val="auto"/>
        </w:rPr>
      </w:pPr>
      <w:r>
        <w:rPr>
          <w:rFonts w:ascii="Times New Roman" w:cs="Times New Roman" w:eastAsia="Times New Roman" w:hAnsi="Times New Roman"/>
          <w:sz w:val="17"/>
          <w:szCs w:val="17"/>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In-Process Research and Development</w:t>
      </w:r>
    </w:p>
    <w:p>
      <w:pPr>
        <w:spacing w:after="0" w:line="158" w:lineRule="exact"/>
        <w:rPr>
          <w:sz w:val="20"/>
          <w:szCs w:val="20"/>
          <w:color w:val="auto"/>
        </w:rPr>
      </w:pPr>
    </w:p>
    <w:p>
      <w:pPr>
        <w:ind w:right="60" w:firstLine="510"/>
        <w:spacing w:after="0" w:line="243" w:lineRule="auto"/>
        <w:rPr>
          <w:sz w:val="20"/>
          <w:szCs w:val="20"/>
          <w:color w:val="auto"/>
        </w:rPr>
      </w:pPr>
      <w:r>
        <w:rPr>
          <w:rFonts w:ascii="Times New Roman" w:cs="Times New Roman" w:eastAsia="Times New Roman" w:hAnsi="Times New Roman"/>
          <w:sz w:val="17"/>
          <w:szCs w:val="17"/>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71"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7"/>
          <w:szCs w:val="17"/>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8" w:lineRule="exact"/>
        <w:rPr>
          <w:sz w:val="20"/>
          <w:szCs w:val="20"/>
          <w:color w:val="auto"/>
        </w:rPr>
      </w:pPr>
    </w:p>
    <w:p>
      <w:pPr>
        <w:ind w:right="260" w:firstLine="510"/>
        <w:spacing w:after="0" w:line="270" w:lineRule="auto"/>
        <w:rPr>
          <w:sz w:val="20"/>
          <w:szCs w:val="20"/>
          <w:color w:val="auto"/>
        </w:rPr>
      </w:pPr>
      <w:r>
        <w:rPr>
          <w:rFonts w:ascii="Times New Roman" w:cs="Times New Roman" w:eastAsia="Times New Roman" w:hAnsi="Times New Roman"/>
          <w:sz w:val="17"/>
          <w:szCs w:val="17"/>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0" w:name="page11"/>
    <w:bookmarkEnd w:id="10"/>
    <w:p>
      <w:pPr>
        <w:jc w:val="both"/>
        <w:ind w:right="40" w:firstLine="510"/>
        <w:spacing w:after="0" w:line="242" w:lineRule="auto"/>
        <w:rPr>
          <w:sz w:val="20"/>
          <w:szCs w:val="20"/>
          <w:color w:val="auto"/>
        </w:rPr>
      </w:pPr>
      <w:r>
        <w:rPr>
          <w:rFonts w:ascii="Times New Roman" w:cs="Times New Roman" w:eastAsia="Times New Roman" w:hAnsi="Times New Roman"/>
          <w:sz w:val="17"/>
          <w:szCs w:val="17"/>
          <w:color w:val="auto"/>
        </w:rPr>
        <w:t>The Company also maintains an employee stock purchase program, or ESPP, under which it may issue shares. The Company estimates the fair value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71" w:lineRule="exact"/>
        <w:rPr>
          <w:sz w:val="20"/>
          <w:szCs w:val="20"/>
          <w:color w:val="auto"/>
        </w:rPr>
      </w:pPr>
    </w:p>
    <w:p>
      <w:pPr>
        <w:ind w:firstLine="510"/>
        <w:spacing w:after="0"/>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6" w:lineRule="exact"/>
        <w:rPr>
          <w:sz w:val="20"/>
          <w:szCs w:val="20"/>
          <w:color w:val="auto"/>
        </w:rPr>
      </w:pPr>
    </w:p>
    <w:p>
      <w:pPr>
        <w:ind w:right="80" w:firstLine="510"/>
        <w:spacing w:after="0"/>
        <w:rPr>
          <w:sz w:val="20"/>
          <w:szCs w:val="20"/>
          <w:color w:val="auto"/>
        </w:rPr>
      </w:pPr>
      <w:r>
        <w:rPr>
          <w:rFonts w:ascii="Times New Roman" w:cs="Times New Roman" w:eastAsia="Times New Roman" w:hAnsi="Times New Roman"/>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34" w:lineRule="exact"/>
        <w:rPr>
          <w:sz w:val="20"/>
          <w:szCs w:val="20"/>
          <w:color w:val="auto"/>
        </w:rPr>
      </w:pPr>
    </w:p>
    <w:p>
      <w:pPr>
        <w:ind w:firstLine="510"/>
        <w:spacing w:after="0" w:line="243" w:lineRule="auto"/>
        <w:rPr>
          <w:sz w:val="20"/>
          <w:szCs w:val="20"/>
          <w:color w:val="auto"/>
        </w:rPr>
      </w:pPr>
      <w:r>
        <w:rPr>
          <w:rFonts w:ascii="Times New Roman" w:cs="Times New Roman" w:eastAsia="Times New Roman" w:hAnsi="Times New Roman"/>
          <w:sz w:val="17"/>
          <w:szCs w:val="17"/>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34"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7"/>
          <w:szCs w:val="17"/>
          <w:color w:val="auto"/>
        </w:rPr>
        <w:t>Beginning in 2022, the Tax Cuts and Jobs Act, or TCJA, eliminates the option to deduct research and development expenditures currently and requires taxpayers to amortize domestic and foreign research and development expenditures over 5 years and 15 years, respectively. The requirement did not impact cash from operations in the current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58" w:lineRule="exact"/>
        <w:rPr>
          <w:sz w:val="20"/>
          <w:szCs w:val="20"/>
          <w:color w:val="auto"/>
        </w:rPr>
      </w:pPr>
    </w:p>
    <w:p>
      <w:pPr>
        <w:ind w:right="580" w:firstLine="510"/>
        <w:spacing w:after="0" w:line="270" w:lineRule="auto"/>
        <w:rPr>
          <w:sz w:val="20"/>
          <w:szCs w:val="20"/>
          <w:color w:val="auto"/>
        </w:rPr>
      </w:pPr>
      <w:r>
        <w:rPr>
          <w:rFonts w:ascii="Times New Roman" w:cs="Times New Roman" w:eastAsia="Times New Roman" w:hAnsi="Times New Roman"/>
          <w:sz w:val="17"/>
          <w:szCs w:val="17"/>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71" w:lineRule="exact"/>
        <w:rPr>
          <w:sz w:val="20"/>
          <w:szCs w:val="20"/>
          <w:color w:val="auto"/>
        </w:rPr>
      </w:pPr>
    </w:p>
    <w:p>
      <w:pPr>
        <w:ind w:right="80" w:firstLine="510"/>
        <w:spacing w:after="0" w:line="242"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7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6"/>
          <w:szCs w:val="16"/>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until its exercise because the Takeda Warrant was exercisable for little consideration. As of March 31, 2022, all Takeda Warrants has been exercised and no Takeda Warrants remain exercisable. For the three months ended March 31, 2022 and 2021, the Company has excluded weighted-average unvested shares of 1,022,885 and 2,582,666, respectively,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There were no recently adopted accounting standards which would have a material impact on the Company's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71" w:lineRule="exact"/>
        <w:rPr>
          <w:sz w:val="20"/>
          <w:szCs w:val="20"/>
          <w:color w:val="auto"/>
        </w:rPr>
      </w:pPr>
    </w:p>
    <w:p>
      <w:pPr>
        <w:ind w:right="20" w:firstLine="510"/>
        <w:spacing w:after="0" w:line="242" w:lineRule="auto"/>
        <w:rPr>
          <w:sz w:val="20"/>
          <w:szCs w:val="20"/>
          <w:color w:val="auto"/>
        </w:rPr>
      </w:pPr>
      <w:r>
        <w:rPr>
          <w:rFonts w:ascii="Times New Roman" w:cs="Times New Roman" w:eastAsia="Times New Roman" w:hAnsi="Times New Roman"/>
          <w:sz w:val="17"/>
          <w:szCs w:val="17"/>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2021. There were no new material accounting standards issued in the first quarter of 2022 that impacted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Balance Sheet Details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Property, plant and equipment, net, consist of the following (in thousands):</w:t>
      </w:r>
    </w:p>
    <w:p>
      <w:pPr>
        <w:spacing w:after="0" w:line="36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jc w:val="right"/>
              <w:ind w:right="72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jc w:val="right"/>
              <w:ind w:right="64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4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466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Computer equipment and software</w:t>
            </w:r>
          </w:p>
        </w:tc>
        <w:tc>
          <w:tcPr>
            <w:tcW w:w="400" w:type="dxa"/>
            <w:vAlign w:val="bottom"/>
            <w:shd w:val="clear" w:color="auto" w:fill="CFF0FC"/>
          </w:tcPr>
          <w:p>
            <w:pPr>
              <w:jc w:val="right"/>
              <w:ind w:right="2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FF0FC"/>
          </w:tcPr>
          <w:p>
            <w:pPr>
              <w:jc w:val="right"/>
              <w:ind w:right="21"/>
              <w:spacing w:after="0" w:line="193" w:lineRule="exact"/>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FF0FC"/>
          </w:tcPr>
          <w:p>
            <w:pPr>
              <w:jc w:val="right"/>
              <w:ind w:right="41"/>
              <w:spacing w:after="0" w:line="193" w:lineRule="exact"/>
              <w:rPr>
                <w:sz w:val="20"/>
                <w:szCs w:val="20"/>
                <w:color w:val="auto"/>
              </w:rPr>
            </w:pPr>
            <w:r>
              <w:rPr>
                <w:rFonts w:ascii="Times New Roman" w:cs="Times New Roman" w:eastAsia="Times New Roman" w:hAnsi="Times New Roman"/>
                <w:sz w:val="17"/>
                <w:szCs w:val="17"/>
                <w:color w:val="auto"/>
              </w:rPr>
              <w:t>646</w:t>
            </w:r>
          </w:p>
        </w:tc>
      </w:tr>
      <w:tr>
        <w:trPr>
          <w:trHeight w:val="20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00" w:type="dxa"/>
            <w:vAlign w:val="bottom"/>
          </w:tcPr>
          <w:p>
            <w:pPr>
              <w:spacing w:after="0"/>
              <w:rPr>
                <w:sz w:val="17"/>
                <w:szCs w:val="17"/>
                <w:color w:val="auto"/>
              </w:rPr>
            </w:pPr>
          </w:p>
        </w:tc>
        <w:tc>
          <w:tcPr>
            <w:tcW w:w="16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780</w:t>
            </w:r>
          </w:p>
        </w:tc>
      </w:tr>
      <w:tr>
        <w:trPr>
          <w:trHeight w:val="200"/>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76</w:t>
            </w:r>
          </w:p>
        </w:tc>
      </w:tr>
      <w:tr>
        <w:trPr>
          <w:trHeight w:val="192"/>
        </w:trPr>
        <w:tc>
          <w:tcPr>
            <w:tcW w:w="4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jc w:val="right"/>
              <w:ind w:right="21"/>
              <w:spacing w:after="0" w:line="193" w:lineRule="exact"/>
              <w:rPr>
                <w:sz w:val="20"/>
                <w:szCs w:val="20"/>
                <w:color w:val="auto"/>
              </w:rPr>
            </w:pPr>
            <w:r>
              <w:rPr>
                <w:rFonts w:ascii="Times New Roman" w:cs="Times New Roman" w:eastAsia="Times New Roman" w:hAnsi="Times New Roman"/>
                <w:sz w:val="17"/>
                <w:szCs w:val="17"/>
                <w:color w:val="auto"/>
              </w:rPr>
              <w:t>1,688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jc w:val="right"/>
              <w:ind w:right="41"/>
              <w:spacing w:after="0" w:line="193" w:lineRule="exact"/>
              <w:rPr>
                <w:sz w:val="20"/>
                <w:szCs w:val="20"/>
                <w:color w:val="auto"/>
              </w:rPr>
            </w:pPr>
            <w:r>
              <w:rPr>
                <w:rFonts w:ascii="Times New Roman" w:cs="Times New Roman" w:eastAsia="Times New Roman" w:hAnsi="Times New Roman"/>
                <w:sz w:val="17"/>
                <w:szCs w:val="17"/>
                <w:color w:val="auto"/>
              </w:rPr>
              <w:t>1,502</w:t>
            </w:r>
          </w:p>
        </w:tc>
      </w:tr>
      <w:tr>
        <w:trPr>
          <w:trHeight w:val="200"/>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4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(980 )</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(852 )</w:t>
            </w:r>
          </w:p>
        </w:tc>
      </w:tr>
      <w:tr>
        <w:trPr>
          <w:trHeight w:val="192"/>
        </w:trPr>
        <w:tc>
          <w:tcPr>
            <w:tcW w:w="46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property, plant and equipment, net</w:t>
            </w:r>
          </w:p>
        </w:tc>
        <w:tc>
          <w:tcPr>
            <w:tcW w:w="400" w:type="dxa"/>
            <w:vAlign w:val="bottom"/>
          </w:tcPr>
          <w:p>
            <w:pPr>
              <w:jc w:val="right"/>
              <w:ind w:right="2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21"/>
              <w:spacing w:after="0" w:line="193" w:lineRule="exact"/>
              <w:rPr>
                <w:sz w:val="20"/>
                <w:szCs w:val="20"/>
                <w:color w:val="auto"/>
              </w:rPr>
            </w:pPr>
            <w:r>
              <w:rPr>
                <w:rFonts w:ascii="Times New Roman" w:cs="Times New Roman" w:eastAsia="Times New Roman" w:hAnsi="Times New Roman"/>
                <w:sz w:val="17"/>
                <w:szCs w:val="17"/>
                <w:color w:val="auto"/>
              </w:rPr>
              <w:t>708</w:t>
            </w:r>
          </w:p>
        </w:tc>
        <w:tc>
          <w:tcPr>
            <w:tcW w:w="480" w:type="dxa"/>
            <w:vAlign w:val="bottom"/>
            <w:gridSpan w:val="2"/>
          </w:tcPr>
          <w:p>
            <w:pPr>
              <w:jc w:val="right"/>
              <w:ind w:right="17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41"/>
              <w:spacing w:after="0" w:line="193" w:lineRule="exact"/>
              <w:rPr>
                <w:sz w:val="20"/>
                <w:szCs w:val="20"/>
                <w:color w:val="auto"/>
              </w:rPr>
            </w:pPr>
            <w:r>
              <w:rPr>
                <w:rFonts w:ascii="Times New Roman" w:cs="Times New Roman" w:eastAsia="Times New Roman" w:hAnsi="Times New Roman"/>
                <w:sz w:val="17"/>
                <w:szCs w:val="17"/>
                <w:color w:val="auto"/>
              </w:rPr>
              <w:t>650</w:t>
            </w:r>
          </w:p>
        </w:tc>
      </w:tr>
      <w:tr>
        <w:trPr>
          <w:trHeight w:val="20"/>
        </w:trPr>
        <w:tc>
          <w:tcPr>
            <w:tcW w:w="4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5010150</wp:posOffset>
            </wp:positionH>
            <wp:positionV relativeFrom="paragraph">
              <wp:posOffset>-419735</wp:posOffset>
            </wp:positionV>
            <wp:extent cx="711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-158115</wp:posOffset>
            </wp:positionV>
            <wp:extent cx="711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 cy="7620"/>
                    </a:xfrm>
                    <a:prstGeom prst="rect">
                      <a:avLst/>
                    </a:prstGeom>
                    <a:noFill/>
                  </pic:spPr>
                </pic:pic>
              </a:graphicData>
            </a:graphic>
          </wp:anchor>
        </w:drawing>
      </w:r>
    </w:p>
    <w:p>
      <w:pPr>
        <w:spacing w:after="0" w:line="126" w:lineRule="exact"/>
        <w:rPr>
          <w:sz w:val="20"/>
          <w:szCs w:val="20"/>
          <w:color w:val="auto"/>
        </w:rPr>
      </w:pPr>
    </w:p>
    <w:p>
      <w:pPr>
        <w:ind w:right="440" w:firstLine="510"/>
        <w:spacing w:after="0" w:line="270" w:lineRule="auto"/>
        <w:rPr>
          <w:sz w:val="20"/>
          <w:szCs w:val="20"/>
          <w:color w:val="auto"/>
        </w:rPr>
      </w:pPr>
      <w:r>
        <w:rPr>
          <w:rFonts w:ascii="Times New Roman" w:cs="Times New Roman" w:eastAsia="Times New Roman" w:hAnsi="Times New Roman"/>
          <w:sz w:val="17"/>
          <w:szCs w:val="17"/>
          <w:color w:val="auto"/>
        </w:rPr>
        <w:t>Depreciation expense for the three months ended March 31, 2022 and 2021 was approximately $128,000 and $125,000, respectively. No property, plant or equipment was disposed of during the three months ended March 31, 2022 or the year ended December 31,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Accrued expenses consist of the following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46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4660" w:type="dxa"/>
            <w:vAlign w:val="bottom"/>
          </w:tcPr>
          <w:p>
            <w:pPr>
              <w:spacing w:after="0"/>
              <w:rPr>
                <w:sz w:val="14"/>
                <w:szCs w:val="14"/>
                <w:color w:val="auto"/>
              </w:rPr>
            </w:pPr>
          </w:p>
        </w:tc>
        <w:tc>
          <w:tcPr>
            <w:tcW w:w="14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466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Accrued research and development expenses</w:t>
            </w:r>
          </w:p>
        </w:tc>
        <w:tc>
          <w:tcPr>
            <w:tcW w:w="1460" w:type="dxa"/>
            <w:vAlign w:val="bottom"/>
            <w:shd w:val="clear" w:color="auto" w:fill="CFF0FC"/>
          </w:tcPr>
          <w:p>
            <w:pPr>
              <w:jc w:val="right"/>
              <w:ind w:right="1285"/>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2,845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FF0FC"/>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rPr>
              <w:t>3,165</w:t>
            </w:r>
          </w:p>
        </w:tc>
      </w:tr>
      <w:tr>
        <w:trPr>
          <w:trHeight w:val="20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46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2,594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6,344</w:t>
            </w:r>
          </w:p>
        </w:tc>
      </w:tr>
      <w:tr>
        <w:trPr>
          <w:trHeight w:val="20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professional &amp; consulting expenses</w:t>
            </w:r>
          </w:p>
        </w:tc>
        <w:tc>
          <w:tcPr>
            <w:tcW w:w="14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2,067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rPr>
              <w:t>1,855</w:t>
            </w:r>
          </w:p>
        </w:tc>
      </w:tr>
      <w:tr>
        <w:trPr>
          <w:trHeight w:val="20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Accrued other</w:t>
            </w:r>
          </w:p>
        </w:tc>
        <w:tc>
          <w:tcPr>
            <w:tcW w:w="1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41</w:t>
            </w:r>
          </w:p>
        </w:tc>
      </w:tr>
      <w:tr>
        <w:trPr>
          <w:trHeight w:val="232"/>
        </w:trPr>
        <w:tc>
          <w:tcPr>
            <w:tcW w:w="466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Total accrued expenses</w:t>
            </w:r>
          </w:p>
        </w:tc>
        <w:tc>
          <w:tcPr>
            <w:tcW w:w="1460" w:type="dxa"/>
            <w:vAlign w:val="bottom"/>
            <w:tcBorders>
              <w:bottom w:val="single" w:sz="8" w:color="auto"/>
            </w:tcBorders>
            <w:shd w:val="clear" w:color="auto" w:fill="CFF0FC"/>
          </w:tcPr>
          <w:p>
            <w:pPr>
              <w:jc w:val="right"/>
              <w:ind w:right="1285"/>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7,565</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FF0FC"/>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rPr>
              <w:t>11,405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-22860</wp:posOffset>
            </wp:positionV>
            <wp:extent cx="793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-6985</wp:posOffset>
            </wp:positionV>
            <wp:extent cx="793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375" cy="762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Related Party Transactions</w:t>
      </w:r>
    </w:p>
    <w:p>
      <w:pPr>
        <w:spacing w:after="0" w:line="17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6"/>
          <w:szCs w:val="16"/>
          <w:color w:val="auto"/>
        </w:rPr>
        <w:t>Frazier is a principal stockholder of the Company.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March 31, 2022 and December 31, 2021 the Company had outstanding accounts payable and accrued expenses due to Frazier in the amount of $0, related to these shared operating expenses. For the three months ended March 31, 2022 and 2021, the Company incurred $0 and $16,000, respectively, of shared operating expenses.</w:t>
      </w:r>
    </w:p>
    <w:p>
      <w:pPr>
        <w:spacing w:after="0" w:line="135" w:lineRule="exact"/>
        <w:rPr>
          <w:sz w:val="20"/>
          <w:szCs w:val="20"/>
          <w:color w:val="auto"/>
        </w:rPr>
      </w:pPr>
    </w:p>
    <w:p>
      <w:pPr>
        <w:ind w:firstLine="510"/>
        <w:spacing w:after="0" w:line="243" w:lineRule="auto"/>
        <w:rPr>
          <w:sz w:val="20"/>
          <w:szCs w:val="20"/>
          <w:color w:val="auto"/>
        </w:rPr>
      </w:pPr>
      <w:r>
        <w:rPr>
          <w:rFonts w:ascii="Times New Roman" w:cs="Times New Roman" w:eastAsia="Times New Roman" w:hAnsi="Times New Roman"/>
          <w:sz w:val="17"/>
          <w:szCs w:val="17"/>
          <w:color w:val="auto"/>
        </w:rPr>
        <w:t>Frazier is a principal stockholder in PCI Pharma Services (“PCI”). In the third quarter of 2019, the Company engaged PCI for clinical manufacturing services. As of March 31, 2022 and December 31, 2021, the Company had $0.1 million and $1.7 million, respectively, outstanding accounts payable and accrued expenses related to these manufacturing services. For the three months ended March 31, 2022 and 2021, the Company incurred $0.3 million and $0.9 million, respectively, of expenses related to services performed by PCI.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2" w:name="page13"/>
    <w:bookmarkEnd w:id="12"/>
    <w:p>
      <w:pPr>
        <w:ind w:firstLine="510"/>
        <w:spacing w:after="0" w:line="236" w:lineRule="auto"/>
        <w:rPr>
          <w:sz w:val="20"/>
          <w:szCs w:val="20"/>
          <w:color w:val="auto"/>
        </w:rPr>
      </w:pPr>
      <w:r>
        <w:rPr>
          <w:rFonts w:ascii="Times New Roman" w:cs="Times New Roman" w:eastAsia="Times New Roman" w:hAnsi="Times New Roman"/>
          <w:sz w:val="17"/>
          <w:szCs w:val="17"/>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On May 5, 2020, the Company entered into a Commercial Supply Agreement, or the Commercial Supply Agreement, with Takeda, pursuant to which Takeda will supply commercial quantities of vonoprazan bulk drug product or drug substance.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In connection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March 31, 2022 and December 31, 2021, the Company had $0.9 million, in outstanding accounts payable and accrued expenses related to these agreements. For the three months ended March 31, 2022 and 2021, the Company incurred $1.1 million and $0 million, respectively, of expenses related to these agreements. The Company has no remaining minimum purchase obligation related to these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Commitments and Contingencies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w:t>
      </w:r>
    </w:p>
    <w:p>
      <w:pPr>
        <w:spacing w:after="0" w:line="171" w:lineRule="exact"/>
        <w:rPr>
          <w:sz w:val="20"/>
          <w:szCs w:val="20"/>
          <w:color w:val="auto"/>
        </w:rPr>
      </w:pPr>
    </w:p>
    <w:p>
      <w:pPr>
        <w:ind w:right="40" w:firstLine="510"/>
        <w:spacing w:after="0" w:line="239" w:lineRule="auto"/>
        <w:rPr>
          <w:sz w:val="20"/>
          <w:szCs w:val="20"/>
          <w:color w:val="auto"/>
        </w:rPr>
      </w:pPr>
      <w:r>
        <w:rPr>
          <w:rFonts w:ascii="Times New Roman" w:cs="Times New Roman" w:eastAsia="Times New Roman" w:hAnsi="Times New Roman"/>
          <w:sz w:val="17"/>
          <w:szCs w:val="17"/>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Takeda Warrant has an exercise price of $0.00004613 per share, expires on May 7, 2029 and became exercisable upon the consummation of the IPO. As of March 31, 2022, all Takeda Warrants have been exercised.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w:t>
      </w:r>
    </w:p>
    <w:p>
      <w:pPr>
        <w:spacing w:after="0" w:line="158" w:lineRule="exact"/>
        <w:rPr>
          <w:sz w:val="20"/>
          <w:szCs w:val="20"/>
          <w:color w:val="auto"/>
        </w:rPr>
      </w:pPr>
    </w:p>
    <w:p>
      <w:pPr>
        <w:ind w:right="60" w:firstLine="510"/>
        <w:spacing w:after="0" w:line="243" w:lineRule="auto"/>
        <w:rPr>
          <w:sz w:val="20"/>
          <w:szCs w:val="20"/>
          <w:color w:val="auto"/>
        </w:rPr>
      </w:pPr>
      <w:r>
        <w:rPr>
          <w:rFonts w:ascii="Times New Roman" w:cs="Times New Roman" w:eastAsia="Times New Roman" w:hAnsi="Times New Roman"/>
          <w:sz w:val="17"/>
          <w:szCs w:val="17"/>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 product. The Company has not incurred any expenses under the agreement during the three months ended March 31, 2022 and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71"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5. Lease Commitments</w:t>
      </w:r>
    </w:p>
    <w:p>
      <w:pPr>
        <w:spacing w:after="0" w:line="171" w:lineRule="exact"/>
        <w:rPr>
          <w:sz w:val="20"/>
          <w:szCs w:val="20"/>
          <w:color w:val="auto"/>
        </w:rPr>
      </w:pPr>
    </w:p>
    <w:p>
      <w:pPr>
        <w:jc w:val="both"/>
        <w:ind w:right="140" w:firstLine="510"/>
        <w:spacing w:after="0" w:line="242" w:lineRule="auto"/>
        <w:rPr>
          <w:sz w:val="20"/>
          <w:szCs w:val="20"/>
          <w:color w:val="auto"/>
        </w:rPr>
      </w:pPr>
      <w:r>
        <w:rPr>
          <w:rFonts w:ascii="Times New Roman" w:cs="Times New Roman" w:eastAsia="Times New Roman" w:hAnsi="Times New Roman"/>
          <w:sz w:val="17"/>
          <w:szCs w:val="17"/>
          <w:color w:val="auto"/>
        </w:rPr>
        <w:t>As of March 31, 2022, the Company had operating leases for office space in both Buffalo Grove, Illinois and Florham Park, New Jersey, with remaining lease terms of 3.1 years and 3.4 years, respectively. Both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total rent expense for the three months ended March 31, 2022 and 2021 was approximately $0.2 million.</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supplemental balance sheet information related to the operating leases (in thousands):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5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598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00"/>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rPr>
              <w:t>1,795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1,914</w:t>
            </w:r>
          </w:p>
        </w:tc>
      </w:tr>
      <w:tr>
        <w:trPr>
          <w:trHeight w:val="232"/>
        </w:trPr>
        <w:tc>
          <w:tcPr>
            <w:tcW w:w="5980" w:type="dxa"/>
            <w:vAlign w:val="bottom"/>
            <w:tcBorders>
              <w:bottom w:val="single" w:sz="8" w:color="CFF0FC"/>
            </w:tcBorders>
            <w:shd w:val="clear" w:color="auto" w:fill="CFF0FC"/>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 right-of-use assets</w:t>
            </w:r>
          </w:p>
        </w:tc>
        <w:tc>
          <w:tcPr>
            <w:tcW w:w="240" w:type="dxa"/>
            <w:vAlign w:val="bottom"/>
            <w:tcBorders>
              <w:bottom w:val="single" w:sz="8" w:color="auto"/>
            </w:tcBorders>
            <w:shd w:val="clear" w:color="auto" w:fill="CFF0FC"/>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ind w:right="22"/>
              <w:spacing w:after="0" w:line="193" w:lineRule="exact"/>
              <w:rPr>
                <w:sz w:val="20"/>
                <w:szCs w:val="20"/>
                <w:color w:val="auto"/>
              </w:rPr>
            </w:pPr>
            <w:r>
              <w:rPr>
                <w:rFonts w:ascii="Times New Roman" w:cs="Times New Roman" w:eastAsia="Times New Roman" w:hAnsi="Times New Roman"/>
                <w:sz w:val="17"/>
                <w:szCs w:val="17"/>
                <w:color w:val="auto"/>
              </w:rPr>
              <w:t>1,795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rPr>
              <w:t>1,914</w:t>
            </w:r>
          </w:p>
        </w:tc>
      </w:tr>
      <w:tr>
        <w:trPr>
          <w:trHeight w:val="177"/>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0"/>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490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487</w:t>
            </w:r>
          </w:p>
        </w:tc>
      </w:tr>
      <w:tr>
        <w:trPr>
          <w:trHeight w:val="200"/>
        </w:trPr>
        <w:tc>
          <w:tcPr>
            <w:tcW w:w="5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rPr>
              <w:t>1,083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rPr>
              <w:t>1,183</w:t>
            </w:r>
          </w:p>
        </w:tc>
      </w:tr>
      <w:tr>
        <w:trPr>
          <w:trHeight w:val="192"/>
        </w:trPr>
        <w:tc>
          <w:tcPr>
            <w:tcW w:w="5980" w:type="dxa"/>
            <w:vAlign w:val="bottom"/>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 operating lease liabilities</w:t>
            </w:r>
          </w:p>
        </w:tc>
        <w:tc>
          <w:tcPr>
            <w:tcW w:w="240" w:type="dxa"/>
            <w:vAlign w:val="bottom"/>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22"/>
              <w:spacing w:after="0" w:line="193" w:lineRule="exact"/>
              <w:rPr>
                <w:sz w:val="20"/>
                <w:szCs w:val="20"/>
                <w:color w:val="auto"/>
              </w:rPr>
            </w:pPr>
            <w:r>
              <w:rPr>
                <w:rFonts w:ascii="Times New Roman" w:cs="Times New Roman" w:eastAsia="Times New Roman" w:hAnsi="Times New Roman"/>
                <w:sz w:val="17"/>
                <w:szCs w:val="17"/>
                <w:color w:val="auto"/>
              </w:rPr>
              <w:t>1,573</w:t>
            </w:r>
          </w:p>
        </w:tc>
        <w:tc>
          <w:tcPr>
            <w:tcW w:w="300" w:type="dxa"/>
            <w:vAlign w:val="bottom"/>
            <w:gridSpan w:val="2"/>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rPr>
              <w:t>1,670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5430520</wp:posOffset>
            </wp:positionH>
            <wp:positionV relativeFrom="paragraph">
              <wp:posOffset>-688975</wp:posOffset>
            </wp:positionV>
            <wp:extent cx="793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5430520</wp:posOffset>
            </wp:positionH>
            <wp:positionV relativeFrom="paragraph">
              <wp:posOffset>-673100</wp:posOffset>
            </wp:positionV>
            <wp:extent cx="793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5430520</wp:posOffset>
            </wp:positionH>
            <wp:positionV relativeFrom="paragraph">
              <wp:posOffset>-158115</wp:posOffset>
            </wp:positionV>
            <wp:extent cx="7937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9375" cy="7620"/>
                    </a:xfrm>
                    <a:prstGeom prst="rect">
                      <a:avLst/>
                    </a:prstGeom>
                    <a:noFill/>
                  </pic:spPr>
                </pic:pic>
              </a:graphicData>
            </a:graphic>
          </wp:anchor>
        </w:drawing>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March 31, 2022, the future minimum annual lease payments under the operating leases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0"/>
        </w:trPr>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rPr>
              <w:t>378</w:t>
            </w:r>
          </w:p>
        </w:tc>
      </w:tr>
      <w:tr>
        <w:trPr>
          <w:trHeight w:val="200"/>
        </w:trPr>
        <w:tc>
          <w:tcPr>
            <w:tcW w:w="6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1220" w:type="dxa"/>
            <w:vAlign w:val="bottom"/>
          </w:tcPr>
          <w:p>
            <w:pPr>
              <w:spacing w:after="0"/>
              <w:rPr>
                <w:sz w:val="17"/>
                <w:szCs w:val="17"/>
                <w:color w:val="auto"/>
              </w:rPr>
            </w:pPr>
          </w:p>
        </w:tc>
        <w:tc>
          <w:tcPr>
            <w:tcW w:w="17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516</w:t>
            </w:r>
          </w:p>
        </w:tc>
      </w:tr>
      <w:tr>
        <w:trPr>
          <w:trHeight w:val="200"/>
        </w:trPr>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2024</w:t>
            </w:r>
          </w:p>
        </w:tc>
        <w:tc>
          <w:tcPr>
            <w:tcW w:w="1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rPr>
              <w:t>529</w:t>
            </w:r>
          </w:p>
        </w:tc>
      </w:tr>
      <w:tr>
        <w:trPr>
          <w:trHeight w:val="200"/>
        </w:trPr>
        <w:tc>
          <w:tcPr>
            <w:tcW w:w="6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Thereafter</w:t>
            </w: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342</w:t>
            </w:r>
          </w:p>
        </w:tc>
      </w:tr>
      <w:tr>
        <w:trPr>
          <w:trHeight w:val="232"/>
        </w:trPr>
        <w:tc>
          <w:tcPr>
            <w:tcW w:w="602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Total minimum lease payments</w:t>
            </w:r>
          </w:p>
        </w:tc>
        <w:tc>
          <w:tcPr>
            <w:tcW w:w="1220" w:type="dxa"/>
            <w:vAlign w:val="bottom"/>
            <w:tcBorders>
              <w:bottom w:val="single" w:sz="8" w:color="auto"/>
            </w:tcBorders>
            <w:shd w:val="clear" w:color="auto" w:fill="CFF0FC"/>
          </w:tcPr>
          <w:p>
            <w:pPr>
              <w:jc w:val="right"/>
              <w:ind w:right="103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FF0FC"/>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rPr>
              <w:t>1,765</w:t>
            </w:r>
          </w:p>
        </w:tc>
      </w:tr>
      <w:tr>
        <w:trPr>
          <w:trHeight w:val="177"/>
        </w:trPr>
        <w:tc>
          <w:tcPr>
            <w:tcW w:w="6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1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(192 )</w:t>
            </w:r>
          </w:p>
        </w:tc>
      </w:tr>
      <w:tr>
        <w:trPr>
          <w:trHeight w:val="200"/>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1220" w:type="dxa"/>
            <w:vAlign w:val="bottom"/>
          </w:tcPr>
          <w:p>
            <w:pPr>
              <w:spacing w:after="0"/>
              <w:rPr>
                <w:sz w:val="17"/>
                <w:szCs w:val="17"/>
                <w:color w:val="auto"/>
              </w:rPr>
            </w:pPr>
          </w:p>
        </w:tc>
        <w:tc>
          <w:tcPr>
            <w:tcW w:w="17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1,573</w:t>
            </w:r>
          </w:p>
        </w:tc>
      </w:tr>
      <w:tr>
        <w:trPr>
          <w:trHeight w:val="20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operating lease liabilities, current</w:t>
            </w:r>
          </w:p>
        </w:tc>
        <w:tc>
          <w:tcPr>
            <w:tcW w:w="1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(490 )</w:t>
            </w:r>
          </w:p>
        </w:tc>
      </w:tr>
      <w:tr>
        <w:trPr>
          <w:trHeight w:val="192"/>
        </w:trPr>
        <w:tc>
          <w:tcPr>
            <w:tcW w:w="60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Operating lease liabilities</w:t>
            </w:r>
          </w:p>
        </w:tc>
        <w:tc>
          <w:tcPr>
            <w:tcW w:w="1220" w:type="dxa"/>
            <w:vAlign w:val="bottom"/>
            <w:tcBorders>
              <w:bottom w:val="single" w:sz="8" w:color="auto"/>
            </w:tcBorders>
          </w:tcPr>
          <w:p>
            <w:pPr>
              <w:jc w:val="right"/>
              <w:ind w:right="103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rPr>
              <w:t>1,083</w:t>
            </w:r>
          </w:p>
        </w:tc>
      </w:tr>
      <w:tr>
        <w:trPr>
          <w:trHeight w:val="20"/>
        </w:trPr>
        <w:tc>
          <w:tcPr>
            <w:tcW w:w="6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7"/>
        </w:trPr>
        <w:tc>
          <w:tcPr>
            <w:tcW w:w="60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r>
      <w:tr>
        <w:trPr>
          <w:trHeight w:val="200"/>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220" w:type="dxa"/>
            <w:vAlign w:val="bottom"/>
          </w:tcPr>
          <w:p>
            <w:pPr>
              <w:spacing w:after="0"/>
              <w:rPr>
                <w:sz w:val="17"/>
                <w:szCs w:val="17"/>
                <w:color w:val="auto"/>
              </w:rPr>
            </w:pPr>
          </w:p>
        </w:tc>
        <w:tc>
          <w:tcPr>
            <w:tcW w:w="17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3.31</w:t>
            </w:r>
          </w:p>
        </w:tc>
      </w:tr>
      <w:tr>
        <w:trPr>
          <w:trHeight w:val="20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Weighted-average incremental borrowing rate</w:t>
            </w:r>
          </w:p>
        </w:tc>
        <w:tc>
          <w:tcPr>
            <w:tcW w:w="1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7.25 %</w:t>
            </w:r>
          </w:p>
        </w:tc>
      </w:tr>
    </w:tbl>
    <w:p>
      <w:pPr>
        <w:spacing w:after="0" w:line="146"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7"/>
          <w:szCs w:val="17"/>
          <w:color w:val="auto"/>
        </w:rPr>
        <w:t>Operating cash flows for the three months ended March 31, 2022 and 2021 included cash payments for operating leases of approximately $0.1 million and $0.2 million, respectively.</w:t>
      </w:r>
    </w:p>
    <w:p>
      <w:pPr>
        <w:spacing w:after="0" w:line="134" w:lineRule="exact"/>
        <w:rPr>
          <w:sz w:val="20"/>
          <w:szCs w:val="20"/>
          <w:color w:val="auto"/>
        </w:rPr>
      </w:pPr>
    </w:p>
    <w:p>
      <w:pPr>
        <w:ind w:right="100" w:firstLine="510"/>
        <w:spacing w:after="0" w:line="250" w:lineRule="auto"/>
        <w:rPr>
          <w:sz w:val="20"/>
          <w:szCs w:val="20"/>
          <w:color w:val="auto"/>
        </w:rPr>
      </w:pPr>
      <w:r>
        <w:rPr>
          <w:rFonts w:ascii="Times New Roman" w:cs="Times New Roman" w:eastAsia="Times New Roman" w:hAnsi="Times New Roman"/>
          <w:sz w:val="17"/>
          <w:szCs w:val="17"/>
          <w:color w:val="auto"/>
        </w:rPr>
        <w:t>In February 2022, the Company entered into an operating lease for 6,250 rentable square feet of additional office space in Florham Park, New Jersey. The lease liability and the corresponding right-of-use asset associated with this lease obligation will be recorded upon the commencement of the lease, or the date in which the underlying asset is made available for use to the Company, which is expected to occur later in 2022.</w:t>
      </w:r>
    </w:p>
    <w:p>
      <w:pPr>
        <w:spacing w:after="0" w:line="126"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17"/>
          <w:szCs w:val="17"/>
          <w:color w:val="auto"/>
        </w:rPr>
        <w:t>The Company also entered into one year leases for passenger vehicles during the three months ended March 31, 2022. The Company elected the short-term lease exception for these leases and did not recognize a right-of-use asset and operating lease liability related to these leases.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6"/>
          <w:szCs w:val="16"/>
          <w:b w:val="1"/>
          <w:bCs w:val="1"/>
          <w:color w:val="auto"/>
        </w:rPr>
        <w:t>. Debt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Total debt consists of the following (in thousands):</w:t>
      </w:r>
    </w:p>
    <w:p>
      <w:pPr>
        <w:spacing w:after="0" w:line="186"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72"/>
        </w:trPr>
        <w:tc>
          <w:tcPr>
            <w:tcW w:w="4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2"/>
        </w:trPr>
        <w:tc>
          <w:tcPr>
            <w:tcW w:w="490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Long-term debt, current portion</w:t>
            </w:r>
          </w:p>
        </w:tc>
        <w:tc>
          <w:tcPr>
            <w:tcW w:w="340" w:type="dxa"/>
            <w:vAlign w:val="bottom"/>
            <w:shd w:val="clear" w:color="auto" w:fill="CFF0FC"/>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FF0FC"/>
          </w:tcPr>
          <w:p>
            <w:pPr>
              <w:jc w:val="right"/>
              <w:ind w:right="42"/>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non-current portion</w:t>
            </w:r>
          </w:p>
        </w:tc>
        <w:tc>
          <w:tcPr>
            <w:tcW w:w="340" w:type="dxa"/>
            <w:vAlign w:val="bottom"/>
          </w:tcPr>
          <w:p>
            <w:pPr>
              <w:spacing w:after="0"/>
              <w:rPr>
                <w:sz w:val="17"/>
                <w:szCs w:val="17"/>
                <w:color w:val="auto"/>
              </w:rPr>
            </w:pPr>
          </w:p>
        </w:tc>
        <w:tc>
          <w:tcPr>
            <w:tcW w:w="15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101,838</w:t>
            </w:r>
          </w:p>
        </w:tc>
      </w:tr>
      <w:tr>
        <w:trPr>
          <w:trHeight w:val="20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3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(10,801 )</w:t>
            </w:r>
          </w:p>
        </w:tc>
      </w:tr>
      <w:tr>
        <w:trPr>
          <w:trHeight w:val="192"/>
        </w:trPr>
        <w:tc>
          <w:tcPr>
            <w:tcW w:w="49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debt, net of debt discount</w:t>
            </w:r>
          </w:p>
        </w:tc>
        <w:tc>
          <w:tcPr>
            <w:tcW w:w="340" w:type="dxa"/>
            <w:vAlign w:val="bottom"/>
            <w:tcBorders>
              <w:bottom w:val="single" w:sz="8" w:color="auto"/>
            </w:tcBorders>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ind w:right="42"/>
              <w:spacing w:after="0" w:line="193" w:lineRule="exact"/>
              <w:rPr>
                <w:sz w:val="20"/>
                <w:szCs w:val="20"/>
                <w:color w:val="auto"/>
              </w:rPr>
            </w:pPr>
            <w:r>
              <w:rPr>
                <w:rFonts w:ascii="Times New Roman" w:cs="Times New Roman" w:eastAsia="Times New Roman" w:hAnsi="Times New Roman"/>
                <w:sz w:val="17"/>
                <w:szCs w:val="17"/>
                <w:color w:val="auto"/>
              </w:rPr>
              <w:t>91,037</w:t>
            </w: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60" w:firstLine="510"/>
        <w:spacing w:after="0" w:line="250" w:lineRule="auto"/>
        <w:rPr>
          <w:sz w:val="20"/>
          <w:szCs w:val="20"/>
          <w:color w:val="auto"/>
        </w:rPr>
      </w:pPr>
      <w:r>
        <w:rPr>
          <w:rFonts w:ascii="Times New Roman" w:cs="Times New Roman" w:eastAsia="Times New Roman" w:hAnsi="Times New Roman"/>
          <w:sz w:val="17"/>
          <w:szCs w:val="17"/>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2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6"/>
          <w:szCs w:val="16"/>
          <w:color w:val="auto"/>
        </w:rPr>
        <w:t xml:space="preserve">The Loan Agreement provides for term loans in an aggregate principal amount of up to $200.0 million, or the Term Loan, under multiple tranches. The tranches consist of (i) a first tranche consisting of term loans in an aggregate principal amount of $100.0 million, all of which was funded to the Company on the Closing Date, or First Advance, (ii) a second tranche consisting of up to an additional $50.0 million, which became available to the Company upon achievement of the protocol-specified primary efficacy endpoints in the Company’s Phase 3 trial studying vonoprazan for the healing and maintenance of healing of erosive esophagitis with acceptable safety data, such that the results support the submission of a New Drug Application, or NDA, or supplemental NDA without the need to conduct another Phase 3 study and will be available, if specified conditions are met, through December 15, 2022, (iii) a third tranche consisting of an additional $25.0 million, which will become available to the Company upon the achievement of (a) Food and Drug Administration, or FDA, approval of the Company’s NDA for vonoprazan and amoxicillin, or its New Drug Application for vonoprazan, amoxicillin and clarithromycin, in each case for an indication relating to the treatment of </w:t>
      </w:r>
      <w:r>
        <w:rPr>
          <w:rFonts w:ascii="Times New Roman" w:cs="Times New Roman" w:eastAsia="Times New Roman" w:hAnsi="Times New Roman"/>
          <w:sz w:val="16"/>
          <w:szCs w:val="16"/>
          <w:i w:val="1"/>
          <w:iCs w:val="1"/>
          <w:color w:val="auto"/>
        </w:rPr>
        <w:t>Helicobacter pylori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H. pylori,</w:t>
      </w:r>
      <w:r>
        <w:rPr>
          <w:rFonts w:ascii="Times New Roman" w:cs="Times New Roman" w:eastAsia="Times New Roman" w:hAnsi="Times New Roman"/>
          <w:sz w:val="16"/>
          <w:szCs w:val="16"/>
          <w:color w:val="auto"/>
        </w:rPr>
        <w:t xml:space="preserve"> with an approved indication on the claim that is generally consistent with that sought in the Company’s NDA submission; and (b) filing of the Company’s NDA or supplemental NDA for vonoprazan for indications relating to the healing and maintenance of healing of erosive esophagitis, or, milestones (a) and (b), together, the Second Performance Milestone, and will be available, if specified conditions are met, through September 30, 2023, and (iv) a fourth tranche consisting of up to an additional $25.0 million, which will be available, if specified conditions are met, through March 31, 2024, upon achievement of the Second Performance Milestone.</w:t>
      </w:r>
    </w:p>
    <w:p>
      <w:pPr>
        <w:spacing w:after="0" w:line="135"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7"/>
          <w:szCs w:val="17"/>
          <w:color w:val="auto"/>
        </w:rPr>
        <w:t>The Company paid a $1.25 million facility charge in connection with closing of the Loan Agreement and would need to pay 0.5% of any advances made under the third and fourth tranches.</w:t>
      </w:r>
    </w:p>
    <w:p>
      <w:pPr>
        <w:spacing w:after="0" w:line="121"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6"/>
          <w:szCs w:val="16"/>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may be extended to October 1, 2025, upon the achievement of the Second Performance Milestone on or prior to September 30, 2024 and the condition that no default or event of default exists, and which is further extendable to October 1, 2026, subject to FDA approval of the Company’s NDA (or supplemental NDA) for vonoprazan for an indication relating to the healing and maintenance of healing of erosive esophagitis with an approved indication on the label that is generally consistent with that sought in the Company’s NDA submission (or supplemental NDA submission), or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22" w:lineRule="exact"/>
        <w:rPr>
          <w:sz w:val="20"/>
          <w:szCs w:val="20"/>
          <w:color w:val="auto"/>
        </w:rPr>
      </w:pPr>
    </w:p>
    <w:p>
      <w:pPr>
        <w:jc w:val="both"/>
        <w:ind w:right="120" w:firstLine="510"/>
        <w:spacing w:after="0" w:line="250" w:lineRule="auto"/>
        <w:rPr>
          <w:sz w:val="20"/>
          <w:szCs w:val="20"/>
          <w:color w:val="auto"/>
        </w:rPr>
      </w:pPr>
      <w:r>
        <w:rPr>
          <w:rFonts w:ascii="Times New Roman" w:cs="Times New Roman" w:eastAsia="Times New Roman" w:hAnsi="Times New Roman"/>
          <w:sz w:val="17"/>
          <w:szCs w:val="17"/>
          <w:color w:val="auto"/>
        </w:rPr>
        <w:t>In addition, the Company is obligated to pay a final payment fee of 7.50% of the original principal amount of amounts actually advanced under the Term Loan, or, each a Term Loan Advance and together, the Term Loan Advances. As of March 31, 2022, the aggregate final payment fee for the first Term Loan Advance of $7.5 million has been recorded as an other long-term liability.</w:t>
      </w:r>
    </w:p>
    <w:p>
      <w:pPr>
        <w:spacing w:after="0" w:line="138" w:lineRule="exact"/>
        <w:rPr>
          <w:sz w:val="20"/>
          <w:szCs w:val="20"/>
          <w:color w:val="auto"/>
        </w:rPr>
      </w:pPr>
    </w:p>
    <w:p>
      <w:pPr>
        <w:ind w:right="680" w:firstLine="510"/>
        <w:spacing w:after="0" w:line="255" w:lineRule="auto"/>
        <w:rPr>
          <w:sz w:val="20"/>
          <w:szCs w:val="20"/>
          <w:color w:val="auto"/>
        </w:rPr>
      </w:pPr>
      <w:r>
        <w:rPr>
          <w:rFonts w:ascii="Times New Roman" w:cs="Times New Roman" w:eastAsia="Times New Roman" w:hAnsi="Times New Roman"/>
          <w:sz w:val="17"/>
          <w:szCs w:val="17"/>
          <w:color w:val="auto"/>
        </w:rPr>
        <w:t>The Company may elect to prepay all or a portion of the Term Loan Advances prior to maturity, subject to a prepayment fee of up to 1.25% of the then outstanding principal balance of the Term Loan Advances being prepaid. After repayment, no Term Loan amounts may be borrowed again.</w:t>
      </w:r>
    </w:p>
    <w:p>
      <w:pPr>
        <w:spacing w:after="0" w:line="134" w:lineRule="exact"/>
        <w:rPr>
          <w:sz w:val="20"/>
          <w:szCs w:val="20"/>
          <w:color w:val="auto"/>
        </w:rPr>
      </w:pPr>
    </w:p>
    <w:p>
      <w:pPr>
        <w:ind w:right="380" w:firstLine="510"/>
        <w:spacing w:after="0" w:line="255" w:lineRule="auto"/>
        <w:rPr>
          <w:sz w:val="20"/>
          <w:szCs w:val="20"/>
          <w:color w:val="auto"/>
        </w:rPr>
      </w:pPr>
      <w:r>
        <w:rPr>
          <w:rFonts w:ascii="Times New Roman" w:cs="Times New Roman" w:eastAsia="Times New Roman" w:hAnsi="Times New Roman"/>
          <w:sz w:val="17"/>
          <w:szCs w:val="17"/>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 w:name="page16"/>
    <w:bookmarkEnd w:id="15"/>
    <w:p>
      <w:pPr>
        <w:ind w:right="40" w:firstLine="510"/>
        <w:spacing w:after="0" w:line="238" w:lineRule="auto"/>
        <w:rPr>
          <w:sz w:val="20"/>
          <w:szCs w:val="20"/>
          <w:color w:val="auto"/>
        </w:rPr>
      </w:pPr>
      <w:r>
        <w:rPr>
          <w:rFonts w:ascii="Times New Roman" w:cs="Times New Roman" w:eastAsia="Times New Roman" w:hAnsi="Times New Roman"/>
          <w:sz w:val="17"/>
          <w:szCs w:val="17"/>
          <w:color w:val="auto"/>
        </w:rPr>
        <w:t>The Loan Agreement contains customary closing fees, prepayment fees and provisions, events of default, and representations, warranties and covenants, including a financial covenant requiring Phathom to maintain certain levels of cash subject to a control agreement in favor of the Agent (minus accounts payable not paid within 120 days of invoice), or Qualified Cash, and commencing on May 15, 2023, trailing three-month net product revenue from the sale of vonoprazan and products containing vonoprazan. The revenue covenant will be waived at any time in which the Company maintains Qualified Cash equal to at least 60.0% (prior to the Third Performance Milestone), and 35% (following the Third Performance Milestone) of the total outstanding Term Loan principal amount, or the Company’s market capitalization is at least $900.0 million. Upon the occurrence of an event of default, subject to any specified cure periods, all amounts owed by the Company may be declared immediately due and payable by Hercules, as collateral agent. As of March 31, 2022, the Company was in compliance with all applicable covenants under the Loan Agreement.</w:t>
      </w:r>
    </w:p>
    <w:p>
      <w:pPr>
        <w:spacing w:after="0" w:line="147" w:lineRule="exact"/>
        <w:rPr>
          <w:sz w:val="20"/>
          <w:szCs w:val="20"/>
          <w:color w:val="auto"/>
        </w:rPr>
      </w:pPr>
    </w:p>
    <w:p>
      <w:pPr>
        <w:ind w:right="100" w:firstLine="551"/>
        <w:spacing w:after="0"/>
        <w:rPr>
          <w:sz w:val="20"/>
          <w:szCs w:val="20"/>
          <w:color w:val="auto"/>
        </w:rPr>
      </w:pPr>
      <w:r>
        <w:rPr>
          <w:rFonts w:ascii="Times New Roman" w:cs="Times New Roman" w:eastAsia="Times New Roman" w:hAnsi="Times New Roman"/>
          <w:sz w:val="17"/>
          <w:szCs w:val="17"/>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time until September 17, 2028 and had an initial fair value of approximately $1.3 million.</w:t>
      </w:r>
    </w:p>
    <w:p>
      <w:pPr>
        <w:spacing w:after="0" w:line="134" w:lineRule="exact"/>
        <w:rPr>
          <w:sz w:val="20"/>
          <w:szCs w:val="20"/>
          <w:color w:val="auto"/>
        </w:rPr>
      </w:pPr>
    </w:p>
    <w:p>
      <w:pPr>
        <w:ind w:right="120" w:firstLine="510"/>
        <w:spacing w:after="0" w:line="270" w:lineRule="auto"/>
        <w:rPr>
          <w:sz w:val="20"/>
          <w:szCs w:val="20"/>
          <w:color w:val="auto"/>
        </w:rPr>
      </w:pPr>
      <w:r>
        <w:rPr>
          <w:rFonts w:ascii="Times New Roman" w:cs="Times New Roman" w:eastAsia="Times New Roman" w:hAnsi="Times New Roman"/>
          <w:sz w:val="17"/>
          <w:szCs w:val="17"/>
          <w:color w:val="auto"/>
        </w:rPr>
        <w:t>The initial $1.3 million fair value of the Warrant, the $7.5 million final interest payment fee and $3.1 million of debt issuance costs have been recorded as debt discount and are being amortized to interest expense using the effective interest method over the term of the Term Loan.</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Future minimum principal and interest payments under the Term Loan, including the final payment fee, as of March 31, 2022 are as follows (in thousands):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0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6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0"/>
        </w:trPr>
        <w:tc>
          <w:tcPr>
            <w:tcW w:w="4880" w:type="dxa"/>
            <w:vAlign w:val="bottom"/>
          </w:tcPr>
          <w:p>
            <w:pPr>
              <w:jc w:val="right"/>
              <w:ind w:right="4297"/>
              <w:spacing w:after="0"/>
              <w:rPr>
                <w:sz w:val="20"/>
                <w:szCs w:val="20"/>
                <w:color w:val="auto"/>
              </w:rPr>
            </w:pPr>
            <w:r>
              <w:rPr>
                <w:rFonts w:ascii="Times New Roman" w:cs="Times New Roman" w:eastAsia="Times New Roman" w:hAnsi="Times New Roman"/>
                <w:sz w:val="17"/>
                <w:szCs w:val="17"/>
                <w:color w:val="auto"/>
              </w:rPr>
              <w:t>2022</w:t>
            </w:r>
          </w:p>
        </w:tc>
        <w:tc>
          <w:tcPr>
            <w:tcW w:w="64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4,315</w:t>
            </w:r>
          </w:p>
        </w:tc>
      </w:tr>
      <w:tr>
        <w:trPr>
          <w:trHeight w:val="200"/>
        </w:trPr>
        <w:tc>
          <w:tcPr>
            <w:tcW w:w="4880" w:type="dxa"/>
            <w:vAlign w:val="bottom"/>
            <w:shd w:val="clear" w:color="auto" w:fill="CFF0FC"/>
          </w:tcPr>
          <w:p>
            <w:pPr>
              <w:jc w:val="right"/>
              <w:ind w:right="4297"/>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5,900</w:t>
            </w:r>
          </w:p>
        </w:tc>
      </w:tr>
      <w:tr>
        <w:trPr>
          <w:trHeight w:val="200"/>
        </w:trPr>
        <w:tc>
          <w:tcPr>
            <w:tcW w:w="4880" w:type="dxa"/>
            <w:vAlign w:val="bottom"/>
          </w:tcPr>
          <w:p>
            <w:pPr>
              <w:jc w:val="right"/>
              <w:ind w:right="4297"/>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Pr>
          <w:p>
            <w:pPr>
              <w:spacing w:after="0"/>
              <w:rPr>
                <w:sz w:val="17"/>
                <w:szCs w:val="17"/>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17,308</w:t>
            </w:r>
          </w:p>
        </w:tc>
      </w:tr>
      <w:tr>
        <w:trPr>
          <w:trHeight w:val="200"/>
        </w:trPr>
        <w:tc>
          <w:tcPr>
            <w:tcW w:w="4880" w:type="dxa"/>
            <w:vAlign w:val="bottom"/>
            <w:shd w:val="clear" w:color="auto" w:fill="CFF0FC"/>
          </w:tcPr>
          <w:p>
            <w:pPr>
              <w:jc w:val="right"/>
              <w:ind w:right="4297"/>
              <w:spacing w:after="0"/>
              <w:rPr>
                <w:sz w:val="20"/>
                <w:szCs w:val="20"/>
                <w:color w:val="auto"/>
              </w:rPr>
            </w:pPr>
            <w:r>
              <w:rPr>
                <w:rFonts w:ascii="Times New Roman" w:cs="Times New Roman" w:eastAsia="Times New Roman" w:hAnsi="Times New Roman"/>
                <w:sz w:val="17"/>
                <w:szCs w:val="17"/>
                <w:color w:val="auto"/>
              </w:rPr>
              <w:t>2025</w:t>
            </w:r>
          </w:p>
        </w:tc>
        <w:tc>
          <w:tcPr>
            <w:tcW w:w="6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50,912</w:t>
            </w:r>
          </w:p>
        </w:tc>
      </w:tr>
      <w:tr>
        <w:trPr>
          <w:trHeight w:val="200"/>
        </w:trPr>
        <w:tc>
          <w:tcPr>
            <w:tcW w:w="4880" w:type="dxa"/>
            <w:vAlign w:val="bottom"/>
          </w:tcPr>
          <w:p>
            <w:pPr>
              <w:jc w:val="right"/>
              <w:ind w:right="4297"/>
              <w:spacing w:after="0"/>
              <w:rPr>
                <w:sz w:val="20"/>
                <w:szCs w:val="20"/>
                <w:color w:val="auto"/>
              </w:rPr>
            </w:pPr>
            <w:r>
              <w:rPr>
                <w:rFonts w:ascii="Times New Roman" w:cs="Times New Roman" w:eastAsia="Times New Roman" w:hAnsi="Times New Roman"/>
                <w:sz w:val="17"/>
                <w:szCs w:val="17"/>
                <w:color w:val="auto"/>
              </w:rPr>
              <w:t>2026</w:t>
            </w: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66,948</w:t>
            </w:r>
          </w:p>
        </w:tc>
      </w:tr>
      <w:tr>
        <w:trPr>
          <w:trHeight w:val="192"/>
        </w:trPr>
        <w:tc>
          <w:tcPr>
            <w:tcW w:w="488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Total principal and interest payments</w:t>
            </w:r>
          </w:p>
        </w:tc>
        <w:tc>
          <w:tcPr>
            <w:tcW w:w="6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145,383</w:t>
            </w:r>
          </w:p>
        </w:tc>
      </w:tr>
      <w:tr>
        <w:trPr>
          <w:trHeight w:val="200"/>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Less interest and final payment fee</w:t>
            </w: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(45,383 )</w:t>
            </w:r>
          </w:p>
        </w:tc>
      </w:tr>
      <w:tr>
        <w:trPr>
          <w:trHeight w:val="232"/>
        </w:trPr>
        <w:tc>
          <w:tcPr>
            <w:tcW w:w="488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Total term loan borrowings</w:t>
            </w:r>
          </w:p>
        </w:tc>
        <w:tc>
          <w:tcPr>
            <w:tcW w:w="640" w:type="dxa"/>
            <w:vAlign w:val="bottom"/>
            <w:tcBorders>
              <w:bottom w:val="single" w:sz="8" w:color="auto"/>
            </w:tcBorders>
            <w:shd w:val="clear" w:color="auto" w:fill="CFF0FC"/>
          </w:tcPr>
          <w:p>
            <w:pPr>
              <w:jc w:val="right"/>
              <w:ind w:right="4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100,000</w:t>
            </w:r>
          </w:p>
        </w:tc>
      </w:tr>
    </w:tbl>
    <w:p>
      <w:pPr>
        <w:spacing w:after="0" w:line="146" w:lineRule="exact"/>
        <w:rPr>
          <w:sz w:val="20"/>
          <w:szCs w:val="20"/>
          <w:color w:val="auto"/>
        </w:rPr>
      </w:pPr>
    </w:p>
    <w:p>
      <w:pPr>
        <w:jc w:val="both"/>
        <w:ind w:right="80" w:firstLine="510"/>
        <w:spacing w:after="0" w:line="250" w:lineRule="auto"/>
        <w:rPr>
          <w:sz w:val="20"/>
          <w:szCs w:val="20"/>
          <w:color w:val="auto"/>
        </w:rPr>
      </w:pPr>
      <w:r>
        <w:rPr>
          <w:rFonts w:ascii="Times New Roman" w:cs="Times New Roman" w:eastAsia="Times New Roman" w:hAnsi="Times New Roman"/>
          <w:sz w:val="17"/>
          <w:szCs w:val="17"/>
          <w:color w:val="auto"/>
        </w:rPr>
        <w:t>Prior to the Loan Agreement with Hercules, the Company had a loan with Silicon Valley Bank, or SVB, and approximately $54.3 million of the proceeds from the First Advance was used to satisfy in full and retire the Company’s indebtedness under the SVB Term Loan with SVB, including accrued interest through the payoff date.</w:t>
      </w:r>
    </w:p>
    <w:p>
      <w:pPr>
        <w:spacing w:after="0" w:line="138" w:lineRule="exact"/>
        <w:rPr>
          <w:sz w:val="20"/>
          <w:szCs w:val="20"/>
          <w:color w:val="auto"/>
        </w:rPr>
      </w:pPr>
    </w:p>
    <w:p>
      <w:pPr>
        <w:ind w:right="260" w:firstLine="510"/>
        <w:spacing w:after="0" w:line="242" w:lineRule="auto"/>
        <w:rPr>
          <w:sz w:val="20"/>
          <w:szCs w:val="20"/>
          <w:color w:val="auto"/>
        </w:rPr>
      </w:pPr>
      <w:r>
        <w:rPr>
          <w:rFonts w:ascii="Times New Roman" w:cs="Times New Roman" w:eastAsia="Times New Roman" w:hAnsi="Times New Roman"/>
          <w:sz w:val="17"/>
          <w:szCs w:val="17"/>
          <w:color w:val="auto"/>
        </w:rPr>
        <w:t>During the three months March 31, 2022 and 2021, the Company recognized $2.8 million and $1.3 million, respectively, of interest expense, including amortization of the debt discount, in connection with the Hercules Loan Agreement and SVB Term Loan. As of March 31, 2022, the Company had outstanding loan balance of $101.8 million and accrued interest of $0.5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March 2019, subsequent to the Merger, the Company sold 1,491,072 shares of the Company’s common stock to Frazier.</w:t>
      </w:r>
    </w:p>
    <w:p>
      <w:pPr>
        <w:spacing w:after="0" w:line="167" w:lineRule="exact"/>
        <w:rPr>
          <w:sz w:val="20"/>
          <w:szCs w:val="20"/>
          <w:color w:val="auto"/>
        </w:rPr>
      </w:pPr>
    </w:p>
    <w:p>
      <w:pPr>
        <w:ind w:firstLine="510"/>
        <w:spacing w:after="0" w:line="239" w:lineRule="auto"/>
        <w:rPr>
          <w:sz w:val="20"/>
          <w:szCs w:val="20"/>
          <w:color w:val="auto"/>
        </w:rPr>
      </w:pPr>
      <w:r>
        <w:rPr>
          <w:rFonts w:ascii="Times New Roman" w:cs="Times New Roman" w:eastAsia="Times New Roman" w:hAnsi="Times New Roman"/>
          <w:sz w:val="17"/>
          <w:szCs w:val="17"/>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March 31, 2022, 316,257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May 2019, the Company issued Takeda 1,084,000 shares of common stock in connection with the Takeda License.</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523" w:right="379" w:bottom="1440" w:gutter="0" w:footer="0" w:header="0"/>
        </w:sectPr>
      </w:pPr>
    </w:p>
    <w:bookmarkStart w:id="16" w:name="page17"/>
    <w:bookmarkEnd w:id="16"/>
    <w:p>
      <w:pPr>
        <w:ind w:right="80" w:firstLine="510"/>
        <w:spacing w:after="0" w:line="238" w:lineRule="auto"/>
        <w:rPr>
          <w:sz w:val="20"/>
          <w:szCs w:val="20"/>
          <w:color w:val="auto"/>
        </w:rPr>
      </w:pPr>
      <w:r>
        <w:rPr>
          <w:rFonts w:ascii="Times New Roman" w:cs="Times New Roman" w:eastAsia="Times New Roman" w:hAnsi="Times New Roman"/>
          <w:sz w:val="17"/>
          <w:szCs w:val="17"/>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March 31, 2022, 605,957 shares remain available for repurchase by the Company and the associated repurchase liability was not significant.</w:t>
      </w:r>
    </w:p>
    <w:p>
      <w:pPr>
        <w:spacing w:after="0" w:line="148" w:lineRule="exact"/>
        <w:rPr>
          <w:sz w:val="20"/>
          <w:szCs w:val="20"/>
          <w:color w:val="auto"/>
        </w:rPr>
      </w:pPr>
    </w:p>
    <w:p>
      <w:pPr>
        <w:ind w:right="80" w:firstLine="510"/>
        <w:spacing w:after="0" w:line="250" w:lineRule="auto"/>
        <w:rPr>
          <w:sz w:val="20"/>
          <w:szCs w:val="20"/>
          <w:color w:val="auto"/>
        </w:rPr>
      </w:pPr>
      <w:r>
        <w:rPr>
          <w:rFonts w:ascii="Times New Roman" w:cs="Times New Roman" w:eastAsia="Times New Roman" w:hAnsi="Times New Roman"/>
          <w:sz w:val="17"/>
          <w:szCs w:val="17"/>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23" w:lineRule="exact"/>
        <w:rPr>
          <w:sz w:val="20"/>
          <w:szCs w:val="20"/>
          <w:color w:val="auto"/>
        </w:rPr>
      </w:pPr>
    </w:p>
    <w:p>
      <w:pPr>
        <w:ind w:right="40" w:firstLine="510"/>
        <w:spacing w:after="0"/>
        <w:rPr>
          <w:sz w:val="20"/>
          <w:szCs w:val="20"/>
          <w:color w:val="auto"/>
        </w:rPr>
      </w:pPr>
      <w:r>
        <w:rPr>
          <w:rFonts w:ascii="Times New Roman" w:cs="Times New Roman" w:eastAsia="Times New Roman" w:hAnsi="Times New Roman"/>
          <w:sz w:val="17"/>
          <w:szCs w:val="17"/>
          <w:color w:val="auto"/>
        </w:rPr>
        <w:t>In November 2020, the Company entered into an 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7"/>
          <w:szCs w:val="17"/>
          <w:color w:val="auto"/>
        </w:rPr>
        <w:t>, or, the Sales Agreement, with Jefferies LLC, or, the Sales Agent, under which it may, from time to time, sell shares of its common stock having an aggregate offering price of up to $125.0 million through the Sales Agent, or,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March 31, 2022.</w:t>
      </w:r>
    </w:p>
    <w:p>
      <w:pPr>
        <w:spacing w:after="0" w:line="146" w:lineRule="exact"/>
        <w:rPr>
          <w:sz w:val="20"/>
          <w:szCs w:val="20"/>
          <w:color w:val="auto"/>
        </w:rPr>
      </w:pPr>
    </w:p>
    <w:p>
      <w:pPr>
        <w:jc w:val="both"/>
        <w:ind w:right="80" w:firstLine="510"/>
        <w:spacing w:after="0" w:line="242" w:lineRule="auto"/>
        <w:rPr>
          <w:sz w:val="20"/>
          <w:szCs w:val="20"/>
          <w:color w:val="auto"/>
        </w:rPr>
      </w:pPr>
      <w:r>
        <w:rPr>
          <w:rFonts w:ascii="Times New Roman" w:cs="Times New Roman" w:eastAsia="Times New Roman" w:hAnsi="Times New Roman"/>
          <w:sz w:val="17"/>
          <w:szCs w:val="17"/>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summary of the Company’s unvested shares is as follows:</w:t>
      </w:r>
    </w:p>
    <w:p>
      <w:pPr>
        <w:spacing w:after="0" w:line="370" w:lineRule="exact"/>
        <w:rPr>
          <w:sz w:val="20"/>
          <w:szCs w:val="20"/>
          <w:color w:val="auto"/>
        </w:rPr>
      </w:pPr>
    </w:p>
    <w:tbl>
      <w:tblPr>
        <w:tblLayout w:type="fixed"/>
        <w:tblInd w:w="2260" w:type="dxa"/>
        <w:tblCellMar>
          <w:top w:w="0" w:type="dxa"/>
          <w:left w:w="0" w:type="dxa"/>
          <w:bottom w:w="0" w:type="dxa"/>
          <w:right w:w="0" w:type="dxa"/>
        </w:tblCellMar>
      </w:tblPr>
      <w:tr>
        <w:trPr>
          <w:trHeight w:val="20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1,144,809</w:t>
            </w:r>
          </w:p>
        </w:tc>
      </w:tr>
      <w:tr>
        <w:trPr>
          <w:trHeight w:val="200"/>
        </w:trPr>
        <w:tc>
          <w:tcPr>
            <w:tcW w:w="5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 vesting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(222,595 )</w:t>
            </w:r>
          </w:p>
        </w:tc>
      </w:tr>
      <w:tr>
        <w:trPr>
          <w:trHeight w:val="232"/>
        </w:trPr>
        <w:tc>
          <w:tcPr>
            <w:tcW w:w="554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Balance at March 31, 2022</w:t>
            </w:r>
          </w:p>
        </w:tc>
        <w:tc>
          <w:tcPr>
            <w:tcW w:w="120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922,214</w:t>
            </w:r>
          </w:p>
        </w:tc>
      </w:tr>
    </w:tbl>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accounting purposes, unvested shares of common stock are considered issued, but not outstanding until they vest.</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Common stock reserved for future issuance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40" w:type="dxa"/>
            <w:vAlign w:val="bottom"/>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240" w:type="dxa"/>
            <w:vAlign w:val="bottom"/>
          </w:tcPr>
          <w:p>
            <w:pPr>
              <w:spacing w:after="0"/>
              <w:rPr>
                <w:sz w:val="12"/>
                <w:szCs w:val="12"/>
                <w:color w:val="auto"/>
              </w:rPr>
            </w:pPr>
          </w:p>
        </w:tc>
      </w:tr>
      <w:tr>
        <w:trPr>
          <w:trHeight w:val="172"/>
        </w:trPr>
        <w:tc>
          <w:tcPr>
            <w:tcW w:w="22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40" w:type="dxa"/>
            <w:vAlign w:val="bottom"/>
          </w:tcPr>
          <w:p>
            <w:pPr>
              <w:spacing w:after="0"/>
              <w:rPr>
                <w:sz w:val="14"/>
                <w:szCs w:val="14"/>
                <w:color w:val="auto"/>
              </w:rPr>
            </w:pPr>
          </w:p>
        </w:tc>
      </w:tr>
      <w:tr>
        <w:trPr>
          <w:trHeight w:val="192"/>
        </w:trPr>
        <w:tc>
          <w:tcPr>
            <w:tcW w:w="2260" w:type="dxa"/>
            <w:vAlign w:val="bottom"/>
          </w:tcPr>
          <w:p>
            <w:pPr>
              <w:spacing w:after="0"/>
              <w:rPr>
                <w:sz w:val="16"/>
                <w:szCs w:val="16"/>
                <w:color w:val="auto"/>
              </w:rPr>
            </w:pPr>
          </w:p>
        </w:tc>
        <w:tc>
          <w:tcPr>
            <w:tcW w:w="530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Common stock warrants</w:t>
            </w:r>
          </w:p>
        </w:tc>
        <w:tc>
          <w:tcPr>
            <w:tcW w:w="1440" w:type="dxa"/>
            <w:vAlign w:val="bottom"/>
            <w:shd w:val="clear" w:color="auto" w:fill="CFF0FC"/>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rPr>
              <w:t>91,228</w:t>
            </w:r>
          </w:p>
        </w:tc>
        <w:tc>
          <w:tcPr>
            <w:tcW w:w="2240" w:type="dxa"/>
            <w:vAlign w:val="bottom"/>
          </w:tcPr>
          <w:p>
            <w:pPr>
              <w:spacing w:after="0"/>
              <w:rPr>
                <w:sz w:val="16"/>
                <w:szCs w:val="16"/>
                <w:color w:val="auto"/>
              </w:rPr>
            </w:pPr>
          </w:p>
        </w:tc>
      </w:tr>
      <w:tr>
        <w:trPr>
          <w:trHeight w:val="200"/>
        </w:trPr>
        <w:tc>
          <w:tcPr>
            <w:tcW w:w="22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PSUs and RSUs outstanding</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6,074,576</w:t>
            </w:r>
          </w:p>
        </w:tc>
        <w:tc>
          <w:tcPr>
            <w:tcW w:w="2240" w:type="dxa"/>
            <w:vAlign w:val="bottom"/>
          </w:tcPr>
          <w:p>
            <w:pPr>
              <w:spacing w:after="0"/>
              <w:rPr>
                <w:sz w:val="17"/>
                <w:szCs w:val="17"/>
                <w:color w:val="auto"/>
              </w:rPr>
            </w:pPr>
          </w:p>
        </w:tc>
      </w:tr>
      <w:tr>
        <w:trPr>
          <w:trHeight w:val="200"/>
        </w:trPr>
        <w:tc>
          <w:tcPr>
            <w:tcW w:w="2260" w:type="dxa"/>
            <w:vAlign w:val="bottom"/>
          </w:tcPr>
          <w:p>
            <w:pPr>
              <w:spacing w:after="0"/>
              <w:rPr>
                <w:sz w:val="17"/>
                <w:szCs w:val="17"/>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Shares available for issuance under the 2019 Incentive Plan</w:t>
            </w:r>
          </w:p>
        </w:tc>
        <w:tc>
          <w:tcPr>
            <w:tcW w:w="14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rPr>
              <w:t>1,861,999</w:t>
            </w:r>
          </w:p>
        </w:tc>
        <w:tc>
          <w:tcPr>
            <w:tcW w:w="2240" w:type="dxa"/>
            <w:vAlign w:val="bottom"/>
          </w:tcPr>
          <w:p>
            <w:pPr>
              <w:spacing w:after="0"/>
              <w:rPr>
                <w:sz w:val="17"/>
                <w:szCs w:val="17"/>
                <w:color w:val="auto"/>
              </w:rPr>
            </w:pPr>
          </w:p>
        </w:tc>
      </w:tr>
      <w:tr>
        <w:trPr>
          <w:trHeight w:val="200"/>
        </w:trPr>
        <w:tc>
          <w:tcPr>
            <w:tcW w:w="22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Shares available for issuance under the ESPP Plan</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802,085</w:t>
            </w:r>
          </w:p>
        </w:tc>
        <w:tc>
          <w:tcPr>
            <w:tcW w:w="2240" w:type="dxa"/>
            <w:vAlign w:val="bottom"/>
          </w:tcPr>
          <w:p>
            <w:pPr>
              <w:spacing w:after="0"/>
              <w:rPr>
                <w:sz w:val="17"/>
                <w:szCs w:val="17"/>
                <w:color w:val="auto"/>
              </w:rPr>
            </w:pPr>
          </w:p>
        </w:tc>
      </w:tr>
      <w:tr>
        <w:trPr>
          <w:trHeight w:val="232"/>
        </w:trPr>
        <w:tc>
          <w:tcPr>
            <w:tcW w:w="2260" w:type="dxa"/>
            <w:vAlign w:val="bottom"/>
          </w:tcPr>
          <w:p>
            <w:pPr>
              <w:spacing w:after="0"/>
              <w:rPr>
                <w:sz w:val="20"/>
                <w:szCs w:val="20"/>
                <w:color w:val="auto"/>
              </w:rPr>
            </w:pPr>
          </w:p>
        </w:tc>
        <w:tc>
          <w:tcPr>
            <w:tcW w:w="530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Balance at March 31, 2022</w:t>
            </w:r>
          </w:p>
        </w:tc>
        <w:tc>
          <w:tcPr>
            <w:tcW w:w="1440" w:type="dxa"/>
            <w:vAlign w:val="bottom"/>
            <w:tcBorders>
              <w:bottom w:val="single" w:sz="8" w:color="auto"/>
            </w:tcBorders>
            <w:shd w:val="clear" w:color="auto" w:fill="CFF0FC"/>
          </w:tcPr>
          <w:p>
            <w:pPr>
              <w:jc w:val="right"/>
              <w:ind w:right="2"/>
              <w:spacing w:after="0" w:line="193" w:lineRule="exact"/>
              <w:rPr>
                <w:sz w:val="20"/>
                <w:szCs w:val="20"/>
                <w:color w:val="auto"/>
              </w:rPr>
            </w:pPr>
            <w:r>
              <w:rPr>
                <w:rFonts w:ascii="Times New Roman" w:cs="Times New Roman" w:eastAsia="Times New Roman" w:hAnsi="Times New Roman"/>
                <w:sz w:val="17"/>
                <w:szCs w:val="17"/>
                <w:color w:val="auto"/>
              </w:rPr>
              <w:t>8,829,888</w:t>
            </w:r>
          </w:p>
        </w:tc>
        <w:tc>
          <w:tcPr>
            <w:tcW w:w="2240" w:type="dxa"/>
            <w:vAlign w:val="bottom"/>
          </w:tcPr>
          <w:p>
            <w:pPr>
              <w:spacing w:after="0"/>
              <w:rPr>
                <w:sz w:val="20"/>
                <w:szCs w:val="20"/>
                <w:color w:val="auto"/>
              </w:rPr>
            </w:pPr>
          </w:p>
        </w:tc>
      </w:tr>
      <w:tr>
        <w:trPr>
          <w:trHeight w:val="564"/>
        </w:trPr>
        <w:tc>
          <w:tcPr>
            <w:tcW w:w="2260" w:type="dxa"/>
            <w:vAlign w:val="bottom"/>
          </w:tcPr>
          <w:p>
            <w:pPr>
              <w:spacing w:after="0"/>
              <w:rPr>
                <w:sz w:val="24"/>
                <w:szCs w:val="24"/>
                <w:color w:val="auto"/>
              </w:rPr>
            </w:pPr>
          </w:p>
        </w:tc>
        <w:tc>
          <w:tcPr>
            <w:tcW w:w="5300" w:type="dxa"/>
            <w:vAlign w:val="bottom"/>
          </w:tcPr>
          <w:p>
            <w:pPr>
              <w:ind w:left="3200"/>
              <w:spacing w:after="0"/>
              <w:rPr>
                <w:sz w:val="20"/>
                <w:szCs w:val="20"/>
                <w:color w:val="auto"/>
              </w:rPr>
            </w:pPr>
            <w:r>
              <w:rPr>
                <w:rFonts w:ascii="Times New Roman" w:cs="Times New Roman" w:eastAsia="Times New Roman" w:hAnsi="Times New Roman"/>
                <w:sz w:val="17"/>
                <w:szCs w:val="17"/>
                <w:color w:val="auto"/>
              </w:rPr>
              <w:t>F-15</w:t>
            </w:r>
          </w:p>
        </w:tc>
        <w:tc>
          <w:tcPr>
            <w:tcW w:w="1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92"/>
        </w:trPr>
        <w:tc>
          <w:tcPr>
            <w:tcW w:w="226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58" w:lineRule="exact"/>
        <w:rPr>
          <w:sz w:val="20"/>
          <w:szCs w:val="20"/>
          <w:color w:val="auto"/>
        </w:rPr>
      </w:pPr>
    </w:p>
    <w:p>
      <w:pPr>
        <w:ind w:right="100" w:firstLine="510"/>
        <w:spacing w:after="0" w:line="270" w:lineRule="auto"/>
        <w:rPr>
          <w:sz w:val="20"/>
          <w:szCs w:val="20"/>
          <w:color w:val="auto"/>
        </w:rPr>
      </w:pPr>
      <w:r>
        <w:rPr>
          <w:rFonts w:ascii="Times New Roman" w:cs="Times New Roman" w:eastAsia="Times New Roman" w:hAnsi="Times New Roman"/>
          <w:sz w:val="17"/>
          <w:szCs w:val="17"/>
          <w:color w:val="auto"/>
        </w:rPr>
        <w:t>The Company is authorized to issue up to 40 million shares of preferred stock. As of March 31, 2022 and December 31, 2021, there were no shares of preferred stock issued or outstanding.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w:t>
      </w:r>
    </w:p>
    <w:p>
      <w:pPr>
        <w:spacing w:after="0" w:line="171" w:lineRule="exact"/>
        <w:rPr>
          <w:sz w:val="20"/>
          <w:szCs w:val="20"/>
          <w:color w:val="auto"/>
        </w:rPr>
      </w:pPr>
    </w:p>
    <w:p>
      <w:pPr>
        <w:ind w:right="160" w:firstLine="510"/>
        <w:spacing w:after="0"/>
        <w:rPr>
          <w:sz w:val="20"/>
          <w:szCs w:val="20"/>
          <w:color w:val="auto"/>
        </w:rPr>
      </w:pPr>
      <w:r>
        <w:rPr>
          <w:rFonts w:ascii="Times New Roman" w:cs="Times New Roman" w:eastAsia="Times New Roman" w:hAnsi="Times New Roman"/>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As a result of the adoption of the 2019 Incentive Award Plan (the “2019 Plan”) in October 2019, no further shares are available for issuance under the Existing Incentive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Incentive Award Plan</w:t>
      </w:r>
    </w:p>
    <w:p>
      <w:pPr>
        <w:spacing w:after="0" w:line="158" w:lineRule="exact"/>
        <w:rPr>
          <w:sz w:val="20"/>
          <w:szCs w:val="20"/>
          <w:color w:val="auto"/>
        </w:rPr>
      </w:pPr>
    </w:p>
    <w:p>
      <w:pPr>
        <w:ind w:firstLine="510"/>
        <w:spacing w:after="0" w:line="238" w:lineRule="auto"/>
        <w:rPr>
          <w:sz w:val="20"/>
          <w:szCs w:val="20"/>
          <w:color w:val="auto"/>
        </w:rPr>
      </w:pPr>
      <w:r>
        <w:rPr>
          <w:rFonts w:ascii="Times New Roman" w:cs="Times New Roman" w:eastAsia="Times New Roman" w:hAnsi="Times New Roman"/>
          <w:sz w:val="17"/>
          <w:szCs w:val="17"/>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As of March 31, 2022, 1,861,999 shares remain available for issuance, which reflects 1,520,009 of stock option, performance-based unit, or PSU, and restricted stock unit, or RSU, awards granted, and 26,462 of awards cancelled or forfeited, during the three months ended March 31, 2022 as well as an annual increase of 1,582,802 shares authorized on January 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Units</w:t>
      </w:r>
    </w:p>
    <w:p>
      <w:pPr>
        <w:spacing w:after="0" w:line="169" w:lineRule="exact"/>
        <w:rPr>
          <w:sz w:val="20"/>
          <w:szCs w:val="20"/>
          <w:color w:val="auto"/>
        </w:rPr>
      </w:pPr>
    </w:p>
    <w:p>
      <w:pPr>
        <w:ind w:firstLine="510"/>
        <w:spacing w:after="0" w:line="244" w:lineRule="auto"/>
        <w:rPr>
          <w:sz w:val="20"/>
          <w:szCs w:val="20"/>
          <w:color w:val="auto"/>
        </w:rPr>
      </w:pPr>
      <w:r>
        <w:rPr>
          <w:rFonts w:ascii="Times New Roman" w:cs="Times New Roman" w:eastAsia="Times New Roman" w:hAnsi="Times New Roman"/>
          <w:sz w:val="17"/>
          <w:szCs w:val="17"/>
          <w:color w:val="auto"/>
        </w:rPr>
        <w:t xml:space="preserve">During 2020, the Company granted the initial PSUs whereby vesting depends upon the approval by the FDA of vonoprazan for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and then, or concurrent with, erosive esophagitis. In 2022, the Company granted an additional 37,500 PSUs to employees. As of March 31, 2022, the PSU milestones had not been achieved and no related compensation cost had been recognized. The following table summarizes PSU activity under the 2019 Incentive Award Plan during the three months ended March 31, 2022.</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1500" w:type="dxa"/>
            <w:vAlign w:val="bottom"/>
            <w:vMerge w:val="restart"/>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84"/>
              <w:spacing w:after="0" w:line="138" w:lineRule="exact"/>
              <w:rPr>
                <w:sz w:val="20"/>
                <w:szCs w:val="20"/>
                <w:color w:val="auto"/>
              </w:rPr>
            </w:pPr>
            <w:r>
              <w:rPr>
                <w:rFonts w:ascii="Times New Roman" w:cs="Times New Roman" w:eastAsia="Times New Roman" w:hAnsi="Times New Roman"/>
                <w:sz w:val="13"/>
                <w:szCs w:val="13"/>
                <w:b w:val="1"/>
                <w:bCs w:val="1"/>
                <w:color w:val="auto"/>
              </w:rPr>
              <w:t>Average Grant</w:t>
            </w: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64"/>
              <w:spacing w:after="0" w:line="138" w:lineRule="exact"/>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172"/>
        </w:trPr>
        <w:tc>
          <w:tcPr>
            <w:tcW w:w="4760" w:type="dxa"/>
            <w:vAlign w:val="bottom"/>
          </w:tcPr>
          <w:p>
            <w:pPr>
              <w:spacing w:after="0"/>
              <w:rPr>
                <w:sz w:val="14"/>
                <w:szCs w:val="14"/>
                <w:color w:val="auto"/>
              </w:rPr>
            </w:pPr>
          </w:p>
        </w:tc>
        <w:tc>
          <w:tcPr>
            <w:tcW w:w="15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Stock Units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92"/>
        </w:trPr>
        <w:tc>
          <w:tcPr>
            <w:tcW w:w="476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Unvested balance at December 31, 2021</w:t>
            </w:r>
          </w:p>
        </w:tc>
        <w:tc>
          <w:tcPr>
            <w:tcW w:w="1500" w:type="dxa"/>
            <w:vAlign w:val="bottom"/>
            <w:shd w:val="clear" w:color="auto" w:fill="CFF0FC"/>
          </w:tcPr>
          <w:p>
            <w:pPr>
              <w:jc w:val="right"/>
              <w:ind w:right="42"/>
              <w:spacing w:after="0" w:line="193" w:lineRule="exact"/>
              <w:rPr>
                <w:sz w:val="20"/>
                <w:szCs w:val="20"/>
                <w:color w:val="auto"/>
              </w:rPr>
            </w:pPr>
            <w:r>
              <w:rPr>
                <w:rFonts w:ascii="Times New Roman" w:cs="Times New Roman" w:eastAsia="Times New Roman" w:hAnsi="Times New Roman"/>
                <w:sz w:val="17"/>
                <w:szCs w:val="17"/>
                <w:color w:val="auto"/>
              </w:rPr>
              <w:t>394,300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4"/>
              <w:spacing w:after="0" w:line="193" w:lineRule="exact"/>
              <w:rPr>
                <w:sz w:val="20"/>
                <w:szCs w:val="20"/>
                <w:color w:val="auto"/>
              </w:rPr>
            </w:pPr>
            <w:r>
              <w:rPr>
                <w:rFonts w:ascii="Times New Roman" w:cs="Times New Roman" w:eastAsia="Times New Roman" w:hAnsi="Times New Roman"/>
                <w:sz w:val="17"/>
                <w:szCs w:val="17"/>
                <w:color w:val="auto"/>
              </w:rPr>
              <w:t>32.23</w:t>
            </w:r>
          </w:p>
        </w:tc>
        <w:tc>
          <w:tcPr>
            <w:tcW w:w="0" w:type="dxa"/>
            <w:vAlign w:val="bottom"/>
          </w:tcPr>
          <w:p>
            <w:pPr>
              <w:spacing w:after="0"/>
              <w:rPr>
                <w:sz w:val="1"/>
                <w:szCs w:val="1"/>
                <w:color w:val="auto"/>
              </w:rPr>
            </w:pPr>
          </w:p>
        </w:tc>
      </w:tr>
      <w:tr>
        <w:trPr>
          <w:trHeight w:val="200"/>
        </w:trPr>
        <w:tc>
          <w:tcPr>
            <w:tcW w:w="4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37,500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20.06</w:t>
            </w:r>
          </w:p>
        </w:tc>
        <w:tc>
          <w:tcPr>
            <w:tcW w:w="0" w:type="dxa"/>
            <w:vAlign w:val="bottom"/>
          </w:tcPr>
          <w:p>
            <w:pPr>
              <w:spacing w:after="0"/>
              <w:rPr>
                <w:sz w:val="1"/>
                <w:szCs w:val="1"/>
                <w:color w:val="auto"/>
              </w:rPr>
            </w:pPr>
          </w:p>
        </w:tc>
      </w:tr>
      <w:tr>
        <w:trPr>
          <w:trHeight w:val="200"/>
        </w:trPr>
        <w:tc>
          <w:tcPr>
            <w:tcW w:w="4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34.93</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Unvested balance at March 31, 2022</w:t>
            </w:r>
          </w:p>
        </w:tc>
        <w:tc>
          <w:tcPr>
            <w:tcW w:w="1500" w:type="dxa"/>
            <w:vAlign w:val="bottom"/>
            <w:tcBorders>
              <w:bottom w:val="single" w:sz="8" w:color="auto"/>
            </w:tcBorders>
            <w:shd w:val="clear" w:color="auto" w:fill="CFF0FC"/>
          </w:tcPr>
          <w:p>
            <w:pPr>
              <w:jc w:val="right"/>
              <w:ind w:right="42"/>
              <w:spacing w:after="0" w:line="193" w:lineRule="exact"/>
              <w:rPr>
                <w:sz w:val="20"/>
                <w:szCs w:val="20"/>
                <w:color w:val="auto"/>
              </w:rPr>
            </w:pPr>
            <w:r>
              <w:rPr>
                <w:rFonts w:ascii="Times New Roman" w:cs="Times New Roman" w:eastAsia="Times New Roman" w:hAnsi="Times New Roman"/>
                <w:sz w:val="17"/>
                <w:szCs w:val="17"/>
                <w:color w:val="auto"/>
              </w:rPr>
              <w:t>430,550</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4"/>
              <w:spacing w:after="0" w:line="193" w:lineRule="exact"/>
              <w:rPr>
                <w:sz w:val="20"/>
                <w:szCs w:val="20"/>
                <w:color w:val="auto"/>
              </w:rPr>
            </w:pPr>
            <w:r>
              <w:rPr>
                <w:rFonts w:ascii="Times New Roman" w:cs="Times New Roman" w:eastAsia="Times New Roman" w:hAnsi="Times New Roman"/>
                <w:sz w:val="17"/>
                <w:szCs w:val="17"/>
                <w:color w:val="auto"/>
              </w:rPr>
              <w:t>31.16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-6985</wp:posOffset>
            </wp:positionV>
            <wp:extent cx="7937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375" cy="762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As of March 31, 2022, there was approximately $13.4 million of related unrecognized compensation cost, which will begin to be recognized upon vesting.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58" w:lineRule="exact"/>
        <w:rPr>
          <w:sz w:val="20"/>
          <w:szCs w:val="20"/>
          <w:color w:val="auto"/>
        </w:rPr>
      </w:pPr>
    </w:p>
    <w:p>
      <w:pPr>
        <w:ind w:right="120" w:firstLine="510"/>
        <w:spacing w:after="0" w:line="270" w:lineRule="auto"/>
        <w:rPr>
          <w:sz w:val="20"/>
          <w:szCs w:val="20"/>
          <w:color w:val="auto"/>
        </w:rPr>
      </w:pPr>
      <w:r>
        <w:rPr>
          <w:rFonts w:ascii="Times New Roman" w:cs="Times New Roman" w:eastAsia="Times New Roman" w:hAnsi="Times New Roman"/>
          <w:sz w:val="17"/>
          <w:szCs w:val="17"/>
          <w:color w:val="auto"/>
        </w:rPr>
        <w:t>During 2022, the Company granted 244,087 RSUs with vesting over time. The following table summarizes RSU activity under the 2019 Incentive Award Plan during the three months ended March 31, 2022.</w:t>
      </w:r>
    </w:p>
    <w:p>
      <w:pPr>
        <w:spacing w:after="0" w:line="129"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Average Grant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60" w:type="dxa"/>
            <w:vAlign w:val="bottom"/>
            <w:gridSpan w:val="2"/>
          </w:tcPr>
          <w:p>
            <w:pPr>
              <w:jc w:val="right"/>
              <w:ind w:right="640"/>
              <w:spacing w:after="0" w:line="13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1"/>
                <w:szCs w:val="11"/>
                <w:color w:val="auto"/>
              </w:rPr>
            </w:pPr>
          </w:p>
        </w:tc>
        <w:tc>
          <w:tcPr>
            <w:tcW w:w="1260" w:type="dxa"/>
            <w:vAlign w:val="bottom"/>
          </w:tcPr>
          <w:p>
            <w:pPr>
              <w:jc w:val="center"/>
              <w:ind w:right="124"/>
              <w:spacing w:after="0" w:line="138" w:lineRule="exact"/>
              <w:rPr>
                <w:sz w:val="20"/>
                <w:szCs w:val="20"/>
                <w:color w:val="auto"/>
              </w:rPr>
            </w:pPr>
            <w:r>
              <w:rPr>
                <w:rFonts w:ascii="Times New Roman" w:cs="Times New Roman" w:eastAsia="Times New Roman" w:hAnsi="Times New Roman"/>
                <w:sz w:val="13"/>
                <w:szCs w:val="13"/>
                <w:b w:val="1"/>
                <w:bCs w:val="1"/>
                <w:color w:val="auto"/>
              </w:rPr>
              <w:t>Date 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Unvested balance at December 31, 2021</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Stock Units</w:t>
            </w:r>
          </w:p>
        </w:tc>
        <w:tc>
          <w:tcPr>
            <w:tcW w:w="180" w:type="dxa"/>
            <w:vAlign w:val="bottom"/>
          </w:tcPr>
          <w:p>
            <w:pPr>
              <w:spacing w:after="0"/>
              <w:rPr>
                <w:sz w:val="14"/>
                <w:szCs w:val="14"/>
                <w:color w:val="auto"/>
              </w:rPr>
            </w:pPr>
          </w:p>
        </w:tc>
        <w:tc>
          <w:tcPr>
            <w:tcW w:w="126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244,087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(900 )</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00" w:type="dxa"/>
            <w:vAlign w:val="bottom"/>
            <w:tcBorders>
              <w:top w:val="single" w:sz="8" w:color="CFF0FC"/>
            </w:tcBorders>
          </w:tcPr>
          <w:p>
            <w:pPr>
              <w:spacing w:after="0" w:line="193" w:lineRule="exact"/>
              <w:rPr>
                <w:sz w:val="20"/>
                <w:szCs w:val="20"/>
                <w:color w:val="auto"/>
              </w:rPr>
            </w:pPr>
            <w:r>
              <w:rPr>
                <w:rFonts w:ascii="Times New Roman" w:cs="Times New Roman" w:eastAsia="Times New Roman" w:hAnsi="Times New Roman"/>
                <w:sz w:val="17"/>
                <w:szCs w:val="17"/>
                <w:color w:val="auto"/>
              </w:rPr>
              <w:t>Unvested balance at March 31, 2022</w:t>
            </w:r>
          </w:p>
        </w:tc>
        <w:tc>
          <w:tcPr>
            <w:tcW w:w="14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243,187</w:t>
            </w: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15.31</w:t>
            </w: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-142240</wp:posOffset>
            </wp:positionV>
            <wp:extent cx="711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-142240</wp:posOffset>
            </wp:positionV>
            <wp:extent cx="393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370" cy="7620"/>
                    </a:xfrm>
                    <a:prstGeom prst="rect">
                      <a:avLst/>
                    </a:prstGeom>
                    <a:noFill/>
                  </pic:spPr>
                </pic:pic>
              </a:graphicData>
            </a:graphic>
          </wp:anchor>
        </w:drawing>
      </w:r>
    </w:p>
    <w:p>
      <w:pPr>
        <w:spacing w:after="0" w:line="138"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7"/>
          <w:szCs w:val="17"/>
          <w:color w:val="auto"/>
        </w:rPr>
        <w:t>As of March 31, 2022, the Company had $3.5 million of unrecognized stock-based compensation expense, which is expected to be recognized over a weighted-average period of 2.8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58" w:lineRule="exact"/>
        <w:rPr>
          <w:sz w:val="20"/>
          <w:szCs w:val="20"/>
          <w:color w:val="auto"/>
        </w:rPr>
      </w:pPr>
    </w:p>
    <w:p>
      <w:pPr>
        <w:ind w:firstLine="510"/>
        <w:spacing w:after="0" w:line="238" w:lineRule="auto"/>
        <w:rPr>
          <w:sz w:val="20"/>
          <w:szCs w:val="20"/>
          <w:color w:val="auto"/>
        </w:rPr>
      </w:pPr>
      <w:r>
        <w:rPr>
          <w:rFonts w:ascii="Times New Roman" w:cs="Times New Roman" w:eastAsia="Times New Roman" w:hAnsi="Times New Roman"/>
          <w:sz w:val="17"/>
          <w:szCs w:val="17"/>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March 31, 2022, 802,085 shares of common stock remain available for issuance, which includes the 39,951 shares sold to employees during the three months ended March 31, 2022.</w:t>
      </w:r>
    </w:p>
    <w:p>
      <w:pPr>
        <w:spacing w:after="0" w:line="147" w:lineRule="exact"/>
        <w:rPr>
          <w:sz w:val="20"/>
          <w:szCs w:val="20"/>
          <w:color w:val="auto"/>
        </w:rPr>
      </w:pPr>
    </w:p>
    <w:p>
      <w:pPr>
        <w:ind w:right="20" w:firstLine="510"/>
        <w:spacing w:after="0" w:line="286" w:lineRule="auto"/>
        <w:rPr>
          <w:sz w:val="20"/>
          <w:szCs w:val="20"/>
          <w:color w:val="auto"/>
        </w:rPr>
      </w:pPr>
      <w:r>
        <w:rPr>
          <w:rFonts w:ascii="Times New Roman" w:cs="Times New Roman" w:eastAsia="Times New Roman" w:hAnsi="Times New Roman"/>
          <w:sz w:val="16"/>
          <w:szCs w:val="16"/>
          <w:color w:val="auto"/>
        </w:rPr>
        <w:t>The ESPP is considered a compensatory plan, and the Company recorded related stock-based compensation of $0.1 million for the three months ended March 31, 2022 and 2021. The weighted-average assumptions used to estimate the fair value of ESPP awards using the Black-Scholes option valuation model were as follows:</w:t>
      </w:r>
    </w:p>
    <w:p>
      <w:pPr>
        <w:spacing w:after="0" w:line="130"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4"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7"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0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506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Assumptions:</w:t>
            </w:r>
          </w:p>
        </w:tc>
        <w:tc>
          <w:tcPr>
            <w:tcW w:w="7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r>
      <w:tr>
        <w:trPr>
          <w:trHeight w:val="20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Expected term (in years)</w:t>
            </w: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0.49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0.75</w:t>
            </w:r>
          </w:p>
        </w:tc>
      </w:tr>
      <w:tr>
        <w:trPr>
          <w:trHeight w:val="200"/>
        </w:trPr>
        <w:tc>
          <w:tcPr>
            <w:tcW w:w="5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Expected volatility</w:t>
            </w:r>
          </w:p>
        </w:tc>
        <w:tc>
          <w:tcPr>
            <w:tcW w:w="6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5"/>
              </w:rPr>
              <w:t>72.41 %</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81.83 %</w:t>
            </w:r>
          </w:p>
        </w:tc>
      </w:tr>
      <w:tr>
        <w:trPr>
          <w:trHeight w:val="20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Risk free interest rate</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0.37 %</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0.10 %</w:t>
            </w:r>
          </w:p>
        </w:tc>
      </w:tr>
      <w:tr>
        <w:trPr>
          <w:trHeight w:val="200"/>
        </w:trPr>
        <w:tc>
          <w:tcPr>
            <w:tcW w:w="5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Dividend yield</w:t>
            </w:r>
          </w:p>
        </w:tc>
        <w:tc>
          <w:tcPr>
            <w:tcW w:w="66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r>
    </w:tbl>
    <w:p>
      <w:pPr>
        <w:spacing w:after="0" w:line="321"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7"/>
          <w:szCs w:val="17"/>
          <w:color w:val="auto"/>
        </w:rPr>
        <w:t>The estimated weighted-average fair value of ESPP awards for the three months ended March 31, 2022 and 2021, were $5.31 and $15.85, respectively. As of March 31, 2022, the total unrecognized compensation expense related to the ESPP was $0.2 million, which is expected to be recognized over a weighted-average period of approximately 0.3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8" w:lineRule="exact"/>
        <w:rPr>
          <w:sz w:val="20"/>
          <w:szCs w:val="20"/>
          <w:color w:val="auto"/>
        </w:rPr>
      </w:pPr>
    </w:p>
    <w:p>
      <w:pPr>
        <w:ind w:right="160" w:firstLine="510"/>
        <w:spacing w:after="0" w:line="243" w:lineRule="auto"/>
        <w:rPr>
          <w:sz w:val="20"/>
          <w:szCs w:val="20"/>
          <w:color w:val="auto"/>
        </w:rPr>
      </w:pPr>
      <w:r>
        <w:rPr>
          <w:rFonts w:ascii="Times New Roman" w:cs="Times New Roman" w:eastAsia="Times New Roman" w:hAnsi="Times New Roman"/>
          <w:sz w:val="17"/>
          <w:szCs w:val="17"/>
          <w:color w:val="auto"/>
        </w:rPr>
        <w:t>The Company established a 401(k) savings plan during the year ended December 31, 2020. The Company’s contributions to the plan are discretionary. During the three months ended March 31, 2022 and 2021, the Company incurred $0.6 and $0.4 million, respectively, of expense related to estimated employer contribution liabilities, which was based on a 75% match of employees’ contributions during the periods. In August 2021, the Board of Directors approved a semi-annual discretionary match for 2021, which was settled by contributing 18,394 shares. In January 2022, the Board of Directors approved a second semi-annual discretionary match for 2021, which was settled by contributing 16,756 shares.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51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58" w:lineRule="exact"/>
        <w:rPr>
          <w:sz w:val="20"/>
          <w:szCs w:val="20"/>
          <w:color w:val="auto"/>
        </w:rPr>
      </w:pPr>
    </w:p>
    <w:p>
      <w:pPr>
        <w:ind w:right="20" w:firstLine="510"/>
        <w:spacing w:after="0" w:line="239" w:lineRule="auto"/>
        <w:rPr>
          <w:sz w:val="20"/>
          <w:szCs w:val="20"/>
          <w:color w:val="auto"/>
        </w:rPr>
      </w:pPr>
      <w:r>
        <w:rPr>
          <w:rFonts w:ascii="Times New Roman" w:cs="Times New Roman" w:eastAsia="Times New Roman" w:hAnsi="Times New Roman"/>
          <w:sz w:val="17"/>
          <w:szCs w:val="17"/>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summary of the Company’s stock option activity and related information is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2"/>
                <w:szCs w:val="12"/>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4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203"/>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130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206"/>
              <w:spacing w:after="0" w:line="13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360" w:type="dxa"/>
            <w:vAlign w:val="bottom"/>
          </w:tcPr>
          <w:p>
            <w:pPr>
              <w:jc w:val="right"/>
              <w:ind w:right="441"/>
              <w:spacing w:after="0" w:line="147"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223"/>
              <w:spacing w:after="0" w:line="14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2"/>
                <w:szCs w:val="12"/>
                <w:color w:val="auto"/>
              </w:rPr>
            </w:pPr>
          </w:p>
        </w:tc>
        <w:tc>
          <w:tcPr>
            <w:tcW w:w="130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06"/>
              <w:spacing w:after="0" w:line="147" w:lineRule="exact"/>
              <w:rPr>
                <w:sz w:val="20"/>
                <w:szCs w:val="20"/>
                <w:color w:val="auto"/>
              </w:rPr>
            </w:pPr>
            <w:r>
              <w:rPr>
                <w:rFonts w:ascii="Times New Roman" w:cs="Times New Roman" w:eastAsia="Times New Roman" w:hAnsi="Times New Roman"/>
                <w:sz w:val="13"/>
                <w:szCs w:val="13"/>
                <w:b w:val="1"/>
                <w:bCs w:val="1"/>
                <w:color w:val="auto"/>
              </w:rPr>
              <w:t>Value (in</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15"/>
                <w:szCs w:val="15"/>
                <w:color w:val="auto"/>
              </w:rPr>
            </w:pPr>
          </w:p>
        </w:tc>
        <w:tc>
          <w:tcPr>
            <w:tcW w:w="13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Balance at December 31, 2021</w:t>
            </w:r>
          </w:p>
        </w:tc>
        <w:tc>
          <w:tcPr>
            <w:tcW w:w="1360" w:type="dxa"/>
            <w:vAlign w:val="bottom"/>
            <w:shd w:val="clear" w:color="auto" w:fill="CFF0FC"/>
          </w:tcPr>
          <w:p>
            <w:pPr>
              <w:jc w:val="right"/>
              <w:ind w:right="61"/>
              <w:spacing w:after="0" w:line="193" w:lineRule="exact"/>
              <w:rPr>
                <w:sz w:val="20"/>
                <w:szCs w:val="20"/>
                <w:color w:val="auto"/>
              </w:rPr>
            </w:pPr>
            <w:r>
              <w:rPr>
                <w:rFonts w:ascii="Times New Roman" w:cs="Times New Roman" w:eastAsia="Times New Roman" w:hAnsi="Times New Roman"/>
                <w:sz w:val="17"/>
                <w:szCs w:val="17"/>
                <w:color w:val="auto"/>
              </w:rPr>
              <w:t>4,186,729</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23"/>
              <w:spacing w:after="0" w:line="193" w:lineRule="exact"/>
              <w:rPr>
                <w:sz w:val="20"/>
                <w:szCs w:val="20"/>
                <w:color w:val="auto"/>
              </w:rPr>
            </w:pPr>
            <w:r>
              <w:rPr>
                <w:rFonts w:ascii="Times New Roman" w:cs="Times New Roman" w:eastAsia="Times New Roman" w:hAnsi="Times New Roman"/>
                <w:sz w:val="17"/>
                <w:szCs w:val="17"/>
                <w:color w:val="auto"/>
              </w:rPr>
              <w:t>27.53</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9"/>
              <w:spacing w:after="0" w:line="193" w:lineRule="exact"/>
              <w:rPr>
                <w:sz w:val="20"/>
                <w:szCs w:val="20"/>
                <w:color w:val="auto"/>
              </w:rPr>
            </w:pPr>
            <w:r>
              <w:rPr>
                <w:rFonts w:ascii="Times New Roman" w:cs="Times New Roman" w:eastAsia="Times New Roman" w:hAnsi="Times New Roman"/>
                <w:sz w:val="17"/>
                <w:szCs w:val="17"/>
                <w:color w:val="auto"/>
              </w:rPr>
              <w:t>8.43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26"/>
              <w:spacing w:after="0" w:line="193" w:lineRule="exact"/>
              <w:rPr>
                <w:sz w:val="20"/>
                <w:szCs w:val="20"/>
                <w:color w:val="auto"/>
              </w:rPr>
            </w:pPr>
            <w:r>
              <w:rPr>
                <w:rFonts w:ascii="Times New Roman" w:cs="Times New Roman" w:eastAsia="Times New Roman" w:hAnsi="Times New Roman"/>
                <w:sz w:val="17"/>
                <w:szCs w:val="17"/>
                <w:color w:val="auto"/>
              </w:rPr>
              <w:t>13,973</w:t>
            </w:r>
          </w:p>
        </w:tc>
        <w:tc>
          <w:tcPr>
            <w:tcW w:w="0" w:type="dxa"/>
            <w:vAlign w:val="bottom"/>
          </w:tcPr>
          <w:p>
            <w:pPr>
              <w:spacing w:after="0"/>
              <w:rPr>
                <w:sz w:val="1"/>
                <w:szCs w:val="1"/>
                <w:color w:val="auto"/>
              </w:rPr>
            </w:pPr>
          </w:p>
        </w:tc>
      </w:tr>
      <w:tr>
        <w:trPr>
          <w:trHeight w:val="200"/>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granted</w:t>
            </w: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rPr>
              <w:t>1,238,422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15.36</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Options exercised and shares vested</w:t>
            </w:r>
          </w:p>
        </w:tc>
        <w:tc>
          <w:tcPr>
            <w:tcW w:w="13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forfeited, expired or cancelled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(24,312 )</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rPr>
              <w:t>31.62</w:t>
            </w:r>
          </w:p>
        </w:tc>
        <w:tc>
          <w:tcPr>
            <w:tcW w:w="1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4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Balance at March 31, 2022</w:t>
            </w:r>
          </w:p>
        </w:tc>
        <w:tc>
          <w:tcPr>
            <w:tcW w:w="1360" w:type="dxa"/>
            <w:vAlign w:val="bottom"/>
            <w:tcBorders>
              <w:bottom w:val="single" w:sz="8" w:color="auto"/>
            </w:tcBorders>
            <w:shd w:val="clear" w:color="auto" w:fill="CFF0FC"/>
          </w:tcPr>
          <w:p>
            <w:pPr>
              <w:jc w:val="right"/>
              <w:ind w:right="61"/>
              <w:spacing w:after="0" w:line="193" w:lineRule="exact"/>
              <w:rPr>
                <w:sz w:val="20"/>
                <w:szCs w:val="20"/>
                <w:color w:val="auto"/>
              </w:rPr>
            </w:pPr>
            <w:r>
              <w:rPr>
                <w:rFonts w:ascii="Times New Roman" w:cs="Times New Roman" w:eastAsia="Times New Roman" w:hAnsi="Times New Roman"/>
                <w:sz w:val="17"/>
                <w:szCs w:val="17"/>
                <w:color w:val="auto"/>
              </w:rPr>
              <w:t>5,400,839</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23"/>
              <w:spacing w:after="0" w:line="193" w:lineRule="exact"/>
              <w:rPr>
                <w:sz w:val="20"/>
                <w:szCs w:val="20"/>
                <w:color w:val="auto"/>
              </w:rPr>
            </w:pPr>
            <w:r>
              <w:rPr>
                <w:rFonts w:ascii="Times New Roman" w:cs="Times New Roman" w:eastAsia="Times New Roman" w:hAnsi="Times New Roman"/>
                <w:sz w:val="17"/>
                <w:szCs w:val="17"/>
                <w:color w:val="auto"/>
              </w:rPr>
              <w:t>24.72</w:t>
            </w:r>
          </w:p>
        </w:tc>
        <w:tc>
          <w:tcPr>
            <w:tcW w:w="14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9"/>
              <w:spacing w:after="0" w:line="193" w:lineRule="exact"/>
              <w:rPr>
                <w:sz w:val="20"/>
                <w:szCs w:val="20"/>
                <w:color w:val="auto"/>
              </w:rPr>
            </w:pPr>
            <w:r>
              <w:rPr>
                <w:rFonts w:ascii="Times New Roman" w:cs="Times New Roman" w:eastAsia="Times New Roman" w:hAnsi="Times New Roman"/>
                <w:sz w:val="17"/>
                <w:szCs w:val="17"/>
                <w:color w:val="auto"/>
              </w:rPr>
              <w:t>8.56</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26"/>
              <w:spacing w:after="0" w:line="193" w:lineRule="exact"/>
              <w:rPr>
                <w:sz w:val="20"/>
                <w:szCs w:val="20"/>
                <w:color w:val="auto"/>
              </w:rPr>
            </w:pPr>
            <w:r>
              <w:rPr>
                <w:rFonts w:ascii="Times New Roman" w:cs="Times New Roman" w:eastAsia="Times New Roman" w:hAnsi="Times New Roman"/>
                <w:sz w:val="17"/>
                <w:szCs w:val="17"/>
                <w:color w:val="auto"/>
              </w:rPr>
              <w:t>6,168</w:t>
            </w:r>
          </w:p>
        </w:tc>
        <w:tc>
          <w:tcPr>
            <w:tcW w:w="0" w:type="dxa"/>
            <w:vAlign w:val="bottom"/>
          </w:tcPr>
          <w:p>
            <w:pPr>
              <w:spacing w:after="0"/>
              <w:rPr>
                <w:sz w:val="1"/>
                <w:szCs w:val="1"/>
                <w:color w:val="auto"/>
              </w:rPr>
            </w:pPr>
          </w:p>
        </w:tc>
      </w:tr>
      <w:tr>
        <w:trPr>
          <w:trHeight w:val="209"/>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exercisable as of March 31, 2022</w:t>
            </w: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rPr>
              <w:t>1,678,218</w:t>
            </w:r>
          </w:p>
        </w:tc>
        <w:tc>
          <w:tcPr>
            <w:tcW w:w="34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24.11</w:t>
            </w:r>
          </w:p>
        </w:tc>
        <w:tc>
          <w:tcPr>
            <w:tcW w:w="1440" w:type="dxa"/>
            <w:vAlign w:val="bottom"/>
            <w:gridSpan w:val="2"/>
          </w:tcPr>
          <w:p>
            <w:pPr>
              <w:jc w:val="right"/>
              <w:ind w:right="49"/>
              <w:spacing w:after="0"/>
              <w:rPr>
                <w:sz w:val="20"/>
                <w:szCs w:val="20"/>
                <w:color w:val="auto"/>
              </w:rPr>
            </w:pPr>
            <w:r>
              <w:rPr>
                <w:rFonts w:ascii="Times New Roman" w:cs="Times New Roman" w:eastAsia="Times New Roman" w:hAnsi="Times New Roman"/>
                <w:sz w:val="17"/>
                <w:szCs w:val="17"/>
                <w:color w:val="auto"/>
              </w:rPr>
              <w:t>7.89</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7"/>
                <w:szCs w:val="17"/>
                <w:color w:val="auto"/>
              </w:rPr>
              <w:t>3,462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-144780</wp:posOffset>
            </wp:positionV>
            <wp:extent cx="8699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-144780</wp:posOffset>
            </wp:positionV>
            <wp:extent cx="793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375" cy="7620"/>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-144780</wp:posOffset>
            </wp:positionV>
            <wp:extent cx="793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9375" cy="7620"/>
                    </a:xfrm>
                    <a:prstGeom prst="rect">
                      <a:avLst/>
                    </a:prstGeom>
                    <a:noFill/>
                  </pic:spPr>
                </pic:pic>
              </a:graphicData>
            </a:graphic>
          </wp:anchor>
        </w:drawing>
      </w:r>
    </w:p>
    <w:p>
      <w:pPr>
        <w:spacing w:after="0" w:line="109" w:lineRule="exact"/>
        <w:rPr>
          <w:sz w:val="20"/>
          <w:szCs w:val="20"/>
          <w:color w:val="auto"/>
        </w:rPr>
      </w:pPr>
    </w:p>
    <w:p>
      <w:pPr>
        <w:jc w:val="both"/>
        <w:ind w:right="240" w:firstLine="510"/>
        <w:spacing w:after="0" w:line="242" w:lineRule="auto"/>
        <w:rPr>
          <w:sz w:val="20"/>
          <w:szCs w:val="20"/>
          <w:color w:val="auto"/>
        </w:rPr>
      </w:pPr>
      <w:r>
        <w:rPr>
          <w:rFonts w:ascii="Times New Roman" w:cs="Times New Roman" w:eastAsia="Times New Roman" w:hAnsi="Times New Roman"/>
          <w:sz w:val="17"/>
          <w:szCs w:val="17"/>
          <w:color w:val="auto"/>
        </w:rPr>
        <w:t>The estimated weighted-average fair value of employee and nonemployee director stock options granted during 2022 was $9.30 per option. As of March 31, 2022, the Company had $52.3 million of unrecognized stock-based compensation expense, which is expected to be recognized over a weighted-average period of 2.5 years.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weighted-average assumptions used to estimate the fair value of stock options using the Black-Scholes option valuation model were as follows:</w:t>
      </w:r>
    </w:p>
    <w:p>
      <w:pPr>
        <w:spacing w:after="0" w:line="198"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4"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7"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13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8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2"/>
          </w:tcPr>
          <w:p>
            <w:pPr>
              <w:jc w:val="right"/>
              <w:ind w:right="99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340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Assumptions:</w:t>
            </w:r>
          </w:p>
        </w:tc>
        <w:tc>
          <w:tcPr>
            <w:tcW w:w="13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160" w:type="dxa"/>
            <w:vAlign w:val="bottom"/>
            <w:tcBorders>
              <w:top w:val="single" w:sz="8" w:color="auto"/>
            </w:tcBorders>
            <w:shd w:val="clear" w:color="auto" w:fill="CFF0FC"/>
          </w:tcPr>
          <w:p>
            <w:pPr>
              <w:spacing w:after="0"/>
              <w:rPr>
                <w:sz w:val="16"/>
                <w:szCs w:val="16"/>
                <w:color w:val="auto"/>
              </w:rPr>
            </w:pPr>
          </w:p>
        </w:tc>
      </w:tr>
      <w:tr>
        <w:trPr>
          <w:trHeight w:val="20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Expected term (in years)</w:t>
            </w:r>
          </w:p>
        </w:tc>
        <w:tc>
          <w:tcPr>
            <w:tcW w:w="8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6.08</w:t>
            </w:r>
          </w:p>
        </w:tc>
        <w:tc>
          <w:tcPr>
            <w:tcW w:w="228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6.07</w:t>
            </w:r>
          </w:p>
        </w:tc>
      </w:tr>
      <w:tr>
        <w:trPr>
          <w:trHeight w:val="200"/>
        </w:trPr>
        <w:tc>
          <w:tcPr>
            <w:tcW w:w="4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Expected volatility</w:t>
            </w:r>
          </w:p>
        </w:tc>
        <w:tc>
          <w:tcPr>
            <w:tcW w:w="8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66.19 %</w:t>
            </w:r>
          </w:p>
        </w:tc>
        <w:tc>
          <w:tcPr>
            <w:tcW w:w="2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67.49 %</w:t>
            </w:r>
          </w:p>
        </w:tc>
      </w:tr>
      <w:tr>
        <w:trPr>
          <w:trHeight w:val="20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Risk free interest rate</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1.70 %</w:t>
            </w:r>
          </w:p>
        </w:tc>
        <w:tc>
          <w:tcPr>
            <w:tcW w:w="22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0.60 %</w:t>
            </w:r>
          </w:p>
        </w:tc>
      </w:tr>
      <w:tr>
        <w:trPr>
          <w:trHeight w:val="200"/>
        </w:trPr>
        <w:tc>
          <w:tcPr>
            <w:tcW w:w="4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Dividend yield</w:t>
            </w:r>
          </w:p>
        </w:tc>
        <w:tc>
          <w:tcPr>
            <w:tcW w:w="8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21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71" w:lineRule="exact"/>
        <w:rPr>
          <w:sz w:val="20"/>
          <w:szCs w:val="20"/>
          <w:color w:val="auto"/>
        </w:rPr>
      </w:pPr>
    </w:p>
    <w:p>
      <w:pPr>
        <w:ind w:right="920" w:firstLine="510"/>
        <w:spacing w:after="0" w:line="255" w:lineRule="auto"/>
        <w:rPr>
          <w:sz w:val="20"/>
          <w:szCs w:val="20"/>
          <w:color w:val="auto"/>
        </w:rPr>
      </w:pPr>
      <w:r>
        <w:rPr>
          <w:rFonts w:ascii="Times New Roman" w:cs="Times New Roman" w:eastAsia="Times New Roman" w:hAnsi="Times New Roman"/>
          <w:sz w:val="17"/>
          <w:szCs w:val="17"/>
          <w:color w:val="auto"/>
        </w:rPr>
        <w:t>Stock-based compensation expense recognized for all equity awards, including founder stock, has been reported in the statements of operations and comprehensive loss as follows (in thousands):</w:t>
      </w:r>
    </w:p>
    <w:p>
      <w:pPr>
        <w:spacing w:after="0" w:line="166"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4"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80" w:type="dxa"/>
            <w:vAlign w:val="bottom"/>
          </w:tcPr>
          <w:p>
            <w:pPr>
              <w:spacing w:after="0"/>
              <w:rPr>
                <w:sz w:val="13"/>
                <w:szCs w:val="13"/>
                <w:color w:val="auto"/>
              </w:rPr>
            </w:pPr>
          </w:p>
        </w:tc>
      </w:tr>
      <w:tr>
        <w:trPr>
          <w:trHeight w:val="192"/>
        </w:trPr>
        <w:tc>
          <w:tcPr>
            <w:tcW w:w="1700" w:type="dxa"/>
            <w:vAlign w:val="bottom"/>
          </w:tcPr>
          <w:p>
            <w:pPr>
              <w:spacing w:after="0"/>
              <w:rPr>
                <w:sz w:val="16"/>
                <w:szCs w:val="16"/>
                <w:color w:val="auto"/>
              </w:rPr>
            </w:pPr>
          </w:p>
        </w:tc>
        <w:tc>
          <w:tcPr>
            <w:tcW w:w="308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Research and development expense</w:t>
            </w:r>
          </w:p>
        </w:tc>
        <w:tc>
          <w:tcPr>
            <w:tcW w:w="1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2"/>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1,139</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ind w:right="1"/>
              <w:spacing w:after="0" w:line="193" w:lineRule="exact"/>
              <w:rPr>
                <w:sz w:val="20"/>
                <w:szCs w:val="20"/>
                <w:color w:val="auto"/>
              </w:rPr>
            </w:pPr>
            <w:r>
              <w:rPr>
                <w:rFonts w:ascii="Times New Roman" w:cs="Times New Roman" w:eastAsia="Times New Roman" w:hAnsi="Times New Roman"/>
                <w:sz w:val="17"/>
                <w:szCs w:val="17"/>
                <w:color w:val="auto"/>
              </w:rPr>
              <w:t>859</w:t>
            </w:r>
          </w:p>
        </w:tc>
        <w:tc>
          <w:tcPr>
            <w:tcW w:w="1680" w:type="dxa"/>
            <w:vAlign w:val="bottom"/>
          </w:tcPr>
          <w:p>
            <w:pPr>
              <w:spacing w:after="0"/>
              <w:rPr>
                <w:sz w:val="16"/>
                <w:szCs w:val="16"/>
                <w:color w:val="auto"/>
              </w:rPr>
            </w:pPr>
          </w:p>
        </w:tc>
      </w:tr>
      <w:tr>
        <w:trPr>
          <w:trHeight w:val="200"/>
        </w:trPr>
        <w:tc>
          <w:tcPr>
            <w:tcW w:w="170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3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4,636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2,959</w:t>
            </w:r>
          </w:p>
        </w:tc>
        <w:tc>
          <w:tcPr>
            <w:tcW w:w="1680" w:type="dxa"/>
            <w:vAlign w:val="bottom"/>
          </w:tcPr>
          <w:p>
            <w:pPr>
              <w:spacing w:after="0"/>
              <w:rPr>
                <w:sz w:val="17"/>
                <w:szCs w:val="17"/>
                <w:color w:val="auto"/>
              </w:rPr>
            </w:pPr>
          </w:p>
        </w:tc>
      </w:tr>
      <w:tr>
        <w:trPr>
          <w:trHeight w:val="232"/>
        </w:trPr>
        <w:tc>
          <w:tcPr>
            <w:tcW w:w="1700" w:type="dxa"/>
            <w:vAlign w:val="bottom"/>
          </w:tcPr>
          <w:p>
            <w:pPr>
              <w:spacing w:after="0"/>
              <w:rPr>
                <w:sz w:val="20"/>
                <w:szCs w:val="20"/>
                <w:color w:val="auto"/>
              </w:rPr>
            </w:pPr>
          </w:p>
        </w:tc>
        <w:tc>
          <w:tcPr>
            <w:tcW w:w="308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13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902"/>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5,775</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ind w:right="1"/>
              <w:spacing w:after="0" w:line="193" w:lineRule="exact"/>
              <w:rPr>
                <w:sz w:val="20"/>
                <w:szCs w:val="20"/>
                <w:color w:val="auto"/>
              </w:rPr>
            </w:pPr>
            <w:r>
              <w:rPr>
                <w:rFonts w:ascii="Times New Roman" w:cs="Times New Roman" w:eastAsia="Times New Roman" w:hAnsi="Times New Roman"/>
                <w:sz w:val="17"/>
                <w:szCs w:val="17"/>
                <w:color w:val="auto"/>
              </w:rPr>
              <w:t>3,818</w:t>
            </w:r>
          </w:p>
        </w:tc>
        <w:tc>
          <w:tcPr>
            <w:tcW w:w="1680" w:type="dxa"/>
            <w:vAlign w:val="bottom"/>
          </w:tcPr>
          <w:p>
            <w:pPr>
              <w:spacing w:after="0"/>
              <w:rPr>
                <w:sz w:val="20"/>
                <w:szCs w:val="20"/>
                <w:color w:val="auto"/>
              </w:rPr>
            </w:pPr>
          </w:p>
        </w:tc>
      </w:tr>
      <w:tr>
        <w:trPr>
          <w:trHeight w:val="564"/>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0" w:type="dxa"/>
            <w:vAlign w:val="bottom"/>
            <w:gridSpan w:val="2"/>
          </w:tcPr>
          <w:p>
            <w:pPr>
              <w:jc w:val="right"/>
              <w:ind w:right="1322"/>
              <w:spacing w:after="0"/>
              <w:rPr>
                <w:sz w:val="20"/>
                <w:szCs w:val="20"/>
                <w:color w:val="auto"/>
              </w:rPr>
            </w:pPr>
            <w:r>
              <w:rPr>
                <w:rFonts w:ascii="Times New Roman" w:cs="Times New Roman" w:eastAsia="Times New Roman" w:hAnsi="Times New Roman"/>
                <w:sz w:val="17"/>
                <w:szCs w:val="17"/>
                <w:color w:val="auto"/>
              </w:rPr>
              <w:t>F-18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92"/>
        </w:trPr>
        <w:tc>
          <w:tcPr>
            <w:tcW w:w="170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-467360</wp:posOffset>
            </wp:positionV>
            <wp:extent cx="8699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-451485</wp:posOffset>
            </wp:positionV>
            <wp:extent cx="8699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995" cy="7620"/>
                    </a:xfrm>
                    <a:prstGeom prst="rect">
                      <a:avLst/>
                    </a:prstGeom>
                    <a:noFill/>
                  </pic:spPr>
                </pic:pic>
              </a:graphicData>
            </a:graphic>
          </wp:anchor>
        </w:drawing>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8. Subsequent Event</w:t>
      </w:r>
    </w:p>
    <w:p>
      <w:pPr>
        <w:spacing w:after="0" w:line="158" w:lineRule="exact"/>
        <w:rPr>
          <w:sz w:val="20"/>
          <w:szCs w:val="20"/>
          <w:color w:val="auto"/>
        </w:rPr>
      </w:pPr>
    </w:p>
    <w:p>
      <w:pPr>
        <w:ind w:firstLine="510"/>
        <w:spacing w:after="0" w:line="259" w:lineRule="auto"/>
        <w:rPr>
          <w:sz w:val="20"/>
          <w:szCs w:val="20"/>
          <w:color w:val="auto"/>
        </w:rPr>
      </w:pPr>
      <w:r>
        <w:rPr>
          <w:rFonts w:ascii="Times New Roman" w:cs="Times New Roman" w:eastAsia="Times New Roman" w:hAnsi="Times New Roman"/>
          <w:sz w:val="16"/>
          <w:szCs w:val="16"/>
          <w:color w:val="auto"/>
        </w:rPr>
        <w:t>The Company announced signing of a revenue interest financing agreement for up to $260 million non-dilutive financing on May 4, 2022. The agreement provides for an upfront $100 million cash payment and an additional $160 million cash payment upon FDA approval of vonoprazan for treatment of EE. Subject to the initial investors' right of first offer, the Company has the right, upon the same terms, to obtain from new investors up to an additional $15 million upon EE approval and up to an additional $25 million upon achievement of a sales milestone, which could bring the total financing to $300 million. Under the agreement, the Company will pay the investors a 10% royalty on net sales of products containing vonoprazan, which royalty rate is subject to a step-down on net sales exceeding annual thresholds if the Company receives approval of vonoprazan for non-erosive reflux disease, or NERD. The funding of the initial $100 million will occur by May 17, 2022.</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20" w:top="519"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56" w:lineRule="exact"/>
        <w:rPr>
          <w:sz w:val="20"/>
          <w:szCs w:val="20"/>
          <w:color w:val="auto"/>
        </w:rPr>
      </w:pPr>
    </w:p>
    <w:p>
      <w:pPr>
        <w:ind w:right="100" w:firstLine="510"/>
        <w:spacing w:after="0" w:line="244"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2021 and the related Management’s Discussion and Analysis of Financial Condition and Results of Operations, both of which are contained in our Annual Report on Form 10-K for the year ended December 31, 2021 (“2021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71" w:lineRule="exact"/>
        <w:rPr>
          <w:sz w:val="20"/>
          <w:szCs w:val="20"/>
          <w:color w:val="auto"/>
        </w:rPr>
      </w:pPr>
    </w:p>
    <w:p>
      <w:pPr>
        <w:ind w:firstLine="510"/>
        <w:spacing w:after="0" w:line="236" w:lineRule="auto"/>
        <w:rPr>
          <w:sz w:val="20"/>
          <w:szCs w:val="20"/>
          <w:color w:val="auto"/>
        </w:rPr>
      </w:pPr>
      <w:r>
        <w:rPr>
          <w:rFonts w:ascii="Times New Roman" w:cs="Times New Roman" w:eastAsia="Times New Roman" w:hAnsi="Times New Roman"/>
          <w:sz w:val="17"/>
          <w:szCs w:val="17"/>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1" w:lineRule="exact"/>
        <w:rPr>
          <w:sz w:val="20"/>
          <w:szCs w:val="20"/>
          <w:color w:val="auto"/>
        </w:rPr>
      </w:pPr>
    </w:p>
    <w:p>
      <w:pPr>
        <w:ind w:right="40" w:firstLine="510"/>
        <w:spacing w:after="0" w:line="237" w:lineRule="auto"/>
        <w:rPr>
          <w:sz w:val="20"/>
          <w:szCs w:val="20"/>
          <w:color w:val="auto"/>
        </w:rPr>
      </w:pPr>
      <w:r>
        <w:rPr>
          <w:rFonts w:ascii="Times New Roman" w:cs="Times New Roman" w:eastAsia="Times New Roman" w:hAnsi="Times New Roman"/>
          <w:sz w:val="17"/>
          <w:szCs w:val="17"/>
          <w:color w:val="auto"/>
        </w:rPr>
        <w:t xml:space="preserve">We are a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45" w:lineRule="exact"/>
        <w:rPr>
          <w:sz w:val="20"/>
          <w:szCs w:val="20"/>
          <w:color w:val="auto"/>
        </w:rPr>
      </w:pPr>
    </w:p>
    <w:p>
      <w:pPr>
        <w:ind w:right="40" w:firstLine="510"/>
        <w:spacing w:after="0" w:line="237" w:lineRule="auto"/>
        <w:rPr>
          <w:sz w:val="20"/>
          <w:szCs w:val="20"/>
          <w:color w:val="auto"/>
        </w:rPr>
      </w:pPr>
      <w:r>
        <w:rPr>
          <w:rFonts w:ascii="Times New Roman" w:cs="Times New Roman" w:eastAsia="Times New Roman" w:hAnsi="Times New Roman"/>
          <w:sz w:val="17"/>
          <w:szCs w:val="17"/>
          <w:color w:val="auto"/>
        </w:rPr>
        <w:t xml:space="preserve">In 2021 we reported topline data from two pivotal Phase 3 clinical trials for vonoprazan: one for the treatment of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infection (PHALCON-HP), and a second for the treatment of erosive GERD (PHALCON-EE), also known as erosive esophagitis, or EE. In April 2021, we reported positive topline data from PHALCON-HP, and in October 2021, we reported positive topline data from PHALCON-EE. In September 2021, we submitted new drug applications (NDAs) for two treatment regimens containing vonoprazan for the treatment of </w:t>
      </w:r>
      <w:r>
        <w:rPr>
          <w:rFonts w:ascii="Times New Roman" w:cs="Times New Roman" w:eastAsia="Times New Roman" w:hAnsi="Times New Roman"/>
          <w:sz w:val="17"/>
          <w:szCs w:val="17"/>
          <w:i w:val="1"/>
          <w:iCs w:val="1"/>
          <w:color w:val="auto"/>
        </w:rPr>
        <w:t>H.</w:t>
      </w:r>
      <w:r>
        <w:rPr>
          <w:rFonts w:ascii="Times New Roman" w:cs="Times New Roman" w:eastAsia="Times New Roman" w:hAnsi="Times New Roman"/>
          <w:sz w:val="17"/>
          <w:szCs w:val="17"/>
          <w:color w:val="auto"/>
        </w:rPr>
        <w:t xml:space="preserve"> pylori, vonoprazan triple therapy (vonoprazan, amoxicillin, clarithromycin) and vonoprazan dual therapy (vonoprazan, amoxicillin), and in November 2021, the U.S. Food and Drug Administration, or FDA, accepted both NDAs for filing, granted each of them Priority Review, and assigned us a Prescription Drug User Fee Act (PDUFA) action date in May 2022. In addition, both of our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NDAs received qualified infectious disease product (QIDP) designations which provides a potential extension of any regulatory exclusivity awarded following approval. On May 3, 2022, we received FDA approval for vonoprazan triple therapy, under the brand name VOQUEZNA™ TRIPLE PAK™ and vonoprazan dual therapy, under the brand name VOQUEZNA™ DUAL PAK™, in each case for the treatment of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infection in adults and expect to launch both products in the third quarter of 2022. Further, in March 2022, we submitted an NDA for the use of vonoprazan as a treatment for adults for the healing of all grades of EE and relief of heartburn, and maintenance of healing of all grades of EE and relief of heartburn.</w:t>
      </w:r>
    </w:p>
    <w:p>
      <w:pPr>
        <w:spacing w:after="0" w:line="151" w:lineRule="exact"/>
        <w:rPr>
          <w:sz w:val="20"/>
          <w:szCs w:val="20"/>
          <w:color w:val="auto"/>
        </w:rPr>
      </w:pPr>
    </w:p>
    <w:p>
      <w:pPr>
        <w:ind w:right="160" w:firstLine="510"/>
        <w:spacing w:after="0" w:line="242" w:lineRule="auto"/>
        <w:rPr>
          <w:sz w:val="20"/>
          <w:szCs w:val="20"/>
          <w:color w:val="auto"/>
        </w:rPr>
      </w:pPr>
      <w:r>
        <w:rPr>
          <w:rFonts w:ascii="Times New Roman" w:cs="Times New Roman" w:eastAsia="Times New Roman" w:hAnsi="Times New Roman"/>
          <w:sz w:val="17"/>
          <w:szCs w:val="17"/>
          <w:color w:val="auto"/>
        </w:rPr>
        <w:t>We have also progressed our clinical development program in NERD. In February 2022, we reported positive topline data from a Phase 2 trial studying vonoprazan for on-demand treatment of NERD, and in February 2022, we commenced enrollment of patients in a Phase 3 trial studying vonoprazan, dosed on a once-daily basis, for the treatment of NERD with topline data expected in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2" w:name="page23"/>
    <w:bookmarkEnd w:id="22"/>
    <w:p>
      <w:pPr>
        <w:jc w:val="both"/>
        <w:ind w:right="100" w:firstLine="510"/>
        <w:spacing w:after="0" w:line="242" w:lineRule="auto"/>
        <w:rPr>
          <w:sz w:val="20"/>
          <w:szCs w:val="20"/>
          <w:color w:val="auto"/>
        </w:rPr>
      </w:pPr>
      <w:r>
        <w:rPr>
          <w:rFonts w:ascii="Times New Roman" w:cs="Times New Roman" w:eastAsia="Times New Roman" w:hAnsi="Times New Roman"/>
          <w:sz w:val="17"/>
          <w:szCs w:val="17"/>
          <w:color w:val="auto"/>
        </w:rPr>
        <w:t>We plan to independently commercialize vonoprazan in the United States. We also plan to seek commercial partnerships for vonoprazan in Europe and Canada, expand development of vonoprazan into other indications, dosing regimens and alternative formulations and packaging, and in-license or acquire additional clinical or commercial stage product candidates for the treatment of GI diseases in a capital efficient manner.</w:t>
      </w:r>
    </w:p>
    <w:p>
      <w:pPr>
        <w:spacing w:after="0" w:line="145" w:lineRule="exact"/>
        <w:rPr>
          <w:sz w:val="20"/>
          <w:szCs w:val="20"/>
          <w:color w:val="auto"/>
        </w:rPr>
      </w:pPr>
    </w:p>
    <w:p>
      <w:pPr>
        <w:ind w:right="20" w:firstLine="510"/>
        <w:spacing w:after="0" w:line="237" w:lineRule="auto"/>
        <w:rPr>
          <w:sz w:val="20"/>
          <w:szCs w:val="20"/>
          <w:color w:val="auto"/>
        </w:rPr>
      </w:pPr>
      <w:r>
        <w:rPr>
          <w:rFonts w:ascii="Times New Roman" w:cs="Times New Roman" w:eastAsia="Times New Roman" w:hAnsi="Times New Roman"/>
          <w:sz w:val="17"/>
          <w:szCs w:val="17"/>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conducting our clinical trials of vonoprazan, preparing applications for regulatory approval for vonoprazan and preparing for the commercial launch. Our operations to date have been funded primarily through the issuance of convertible promissory notes, commercial bank debt, the proceeds from our initial public offering and our follow-on public offering. From our inception through March 31, 2022, we have raised aggregate gross proceeds of $90.3 million from the issuance of convertible promissory notes, $100.0 million of debt, net proceeds from our initial public offering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and net proceeds of $88.6 million from the sale of 2,250,000 shares of common stock at a public offering price of $39.48 per share after deducting underwriting discounts and commissions, and an additional $0.2 million in offering costs.</w:t>
      </w:r>
    </w:p>
    <w:p>
      <w:pPr>
        <w:spacing w:after="0" w:line="148" w:lineRule="exact"/>
        <w:rPr>
          <w:sz w:val="20"/>
          <w:szCs w:val="20"/>
          <w:color w:val="auto"/>
        </w:rPr>
      </w:pPr>
    </w:p>
    <w:p>
      <w:pPr>
        <w:ind w:right="80" w:firstLine="510"/>
        <w:spacing w:after="0" w:line="239" w:lineRule="auto"/>
        <w:rPr>
          <w:sz w:val="20"/>
          <w:szCs w:val="20"/>
          <w:color w:val="auto"/>
        </w:rPr>
      </w:pPr>
      <w:r>
        <w:rPr>
          <w:rFonts w:ascii="Times New Roman" w:cs="Times New Roman" w:eastAsia="Times New Roman" w:hAnsi="Times New Roman"/>
          <w:sz w:val="17"/>
          <w:szCs w:val="17"/>
          <w:color w:val="auto"/>
        </w:rPr>
        <w:t>We have incurred net losses since our inception. Our net losses for the three month periods ended March 31, 2022 and 2021 were $40.7 million and $34.8 million, respectively. As of March 31, 2022, we had an accumulated deficit of $570.0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additional clinical trials, seek further regulatory approval for vonoprazan, expand our clinical, regulatory, quality, manufacturing and commercialization capabilities, incur significant commercialization expenses for marketing, sales, manufacturing and distribution, protect our intellectual property, expand our general and administrative support functions, including hiring additional personnel, and incur additional costs associated with operating as a public company.</w:t>
      </w:r>
    </w:p>
    <w:p>
      <w:pPr>
        <w:spacing w:after="0" w:line="14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6"/>
          <w:szCs w:val="16"/>
          <w:color w:val="auto"/>
        </w:rPr>
        <w:t>We have never generated any revenue and do not expect to generate any revenues from product sales unless and until we commence commercialization of our initial approved products.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Takeda</w:t>
      </w:r>
    </w:p>
    <w:p>
      <w:pPr>
        <w:spacing w:after="0" w:line="171" w:lineRule="exact"/>
        <w:rPr>
          <w:sz w:val="20"/>
          <w:szCs w:val="20"/>
          <w:color w:val="auto"/>
        </w:rPr>
      </w:pPr>
    </w:p>
    <w:p>
      <w:pPr>
        <w:ind w:firstLine="510"/>
        <w:spacing w:after="0"/>
        <w:rPr>
          <w:sz w:val="20"/>
          <w:szCs w:val="20"/>
          <w:color w:val="auto"/>
        </w:rPr>
      </w:pPr>
      <w:r>
        <w:rPr>
          <w:rFonts w:ascii="Times New Roman" w:cs="Times New Roman" w:eastAsia="Times New Roman" w:hAnsi="Times New Roman"/>
          <w:sz w:val="17"/>
          <w:szCs w:val="17"/>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6" w:lineRule="exact"/>
        <w:rPr>
          <w:sz w:val="20"/>
          <w:szCs w:val="20"/>
          <w:color w:val="auto"/>
        </w:rPr>
      </w:pPr>
    </w:p>
    <w:p>
      <w:pPr>
        <w:ind w:right="400" w:firstLine="510"/>
        <w:spacing w:after="0" w:line="242" w:lineRule="auto"/>
        <w:rPr>
          <w:sz w:val="20"/>
          <w:szCs w:val="20"/>
          <w:color w:val="auto"/>
        </w:rPr>
      </w:pPr>
      <w:r>
        <w:rPr>
          <w:rFonts w:ascii="Times New Roman" w:cs="Times New Roman" w:eastAsia="Times New Roman" w:hAnsi="Times New Roman"/>
          <w:sz w:val="17"/>
          <w:szCs w:val="17"/>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3" w:name="page24"/>
    <w:bookmarkEnd w:id="23"/>
    <w:p>
      <w:pPr>
        <w:ind w:firstLine="510"/>
        <w:spacing w:after="0" w:line="236" w:lineRule="auto"/>
        <w:rPr>
          <w:sz w:val="20"/>
          <w:szCs w:val="20"/>
          <w:color w:val="auto"/>
        </w:rPr>
      </w:pPr>
      <w:r>
        <w:rPr>
          <w:rFonts w:ascii="Times New Roman" w:cs="Times New Roman" w:eastAsia="Times New Roman" w:hAnsi="Times New Roman"/>
          <w:sz w:val="17"/>
          <w:szCs w:val="17"/>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7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7"/>
          <w:szCs w:val="17"/>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Research and development expenses include:</w:t>
      </w:r>
    </w:p>
    <w:p>
      <w:pPr>
        <w:spacing w:after="0" w:line="167" w:lineRule="exact"/>
        <w:rPr>
          <w:sz w:val="20"/>
          <w:szCs w:val="20"/>
          <w:color w:val="auto"/>
        </w:rPr>
      </w:pPr>
    </w:p>
    <w:p>
      <w:pPr>
        <w:ind w:left="880" w:hanging="37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charges for those individuals involved in research and development efforts;</w:t>
      </w:r>
    </w:p>
    <w:p>
      <w:pPr>
        <w:spacing w:after="0" w:line="154" w:lineRule="exact"/>
        <w:rPr>
          <w:rFonts w:ascii="Times New Roman" w:cs="Times New Roman" w:eastAsia="Times New Roman" w:hAnsi="Times New Roman"/>
          <w:sz w:val="17"/>
          <w:szCs w:val="17"/>
          <w:color w:val="auto"/>
        </w:rPr>
      </w:pPr>
    </w:p>
    <w:p>
      <w:pPr>
        <w:ind w:left="880" w:right="320" w:hanging="370"/>
        <w:spacing w:after="0" w:line="270"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research and development expenses incurred under agreements with contract research organizations, or CROs, and consultants to conduct and support our ongoing clinical trials of vonoprazan; and</w:t>
      </w:r>
    </w:p>
    <w:p>
      <w:pPr>
        <w:spacing w:after="0" w:line="109"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the manufacturing of vonoprazan for our clinical trials as well as for qualification of future third party commercial manufacturing.</w:t>
      </w:r>
    </w:p>
    <w:p>
      <w:pPr>
        <w:spacing w:after="0" w:line="16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6"/>
          <w:szCs w:val="16"/>
          <w:color w:val="auto"/>
        </w:rPr>
        <w:t>We plan to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future clinical development costs may vary significantly based on factors such as:</w:t>
      </w:r>
    </w:p>
    <w:p>
      <w:pPr>
        <w:spacing w:after="0" w:line="154" w:lineRule="exact"/>
        <w:rPr>
          <w:sz w:val="20"/>
          <w:szCs w:val="20"/>
          <w:color w:val="auto"/>
        </w:rPr>
      </w:pPr>
    </w:p>
    <w:p>
      <w:pPr>
        <w:ind w:left="880" w:hanging="370"/>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patient trial costs;</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trials required for approval;</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sites included in the trials;</w:t>
      </w:r>
    </w:p>
    <w:p>
      <w:pPr>
        <w:spacing w:after="0" w:line="154"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countries in which the trials are conducted;</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time required to enroll eligible patients;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24" w:name="page25"/>
    <w:bookmarkEnd w:id="24"/>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that participate in the trials;</w:t>
      </w:r>
    </w:p>
    <w:p>
      <w:pPr>
        <w:spacing w:after="0" w:line="154"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doses evaluated in the trials;</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drop-out or discontinuation rates of patients;</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additional safety monitoring requested by regulatory agencies;</w:t>
      </w:r>
    </w:p>
    <w:p>
      <w:pPr>
        <w:spacing w:after="0" w:line="154"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duration of patient participation in the trials and follow-up;</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phase of development of the product candidate;</w:t>
      </w:r>
    </w:p>
    <w:p>
      <w:pPr>
        <w:spacing w:after="0" w:line="154"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the product candidate; and</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cost increases as a result of COVID-19.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6"/>
          <w:szCs w:val="16"/>
          <w:color w:val="auto"/>
        </w:rPr>
        <w:t xml:space="preserve">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significantly increase in the future to support our continued research and development activities, pre-commercial preparation activities in light of the recent approval of VOQUEZNA™ TRIPLE PAK™ and VOQUEZNA™ DUAL PAK™ to treat </w:t>
      </w:r>
      <w:r>
        <w:rPr>
          <w:rFonts w:ascii="Times New Roman" w:cs="Times New Roman" w:eastAsia="Times New Roman" w:hAnsi="Times New Roman"/>
          <w:sz w:val="16"/>
          <w:szCs w:val="16"/>
          <w:i w:val="1"/>
          <w:iCs w:val="1"/>
          <w:color w:val="auto"/>
        </w:rPr>
        <w:t>H. Pylori</w:t>
      </w:r>
      <w:r>
        <w:rPr>
          <w:rFonts w:ascii="Times New Roman" w:cs="Times New Roman" w:eastAsia="Times New Roman" w:hAnsi="Times New Roman"/>
          <w:sz w:val="16"/>
          <w:szCs w:val="16"/>
          <w:color w:val="auto"/>
        </w:rPr>
        <w:t xml:space="preserve"> infection in adults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Interest income consists of interest on our money market fund.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71" w:lineRule="exact"/>
        <w:rPr>
          <w:sz w:val="20"/>
          <w:szCs w:val="20"/>
          <w:color w:val="auto"/>
        </w:rPr>
      </w:pPr>
    </w:p>
    <w:p>
      <w:pPr>
        <w:ind w:firstLine="510"/>
        <w:spacing w:after="0" w:line="243" w:lineRule="auto"/>
        <w:rPr>
          <w:sz w:val="20"/>
          <w:szCs w:val="20"/>
          <w:color w:val="auto"/>
        </w:rPr>
      </w:pPr>
      <w:r>
        <w:rPr>
          <w:rFonts w:ascii="Times New Roman" w:cs="Times New Roman" w:eastAsia="Times New Roman" w:hAnsi="Times New Roman"/>
          <w:sz w:val="17"/>
          <w:szCs w:val="17"/>
          <w:color w:val="auto"/>
        </w:rPr>
        <w:t>Beginning on September 17, 2021, interest expense consists of (i) cash interest at a variable annual rate equal to the greater of (a) 5.50% and (b) the Prime Rate (as reported in the Wall Street Journal) plus 2.25% (the “Interest Rate”), (ii) payment-in-kind interest at a per annum rate of interest equal to 3.35%, and (iii) amortization of the Hercules Loan Agreement debt discount recorded in connection with the fair value of warrants issued to the lenders, the debt issuance costs incurred, and the obligation to make a final payment.</w:t>
      </w:r>
    </w:p>
    <w:p>
      <w:pPr>
        <w:spacing w:after="0" w:line="132" w:lineRule="exact"/>
        <w:rPr>
          <w:sz w:val="20"/>
          <w:szCs w:val="20"/>
          <w:color w:val="auto"/>
        </w:rPr>
      </w:pPr>
    </w:p>
    <w:p>
      <w:pPr>
        <w:ind w:right="360" w:firstLine="510"/>
        <w:spacing w:after="0" w:line="250" w:lineRule="auto"/>
        <w:rPr>
          <w:sz w:val="20"/>
          <w:szCs w:val="20"/>
          <w:color w:val="auto"/>
        </w:rPr>
      </w:pPr>
      <w:r>
        <w:rPr>
          <w:rFonts w:ascii="Times New Roman" w:cs="Times New Roman" w:eastAsia="Times New Roman" w:hAnsi="Times New Roman"/>
          <w:sz w:val="17"/>
          <w:szCs w:val="17"/>
          <w:color w:val="auto"/>
        </w:rPr>
        <w:t>Prior to September 17, 2021, interest expense consisted of interest on our outstanding commercial bank debt with SVB at a variable annual rate equal to the greater of (a) 7.25% and (b) Prime Rate (as reported by the Wall Street Journal) plus 1.75% and amortization of the SVB Term Loan debt discount recorded in connection with the fair value of warrants issued to the lenders, the debt issuance costs incurred, and the obligation to make a final payment.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2022 and 2021</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three months ended March 31, 2022 and 2021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4"/>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line="193" w:lineRule="exact"/>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7"/>
              <w:spacing w:after="0" w:line="193" w:lineRule="exact"/>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17,660</w:t>
            </w:r>
          </w:p>
        </w:tc>
        <w:tc>
          <w:tcPr>
            <w:tcW w:w="44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20,580</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(2,920 )</w:t>
            </w:r>
          </w:p>
        </w:tc>
        <w:tc>
          <w:tcPr>
            <w:tcW w:w="0" w:type="dxa"/>
            <w:vAlign w:val="bottom"/>
          </w:tcPr>
          <w:p>
            <w:pPr>
              <w:spacing w:after="0"/>
              <w:rPr>
                <w:sz w:val="1"/>
                <w:szCs w:val="1"/>
                <w:color w:val="auto"/>
              </w:rPr>
            </w:pPr>
          </w:p>
        </w:tc>
      </w:tr>
      <w:tr>
        <w:trPr>
          <w:trHeight w:val="200"/>
        </w:trPr>
        <w:tc>
          <w:tcPr>
            <w:tcW w:w="4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20,246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13,004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7,242</w:t>
            </w:r>
          </w:p>
        </w:tc>
        <w:tc>
          <w:tcPr>
            <w:tcW w:w="0" w:type="dxa"/>
            <w:vAlign w:val="bottom"/>
          </w:tcPr>
          <w:p>
            <w:pPr>
              <w:spacing w:after="0"/>
              <w:rPr>
                <w:sz w:val="1"/>
                <w:szCs w:val="1"/>
                <w:color w:val="auto"/>
              </w:rPr>
            </w:pPr>
          </w:p>
        </w:tc>
      </w:tr>
      <w:tr>
        <w:trPr>
          <w:trHeight w:val="192"/>
        </w:trPr>
        <w:tc>
          <w:tcPr>
            <w:tcW w:w="49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37,906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33,584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4,322</w:t>
            </w:r>
          </w:p>
        </w:tc>
        <w:tc>
          <w:tcPr>
            <w:tcW w:w="0" w:type="dxa"/>
            <w:vAlign w:val="bottom"/>
          </w:tcPr>
          <w:p>
            <w:pPr>
              <w:spacing w:after="0"/>
              <w:rPr>
                <w:sz w:val="1"/>
                <w:szCs w:val="1"/>
                <w:color w:val="auto"/>
              </w:rPr>
            </w:pPr>
          </w:p>
        </w:tc>
      </w:tr>
      <w:tr>
        <w:trPr>
          <w:trHeight w:val="192"/>
        </w:trPr>
        <w:tc>
          <w:tcPr>
            <w:tcW w:w="496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(37,906 )</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(33,584 )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(4,322 )</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0"/>
        </w:trPr>
        <w:tc>
          <w:tcPr>
            <w:tcW w:w="4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(1,487 )</w:t>
            </w:r>
          </w:p>
        </w:tc>
        <w:tc>
          <w:tcPr>
            <w:tcW w:w="0" w:type="dxa"/>
            <w:vAlign w:val="bottom"/>
          </w:tcPr>
          <w:p>
            <w:pPr>
              <w:spacing w:after="0"/>
              <w:rPr>
                <w:sz w:val="1"/>
                <w:szCs w:val="1"/>
                <w:color w:val="auto"/>
              </w:rPr>
            </w:pPr>
          </w:p>
        </w:tc>
      </w:tr>
      <w:tr>
        <w:trPr>
          <w:trHeight w:val="200"/>
        </w:trPr>
        <w:tc>
          <w:tcPr>
            <w:tcW w:w="4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Other (expense)</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192"/>
        </w:trPr>
        <w:tc>
          <w:tcPr>
            <w:tcW w:w="49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other (expense)</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(2,759 )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(1,259 )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(1,500 )</w:t>
            </w:r>
          </w:p>
        </w:tc>
        <w:tc>
          <w:tcPr>
            <w:tcW w:w="0" w:type="dxa"/>
            <w:vAlign w:val="bottom"/>
          </w:tcPr>
          <w:p>
            <w:pPr>
              <w:spacing w:after="0"/>
              <w:rPr>
                <w:sz w:val="1"/>
                <w:szCs w:val="1"/>
                <w:color w:val="auto"/>
              </w:rPr>
            </w:pPr>
          </w:p>
        </w:tc>
      </w:tr>
      <w:tr>
        <w:trPr>
          <w:trHeight w:val="232"/>
        </w:trPr>
        <w:tc>
          <w:tcPr>
            <w:tcW w:w="496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FF0FC"/>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(40,665 )</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(34,843 )</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(5,822 )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-1069340</wp:posOffset>
            </wp:positionV>
            <wp:extent cx="7112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-1069340</wp:posOffset>
            </wp:positionV>
            <wp:extent cx="635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-292735</wp:posOffset>
            </wp:positionV>
            <wp:extent cx="7112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-292735</wp:posOffset>
            </wp:positionV>
            <wp:extent cx="635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-22860</wp:posOffset>
            </wp:positionV>
            <wp:extent cx="7112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-6985</wp:posOffset>
            </wp:positionV>
            <wp:extent cx="711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20" cy="762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-22860</wp:posOffset>
            </wp:positionV>
            <wp:extent cx="635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-6985</wp:posOffset>
            </wp:positionV>
            <wp:extent cx="635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0" cy="7620"/>
                    </a:xfrm>
                    <a:prstGeom prst="rect">
                      <a:avLst/>
                    </a:prstGeom>
                    <a:noFill/>
                  </pic:spPr>
                </pic:pic>
              </a:graphicData>
            </a:graphic>
          </wp:anchor>
        </w:drawing>
      </w:r>
    </w:p>
    <w:p>
      <w:pPr>
        <w:spacing w:after="0" w:line="124"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were $17.7 million and $20.6 million for the three months ended March 31, 2022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respectively. The decrease of $2.9 million consisted of a $5.3 million reduction of clinical trial cost partially offset by $1.2 million of chemistry manufacturing and controls, or CMC, costs related to vonoprazan, and $1.2 million of personnel-related and consulting expenses.</w:t>
      </w:r>
    </w:p>
    <w:p>
      <w:pPr>
        <w:spacing w:after="0" w:line="123" w:lineRule="exact"/>
        <w:rPr>
          <w:sz w:val="20"/>
          <w:szCs w:val="20"/>
          <w:color w:val="auto"/>
        </w:rPr>
      </w:pPr>
    </w:p>
    <w:p>
      <w:pPr>
        <w:ind w:right="80" w:firstLine="51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were $20.2 million and $13.0 million for the three months ended March 31,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2021, respectively. The increase of $7.2 million was due to increases of $5.7 million in professional services expenses for commercial, medical affairs and other services, $3.9 million in personnel-related expenses, partially offset by a $0.5 million reduction in consulting fees and a $1.9 million decrease in other expenses. Due to the planned continued buildout of administrative and commercial functions we expect general and administrative expenses to increase in future periods.</w:t>
      </w:r>
    </w:p>
    <w:p>
      <w:pPr>
        <w:spacing w:after="0" w:line="127" w:lineRule="exact"/>
        <w:rPr>
          <w:sz w:val="20"/>
          <w:szCs w:val="20"/>
          <w:color w:val="auto"/>
        </w:rPr>
      </w:pPr>
    </w:p>
    <w:p>
      <w:pPr>
        <w:ind w:right="480" w:firstLine="51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Other Income (Expense). </w:t>
      </w:r>
      <w:r>
        <w:rPr>
          <w:rFonts w:ascii="Times New Roman" w:cs="Times New Roman" w:eastAsia="Times New Roman" w:hAnsi="Times New Roman"/>
          <w:sz w:val="17"/>
          <w:szCs w:val="17"/>
          <w:color w:val="auto"/>
        </w:rPr>
        <w:t>Other expense of $2.8 million for the three months ended March 31, 2022 consisted of interest expense under the Hercules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Other expense of $1.3 million for the three months ended March 31, 2021 consisted of interest expense under the SVB Term Loan.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8" w:lineRule="exact"/>
        <w:rPr>
          <w:sz w:val="20"/>
          <w:szCs w:val="20"/>
          <w:color w:val="auto"/>
        </w:rPr>
      </w:pPr>
    </w:p>
    <w:p>
      <w:pPr>
        <w:ind w:right="200" w:firstLine="510"/>
        <w:spacing w:after="0" w:line="270" w:lineRule="auto"/>
        <w:rPr>
          <w:sz w:val="20"/>
          <w:szCs w:val="20"/>
          <w:color w:val="auto"/>
        </w:rPr>
      </w:pPr>
      <w:r>
        <w:rPr>
          <w:rFonts w:ascii="Times New Roman" w:cs="Times New Roman" w:eastAsia="Times New Roman" w:hAnsi="Times New Roman"/>
          <w:sz w:val="17"/>
          <w:szCs w:val="17"/>
          <w:color w:val="auto"/>
        </w:rPr>
        <w:t>We have incurred net losses and negative cash flows from operations since our inception and anticipate we will continue to incur net losses for the foreseeable future. As of March 31, 2022, we had cash and cash equivalents of $138.1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Agreement with Hercules</w:t>
      </w:r>
    </w:p>
    <w:p>
      <w:pPr>
        <w:spacing w:after="0" w:line="171" w:lineRule="exact"/>
        <w:rPr>
          <w:sz w:val="20"/>
          <w:szCs w:val="20"/>
          <w:color w:val="auto"/>
        </w:rPr>
      </w:pPr>
    </w:p>
    <w:p>
      <w:pPr>
        <w:ind w:right="200" w:firstLine="510"/>
        <w:spacing w:after="0" w:line="250" w:lineRule="auto"/>
        <w:rPr>
          <w:sz w:val="20"/>
          <w:szCs w:val="20"/>
          <w:color w:val="auto"/>
        </w:rPr>
      </w:pPr>
      <w:r>
        <w:rPr>
          <w:rFonts w:ascii="Times New Roman" w:cs="Times New Roman" w:eastAsia="Times New Roman" w:hAnsi="Times New Roman"/>
          <w:sz w:val="17"/>
          <w:szCs w:val="17"/>
          <w:color w:val="auto"/>
        </w:rPr>
        <w:t>On September 17, 2021, (the “Closing Date”), we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6" w:name="page27"/>
    <w:bookmarkEnd w:id="26"/>
    <w:p>
      <w:pPr>
        <w:ind w:right="40" w:firstLine="510"/>
        <w:spacing w:after="0" w:line="236" w:lineRule="auto"/>
        <w:rPr>
          <w:sz w:val="20"/>
          <w:szCs w:val="20"/>
          <w:color w:val="auto"/>
        </w:rPr>
      </w:pPr>
      <w:r>
        <w:rPr>
          <w:rFonts w:ascii="Times New Roman" w:cs="Times New Roman" w:eastAsia="Times New Roman" w:hAnsi="Times New Roman"/>
          <w:sz w:val="17"/>
          <w:szCs w:val="17"/>
          <w:color w:val="auto"/>
        </w:rPr>
        <w:t>The Loan Agreement provides for term loans in an aggregate principal amount of up to $200.0 million (the “Term Loan”) under multiple tranches. The tranches consist of (i) a first tranche consisting of term loans in an aggregate principal amount of $100.0 million, all of which was funded on the Closing Date (the “First Advance”), (ii) a second tranche consisting of up to an additional $50.0 million, which became available to us upon achievement of the protocol-specified primary efficacy endpoints in our Phase 3 trial studying vonoprazan for the healing and maintenance of healing of erosive esophagitis with acceptable safety data, such that the results support the submission of a New Drug Application (“NDA”) or supplemental NDA without the need to conduct another Phase 3 study and will be available, if specified conditions are met, through December 15, 2022, (iii) a third tranche consisting of an additional $25.0 million, which will become available to us upon the achievement of (a) FDA approval of our NDA for vonoprazan and amoxicillin, or its NDA for vonoprazan, amoxicillin and clarithromycin, in each case for an indication relating to the treatment of H. pylori with an approved indication on the claim that is generally consistent with that sought in our NDA submission; and (b) filing of an NDA or supplemental NDA for vonoprazan for indications relating to the healing and maintenance of healing of erosive esophagitis (milestones (a) and (b), together, the “Second Performance Milestone”), and will be available, if specified conditions are met, through September 30, 2023, and (iv) a fourth tranche consisting of up to an additional $25.0 million, which will be available, if specified conditions are met, through March 31, 2024, upon achievement of the Second Performance Milestone. We intend to use the proceeds of the Term Loan advances for working capital and general corporate purposes. In addition, approximately $54 million of the proceeds from the First Advance was used to satisfy in full and retire our indebtedness under its previously outstanding credit facility with Silicon Valley Bank (the “SVB Term Loan”).</w:t>
      </w:r>
    </w:p>
    <w:p>
      <w:pPr>
        <w:spacing w:after="0" w:line="143" w:lineRule="exact"/>
        <w:rPr>
          <w:sz w:val="20"/>
          <w:szCs w:val="20"/>
          <w:color w:val="auto"/>
        </w:rPr>
      </w:pPr>
    </w:p>
    <w:p>
      <w:pPr>
        <w:ind w:firstLine="510"/>
        <w:spacing w:after="0"/>
        <w:rPr>
          <w:sz w:val="20"/>
          <w:szCs w:val="20"/>
          <w:color w:val="auto"/>
        </w:rPr>
      </w:pPr>
      <w:r>
        <w:rPr>
          <w:rFonts w:ascii="Times New Roman" w:cs="Times New Roman" w:eastAsia="Times New Roman" w:hAnsi="Times New Roman"/>
          <w:sz w:val="17"/>
          <w:szCs w:val="17"/>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may be extended to October 1, 2025, upon the achievement of the Second Performance Milestone on or prior to September 30, 2024 and the condition that no default or event of default exists, and which is further extendable to October 1, 2026, subject to FDA approval of our NDA (or supplemental NDA) for vonoprazan for an indication relating to the healing and maintenance of healing of erosive esophagitis with an approved indication on the label that is generally consistent with that sought in our NDA submission (or supplemental NDA submission)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34" w:lineRule="exact"/>
        <w:rPr>
          <w:sz w:val="20"/>
          <w:szCs w:val="20"/>
          <w:color w:val="auto"/>
        </w:rPr>
      </w:pPr>
    </w:p>
    <w:p>
      <w:pPr>
        <w:ind w:right="100" w:firstLine="510"/>
        <w:spacing w:after="0" w:line="241" w:lineRule="auto"/>
        <w:rPr>
          <w:sz w:val="20"/>
          <w:szCs w:val="20"/>
          <w:color w:val="auto"/>
        </w:rPr>
      </w:pPr>
      <w:r>
        <w:rPr>
          <w:rFonts w:ascii="Times New Roman" w:cs="Times New Roman" w:eastAsia="Times New Roman" w:hAnsi="Times New Roman"/>
          <w:sz w:val="17"/>
          <w:szCs w:val="17"/>
          <w:color w:val="auto"/>
        </w:rPr>
        <w:t>The Loan Agreement contains customary closing fees, prepayment fees and provisions, events of default, and representations, warranties and covenants, including a financial covenant requiring us to maintain certain levels of cash subject to a control agreement in favor of the Agent (minus accounts payable not paid within 120 days of invoice) (“Qualified Cash”), and commencing on May 15, 2023, trailing three-month net product revenue from the sale of vonoprazan and products containing vonoprazan. The revenue covenant will be waived at any time in which we maintain Qualified Cash equal to at least 60.0% (prior to the Third Performance Milestone), and 35% (following the Third Performance Milestone) of the total outstanding Term Loan principal amount, or our market capitalization is at least $900.0 million.</w:t>
      </w:r>
    </w:p>
    <w:p>
      <w:pPr>
        <w:spacing w:after="0" w:line="133" w:lineRule="exact"/>
        <w:rPr>
          <w:sz w:val="20"/>
          <w:szCs w:val="20"/>
          <w:color w:val="auto"/>
        </w:rPr>
      </w:pPr>
    </w:p>
    <w:p>
      <w:pPr>
        <w:ind w:right="320" w:firstLine="510"/>
        <w:spacing w:after="0" w:line="270" w:lineRule="auto"/>
        <w:rPr>
          <w:sz w:val="20"/>
          <w:szCs w:val="20"/>
          <w:color w:val="auto"/>
        </w:rPr>
      </w:pPr>
      <w:r>
        <w:rPr>
          <w:rFonts w:ascii="Times New Roman" w:cs="Times New Roman" w:eastAsia="Times New Roman" w:hAnsi="Times New Roman"/>
          <w:sz w:val="17"/>
          <w:szCs w:val="17"/>
          <w:color w:val="auto"/>
        </w:rPr>
        <w:t>As collateral for the obligations, we granted to Hercules a senior security interest in all of our right, title, and interest in, to and under substantially all of our property, inclusive of intellectual property.</w:t>
      </w:r>
    </w:p>
    <w:p>
      <w:pPr>
        <w:spacing w:after="0" w:line="109" w:lineRule="exact"/>
        <w:rPr>
          <w:sz w:val="20"/>
          <w:szCs w:val="20"/>
          <w:color w:val="auto"/>
        </w:rPr>
      </w:pPr>
    </w:p>
    <w:p>
      <w:pPr>
        <w:ind w:right="40" w:firstLine="510"/>
        <w:spacing w:after="0" w:line="243" w:lineRule="auto"/>
        <w:rPr>
          <w:sz w:val="20"/>
          <w:szCs w:val="20"/>
          <w:color w:val="auto"/>
        </w:rPr>
      </w:pPr>
      <w:r>
        <w:rPr>
          <w:rFonts w:ascii="Times New Roman" w:cs="Times New Roman" w:eastAsia="Times New Roman" w:hAnsi="Times New Roman"/>
          <w:sz w:val="17"/>
          <w:szCs w:val="17"/>
          <w:color w:val="auto"/>
        </w:rPr>
        <w:t>In connection with the entry into the Loan Agreement, we issued to Hercules a warrant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will be exercisable for a period of seven years from the date of issuance at a per-share exercise price equal to $33.43, which was the closing price of our common stock on September 16,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At-the-Market-Offering</w:t>
      </w:r>
    </w:p>
    <w:p>
      <w:pPr>
        <w:spacing w:after="0" w:line="168" w:lineRule="exact"/>
        <w:rPr>
          <w:sz w:val="20"/>
          <w:szCs w:val="20"/>
          <w:color w:val="auto"/>
        </w:rPr>
      </w:pPr>
    </w:p>
    <w:p>
      <w:pPr>
        <w:ind w:firstLine="510"/>
        <w:spacing w:after="0" w:line="236" w:lineRule="auto"/>
        <w:rPr>
          <w:sz w:val="20"/>
          <w:szCs w:val="20"/>
          <w:color w:val="auto"/>
        </w:rPr>
      </w:pPr>
      <w:r>
        <w:rPr>
          <w:rFonts w:ascii="Times New Roman" w:cs="Times New Roman" w:eastAsia="Times New Roman" w:hAnsi="Times New Roman"/>
          <w:sz w:val="17"/>
          <w:szCs w:val="17"/>
          <w:color w:val="auto"/>
        </w:rPr>
        <w:t>On November 10, 2020, we entered into an 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7"/>
          <w:szCs w:val="17"/>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three-month period ended March 31, 2022.</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Underwritten Public Offering</w:t>
      </w:r>
    </w:p>
    <w:p>
      <w:pPr>
        <w:spacing w:after="0" w:line="158" w:lineRule="exact"/>
        <w:rPr>
          <w:sz w:val="20"/>
          <w:szCs w:val="20"/>
          <w:color w:val="auto"/>
        </w:rPr>
      </w:pPr>
    </w:p>
    <w:p>
      <w:pPr>
        <w:jc w:val="both"/>
        <w:ind w:right="80" w:firstLine="510"/>
        <w:spacing w:after="0" w:line="250" w:lineRule="auto"/>
        <w:rPr>
          <w:sz w:val="20"/>
          <w:szCs w:val="20"/>
          <w:color w:val="auto"/>
        </w:rPr>
      </w:pPr>
      <w:r>
        <w:rPr>
          <w:rFonts w:ascii="Times New Roman" w:cs="Times New Roman" w:eastAsia="Times New Roman" w:hAnsi="Times New Roman"/>
          <w:sz w:val="17"/>
          <w:szCs w:val="17"/>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We incurred an additional $0.2 million of offering expenses in connection with the public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58" w:lineRule="exact"/>
        <w:rPr>
          <w:sz w:val="20"/>
          <w:szCs w:val="20"/>
          <w:color w:val="auto"/>
        </w:rPr>
      </w:pPr>
    </w:p>
    <w:p>
      <w:pPr>
        <w:ind w:right="20" w:firstLine="510"/>
        <w:spacing w:after="0" w:line="239" w:lineRule="auto"/>
        <w:rPr>
          <w:sz w:val="20"/>
          <w:szCs w:val="20"/>
          <w:color w:val="auto"/>
        </w:rPr>
      </w:pPr>
      <w:r>
        <w:rPr>
          <w:rFonts w:ascii="Times New Roman" w:cs="Times New Roman" w:eastAsia="Times New Roman" w:hAnsi="Times New Roman"/>
          <w:sz w:val="17"/>
          <w:szCs w:val="17"/>
          <w:color w:val="auto"/>
        </w:rPr>
        <w:t xml:space="preserve">Based on our current operating plan, we believe that our existing cash and cash equivalents together with the drawdown of the remaining $100 million under our Loan Agreement with Hercules, receipt of amounts potentially available under the revenue interest financing agreement and anticipated future sales of products containing vonoprazan will be sufficient to fund our operations through 2024. We expect such amounts will allow us to complete our ongoing Phase 3 clinical trial studying vonoprazan for NERD (daily dosing), and launch vonoprazan for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and, if approved, erosive esophagitis.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future capital requirements will depend on many factors, including:</w:t>
      </w:r>
    </w:p>
    <w:p>
      <w:pPr>
        <w:spacing w:after="0" w:line="154" w:lineRule="exact"/>
        <w:rPr>
          <w:sz w:val="20"/>
          <w:szCs w:val="20"/>
          <w:color w:val="auto"/>
        </w:rPr>
      </w:pPr>
    </w:p>
    <w:p>
      <w:pPr>
        <w:ind w:left="880" w:right="200" w:hanging="370"/>
        <w:spacing w:after="0" w:line="270"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9"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cost increases as a result of COVID-19;</w:t>
      </w:r>
    </w:p>
    <w:p>
      <w:pPr>
        <w:spacing w:after="0" w:line="166" w:lineRule="exact"/>
        <w:rPr>
          <w:rFonts w:ascii="Times New Roman" w:cs="Times New Roman" w:eastAsia="Times New Roman" w:hAnsi="Times New Roman"/>
          <w:sz w:val="17"/>
          <w:szCs w:val="17"/>
          <w:color w:val="auto"/>
        </w:rPr>
      </w:pPr>
    </w:p>
    <w:p>
      <w:pPr>
        <w:ind w:left="880" w:hanging="370"/>
        <w:spacing w:after="0" w:line="255"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manufacturing for vonoprazan or any future product candidates, including commercial scale manufacturing if any product candidate is approved;</w:t>
      </w:r>
    </w:p>
    <w:p>
      <w:pPr>
        <w:spacing w:after="0" w:line="133"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vonoprazan or any future product candidates;</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obtaining, maintaining, and enforcing our patents and other intellectual property rights;</w:t>
      </w:r>
    </w:p>
    <w:p>
      <w:pPr>
        <w:spacing w:after="0" w:line="154" w:lineRule="exact"/>
        <w:rPr>
          <w:rFonts w:ascii="Times New Roman" w:cs="Times New Roman" w:eastAsia="Times New Roman" w:hAnsi="Times New Roman"/>
          <w:sz w:val="17"/>
          <w:szCs w:val="17"/>
          <w:color w:val="auto"/>
        </w:rPr>
      </w:pPr>
    </w:p>
    <w:p>
      <w:pPr>
        <w:ind w:left="880" w:right="540" w:hanging="370"/>
        <w:spacing w:after="0" w:line="255"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enhance operational systems and hire additional personnel to satisfy our obligations as a public company, including enhanced internal controls over financial reporting;</w:t>
      </w:r>
    </w:p>
    <w:p>
      <w:pPr>
        <w:spacing w:after="0" w:line="133" w:lineRule="exact"/>
        <w:rPr>
          <w:rFonts w:ascii="Times New Roman" w:cs="Times New Roman" w:eastAsia="Times New Roman" w:hAnsi="Times New Roman"/>
          <w:sz w:val="17"/>
          <w:szCs w:val="17"/>
          <w:color w:val="auto"/>
        </w:rPr>
      </w:pPr>
    </w:p>
    <w:p>
      <w:pPr>
        <w:ind w:left="880" w:right="860" w:hanging="370"/>
        <w:spacing w:after="0" w:line="255"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hiring additional personnel and consultants as our business grows, including additional executive officers and clinical development personnel;</w:t>
      </w:r>
    </w:p>
    <w:p>
      <w:pPr>
        <w:spacing w:after="0" w:line="133"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the milestone or other payments we must make to Takeda and any future licensors;</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establishing or securing sales and marketing capabilities for vonoprazan or any future product candidate;</w:t>
      </w:r>
    </w:p>
    <w:p>
      <w:pPr>
        <w:spacing w:after="0" w:line="154" w:lineRule="exact"/>
        <w:rPr>
          <w:rFonts w:ascii="Times New Roman" w:cs="Times New Roman" w:eastAsia="Times New Roman" w:hAnsi="Times New Roman"/>
          <w:sz w:val="17"/>
          <w:szCs w:val="17"/>
          <w:color w:val="auto"/>
        </w:rPr>
      </w:pPr>
    </w:p>
    <w:p>
      <w:pPr>
        <w:ind w:left="880" w:right="100" w:hanging="370"/>
        <w:spacing w:after="0" w:line="270"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sufficient market acceptance, coverage and adequate reimbursement from third-party payors and adequate market share and revenue for any approved products;</w:t>
      </w:r>
    </w:p>
    <w:p>
      <w:pPr>
        <w:spacing w:after="0" w:line="109"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willingness to pay out-of-pocket for any approved products in the absence of coverage and/or adequate reimbursement from third-party payors;</w:t>
      </w:r>
    </w:p>
    <w:p>
      <w:pPr>
        <w:spacing w:after="0" w:line="178" w:lineRule="exact"/>
        <w:rPr>
          <w:rFonts w:ascii="Times New Roman" w:cs="Times New Roman" w:eastAsia="Times New Roman" w:hAnsi="Times New Roman"/>
          <w:sz w:val="16"/>
          <w:szCs w:val="16"/>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establishing and maintaining collaborations, licenses, and other similar arrangements; and</w:t>
      </w:r>
    </w:p>
    <w:p>
      <w:pPr>
        <w:spacing w:after="0" w:line="166" w:lineRule="exact"/>
        <w:rPr>
          <w:rFonts w:ascii="Times New Roman" w:cs="Times New Roman" w:eastAsia="Times New Roman" w:hAnsi="Times New Roman"/>
          <w:sz w:val="17"/>
          <w:szCs w:val="17"/>
          <w:color w:val="auto"/>
        </w:rPr>
      </w:pPr>
    </w:p>
    <w:p>
      <w:pPr>
        <w:ind w:left="880" w:hanging="37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products or technologies that we may in-license or acquire.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8" w:name="page29"/>
    <w:bookmarkEnd w:id="28"/>
    <w:p>
      <w:pPr>
        <w:ind w:right="60" w:firstLine="510"/>
        <w:spacing w:after="0" w:line="236"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50" w:lineRule="exact"/>
        <w:rPr>
          <w:sz w:val="20"/>
          <w:szCs w:val="20"/>
          <w:color w:val="auto"/>
        </w:rPr>
      </w:pPr>
    </w:p>
    <w:p>
      <w:pPr>
        <w:jc w:val="both"/>
        <w:ind w:right="120" w:firstLine="510"/>
        <w:spacing w:after="0" w:line="243" w:lineRule="auto"/>
        <w:rPr>
          <w:sz w:val="20"/>
          <w:szCs w:val="20"/>
          <w:color w:val="auto"/>
        </w:rPr>
      </w:pPr>
      <w:r>
        <w:rPr>
          <w:rFonts w:ascii="Times New Roman" w:cs="Times New Roman" w:eastAsia="Times New Roman" w:hAnsi="Times New Roman"/>
          <w:sz w:val="17"/>
          <w:szCs w:val="17"/>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sets forth a summary of the net cash flow activity for each of the periods indicated (in thousands):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2"/>
        </w:trPr>
        <w:tc>
          <w:tcPr>
            <w:tcW w:w="4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92"/>
        </w:trPr>
        <w:tc>
          <w:tcPr>
            <w:tcW w:w="498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00"/>
        </w:trPr>
        <w:tc>
          <w:tcPr>
            <w:tcW w:w="4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activities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(45,102 )</w:t>
            </w:r>
          </w:p>
        </w:tc>
        <w:tc>
          <w:tcPr>
            <w:tcW w:w="42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(49,765 )</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4,663</w:t>
            </w:r>
          </w:p>
        </w:tc>
      </w:tr>
      <w:tr>
        <w:trPr>
          <w:trHeight w:val="200"/>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Investing activities</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102</w:t>
            </w:r>
          </w:p>
        </w:tc>
      </w:tr>
      <w:tr>
        <w:trPr>
          <w:trHeight w:val="200"/>
        </w:trPr>
        <w:tc>
          <w:tcPr>
            <w:tcW w:w="4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activities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(412 )</w:t>
            </w:r>
          </w:p>
        </w:tc>
      </w:tr>
      <w:tr>
        <w:trPr>
          <w:trHeight w:val="232"/>
        </w:trPr>
        <w:tc>
          <w:tcPr>
            <w:tcW w:w="498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Net (decrease) in cash</w:t>
            </w:r>
          </w:p>
        </w:tc>
        <w:tc>
          <w:tcPr>
            <w:tcW w:w="280" w:type="dxa"/>
            <w:vAlign w:val="bottom"/>
            <w:tcBorders>
              <w:bottom w:val="single" w:sz="8" w:color="auto"/>
            </w:tcBorders>
            <w:shd w:val="clear" w:color="auto" w:fill="CFF0FC"/>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(45,169 )</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(49,522 )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ind w:right="40"/>
              <w:spacing w:after="0" w:line="193" w:lineRule="exact"/>
              <w:rPr>
                <w:sz w:val="20"/>
                <w:szCs w:val="20"/>
                <w:color w:val="auto"/>
              </w:rPr>
            </w:pPr>
            <w:r>
              <w:rPr>
                <w:rFonts w:ascii="Times New Roman" w:cs="Times New Roman" w:eastAsia="Times New Roman" w:hAnsi="Times New Roman"/>
                <w:sz w:val="17"/>
                <w:szCs w:val="17"/>
                <w:color w:val="auto"/>
              </w:rPr>
              <w:t>4,353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-22860</wp:posOffset>
            </wp:positionV>
            <wp:extent cx="635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-6985</wp:posOffset>
            </wp:positionV>
            <wp:extent cx="635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-22860</wp:posOffset>
            </wp:positionV>
            <wp:extent cx="635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-6985</wp:posOffset>
            </wp:positionV>
            <wp:extent cx="635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0" cy="762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 was approximately $45.1 million and $49.8 million for the three months ended March 31, 2022 and 2021, respectively.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operating activities for the three months ended March 31, 2022 was due to approximately $32.8 million spent on ongoing research and development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activities and a $12.3 million net change in operating assets and liabilities. The net change in operating assets and liabilities primarily related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 $7.5 million decrease in accounts payable and accrued expenses (including clinical trial expenses), a $4.3 million increase in prepaid assets and other current assets,</w:t>
      </w:r>
    </w:p>
    <w:p>
      <w:pPr>
        <w:spacing w:after="0" w:line="233" w:lineRule="auto"/>
        <w:rPr>
          <w:sz w:val="20"/>
          <w:szCs w:val="20"/>
          <w:color w:val="auto"/>
        </w:rPr>
      </w:pPr>
      <w:r>
        <w:rPr>
          <w:rFonts w:ascii="Times New Roman" w:cs="Times New Roman" w:eastAsia="Times New Roman" w:hAnsi="Times New Roman"/>
          <w:sz w:val="17"/>
          <w:szCs w:val="17"/>
          <w:color w:val="auto"/>
        </w:rPr>
        <w:t>and a $0.5 million increase in other long-term assets. The net cash used in operating activities for the three months ended March 31, 2021 was due to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$30.2 million spent on ongoing research and development and general and administrative activities and a $19.6 million net change in operating assets and liabilities.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change in operating assets and liabilities primarily related to a $0.9 million increase in prepaid clinical activities, and an $18.7 million decrease in accounts payable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accrued expenses in support of the growth in our operating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8" w:lineRule="exact"/>
        <w:rPr>
          <w:sz w:val="20"/>
          <w:szCs w:val="20"/>
          <w:color w:val="auto"/>
        </w:rPr>
      </w:pPr>
    </w:p>
    <w:p>
      <w:pPr>
        <w:ind w:right="240" w:firstLine="510"/>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three months ended March 31, 2022 and 2021, was primarily due to the cash we paid for acquiring property, plant and equipment.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96" w:lineRule="exact"/>
        <w:rPr>
          <w:sz w:val="20"/>
          <w:szCs w:val="20"/>
          <w:color w:val="auto"/>
        </w:rPr>
      </w:pPr>
    </w:p>
    <w:p>
      <w:pPr>
        <w:ind w:right="320" w:firstLine="562"/>
        <w:spacing w:after="0" w:line="255" w:lineRule="auto"/>
        <w:rPr>
          <w:sz w:val="20"/>
          <w:szCs w:val="20"/>
          <w:color w:val="auto"/>
        </w:rPr>
      </w:pPr>
      <w:r>
        <w:rPr>
          <w:rFonts w:ascii="Times New Roman" w:cs="Times New Roman" w:eastAsia="Times New Roman" w:hAnsi="Times New Roman"/>
          <w:sz w:val="17"/>
          <w:szCs w:val="17"/>
          <w:color w:val="auto"/>
        </w:rPr>
        <w:t>Net cash provided by financing activities for the three months ended March 31, 2022 was $0 million. Net cash provided by financing activities for the three months ended March 31, 2021 was $0.4 million, due to issuance of common stock from exercise of stock options.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71" w:lineRule="exact"/>
        <w:rPr>
          <w:sz w:val="20"/>
          <w:szCs w:val="20"/>
          <w:color w:val="auto"/>
        </w:rPr>
      </w:pPr>
    </w:p>
    <w:p>
      <w:pPr>
        <w:ind w:right="300" w:firstLine="510"/>
        <w:spacing w:after="0" w:line="242" w:lineRule="auto"/>
        <w:rPr>
          <w:sz w:val="20"/>
          <w:szCs w:val="20"/>
          <w:color w:val="auto"/>
        </w:rPr>
      </w:pPr>
      <w:r>
        <w:rPr>
          <w:rFonts w:ascii="Times New Roman" w:cs="Times New Roman" w:eastAsia="Times New Roman" w:hAnsi="Times New Roman"/>
          <w:sz w:val="17"/>
          <w:szCs w:val="17"/>
          <w:color w:val="auto"/>
        </w:rPr>
        <w:t>Other than disclosed below, there were no material changes outside the ordinary course of our business during the three months ended March 31, 2022 to the information regarding our contractual obligations that was disclosed in Management’s Discussion and Analysis of Financial Condition and Results of Operations contained in our 2021 Form 10-K.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58" w:lineRule="exact"/>
        <w:rPr>
          <w:sz w:val="20"/>
          <w:szCs w:val="20"/>
          <w:color w:val="auto"/>
        </w:rPr>
      </w:pPr>
    </w:p>
    <w:p>
      <w:pPr>
        <w:ind w:firstLine="510"/>
        <w:spacing w:after="0" w:line="241"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3"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7"/>
          <w:szCs w:val="17"/>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2021 Form 10-K. There have not been any material changes to the critical accounting policies discussed therein during the three months ended March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Company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JOBS Act</w:t>
      </w:r>
    </w:p>
    <w:p>
      <w:pPr>
        <w:spacing w:after="0" w:line="171"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6"/>
          <w:szCs w:val="16"/>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35" w:lineRule="exact"/>
        <w:rPr>
          <w:sz w:val="20"/>
          <w:szCs w:val="20"/>
          <w:color w:val="auto"/>
        </w:rPr>
      </w:pPr>
    </w:p>
    <w:p>
      <w:pPr>
        <w:ind w:right="40" w:firstLine="510"/>
        <w:spacing w:after="0"/>
        <w:rPr>
          <w:sz w:val="20"/>
          <w:szCs w:val="20"/>
          <w:color w:val="auto"/>
        </w:rPr>
      </w:pPr>
      <w:r>
        <w:rPr>
          <w:rFonts w:ascii="Times New Roman" w:cs="Times New Roman" w:eastAsia="Times New Roman" w:hAnsi="Times New Roman"/>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58" w:lineRule="exact"/>
        <w:rPr>
          <w:sz w:val="20"/>
          <w:szCs w:val="20"/>
          <w:color w:val="auto"/>
        </w:rPr>
      </w:pPr>
    </w:p>
    <w:p>
      <w:pPr>
        <w:ind w:right="260" w:firstLine="510"/>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included in Note 1, Organization, Basis of Presentation and Summary of Significant Accounting Policies included in Part 1, Item 1 of this quarterly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During the periods presented we did not have, nor do we currently have, any off-balance sheet arrangements as defined under SEC rules.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March 31, 2022, there have been no material changes surrounding our market risk, including interest rate risk, foreign currency exchange risk, and</w:t>
      </w:r>
    </w:p>
    <w:p>
      <w:pPr>
        <w:spacing w:after="0" w:line="2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7"/>
          <w:szCs w:val="17"/>
          <w:color w:val="auto"/>
        </w:rPr>
        <w:t>inflation risk, from the discussion provided in “Management’s Discussion and Analysis of Financial Condition and Results of Operations – Quantitative and Qualitative Disclosures About Market Risk” of our 2021 Form 10-K.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Conclusion Regarding the Effectiveness of Disclosure Controls and Procedures</w:t>
      </w:r>
    </w:p>
    <w:p>
      <w:pPr>
        <w:spacing w:after="0" w:line="171" w:lineRule="exact"/>
        <w:rPr>
          <w:sz w:val="20"/>
          <w:szCs w:val="20"/>
          <w:color w:val="auto"/>
        </w:rPr>
      </w:pPr>
    </w:p>
    <w:p>
      <w:pPr>
        <w:ind w:right="60" w:firstLine="510"/>
        <w:spacing w:after="0" w:line="238"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4" w:lineRule="exact"/>
        <w:rPr>
          <w:sz w:val="20"/>
          <w:szCs w:val="20"/>
          <w:color w:val="auto"/>
        </w:rPr>
      </w:pPr>
    </w:p>
    <w:p>
      <w:pPr>
        <w:ind w:firstLine="510"/>
        <w:spacing w:after="0" w:line="243"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three months ended March 31, 2022 that have materially affected, or are reasonably likely to materially affect, our internal control over financial reporting.</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20" w:top="481" w:right="39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71" w:lineRule="exact"/>
        <w:rPr>
          <w:sz w:val="20"/>
          <w:szCs w:val="20"/>
          <w:color w:val="auto"/>
        </w:rPr>
      </w:pPr>
    </w:p>
    <w:p>
      <w:pPr>
        <w:ind w:firstLine="510"/>
        <w:spacing w:after="0" w:line="242" w:lineRule="auto"/>
        <w:rPr>
          <w:sz w:val="20"/>
          <w:szCs w:val="20"/>
          <w:color w:val="auto"/>
        </w:rPr>
      </w:pPr>
      <w:r>
        <w:rPr>
          <w:rFonts w:ascii="Times New Roman" w:cs="Times New Roman" w:eastAsia="Times New Roman" w:hAnsi="Times New Roman"/>
          <w:sz w:val="17"/>
          <w:szCs w:val="17"/>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disclosed in Part I, Item 1A, “Risk Factors” of our 202</w:t>
      </w:r>
      <w:r>
        <w:rPr>
          <w:rFonts w:ascii="Times New Roman" w:cs="Times New Roman" w:eastAsia="Times New Roman" w:hAnsi="Times New Roman"/>
          <w:sz w:val="17"/>
          <w:szCs w:val="17"/>
          <w:color w:val="FF0000"/>
        </w:rPr>
        <w:t>1</w:t>
      </w:r>
      <w:r>
        <w:rPr>
          <w:rFonts w:ascii="Times New Roman" w:cs="Times New Roman" w:eastAsia="Times New Roman" w:hAnsi="Times New Roman"/>
          <w:sz w:val="17"/>
          <w:szCs w:val="17"/>
          <w:color w:val="auto"/>
        </w:rPr>
        <w:t xml:space="preserve">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1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0"/>
                <w:szCs w:val="10"/>
                <w:color w:val="auto"/>
              </w:rPr>
            </w:pP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2"/>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tc>
        <w:tc>
          <w:tcPr>
            <w:tcW w:w="0" w:type="dxa"/>
            <w:vAlign w:val="bottom"/>
          </w:tcPr>
          <w:p>
            <w:pPr>
              <w:spacing w:after="0"/>
              <w:rPr>
                <w:sz w:val="1"/>
                <w:szCs w:val="1"/>
                <w:color w:val="auto"/>
              </w:rPr>
            </w:pPr>
          </w:p>
        </w:tc>
      </w:tr>
      <w:tr>
        <w:trPr>
          <w:trHeight w:val="280"/>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Amended and Restated Certificate of Incorporation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10/29/19</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Amended and Restated Bylaws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8"/>
              </w:rPr>
              <w:t>09/25/2020</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Form of Common Stock Certificate</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10/15/19</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Warrant to purchase shares of common stock issued to Takeda Company Limited,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S-1</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9/30/19</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5" w:lineRule="exact"/>
              <w:rPr>
                <w:rFonts w:ascii="Times New Roman" w:cs="Times New Roman" w:eastAsia="Times New Roman" w:hAnsi="Times New Roman"/>
                <w:sz w:val="17"/>
                <w:szCs w:val="17"/>
                <w:color w:val="0000FF"/>
                <w:w w:val="95"/>
              </w:rPr>
            </w:pPr>
            <w:hyperlink r:id="rId109">
              <w:r>
                <w:rPr>
                  <w:rFonts w:ascii="Times New Roman" w:cs="Times New Roman" w:eastAsia="Times New Roman" w:hAnsi="Times New Roman"/>
                  <w:sz w:val="17"/>
                  <w:szCs w:val="17"/>
                  <w:color w:val="0000FF"/>
                  <w:w w:val="95"/>
                </w:rPr>
                <w:t>dated May 7,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420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Warrant to purchase stock issued to Silicon Valley Bank, dated May 14, 2019</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S-1</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9/30/19</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4.3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Warrant to purchase stock issued to WestRiver Innovation Lending Fund VIII, L.P.,</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S-1</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9/30/19</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4.4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580" w:type="dxa"/>
            <w:vAlign w:val="bottom"/>
            <w:tcBorders>
              <w:top w:val="single" w:sz="8" w:color="0000FF"/>
            </w:tcBorders>
            <w:gridSpan w:val="17"/>
          </w:tcPr>
          <w:p>
            <w:pPr>
              <w:spacing w:after="0" w:line="155"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dated May 14, 2019</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Note Purchase Agreement, dated May 7, 2019, by and among the Registrant and the</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S-1/A</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10/15/19</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4.5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20" w:type="dxa"/>
            <w:vAlign w:val="bottom"/>
            <w:tcBorders>
              <w:top w:val="single" w:sz="8" w:color="0000FF"/>
            </w:tcBorders>
            <w:gridSpan w:val="18"/>
          </w:tcPr>
          <w:p>
            <w:pPr>
              <w:spacing w:after="0" w:line="155"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other parties party thereto, as amended</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160" w:type="dxa"/>
            <w:vAlign w:val="bottom"/>
          </w:tcPr>
          <w:p>
            <w:pPr>
              <w:spacing w:after="0"/>
              <w:rPr>
                <w:sz w:val="24"/>
                <w:szCs w:val="24"/>
                <w:color w:val="auto"/>
              </w:rPr>
            </w:pPr>
          </w:p>
        </w:tc>
        <w:tc>
          <w:tcPr>
            <w:tcW w:w="5900" w:type="dxa"/>
            <w:vAlign w:val="bottom"/>
            <w:gridSpan w:val="22"/>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Description of Registered Securities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auto"/>
                <w:w w:val="99"/>
              </w:rPr>
              <w:t>12/31/21</w:t>
            </w:r>
          </w:p>
        </w:tc>
        <w:tc>
          <w:tcPr>
            <w:tcW w:w="11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3"/>
              </w:rPr>
              <w:t>4.6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Employment Letter Agreement, dated March 22, 2022, by and between Molly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20" w:type="dxa"/>
            <w:vAlign w:val="bottom"/>
            <w:tcBorders>
              <w:top w:val="single" w:sz="8" w:color="0000FF"/>
            </w:tcBorders>
            <w:gridSpan w:val="13"/>
          </w:tcPr>
          <w:p>
            <w:pPr>
              <w:spacing w:after="0" w:line="155" w:lineRule="exact"/>
              <w:rPr>
                <w:sz w:val="20"/>
                <w:szCs w:val="20"/>
                <w:color w:val="auto"/>
              </w:rPr>
            </w:pPr>
            <w:r>
              <w:rPr>
                <w:rFonts w:ascii="Times New Roman" w:cs="Times New Roman" w:eastAsia="Times New Roman" w:hAnsi="Times New Roman"/>
                <w:sz w:val="17"/>
                <w:szCs w:val="17"/>
                <w:color w:val="0000FF"/>
              </w:rPr>
              <w:t>Henderson and the Company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31.1</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w w:val="99"/>
              </w:rPr>
              <w:t>Certification of Chief Executive Officer of Phathom Pharmaceuticals, Inc., as required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60" w:type="dxa"/>
            <w:vAlign w:val="bottom"/>
            <w:tcBorders>
              <w:top w:val="single" w:sz="8" w:color="0000FF"/>
            </w:tcBorders>
            <w:gridSpan w:val="20"/>
          </w:tcPr>
          <w:p>
            <w:pPr>
              <w:spacing w:after="0" w:line="155" w:lineRule="exact"/>
              <w:rPr>
                <w:sz w:val="20"/>
                <w:szCs w:val="20"/>
                <w:color w:val="auto"/>
              </w:rPr>
            </w:pPr>
            <w:r>
              <w:rPr>
                <w:rFonts w:ascii="Times New Roman" w:cs="Times New Roman" w:eastAsia="Times New Roman" w:hAnsi="Times New Roman"/>
                <w:sz w:val="17"/>
                <w:szCs w:val="17"/>
                <w:color w:val="0000FF"/>
              </w:rPr>
              <w:t>by Rule 13a-14(a) or Rule 15d-14(a), as adopted pursuant to Section 302 of the</w:t>
            </w: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5" w:lineRule="exact"/>
              <w:rPr>
                <w:sz w:val="20"/>
                <w:szCs w:val="20"/>
                <w:color w:val="auto"/>
              </w:rPr>
            </w:pPr>
            <w:r>
              <w:rPr>
                <w:rFonts w:ascii="Times New Roman" w:cs="Times New Roman" w:eastAsia="Times New Roman" w:hAnsi="Times New Roman"/>
                <w:sz w:val="17"/>
                <w:szCs w:val="17"/>
                <w:color w:val="0000FF"/>
                <w:w w:val="95"/>
              </w:rPr>
              <w:t>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334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31.2</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of Phathom Pharmaceuticals, Inc., as required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40" w:type="dxa"/>
            <w:vAlign w:val="bottom"/>
            <w:tcBorders>
              <w:top w:val="single" w:sz="8" w:color="0000FF"/>
            </w:tcBorders>
            <w:gridSpan w:val="19"/>
          </w:tcPr>
          <w:p>
            <w:pPr>
              <w:spacing w:after="0" w:line="155" w:lineRule="exact"/>
              <w:rPr>
                <w:sz w:val="20"/>
                <w:szCs w:val="20"/>
                <w:color w:val="auto"/>
              </w:rPr>
            </w:pPr>
            <w:r>
              <w:rPr>
                <w:rFonts w:ascii="Times New Roman" w:cs="Times New Roman" w:eastAsia="Times New Roman" w:hAnsi="Times New Roman"/>
                <w:sz w:val="17"/>
                <w:szCs w:val="17"/>
                <w:color w:val="0000FF"/>
              </w:rPr>
              <w:t>by Rule 13a-14(a) or Rule 15d-14(a), as adopted pursuant to Section 302 of the</w:t>
            </w: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5" w:lineRule="exact"/>
              <w:rPr>
                <w:sz w:val="20"/>
                <w:szCs w:val="20"/>
                <w:color w:val="auto"/>
              </w:rPr>
            </w:pPr>
            <w:r>
              <w:rPr>
                <w:rFonts w:ascii="Times New Roman" w:cs="Times New Roman" w:eastAsia="Times New Roman" w:hAnsi="Times New Roman"/>
                <w:sz w:val="17"/>
                <w:szCs w:val="17"/>
                <w:color w:val="0000FF"/>
                <w:w w:val="95"/>
              </w:rPr>
              <w:t>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334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32.1*</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906 of the Sarbanes-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080" w:type="dxa"/>
            <w:vAlign w:val="bottom"/>
            <w:tcBorders>
              <w:left w:val="single" w:sz="8" w:color="0000FF"/>
            </w:tcBorders>
            <w:gridSpan w:val="11"/>
            <w:shd w:val="clear" w:color="auto" w:fill="0000FF"/>
          </w:tcPr>
          <w:p>
            <w:pPr>
              <w:spacing w:after="0" w:line="20" w:lineRule="exact"/>
              <w:rPr>
                <w:sz w:val="1"/>
                <w:szCs w:val="1"/>
                <w:color w:val="auto"/>
              </w:rPr>
            </w:pPr>
          </w:p>
        </w:tc>
        <w:tc>
          <w:tcPr>
            <w:tcW w:w="520" w:type="dxa"/>
            <w:vAlign w:val="bottom"/>
            <w:gridSpan w:val="7"/>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80" w:type="dxa"/>
            <w:vAlign w:val="bottom"/>
            <w:gridSpan w:val="15"/>
          </w:tcPr>
          <w:p>
            <w:pPr>
              <w:spacing w:after="0" w:line="155" w:lineRule="exact"/>
              <w:rPr>
                <w:sz w:val="20"/>
                <w:szCs w:val="20"/>
                <w:color w:val="auto"/>
              </w:rPr>
            </w:pPr>
            <w:r>
              <w:rPr>
                <w:rFonts w:ascii="Times New Roman" w:cs="Times New Roman" w:eastAsia="Times New Roman" w:hAnsi="Times New Roman"/>
                <w:sz w:val="17"/>
                <w:szCs w:val="17"/>
                <w:color w:val="0000FF"/>
              </w:rPr>
              <w:t>Oxley Act of 2002.</w:t>
            </w:r>
          </w:p>
        </w:tc>
        <w:tc>
          <w:tcPr>
            <w:tcW w:w="52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4600" w:type="dxa"/>
            <w:vAlign w:val="bottom"/>
            <w:gridSpan w:val="1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32.2*</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w w:val="99"/>
              </w:rPr>
              <w:t>Certification of Chief Financial Officer pursuant to Section 906 of the Sarbanes-Oxley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60" w:type="dxa"/>
            <w:vAlign w:val="bottom"/>
            <w:tcBorders>
              <w:top w:val="single" w:sz="8" w:color="0000FF"/>
            </w:tcBorders>
            <w:gridSpan w:val="20"/>
          </w:tcPr>
          <w:p>
            <w:pPr>
              <w:spacing w:after="0" w:line="155" w:lineRule="exact"/>
              <w:rPr>
                <w:sz w:val="20"/>
                <w:szCs w:val="20"/>
                <w:color w:val="auto"/>
              </w:rPr>
            </w:pPr>
            <w:r>
              <w:rPr>
                <w:rFonts w:ascii="Times New Roman" w:cs="Times New Roman" w:eastAsia="Times New Roman" w:hAnsi="Times New Roman"/>
                <w:sz w:val="17"/>
                <w:szCs w:val="17"/>
                <w:color w:val="0000FF"/>
              </w:rPr>
              <w:t>Act of 2002.</w:t>
            </w: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gridSpan w:val="2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101.INS</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00" w:type="dxa"/>
            <w:vAlign w:val="bottom"/>
            <w:gridSpan w:val="22"/>
          </w:tcPr>
          <w:p>
            <w:pPr>
              <w:spacing w:after="0" w:line="175" w:lineRule="exact"/>
              <w:rPr>
                <w:sz w:val="20"/>
                <w:szCs w:val="20"/>
                <w:color w:val="auto"/>
              </w:rPr>
            </w:pPr>
            <w:r>
              <w:rPr>
                <w:rFonts w:ascii="Times New Roman" w:cs="Times New Roman" w:eastAsia="Times New Roman" w:hAnsi="Times New Roman"/>
                <w:sz w:val="17"/>
                <w:szCs w:val="17"/>
                <w:color w:val="auto"/>
              </w:rPr>
              <w:t>Interactive Data File because XBRL tags are embedded within the Inline XBRL</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document</w:t>
            </w:r>
            <w:r>
              <w:rPr>
                <w:rFonts w:ascii="Times New Roman" w:cs="Times New Roman" w:eastAsia="Times New Roman" w:hAnsi="Times New Roman"/>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101.SCH</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2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101.CAL</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2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101.LAB</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Label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2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101.PRE</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Presentation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25"/>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101.DEF</w:t>
            </w:r>
          </w:p>
        </w:tc>
        <w:tc>
          <w:tcPr>
            <w:tcW w:w="160" w:type="dxa"/>
            <w:vAlign w:val="bottom"/>
          </w:tcPr>
          <w:p>
            <w:pPr>
              <w:spacing w:after="0"/>
              <w:rPr>
                <w:sz w:val="24"/>
                <w:szCs w:val="24"/>
                <w:color w:val="auto"/>
              </w:rPr>
            </w:pPr>
          </w:p>
        </w:tc>
        <w:tc>
          <w:tcPr>
            <w:tcW w:w="59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180" w:hanging="768"/>
        <w:spacing w:after="0"/>
        <w:tabs>
          <w:tab w:leader="none" w:pos="118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rFonts w:ascii="Times New Roman" w:cs="Times New Roman" w:eastAsia="Times New Roman" w:hAnsi="Times New Roman"/>
          <w:sz w:val="15"/>
          <w:szCs w:val="15"/>
          <w:color w:val="auto"/>
        </w:rPr>
      </w:pPr>
    </w:p>
    <w:p>
      <w:pPr>
        <w:ind w:left="120" w:hanging="120"/>
        <w:spacing w:after="0" w:line="231" w:lineRule="auto"/>
        <w:tabs>
          <w:tab w:leader="none" w:pos="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1" w:lineRule="exact"/>
        <w:rPr>
          <w:sz w:val="20"/>
          <w:szCs w:val="20"/>
          <w:color w:val="auto"/>
        </w:rPr>
      </w:pPr>
    </w:p>
    <w:p>
      <w:pPr>
        <w:ind w:right="660"/>
        <w:spacing w:after="0" w:line="248" w:lineRule="auto"/>
        <w:tabs>
          <w:tab w:leader="none" w:pos="12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6788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1" w:lineRule="exact"/>
        <w:rPr>
          <w:sz w:val="20"/>
          <w:szCs w:val="20"/>
          <w:color w:val="auto"/>
        </w:rPr>
      </w:pPr>
    </w:p>
    <w:p>
      <w:pPr>
        <w:ind w:right="280" w:firstLine="510"/>
        <w:spacing w:after="0" w:line="25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660" w:type="dxa"/>
            <w:vAlign w:val="bottom"/>
            <w:gridSpan w:val="2"/>
          </w:tcPr>
          <w:p>
            <w:pPr>
              <w:ind w:left="2460"/>
              <w:spacing w:after="0"/>
              <w:rPr>
                <w:sz w:val="20"/>
                <w:szCs w:val="20"/>
                <w:color w:val="auto"/>
              </w:rPr>
            </w:pPr>
            <w:r>
              <w:rPr>
                <w:rFonts w:ascii="Times New Roman" w:cs="Times New Roman" w:eastAsia="Times New Roman" w:hAnsi="Times New Roman"/>
                <w:sz w:val="17"/>
                <w:szCs w:val="17"/>
                <w:color w:val="auto"/>
              </w:rPr>
              <w:t>PHATHOM PHARMACEUTICALS, INC.</w:t>
            </w:r>
          </w:p>
        </w:tc>
      </w:tr>
      <w:tr>
        <w:trPr>
          <w:trHeight w:val="399"/>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May 10, 2022</w:t>
            </w:r>
          </w:p>
        </w:tc>
        <w:tc>
          <w:tcPr>
            <w:tcW w:w="290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Terrie Curran</w:t>
            </w:r>
          </w:p>
        </w:tc>
      </w:tr>
      <w:tr>
        <w:trPr>
          <w:trHeight w:val="176"/>
        </w:trPr>
        <w:tc>
          <w:tcPr>
            <w:tcW w:w="5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Terrie Curran</w:t>
            </w:r>
          </w:p>
        </w:tc>
      </w:tr>
      <w:tr>
        <w:trPr>
          <w:trHeight w:val="200"/>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16"/>
        </w:trPr>
        <w:tc>
          <w:tcPr>
            <w:tcW w:w="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99"/>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May 10, 2022</w:t>
            </w:r>
          </w:p>
        </w:tc>
        <w:tc>
          <w:tcPr>
            <w:tcW w:w="290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Molly Henderson</w:t>
            </w:r>
          </w:p>
        </w:tc>
      </w:tr>
      <w:tr>
        <w:trPr>
          <w:trHeight w:val="176"/>
        </w:trPr>
        <w:tc>
          <w:tcPr>
            <w:tcW w:w="5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Molly Henderson</w:t>
            </w:r>
          </w:p>
        </w:tc>
      </w:tr>
      <w:tr>
        <w:trPr>
          <w:trHeight w:val="200"/>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and Business Officer</w:t>
            </w:r>
          </w:p>
        </w:tc>
      </w:tr>
      <w:tr>
        <w:trPr>
          <w:trHeight w:val="216"/>
        </w:trPr>
        <w:tc>
          <w:tcPr>
            <w:tcW w:w="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599"/>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32</w:t>
            </w:r>
          </w:p>
        </w:tc>
        <w:tc>
          <w:tcPr>
            <w:tcW w:w="4760" w:type="dxa"/>
            <w:vAlign w:val="bottom"/>
          </w:tcPr>
          <w:p>
            <w:pPr>
              <w:spacing w:after="0"/>
              <w:rPr>
                <w:sz w:val="24"/>
                <w:szCs w:val="24"/>
                <w:color w:val="auto"/>
              </w:rPr>
            </w:pPr>
          </w:p>
        </w:tc>
      </w:tr>
      <w:tr>
        <w:trPr>
          <w:trHeight w:val="105"/>
        </w:trPr>
        <w:tc>
          <w:tcPr>
            <w:tcW w:w="5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7620</wp:posOffset>
            </wp:positionV>
            <wp:extent cx="1633220" cy="459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1633220"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Molly Henderson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Basking Ridge, New Jersey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mhender1221@gmail.com</w:t>
      </w:r>
    </w:p>
    <w:p>
      <w:pPr>
        <w:spacing w:after="0" w:line="3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 Employment Offer Letter</w:t>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Molly:</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Phathom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pleased to offer you a position on the terms set forth in this letter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600" w:hanging="746"/>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ERMS</w:t>
      </w:r>
      <w:r>
        <w:rPr>
          <w:rFonts w:ascii="Times New Roman" w:cs="Times New Roman" w:eastAsia="Times New Roman" w:hAnsi="Times New Roman"/>
          <w:sz w:val="18"/>
          <w:szCs w:val="18"/>
          <w:b w:val="1"/>
          <w:bCs w:val="1"/>
          <w:color w:val="auto"/>
        </w:rPr>
        <w:t>.</w:t>
      </w:r>
    </w:p>
    <w:p>
      <w:pPr>
        <w:spacing w:after="0" w:line="217" w:lineRule="exact"/>
        <w:rPr>
          <w:sz w:val="20"/>
          <w:szCs w:val="20"/>
          <w:color w:val="auto"/>
        </w:rPr>
      </w:pPr>
    </w:p>
    <w:p>
      <w:pPr>
        <w:jc w:val="both"/>
        <w:ind w:left="2340" w:right="100" w:hanging="736"/>
        <w:spacing w:after="0" w:line="247"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Start Date (as defined below), you shall serve as the Company’s Chief Financial and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 such position, you shall report directly to the Chief Executive Officer of the Company (the “</w:t>
      </w:r>
      <w:r>
        <w:rPr>
          <w:rFonts w:ascii="Times New Roman" w:cs="Times New Roman" w:eastAsia="Times New Roman" w:hAnsi="Times New Roman"/>
          <w:sz w:val="18"/>
          <w:szCs w:val="18"/>
          <w:b w:val="1"/>
          <w:bCs w:val="1"/>
          <w:color w:val="auto"/>
        </w:rPr>
        <w:t>Supervising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You will be responsible for the Company’s accounting, financial planning and analysis (FP&amp;A),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 and business development functions, as well as such other duties as are assigned to you by your Supervising Officer; provided, however, such other duties shall be consistent with your role as Chief Financial Officer and Business Officer. You shall perform your services on a full-time basis at the Company’s headquarters at 100 Campus Drive, Florham Park, New Jersey, or at a mutually agreed location by you and the Supervising Officer, with travel as needed in connection with your duties at the Company’s expense. This is an exempt position.</w:t>
      </w:r>
    </w:p>
    <w:p>
      <w:pPr>
        <w:spacing w:after="0" w:line="180" w:lineRule="exact"/>
        <w:rPr>
          <w:rFonts w:ascii="Times New Roman" w:cs="Times New Roman" w:eastAsia="Times New Roman" w:hAnsi="Times New Roman"/>
          <w:sz w:val="18"/>
          <w:szCs w:val="18"/>
          <w:color w:val="auto"/>
        </w:rPr>
      </w:pPr>
    </w:p>
    <w:p>
      <w:pPr>
        <w:jc w:val="both"/>
        <w:ind w:left="2340" w:right="120" w:hanging="736"/>
        <w:spacing w:after="0" w:line="245"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XCLUSIVE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your employment, you shall devote your full working time and attention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affairs of the Company. Subject to the terms of the Company’s form of Proprietary Information and Inventions Assignment Agreement, as described below, this shall not preclude you from (a) devoting time to personal and family investments, (b) participating in industry associations, or (c) serving on professional, educational, community and civic boards, provided such activities do not interfere with your duties to the Company, as determined in good faith by the Supervising Officer. You agree that you will not join any boards, other than professional, educational, community and civic boards (which do not interfere with your duties to the Company), without the prior approval of the Supervising Officer, which approval shall not be unreasonably withheld, and that you shall be limited to service on two outside boards, other than professional, educational, community and civic boards.</w:t>
      </w:r>
    </w:p>
    <w:p>
      <w:pPr>
        <w:spacing w:after="0" w:line="183" w:lineRule="exact"/>
        <w:rPr>
          <w:rFonts w:ascii="Times New Roman" w:cs="Times New Roman" w:eastAsia="Times New Roman" w:hAnsi="Times New Roman"/>
          <w:sz w:val="18"/>
          <w:szCs w:val="18"/>
          <w:color w:val="auto"/>
        </w:rPr>
      </w:pPr>
    </w:p>
    <w:p>
      <w:pPr>
        <w:jc w:val="both"/>
        <w:ind w:left="2340" w:right="120" w:hanging="736"/>
        <w:spacing w:after="0" w:line="255"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TART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your employment start date (the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 will occur as soon as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but in no event later than April 15, 2022 (the “</w:t>
      </w:r>
      <w:r>
        <w:rPr>
          <w:rFonts w:ascii="Times New Roman" w:cs="Times New Roman" w:eastAsia="Times New Roman" w:hAnsi="Times New Roman"/>
          <w:sz w:val="18"/>
          <w:szCs w:val="18"/>
          <w:b w:val="1"/>
          <w:bCs w:val="1"/>
          <w:i w:val="1"/>
          <w:iCs w:val="1"/>
          <w:color w:val="auto"/>
        </w:rPr>
        <w:t>Start Date Deadline</w:t>
      </w:r>
      <w:r>
        <w:rPr>
          <w:rFonts w:ascii="Times New Roman" w:cs="Times New Roman" w:eastAsia="Times New Roman" w:hAnsi="Times New Roman"/>
          <w:sz w:val="18"/>
          <w:szCs w:val="18"/>
          <w:color w:val="auto"/>
        </w:rPr>
        <w:t>”). The employment offer contained in this Agreement will automatically expire if you have not commenced full-time employment with the Company prior to the Start Date Deadline. This offer, if not accepted, will expire at the close of business on March 24, 2022.</w:t>
      </w:r>
    </w:p>
    <w:p>
      <w:pPr>
        <w:spacing w:after="0" w:line="156" w:lineRule="exact"/>
        <w:rPr>
          <w:rFonts w:ascii="Times New Roman" w:cs="Times New Roman" w:eastAsia="Times New Roman" w:hAnsi="Times New Roman"/>
          <w:sz w:val="18"/>
          <w:szCs w:val="18"/>
          <w:color w:val="auto"/>
        </w:rPr>
      </w:pPr>
    </w:p>
    <w:p>
      <w:pPr>
        <w:jc w:val="both"/>
        <w:ind w:left="2340" w:right="120" w:hanging="736"/>
        <w:spacing w:after="0" w:line="259"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nnouncement</w:t>
      </w:r>
      <w:r>
        <w:rPr>
          <w:rFonts w:ascii="Times New Roman" w:cs="Times New Roman" w:eastAsia="Times New Roman" w:hAnsi="Times New Roman"/>
          <w:sz w:val="18"/>
          <w:szCs w:val="18"/>
          <w:color w:val="auto"/>
        </w:rPr>
        <w:t>. We expect to make a public announcement regarding your employment within four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following your current employer, UroGen Pharma, reporting its 2021 results, provided such public announcement</w:t>
      </w:r>
    </w:p>
    <w:p>
      <w:pPr>
        <w:ind w:left="2340"/>
        <w:spacing w:after="0" w:line="233" w:lineRule="auto"/>
        <w:rPr>
          <w:sz w:val="20"/>
          <w:szCs w:val="20"/>
          <w:color w:val="auto"/>
        </w:rPr>
      </w:pPr>
      <w:r>
        <w:rPr>
          <w:rFonts w:ascii="Times New Roman" w:cs="Times New Roman" w:eastAsia="Times New Roman" w:hAnsi="Times New Roman"/>
          <w:sz w:val="18"/>
          <w:szCs w:val="18"/>
          <w:color w:val="auto"/>
        </w:rPr>
        <w:t>shall be no later than March 31,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716788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 w:name="page36"/>
    <w:bookmarkEnd w:id="35"/>
    <w:p>
      <w:pPr>
        <w:ind w:left="1486"/>
        <w:spacing w:after="0"/>
        <w:rPr>
          <w:sz w:val="20"/>
          <w:szCs w:val="20"/>
          <w:color w:val="auto"/>
        </w:rPr>
      </w:pPr>
      <w:r>
        <w:rPr>
          <w:rFonts w:ascii="Times New Roman" w:cs="Times New Roman" w:eastAsia="Times New Roman" w:hAnsi="Times New Roman"/>
          <w:sz w:val="18"/>
          <w:szCs w:val="18"/>
          <w:color w:val="auto"/>
        </w:rPr>
        <w:t>2022 (the “</w:t>
      </w:r>
      <w:r>
        <w:rPr>
          <w:rFonts w:ascii="Times New Roman" w:cs="Times New Roman" w:eastAsia="Times New Roman" w:hAnsi="Times New Roman"/>
          <w:sz w:val="18"/>
          <w:szCs w:val="18"/>
          <w:b w:val="1"/>
          <w:bCs w:val="1"/>
          <w:i w:val="1"/>
          <w:iCs w:val="1"/>
          <w:color w:val="auto"/>
        </w:rPr>
        <w:t>Public Announcement Deadline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0" w:lineRule="exact"/>
        <w:rPr>
          <w:sz w:val="20"/>
          <w:szCs w:val="20"/>
          <w:color w:val="auto"/>
        </w:rPr>
      </w:pPr>
    </w:p>
    <w:p>
      <w:pPr>
        <w:ind w:left="746" w:hanging="746"/>
        <w:spacing w:after="0"/>
        <w:tabs>
          <w:tab w:leader="none" w:pos="7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initial employment compensation will be as follows:</w:t>
      </w:r>
    </w:p>
    <w:p>
      <w:pPr>
        <w:spacing w:after="0" w:line="217" w:lineRule="exact"/>
        <w:rPr>
          <w:rFonts w:ascii="Times New Roman" w:cs="Times New Roman" w:eastAsia="Times New Roman" w:hAnsi="Times New Roman"/>
          <w:sz w:val="18"/>
          <w:szCs w:val="18"/>
          <w:color w:val="auto"/>
        </w:rPr>
      </w:pPr>
    </w:p>
    <w:p>
      <w:pPr>
        <w:ind w:left="1486" w:hanging="741"/>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receive an annual base salary of</w:t>
      </w:r>
      <w:r>
        <w:rPr>
          <w:rFonts w:ascii="Times New Roman" w:cs="Times New Roman" w:eastAsia="Times New Roman" w:hAnsi="Times New Roman"/>
          <w:sz w:val="18"/>
          <w:szCs w:val="18"/>
          <w:b w:val="1"/>
          <w:bCs w:val="1"/>
          <w:color w:val="auto"/>
        </w:rPr>
        <w:t xml:space="preserve"> $480,000 </w:t>
      </w:r>
      <w:r>
        <w:rPr>
          <w:rFonts w:ascii="Times New Roman" w:cs="Times New Roman" w:eastAsia="Times New Roman" w:hAnsi="Times New Roman"/>
          <w:sz w:val="18"/>
          <w:szCs w:val="18"/>
          <w:color w:val="auto"/>
        </w:rPr>
        <w:t>for all hours worked, less taxes,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withholdings and other legally required deductions. You will be paid in accordance with the Company’s customary payroll procedures as established and modified from time-to-time. Your base salary will be subject to annual reviews for increases by and at the sole discretion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its compensation committee.</w:t>
      </w:r>
    </w:p>
    <w:p>
      <w:pPr>
        <w:spacing w:after="0" w:line="149" w:lineRule="exact"/>
        <w:rPr>
          <w:sz w:val="20"/>
          <w:szCs w:val="20"/>
          <w:color w:val="auto"/>
        </w:rPr>
      </w:pPr>
    </w:p>
    <w:p>
      <w:pPr>
        <w:jc w:val="both"/>
        <w:ind w:left="1486" w:hanging="736"/>
        <w:spacing w:after="0" w:line="244" w:lineRule="auto"/>
        <w:tabs>
          <w:tab w:leader="none" w:pos="14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your base salary, you shall be eligible to earn, for each fiscal year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ending during the term of your employment with the Company, an annual cash performance bonus under the Company’s bonus plan, as approved from time to time by the Board. Your target annual bonus will be </w:t>
      </w:r>
      <w:r>
        <w:rPr>
          <w:rFonts w:ascii="Times New Roman" w:cs="Times New Roman" w:eastAsia="Times New Roman" w:hAnsi="Times New Roman"/>
          <w:sz w:val="18"/>
          <w:szCs w:val="18"/>
          <w:b w:val="1"/>
          <w:bCs w:val="1"/>
          <w:color w:val="auto"/>
        </w:rPr>
        <w:t>forty five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 (45%) </w:t>
      </w:r>
      <w:r>
        <w:rPr>
          <w:rFonts w:ascii="Times New Roman" w:cs="Times New Roman" w:eastAsia="Times New Roman" w:hAnsi="Times New Roman"/>
          <w:sz w:val="18"/>
          <w:szCs w:val="18"/>
          <w:color w:val="auto"/>
        </w:rPr>
        <w:t>of your base salary actually paid for the year to which such annual bonus relates (your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Your actual annual bonus will be determined on the basis of your and/or the Company’s attainment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or other performance criteria established by the Board or its designee in accordance with the terms and conditions of such bonus plan. You must be employed by the Company on the date of payment of such annual bonus in order to be eligible to receive such annual bonus. If you have accepted this Agreement and have approved the Company to announce your employment on or before the Public Announcement Deadline, your bonus for your initial year of employment will not be prorated. Otherwise, your bonus for your initial year of employment will be prorated to reflect the portion of the year that you were an employee of the Company.</w:t>
      </w:r>
    </w:p>
    <w:p>
      <w:pPr>
        <w:spacing w:after="0" w:line="182" w:lineRule="exact"/>
        <w:rPr>
          <w:rFonts w:ascii="Times New Roman" w:cs="Times New Roman" w:eastAsia="Times New Roman" w:hAnsi="Times New Roman"/>
          <w:sz w:val="18"/>
          <w:szCs w:val="18"/>
          <w:color w:val="auto"/>
        </w:rPr>
      </w:pPr>
    </w:p>
    <w:p>
      <w:pPr>
        <w:jc w:val="both"/>
        <w:ind w:left="1486" w:hanging="736"/>
        <w:spacing w:after="0" w:line="245" w:lineRule="auto"/>
        <w:tabs>
          <w:tab w:leader="none" w:pos="14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onus</w:t>
      </w:r>
      <w:r>
        <w:rPr>
          <w:rFonts w:ascii="Times New Roman" w:cs="Times New Roman" w:eastAsia="Times New Roman" w:hAnsi="Times New Roman"/>
          <w:sz w:val="18"/>
          <w:szCs w:val="18"/>
          <w:color w:val="auto"/>
        </w:rPr>
        <w:t>. If you have accepted this Agreement and have approved the Company to announce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or before the Public Announcement Deadline, you will receive a sign-on bonus of </w:t>
      </w:r>
      <w:r>
        <w:rPr>
          <w:rFonts w:ascii="Times New Roman" w:cs="Times New Roman" w:eastAsia="Times New Roman" w:hAnsi="Times New Roman"/>
          <w:sz w:val="18"/>
          <w:szCs w:val="18"/>
          <w:b w:val="1"/>
          <w:bCs w:val="1"/>
          <w:color w:val="auto"/>
        </w:rPr>
        <w:t>$75,000</w:t>
      </w:r>
      <w:r>
        <w:rPr>
          <w:rFonts w:ascii="Times New Roman" w:cs="Times New Roman" w:eastAsia="Times New Roman" w:hAnsi="Times New Roman"/>
          <w:sz w:val="18"/>
          <w:szCs w:val="18"/>
          <w:color w:val="auto"/>
        </w:rPr>
        <w:t xml:space="preserve"> within 10 days of your Start Date. Such sign-on bonus is subject to repayment in the event your employment with the Company is terminated by the Company for Cause or by you without Good Reason (each as defined below). Repayment of the signing bonus shall be forgiven by 50% on each of the first and second anniversaries of your Start Date. The Company will have the right to offset such amount against any compensation otherwise payable to you on the date of your termination of employment.</w:t>
      </w:r>
    </w:p>
    <w:p>
      <w:pPr>
        <w:spacing w:after="0" w:line="392" w:lineRule="exact"/>
        <w:rPr>
          <w:rFonts w:ascii="Times New Roman" w:cs="Times New Roman" w:eastAsia="Times New Roman" w:hAnsi="Times New Roman"/>
          <w:sz w:val="18"/>
          <w:szCs w:val="18"/>
          <w:color w:val="auto"/>
        </w:rPr>
      </w:pPr>
    </w:p>
    <w:p>
      <w:pPr>
        <w:jc w:val="both"/>
        <w:ind w:left="1486" w:hanging="736"/>
        <w:spacing w:after="0" w:line="252" w:lineRule="auto"/>
        <w:tabs>
          <w:tab w:leader="none" w:pos="14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be eligible to participate in all of the employee benefit plans or programs the Company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available to similarly situated employees, pursuant to the terms and conditions of such plans. You will also be entitled to vacation and/or paid time off each year in accordance with Company policy and all holidays observed by the Company each year. The Company reserves the right to change benefits provided to its employees from time to time in its discretion.</w:t>
      </w:r>
    </w:p>
    <w:p>
      <w:pPr>
        <w:spacing w:after="0" w:line="174" w:lineRule="exact"/>
        <w:rPr>
          <w:rFonts w:ascii="Times New Roman" w:cs="Times New Roman" w:eastAsia="Times New Roman" w:hAnsi="Times New Roman"/>
          <w:sz w:val="18"/>
          <w:szCs w:val="18"/>
          <w:color w:val="auto"/>
        </w:rPr>
      </w:pPr>
    </w:p>
    <w:p>
      <w:pPr>
        <w:ind w:left="1486" w:hanging="736"/>
        <w:spacing w:after="0"/>
        <w:tabs>
          <w:tab w:leader="none" w:pos="14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amounts payable to you will be subject to appropriate payroll deductions and withholdings.</w:t>
      </w:r>
    </w:p>
    <w:p>
      <w:pPr>
        <w:spacing w:after="0" w:line="229" w:lineRule="exact"/>
        <w:rPr>
          <w:rFonts w:ascii="Times New Roman" w:cs="Times New Roman" w:eastAsia="Times New Roman" w:hAnsi="Times New Roman"/>
          <w:sz w:val="18"/>
          <w:szCs w:val="18"/>
          <w:color w:val="auto"/>
        </w:rPr>
      </w:pPr>
    </w:p>
    <w:p>
      <w:pPr>
        <w:jc w:val="both"/>
        <w:ind w:left="746" w:hanging="746"/>
        <w:spacing w:after="0" w:line="246" w:lineRule="auto"/>
        <w:tabs>
          <w:tab w:leader="none" w:pos="7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approval of the Board, you will be granted stock options to purchase</w:t>
      </w:r>
      <w:r>
        <w:rPr>
          <w:rFonts w:ascii="Times New Roman" w:cs="Times New Roman" w:eastAsia="Times New Roman" w:hAnsi="Times New Roman"/>
          <w:sz w:val="18"/>
          <w:szCs w:val="18"/>
          <w:b w:val="1"/>
          <w:bCs w:val="1"/>
          <w:color w:val="auto"/>
        </w:rPr>
        <w:t xml:space="preserve"> 100,000 shares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at an exercise price per share equal to the fair market value per share of the Company’s common stock on the date of grant (the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The Stock Options will be granted pursuant to the Company’s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Stock Options will be subject to the terms and conditions of the Plan and your stock option agreement. The Stock Options will vest over a four year vesting schedule. The Stock Options will vest over a four year vesting schedule, with twenty-five percent (25%) of the Stock Options vesting on the first anniversary of the Start Date and the remaining Stock Options vesting in thirty-six (36) equal monthly installments thereafter, subject solely to your continued employment or service to the Company on each such vesting</w:t>
      </w:r>
    </w:p>
    <w:p>
      <w:pPr>
        <w:spacing w:after="0" w:line="212" w:lineRule="exact"/>
        <w:rPr>
          <w:sz w:val="20"/>
          <w:szCs w:val="20"/>
          <w:color w:val="auto"/>
        </w:rPr>
      </w:pPr>
    </w:p>
    <w:p>
      <w:pPr>
        <w:ind w:left="472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93980</wp:posOffset>
            </wp:positionV>
            <wp:extent cx="716788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266"/>
          </w:cols>
          <w:pgMar w:left="1174" w:top="327" w:right="459" w:bottom="1440" w:gutter="0" w:footer="0" w:header="0"/>
        </w:sectPr>
      </w:pPr>
    </w:p>
    <w:bookmarkStart w:id="36" w:name="page37"/>
    <w:bookmarkEnd w:id="36"/>
    <w:p>
      <w:pPr>
        <w:ind w:left="746" w:right="20"/>
        <w:spacing w:after="0" w:line="283" w:lineRule="auto"/>
        <w:rPr>
          <w:sz w:val="20"/>
          <w:szCs w:val="20"/>
          <w:color w:val="auto"/>
        </w:rPr>
      </w:pPr>
      <w:r>
        <w:rPr>
          <w:rFonts w:ascii="Times New Roman" w:cs="Times New Roman" w:eastAsia="Times New Roman" w:hAnsi="Times New Roman"/>
          <w:sz w:val="18"/>
          <w:szCs w:val="18"/>
          <w:color w:val="auto"/>
        </w:rPr>
        <w:t>date (except as set forth herein). Except as otherwise expressly provided herein, in the event of your termination of employment or service for any reason, all of your unvested Stock Options will terminate immediately.</w:t>
      </w:r>
    </w:p>
    <w:p>
      <w:pPr>
        <w:spacing w:after="0" w:line="200" w:lineRule="exact"/>
        <w:rPr>
          <w:sz w:val="20"/>
          <w:szCs w:val="20"/>
          <w:color w:val="auto"/>
        </w:rPr>
      </w:pPr>
    </w:p>
    <w:p>
      <w:pPr>
        <w:spacing w:after="0" w:line="219" w:lineRule="exact"/>
        <w:rPr>
          <w:sz w:val="20"/>
          <w:szCs w:val="20"/>
          <w:color w:val="auto"/>
        </w:rPr>
      </w:pPr>
    </w:p>
    <w:p>
      <w:pPr>
        <w:jc w:val="both"/>
        <w:ind w:left="746" w:right="20" w:hanging="746"/>
        <w:spacing w:after="0" w:line="250" w:lineRule="auto"/>
        <w:tabs>
          <w:tab w:leader="none" w:pos="7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Stock Options, subject to approval by the Board, you will be eligible to receive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one-time grant of </w:t>
      </w:r>
      <w:r>
        <w:rPr>
          <w:rFonts w:ascii="Times New Roman" w:cs="Times New Roman" w:eastAsia="Times New Roman" w:hAnsi="Times New Roman"/>
          <w:sz w:val="18"/>
          <w:szCs w:val="18"/>
          <w:b w:val="1"/>
          <w:bCs w:val="1"/>
          <w:color w:val="auto"/>
        </w:rPr>
        <w:t>20,000 restricted stock units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The RSUs will be granted under the Plan. The RSUs will be subject to the terms and conditions of the Plan and your RSU agreement. Each RSU will represent the right to receive one share of our common stock. The RSUs will vest over a three year vesting schedule, with one-third (1/3rd) of the RSUs vesting on each of the first, second and third anniversary of the grant date, subject solely to your continued employment or service to the Company on each such vesting date. Except as otherwise expressly provided herein, in the event of your termination of employment or service for any reason, all of your unvested RSUs will terminate immediately.</w:t>
      </w:r>
    </w:p>
    <w:p>
      <w:pPr>
        <w:spacing w:after="0" w:line="188" w:lineRule="exact"/>
        <w:rPr>
          <w:rFonts w:ascii="Times New Roman" w:cs="Times New Roman" w:eastAsia="Times New Roman" w:hAnsi="Times New Roman"/>
          <w:sz w:val="18"/>
          <w:szCs w:val="18"/>
          <w:color w:val="auto"/>
        </w:rPr>
      </w:pPr>
    </w:p>
    <w:p>
      <w:pPr>
        <w:jc w:val="both"/>
        <w:ind w:left="746" w:hanging="746"/>
        <w:spacing w:after="0" w:line="259" w:lineRule="auto"/>
        <w:tabs>
          <w:tab w:leader="none" w:pos="7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entitled to reimbursement for all ordinary and reasonable out-of- pocket business expenses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incurred by you in furtherance of the Company’s business, with appropriate documentation and in accordance with the Company’s standard policies.</w:t>
      </w:r>
    </w:p>
    <w:p>
      <w:pPr>
        <w:spacing w:after="0" w:line="178" w:lineRule="exact"/>
        <w:rPr>
          <w:rFonts w:ascii="Times New Roman" w:cs="Times New Roman" w:eastAsia="Times New Roman" w:hAnsi="Times New Roman"/>
          <w:sz w:val="18"/>
          <w:szCs w:val="18"/>
          <w:color w:val="auto"/>
        </w:rPr>
      </w:pPr>
    </w:p>
    <w:p>
      <w:pPr>
        <w:ind w:left="746" w:hanging="746"/>
        <w:spacing w:after="0"/>
        <w:tabs>
          <w:tab w:leader="none" w:pos="7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EVERANCE</w:t>
      </w:r>
      <w:r>
        <w:rPr>
          <w:rFonts w:ascii="Times New Roman" w:cs="Times New Roman" w:eastAsia="Times New Roman" w:hAnsi="Times New Roman"/>
          <w:sz w:val="18"/>
          <w:szCs w:val="18"/>
          <w:b w:val="1"/>
          <w:bCs w:val="1"/>
          <w:color w:val="auto"/>
        </w:rPr>
        <w:t>.</w:t>
      </w:r>
    </w:p>
    <w:p>
      <w:pPr>
        <w:spacing w:after="0" w:line="217" w:lineRule="exact"/>
        <w:rPr>
          <w:rFonts w:ascii="Times New Roman" w:cs="Times New Roman" w:eastAsia="Times New Roman" w:hAnsi="Times New Roman"/>
          <w:sz w:val="18"/>
          <w:szCs w:val="18"/>
          <w:color w:val="auto"/>
        </w:rPr>
      </w:pPr>
    </w:p>
    <w:p>
      <w:pPr>
        <w:ind w:left="1486" w:right="20" w:hanging="742"/>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CCRUED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employment terminates for any reason, you are entitled to your fully earned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unpaid base 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Times New Roman" w:cs="Times New Roman" w:eastAsia="Times New Roman" w:hAnsi="Times New Roman"/>
          <w:sz w:val="18"/>
          <w:szCs w:val="18"/>
          <w:b w:val="1"/>
          <w:bCs w:val="1"/>
          <w:i w:val="1"/>
          <w:iCs w:val="1"/>
          <w:color w:val="auto"/>
        </w:rPr>
        <w:t>Accrued Obligation</w:t>
      </w:r>
      <w:r>
        <w:rPr>
          <w:rFonts w:ascii="Times New Roman" w:cs="Times New Roman" w:eastAsia="Times New Roman" w:hAnsi="Times New Roman"/>
          <w:sz w:val="18"/>
          <w:szCs w:val="18"/>
          <w:color w:val="auto"/>
        </w:rPr>
        <w:t>s”).</w:t>
      </w:r>
    </w:p>
    <w:p>
      <w:pPr>
        <w:spacing w:after="0" w:line="175" w:lineRule="exact"/>
        <w:rPr>
          <w:sz w:val="20"/>
          <w:szCs w:val="20"/>
          <w:color w:val="auto"/>
        </w:rPr>
      </w:pPr>
    </w:p>
    <w:p>
      <w:pPr>
        <w:jc w:val="both"/>
        <w:ind w:left="1486" w:right="20" w:hanging="736"/>
        <w:spacing w:after="0" w:line="248" w:lineRule="auto"/>
        <w:tabs>
          <w:tab w:leader="none" w:pos="14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-CIC S</w:t>
      </w:r>
      <w:r>
        <w:rPr>
          <w:rFonts w:ascii="Times New Roman" w:cs="Times New Roman" w:eastAsia="Times New Roman" w:hAnsi="Times New Roman"/>
          <w:sz w:val="14"/>
          <w:szCs w:val="14"/>
          <w:b w:val="1"/>
          <w:bCs w:val="1"/>
          <w:color w:val="auto"/>
        </w:rPr>
        <w:t>EVERANCE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your Accrued Obligations, subject to your continued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Proprietary Information and Inventions Assignment Agreement, as described below, and the effectiveness of your Release, as defined below, if, following the Start Date, your employment is involuntarily terminated by the Company without Cause (and other than by reason of your death or disability) or you resign for Good Reason (either such termination, a “</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and such Qualifying Termination does not occur during the Change in Control Period (as defined below), you shall be entitled to receive, as the sole severance benefits to which you are entitled, the benefits provided below (the “</w:t>
      </w:r>
      <w:r>
        <w:rPr>
          <w:rFonts w:ascii="Times New Roman" w:cs="Times New Roman" w:eastAsia="Times New Roman" w:hAnsi="Times New Roman"/>
          <w:sz w:val="18"/>
          <w:szCs w:val="18"/>
          <w:b w:val="1"/>
          <w:bCs w:val="1"/>
          <w:i w:val="1"/>
          <w:iCs w:val="1"/>
          <w:color w:val="auto"/>
        </w:rPr>
        <w:t>Non-CIC Severance Benefits</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jc w:val="both"/>
        <w:ind w:left="2246" w:right="20" w:hanging="745"/>
        <w:spacing w:after="0" w:line="249" w:lineRule="auto"/>
        <w:tabs>
          <w:tab w:leader="none" w:pos="224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 amount equal to 9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9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167" w:lineRule="exact"/>
        <w:rPr>
          <w:rFonts w:ascii="Times New Roman" w:cs="Times New Roman" w:eastAsia="Times New Roman" w:hAnsi="Times New Roman"/>
          <w:sz w:val="17"/>
          <w:szCs w:val="17"/>
          <w:color w:val="auto"/>
        </w:rPr>
      </w:pPr>
    </w:p>
    <w:p>
      <w:pPr>
        <w:jc w:val="both"/>
        <w:ind w:left="2246" w:hanging="745"/>
        <w:spacing w:after="0" w:line="251" w:lineRule="auto"/>
        <w:tabs>
          <w:tab w:leader="none" w:pos="224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 amount equal to your Target Bonus for the calendar year in which your termination date occurs, prorated for the portion of the calendar year in which your termination date occurs that has elapsed prior to such termination, plus any unpaid annual bonus for the calendar year prior to the year in which your Qualifying Termination occurs, to the extent you are entitled to such bonus and if such bonus has not already been paid,</w:t>
      </w:r>
    </w:p>
    <w:p>
      <w:pPr>
        <w:ind w:left="2246"/>
        <w:spacing w:after="0" w:line="235" w:lineRule="auto"/>
        <w:rPr>
          <w:sz w:val="20"/>
          <w:szCs w:val="20"/>
          <w:color w:val="auto"/>
        </w:rPr>
      </w:pPr>
      <w:r>
        <w:rPr>
          <w:rFonts w:ascii="Times New Roman" w:cs="Times New Roman" w:eastAsia="Times New Roman" w:hAnsi="Times New Roman"/>
          <w:sz w:val="18"/>
          <w:szCs w:val="18"/>
          <w:color w:val="auto"/>
        </w:rPr>
        <w:t>which</w:t>
      </w:r>
    </w:p>
    <w:p>
      <w:pPr>
        <w:ind w:left="4726"/>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93980</wp:posOffset>
            </wp:positionV>
            <wp:extent cx="716788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286"/>
          </w:cols>
          <w:pgMar w:left="1174" w:top="331" w:right="439" w:bottom="1440" w:gutter="0" w:footer="0" w:header="0"/>
        </w:sectPr>
      </w:pPr>
    </w:p>
    <w:bookmarkStart w:id="37" w:name="page38"/>
    <w:bookmarkEnd w:id="37"/>
    <w:p>
      <w:pPr>
        <w:jc w:val="both"/>
        <w:ind w:left="1980"/>
        <w:spacing w:after="0" w:line="283" w:lineRule="auto"/>
        <w:rPr>
          <w:sz w:val="20"/>
          <w:szCs w:val="20"/>
          <w:color w:val="auto"/>
        </w:rPr>
      </w:pPr>
      <w:r>
        <w:rPr>
          <w:rFonts w:ascii="Times New Roman" w:cs="Times New Roman" w:eastAsia="Times New Roman" w:hAnsi="Times New Roman"/>
          <w:sz w:val="18"/>
          <w:szCs w:val="18"/>
          <w:color w:val="auto"/>
        </w:rPr>
        <w:t>amount(s) will be paid in a lump sum on the first regularly- scheduled payroll date following the date your Release becomes effective, but in no event more than 75 days following your termination date;</w:t>
      </w:r>
    </w:p>
    <w:p>
      <w:pPr>
        <w:spacing w:after="0" w:line="149" w:lineRule="exact"/>
        <w:rPr>
          <w:sz w:val="20"/>
          <w:szCs w:val="20"/>
          <w:color w:val="auto"/>
        </w:rPr>
      </w:pPr>
    </w:p>
    <w:p>
      <w:pPr>
        <w:jc w:val="both"/>
        <w:ind w:left="2160" w:hanging="172"/>
        <w:spacing w:after="0" w:line="245" w:lineRule="auto"/>
        <w:rPr>
          <w:sz w:val="20"/>
          <w:szCs w:val="20"/>
          <w:color w:val="auto"/>
        </w:rPr>
      </w:pPr>
      <w:r>
        <w:rPr>
          <w:rFonts w:ascii="Times New Roman" w:cs="Times New Roman" w:eastAsia="Times New Roman" w:hAnsi="Times New Roman"/>
          <w:sz w:val="18"/>
          <w:szCs w:val="18"/>
          <w:color w:val="auto"/>
        </w:rPr>
        <w:t>(i)For the 9 month period beginning on the date of your termination of employment (or, if earlier, (a) the date on which the applicable continuation period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expires, or (b) the date on which you become eligible to receive the equivalent or increased healthcare coverage by means of subsequent employment or self- employment) (such period, the “</w:t>
      </w:r>
      <w:r>
        <w:rPr>
          <w:rFonts w:ascii="Times New Roman" w:cs="Times New Roman" w:eastAsia="Times New Roman" w:hAnsi="Times New Roman"/>
          <w:sz w:val="18"/>
          <w:szCs w:val="18"/>
          <w:b w:val="1"/>
          <w:bCs w:val="1"/>
          <w:i w:val="1"/>
          <w:iCs w:val="1"/>
          <w:color w:val="auto"/>
        </w:rPr>
        <w:t>COBRA Coverage Period</w:t>
      </w:r>
      <w:r>
        <w:rPr>
          <w:rFonts w:ascii="Times New Roman" w:cs="Times New Roman" w:eastAsia="Times New Roman" w:hAnsi="Times New Roman"/>
          <w:sz w:val="18"/>
          <w:szCs w:val="18"/>
          <w:color w:val="auto"/>
        </w:rPr>
        <w:t>”), if you and/or your eligible dependents who were covered under the Company’s health insurance plans as of the date of your termination of employment elect to have COBRA coverage and are eligible for such coverage, the Company shall pay for or reimburse you on a monthly basis for an amount equal to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(ii)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 and</w:t>
      </w:r>
    </w:p>
    <w:p>
      <w:pPr>
        <w:spacing w:after="0" w:line="247" w:lineRule="exact"/>
        <w:rPr>
          <w:sz w:val="20"/>
          <w:szCs w:val="20"/>
          <w:color w:val="auto"/>
        </w:rPr>
      </w:pPr>
    </w:p>
    <w:p>
      <w:pPr>
        <w:jc w:val="both"/>
        <w:ind w:left="1980" w:hanging="745"/>
        <w:spacing w:after="0" w:line="250" w:lineRule="auto"/>
        <w:tabs>
          <w:tab w:leader="none" w:pos="1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else set forth herein, in the Plan or in any award agreement, such number of the unvested Stock Awards (as defined below) then held by you (including the Stock Options and RSUs) will vest on the effective date of your Release as would have vested during the 9-month period following your Qualifying Termination had you remained employed by the Company during such period. The foregoing provisions are hereby deemed to be a part of each Stock Award and to supersede any less favorable provision in any agreement or plan regarding such Stock Award.</w:t>
      </w:r>
    </w:p>
    <w:p>
      <w:pPr>
        <w:spacing w:after="0" w:line="151" w:lineRule="exact"/>
        <w:rPr>
          <w:sz w:val="20"/>
          <w:szCs w:val="20"/>
          <w:color w:val="auto"/>
        </w:rPr>
      </w:pPr>
    </w:p>
    <w:p>
      <w:pPr>
        <w:jc w:val="both"/>
        <w:ind w:left="1220" w:hanging="736"/>
        <w:spacing w:after="0" w:line="245"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CIC S</w:t>
      </w:r>
      <w:r>
        <w:rPr>
          <w:rFonts w:ascii="Times New Roman" w:cs="Times New Roman" w:eastAsia="Times New Roman" w:hAnsi="Times New Roman"/>
          <w:sz w:val="14"/>
          <w:szCs w:val="14"/>
          <w:b w:val="1"/>
          <w:bCs w:val="1"/>
          <w:color w:val="auto"/>
        </w:rPr>
        <w:t>EVERANCE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your Accrued Obligations, subject to your continued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and Inventions Assignment Agreement, as described below, and the effectiveness of your Release, if your Qualifying Termination occurs following the Start Date and during the Change in Control Period, you shall be entitled to receive, as the sole severance benefits to which you are entitled and in lieu of any Non-CIC Severance Benefits, the benefits provided below (the “</w:t>
      </w:r>
      <w:r>
        <w:rPr>
          <w:rFonts w:ascii="Times New Roman" w:cs="Times New Roman" w:eastAsia="Times New Roman" w:hAnsi="Times New Roman"/>
          <w:sz w:val="18"/>
          <w:szCs w:val="18"/>
          <w:b w:val="1"/>
          <w:bCs w:val="1"/>
          <w:i w:val="1"/>
          <w:iCs w:val="1"/>
          <w:color w:val="auto"/>
        </w:rPr>
        <w:t>CIC Severance Benefits</w:t>
      </w:r>
      <w:r>
        <w:rPr>
          <w:rFonts w:ascii="Times New Roman" w:cs="Times New Roman" w:eastAsia="Times New Roman" w:hAnsi="Times New Roman"/>
          <w:sz w:val="18"/>
          <w:szCs w:val="18"/>
          <w:color w:val="auto"/>
        </w:rPr>
        <w:t>”) (and for the avoidance of doubt: (a) in no event will you be entitled to both the Non-CIC Severance Benefits and the CIC Severance Benefits, and (b) if the Company has commenced providing the Non-CIC Severance Benefits to you prior to the date that you become eligible</w:t>
      </w:r>
    </w:p>
    <w:p>
      <w:pPr>
        <w:ind w:left="1220"/>
        <w:spacing w:after="0" w:line="238" w:lineRule="auto"/>
        <w:rPr>
          <w:sz w:val="20"/>
          <w:szCs w:val="20"/>
          <w:color w:val="auto"/>
        </w:rPr>
      </w:pPr>
      <w:r>
        <w:rPr>
          <w:rFonts w:ascii="Times New Roman" w:cs="Times New Roman" w:eastAsia="Times New Roman" w:hAnsi="Times New Roman"/>
          <w:sz w:val="18"/>
          <w:szCs w:val="18"/>
          <w:color w:val="auto"/>
        </w:rPr>
        <w:t>to receive the CIC Severance Benefits, the Non-CIC Severance Benefits previously provided to you shall reduce the</w:t>
      </w:r>
    </w:p>
    <w:p>
      <w:pPr>
        <w:ind w:left="1220"/>
        <w:spacing w:after="0"/>
        <w:rPr>
          <w:sz w:val="20"/>
          <w:szCs w:val="20"/>
          <w:color w:val="auto"/>
        </w:rPr>
      </w:pPr>
      <w:r>
        <w:rPr>
          <w:rFonts w:ascii="Times New Roman" w:cs="Times New Roman" w:eastAsia="Times New Roman" w:hAnsi="Times New Roman"/>
          <w:sz w:val="18"/>
          <w:szCs w:val="18"/>
          <w:color w:val="auto"/>
        </w:rPr>
        <w:t>CIC Severance Benefits provided below by the amount of such Non-CIC Severance Benefits already provided to you):</w:t>
      </w:r>
    </w:p>
    <w:p>
      <w:pPr>
        <w:spacing w:after="0" w:line="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93980</wp:posOffset>
            </wp:positionV>
            <wp:extent cx="716788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000"/>
          </w:cols>
          <w:pgMar w:left="1440" w:top="331" w:right="459" w:bottom="1440" w:gutter="0" w:footer="0" w:header="0"/>
        </w:sectPr>
      </w:pPr>
    </w:p>
    <w:bookmarkStart w:id="38" w:name="page39"/>
    <w:bookmarkEnd w:id="38"/>
    <w:p>
      <w:pPr>
        <w:jc w:val="both"/>
        <w:ind w:left="1980" w:hanging="745"/>
        <w:spacing w:after="0" w:line="249" w:lineRule="auto"/>
        <w:tabs>
          <w:tab w:leader="none" w:pos="1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 amount equal to 12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12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200" w:lineRule="exact"/>
        <w:rPr>
          <w:rFonts w:ascii="Times New Roman" w:cs="Times New Roman" w:eastAsia="Times New Roman" w:hAnsi="Times New Roman"/>
          <w:sz w:val="17"/>
          <w:szCs w:val="17"/>
          <w:color w:val="auto"/>
        </w:rPr>
      </w:pPr>
    </w:p>
    <w:p>
      <w:pPr>
        <w:spacing w:after="0" w:line="244" w:lineRule="exact"/>
        <w:rPr>
          <w:rFonts w:ascii="Times New Roman" w:cs="Times New Roman" w:eastAsia="Times New Roman" w:hAnsi="Times New Roman"/>
          <w:sz w:val="17"/>
          <w:szCs w:val="17"/>
          <w:color w:val="auto"/>
        </w:rPr>
      </w:pPr>
    </w:p>
    <w:p>
      <w:pPr>
        <w:jc w:val="both"/>
        <w:ind w:left="1980" w:hanging="745"/>
        <w:spacing w:after="0" w:line="247" w:lineRule="auto"/>
        <w:tabs>
          <w:tab w:leader="none" w:pos="1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 amount equal to your Target Bonus for the calendar year in which your termination date occurs, plus any unpaid annual bonus for the calendar year prior to the year in which your Qualifying Termination occurs, to the extent you are entitled to such bonus and if such bonus has not already been paid, which amount(s) will be paid as follows: (a) an amount equal to your Target Bonus for the calendar year in which your termination date occurs, prorated for the portion of the calendar year in which your termination date occurs that has elapsed prior to such termination, plus any unpaid annual bonus for the calendar year prior to the year in</w:t>
      </w:r>
    </w:p>
    <w:p>
      <w:pPr>
        <w:spacing w:after="0" w:line="3" w:lineRule="exact"/>
        <w:rPr>
          <w:sz w:val="20"/>
          <w:szCs w:val="20"/>
          <w:color w:val="auto"/>
        </w:rPr>
      </w:pPr>
    </w:p>
    <w:p>
      <w:pPr>
        <w:jc w:val="both"/>
        <w:ind w:left="1980"/>
        <w:spacing w:after="0" w:line="246" w:lineRule="auto"/>
        <w:rPr>
          <w:sz w:val="20"/>
          <w:szCs w:val="20"/>
          <w:color w:val="auto"/>
        </w:rPr>
      </w:pPr>
      <w:r>
        <w:rPr>
          <w:rFonts w:ascii="Times New Roman" w:cs="Times New Roman" w:eastAsia="Times New Roman" w:hAnsi="Times New Roman"/>
          <w:sz w:val="18"/>
          <w:szCs w:val="18"/>
          <w:color w:val="auto"/>
        </w:rPr>
        <w:t>which your Qualifying Termination occurs, to the extent you are entitled to such bonus and if such bonus has not already been paid, which amount(s) will be paid in a lump sum on the first regularly-scheduled payroll date following the date your Release becomes effective, but in no event more than 75 days following your termination date, and (b) any remaining portion of your Target Bonus for the calendar year in which your termination date occurs (above the prorated portion payable pursuant to clause (a)), will be paid on the first regularly-scheduled payroll date following the later of (i) the date your Release becomes effective or (ii) the date of the Change in Control;</w:t>
      </w:r>
    </w:p>
    <w:p>
      <w:pPr>
        <w:spacing w:after="0" w:line="155" w:lineRule="exact"/>
        <w:rPr>
          <w:sz w:val="20"/>
          <w:szCs w:val="20"/>
          <w:color w:val="auto"/>
        </w:rPr>
      </w:pPr>
    </w:p>
    <w:p>
      <w:pPr>
        <w:jc w:val="both"/>
        <w:ind w:left="1980" w:right="20" w:hanging="745"/>
        <w:spacing w:after="0" w:line="245" w:lineRule="auto"/>
        <w:tabs>
          <w:tab w:leader="none" w:pos="1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the 12 month period beginning on the date of your termination of employment (or, if earlier, (a) the date on which the applicable continuation period under COBRA expires, or (b) the date on which you become eligible to receive the equivalent or increased healthcare coverage by means of subsequent employment or self-employment) (such period, the “</w:t>
      </w:r>
      <w:r>
        <w:rPr>
          <w:rFonts w:ascii="Times New Roman" w:cs="Times New Roman" w:eastAsia="Times New Roman" w:hAnsi="Times New Roman"/>
          <w:sz w:val="18"/>
          <w:szCs w:val="18"/>
          <w:b w:val="1"/>
          <w:bCs w:val="1"/>
          <w:i w:val="1"/>
          <w:iCs w:val="1"/>
          <w:color w:val="auto"/>
        </w:rPr>
        <w:t>CIC COBRA Coverage Period</w:t>
      </w:r>
      <w:r>
        <w:rPr>
          <w:rFonts w:ascii="Times New Roman" w:cs="Times New Roman" w:eastAsia="Times New Roman" w:hAnsi="Times New Roman"/>
          <w:sz w:val="18"/>
          <w:szCs w:val="18"/>
          <w:color w:val="auto"/>
        </w:rPr>
        <w:t>”), if you and/or your eligible dependents who were covered under the Company’s health insurance plans as of the date of your termination of employment elect to have COBRA coverage and are eligible for such coverage, the Company shall pay for or reimburse you on a monthly basis for an amount equal to (i)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(ii)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Code,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CIC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93980</wp:posOffset>
            </wp:positionV>
            <wp:extent cx="716788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020"/>
          </w:cols>
          <w:pgMar w:left="1440" w:top="518" w:right="439" w:bottom="1440" w:gutter="0" w:footer="0" w:header="0"/>
        </w:sectPr>
      </w:pPr>
    </w:p>
    <w:bookmarkStart w:id="39" w:name="page40"/>
    <w:bookmarkEnd w:id="39"/>
    <w:p>
      <w:pPr>
        <w:ind w:left="1980"/>
        <w:spacing w:after="0"/>
        <w:rPr>
          <w:sz w:val="20"/>
          <w:szCs w:val="20"/>
          <w:color w:val="auto"/>
        </w:rPr>
      </w:pPr>
      <w:r>
        <w:rPr>
          <w:rFonts w:ascii="Times New Roman" w:cs="Times New Roman" w:eastAsia="Times New Roman" w:hAnsi="Times New Roman"/>
          <w:sz w:val="18"/>
          <w:szCs w:val="18"/>
          <w:color w:val="auto"/>
        </w:rPr>
        <w:t>coverage by means of subsequent employment or self- employment; and</w:t>
      </w:r>
    </w:p>
    <w:p>
      <w:pPr>
        <w:spacing w:after="0" w:line="217" w:lineRule="exact"/>
        <w:rPr>
          <w:sz w:val="20"/>
          <w:szCs w:val="20"/>
          <w:color w:val="auto"/>
        </w:rPr>
      </w:pPr>
    </w:p>
    <w:p>
      <w:pPr>
        <w:jc w:val="both"/>
        <w:ind w:left="1980" w:hanging="745"/>
        <w:spacing w:after="0" w:line="251" w:lineRule="auto"/>
        <w:tabs>
          <w:tab w:leader="none" w:pos="1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else set forth herein, in the Plan or in any award agreement, any unvested Stock Awards then held by you (including the Stock Options and RSUs) will vest on the later of (i) the effective date of your Release or (ii) the date of the Change in Control. The foregoing provisions are hereby deemed to be a part of each Stock Award and to supersede any less favorable provision in any agreement or plan regarding such Stock Award.</w:t>
      </w:r>
    </w:p>
    <w:p>
      <w:pPr>
        <w:spacing w:after="0" w:line="216" w:lineRule="exact"/>
        <w:rPr>
          <w:sz w:val="20"/>
          <w:szCs w:val="20"/>
          <w:color w:val="auto"/>
        </w:rPr>
      </w:pPr>
    </w:p>
    <w:p>
      <w:pPr>
        <w:jc w:val="both"/>
        <w:ind w:left="1220" w:hanging="736"/>
        <w:spacing w:after="0" w:line="248"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your receipt of any post-termination payments and benefits pursuant to the preceding paragraphs, you shall execute and not revoke a general release of all claims in favor of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in a form reasonably acceptable to the Company in order to effectuate a valid general release of claims. In the event the Release does not become effective within the 60-day period following the date of your termination of employment, you will not be entitled to the aforesaid payments and benefits.</w:t>
      </w:r>
    </w:p>
    <w:p>
      <w:pPr>
        <w:spacing w:after="0" w:line="175" w:lineRule="exact"/>
        <w:rPr>
          <w:sz w:val="20"/>
          <w:szCs w:val="20"/>
          <w:color w:val="auto"/>
        </w:rPr>
      </w:pPr>
    </w:p>
    <w:p>
      <w:pPr>
        <w:jc w:val="both"/>
        <w:ind w:left="1220" w:hanging="641"/>
        <w:spacing w:after="0" w:line="245"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non-vehicular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failure or refusal to perform or neglect of your duties as required by this Agreement or your ongoing and repeated failure or refusal to comply with the lawful instructions given to you by the Board, which failure, refusal or neglect continues for 15 days following your receipt of written notice from the Board stating with specificity the nature of such failure, refusal or neglect; provided that it is understood that this clause (e) shall not permit the Company to terminate your employment for Cause solely because of</w:t>
      </w:r>
    </w:p>
    <w:p>
      <w:pPr>
        <w:spacing w:after="0" w:line="10" w:lineRule="exact"/>
        <w:rPr>
          <w:rFonts w:ascii="Times New Roman" w:cs="Times New Roman" w:eastAsia="Times New Roman" w:hAnsi="Times New Roman"/>
          <w:sz w:val="18"/>
          <w:szCs w:val="18"/>
          <w:color w:val="auto"/>
        </w:rPr>
      </w:pPr>
    </w:p>
    <w:p>
      <w:pPr>
        <w:jc w:val="both"/>
        <w:ind w:left="1220" w:firstLine="6"/>
        <w:spacing w:after="0" w:line="244" w:lineRule="auto"/>
        <w:tabs>
          <w:tab w:leader="none" w:pos="14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failure to meet specified performance objectives or achieve a specific result or outcome, or (ii) Company’s dissatisfaction with the quality of services provided by you in the good faith performance of your duties to the Company; or (f) your willful, material breach of any material Company policy or any material provision of this Agreement or the Proprietary Information and Inventions Assignment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Agreement, to constitute grounds for termination for Cause.</w:t>
      </w:r>
    </w:p>
    <w:p>
      <w:pPr>
        <w:spacing w:after="0" w:line="172" w:lineRule="exact"/>
        <w:rPr>
          <w:rFonts w:ascii="Times New Roman" w:cs="Times New Roman" w:eastAsia="Times New Roman" w:hAnsi="Times New Roman"/>
          <w:sz w:val="18"/>
          <w:szCs w:val="18"/>
          <w:color w:val="auto"/>
        </w:rPr>
      </w:pPr>
    </w:p>
    <w:p>
      <w:pPr>
        <w:jc w:val="both"/>
        <w:ind w:left="1220" w:hanging="641"/>
        <w:spacing w:after="0" w:line="256"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69" w:lineRule="exact"/>
        <w:rPr>
          <w:rFonts w:ascii="Times New Roman" w:cs="Times New Roman" w:eastAsia="Times New Roman" w:hAnsi="Times New Roman"/>
          <w:sz w:val="18"/>
          <w:szCs w:val="18"/>
          <w:color w:val="auto"/>
        </w:rPr>
      </w:pPr>
    </w:p>
    <w:p>
      <w:pPr>
        <w:ind w:left="1220" w:hanging="641"/>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Change in Control Period</w:t>
      </w:r>
      <w:r>
        <w:rPr>
          <w:rFonts w:ascii="Times New Roman" w:cs="Times New Roman" w:eastAsia="Times New Roman" w:hAnsi="Times New Roman"/>
          <w:sz w:val="18"/>
          <w:szCs w:val="18"/>
          <w:color w:val="auto"/>
        </w:rPr>
        <w:t>” means the three months prior to</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93980</wp:posOffset>
            </wp:positionV>
            <wp:extent cx="716788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000"/>
          </w:cols>
          <w:pgMar w:left="1440" w:top="331" w:right="459" w:bottom="1440" w:gutter="0" w:footer="0" w:header="0"/>
        </w:sectPr>
      </w:pPr>
    </w:p>
    <w:bookmarkStart w:id="40" w:name="page41"/>
    <w:bookmarkEnd w:id="40"/>
    <w:p>
      <w:pPr>
        <w:ind w:left="1220"/>
        <w:spacing w:after="0"/>
        <w:rPr>
          <w:sz w:val="20"/>
          <w:szCs w:val="20"/>
          <w:color w:val="auto"/>
        </w:rPr>
      </w:pPr>
      <w:r>
        <w:rPr>
          <w:rFonts w:ascii="Times New Roman" w:cs="Times New Roman" w:eastAsia="Times New Roman" w:hAnsi="Times New Roman"/>
          <w:sz w:val="18"/>
          <w:szCs w:val="18"/>
          <w:color w:val="auto"/>
        </w:rPr>
        <w:t>or 24 months following a Change in Control.</w:t>
      </w:r>
    </w:p>
    <w:p>
      <w:pPr>
        <w:spacing w:after="0" w:line="288" w:lineRule="exact"/>
        <w:rPr>
          <w:sz w:val="20"/>
          <w:szCs w:val="20"/>
          <w:color w:val="auto"/>
        </w:rPr>
      </w:pPr>
    </w:p>
    <w:p>
      <w:pPr>
        <w:jc w:val="both"/>
        <w:ind w:left="1220" w:right="120" w:hanging="641"/>
        <w:spacing w:after="0" w:line="245"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any of the following without your written consent: (a) a material diminution in your authority, duties or responsibilities, including a requirement that you report to a corporate officer other than the Chief Executive Officer; (b) a material diminution in your base compensation (and you and the Company agree that any diminution of 10% or more shall be considered material for this purpose, regardless of whether such diminution occurs due to a single reduction or a series of reductions in your base compensation), unless such a reduction is imposed across-the-board to senior management of the Company; (c) a material change in the geographic location at which you must perform your duties (and you and the Company agree that a relocation of the geographic location at which you must perform your duties to a location that increases your one-way commute from your residence by more than 50 miles as compared to your principal place of employment prior to such relocation shall be considered material for this purpose); or (d) any other action or inaction that constitutes a material breach by the Company or any successor or affiliate of its obligations to you under this Agreement. You must provide written notice to the Company of the occurrence of any of the foregoing events or conditions without your written consent within 60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30 days following the expiration of the foregoing 30-day cure period.</w:t>
      </w:r>
    </w:p>
    <w:p>
      <w:pPr>
        <w:spacing w:after="0" w:line="165" w:lineRule="exact"/>
        <w:rPr>
          <w:sz w:val="20"/>
          <w:szCs w:val="20"/>
          <w:color w:val="auto"/>
        </w:rPr>
      </w:pPr>
    </w:p>
    <w:p>
      <w:pPr>
        <w:jc w:val="both"/>
        <w:ind w:left="1220" w:right="120" w:hanging="736"/>
        <w:spacing w:after="0" w:line="259"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Stock Awards</w:t>
      </w:r>
      <w:r>
        <w:rPr>
          <w:rFonts w:ascii="Times New Roman" w:cs="Times New Roman" w:eastAsia="Times New Roman" w:hAnsi="Times New Roman"/>
          <w:sz w:val="18"/>
          <w:szCs w:val="18"/>
          <w:color w:val="auto"/>
        </w:rPr>
        <w:t>” means all stock options, restricted stock and such other awards granted pursuant to the Company’s stock option and equity incentive award plans or agreements and any shares of stock issued upon exercise thereof, including the Stock Options and RSUs.</w:t>
      </w:r>
    </w:p>
    <w:p>
      <w:pPr>
        <w:spacing w:after="0" w:line="170" w:lineRule="exact"/>
        <w:rPr>
          <w:rFonts w:ascii="Times New Roman" w:cs="Times New Roman" w:eastAsia="Times New Roman" w:hAnsi="Times New Roman"/>
          <w:sz w:val="18"/>
          <w:szCs w:val="18"/>
          <w:color w:val="auto"/>
        </w:rPr>
      </w:pPr>
    </w:p>
    <w:p>
      <w:pPr>
        <w:jc w:val="both"/>
        <w:ind w:left="1220" w:right="100" w:hanging="736"/>
        <w:spacing w:after="0" w:line="244"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 For purposes of this Agreement, all references to your “termination of employment” shall mean your “separation from service” (as defined in Treasury Regulation Section 1.409A-1(h))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If you are a “specified employee” (as defined in Section 409A of the Code), as determined by the Company in accordance with Section 409A of the Code, on the date of your Separation from Service, to the extent that the payments or benefits under this Agreement are “non-qualified deferred compensation” subject to Section 409A of the Code and the delayed payment or distribution of all or any portion of such amounts to which you are entitled under this Agreement is required in order to avoid a prohibited distribution under Section 409A(a)(2)(B)(i) of the Code, then such portion deferred pursuant to this paragraph shall be paid or distributed to you in a lump sum on the earlier of</w:t>
      </w:r>
    </w:p>
    <w:p>
      <w:pPr>
        <w:spacing w:after="0" w:line="11" w:lineRule="exact"/>
        <w:rPr>
          <w:rFonts w:ascii="Times New Roman" w:cs="Times New Roman" w:eastAsia="Times New Roman" w:hAnsi="Times New Roman"/>
          <w:sz w:val="18"/>
          <w:szCs w:val="18"/>
          <w:color w:val="auto"/>
        </w:rPr>
      </w:pPr>
    </w:p>
    <w:p>
      <w:pPr>
        <w:ind w:left="1540" w:hanging="305"/>
        <w:spacing w:after="0"/>
        <w:tabs>
          <w:tab w:leader="none" w:pos="15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6 months and one day following your Separation from Service.</w:t>
      </w:r>
    </w:p>
    <w:p>
      <w:pPr>
        <w:spacing w:after="0" w:line="47" w:lineRule="exact"/>
        <w:rPr>
          <w:rFonts w:ascii="Times New Roman" w:cs="Times New Roman" w:eastAsia="Times New Roman" w:hAnsi="Times New Roman"/>
          <w:sz w:val="18"/>
          <w:szCs w:val="18"/>
          <w:color w:val="auto"/>
        </w:rPr>
      </w:pPr>
    </w:p>
    <w:p>
      <w:pPr>
        <w:ind w:left="1240" w:hanging="320"/>
        <w:spacing w:after="0" w:line="283" w:lineRule="auto"/>
        <w:tabs>
          <w:tab w:leader="none" w:pos="12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your death or (c) the earliest date as is permitted under Section 409A of the Code. Any remaining payments due under this Agreement shall be paid as otherwise provided herein.</w:t>
      </w:r>
    </w:p>
    <w:p>
      <w:pPr>
        <w:spacing w:after="0" w:line="148" w:lineRule="exact"/>
        <w:rPr>
          <w:rFonts w:ascii="Times New Roman" w:cs="Times New Roman" w:eastAsia="Times New Roman" w:hAnsi="Times New Roman"/>
          <w:sz w:val="18"/>
          <w:szCs w:val="18"/>
          <w:color w:val="auto"/>
        </w:rPr>
      </w:pPr>
    </w:p>
    <w:p>
      <w:pPr>
        <w:ind w:left="1220" w:right="120" w:hanging="736"/>
        <w:spacing w:after="0" w:line="257"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payments or benefits under this Agreement are “non- qualified deferred compensation” subject to Section 409A of the Code, if the period during which you may deliver</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93980</wp:posOffset>
            </wp:positionV>
            <wp:extent cx="716788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41" w:name="page42"/>
    <w:bookmarkEnd w:id="41"/>
    <w:p>
      <w:pPr>
        <w:jc w:val="both"/>
        <w:ind w:left="1486" w:right="20"/>
        <w:spacing w:after="0" w:line="257" w:lineRule="auto"/>
        <w:rPr>
          <w:sz w:val="20"/>
          <w:szCs w:val="20"/>
          <w:color w:val="auto"/>
        </w:rPr>
      </w:pPr>
      <w:r>
        <w:rPr>
          <w:rFonts w:ascii="Times New Roman" w:cs="Times New Roman" w:eastAsia="Times New Roman" w:hAnsi="Times New Roman"/>
          <w:sz w:val="18"/>
          <w:szCs w:val="18"/>
          <w:color w:val="auto"/>
        </w:rPr>
        <w:t>the Release required hereunder spans two calendar years, the payment of your post-termination benefits shall occur (or commence) on the later of (a) January 1 of the second calendar year, or (b) the first regularly-scheduled payroll date following the date your Release becomes effective.</w:t>
      </w:r>
    </w:p>
    <w:p>
      <w:pPr>
        <w:spacing w:after="0" w:line="172" w:lineRule="exact"/>
        <w:rPr>
          <w:sz w:val="20"/>
          <w:szCs w:val="20"/>
          <w:color w:val="auto"/>
        </w:rPr>
      </w:pPr>
    </w:p>
    <w:p>
      <w:pPr>
        <w:jc w:val="both"/>
        <w:ind w:left="1486" w:hanging="736"/>
        <w:spacing w:after="0" w:line="250" w:lineRule="auto"/>
        <w:tabs>
          <w:tab w:leader="none" w:pos="14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162" w:lineRule="exact"/>
        <w:rPr>
          <w:rFonts w:ascii="Times New Roman" w:cs="Times New Roman" w:eastAsia="Times New Roman" w:hAnsi="Times New Roman"/>
          <w:sz w:val="18"/>
          <w:szCs w:val="18"/>
          <w:color w:val="auto"/>
        </w:rPr>
      </w:pPr>
    </w:p>
    <w:p>
      <w:pPr>
        <w:ind w:left="746" w:hanging="746"/>
        <w:spacing w:after="0"/>
        <w:tabs>
          <w:tab w:leader="none" w:pos="7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ROPRIETARY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NVENTIONS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both a consultant</w:t>
      </w:r>
    </w:p>
    <w:p>
      <w:pPr>
        <w:spacing w:after="0" w:line="29" w:lineRule="exact"/>
        <w:rPr>
          <w:sz w:val="20"/>
          <w:szCs w:val="20"/>
          <w:color w:val="auto"/>
        </w:rPr>
      </w:pPr>
    </w:p>
    <w:p>
      <w:pPr>
        <w:jc w:val="both"/>
        <w:ind w:left="746" w:right="20"/>
        <w:spacing w:after="0" w:line="246" w:lineRule="auto"/>
        <w:rPr>
          <w:sz w:val="20"/>
          <w:szCs w:val="20"/>
          <w:color w:val="auto"/>
        </w:rPr>
      </w:pPr>
      <w:r>
        <w:rPr>
          <w:rFonts w:ascii="Times New Roman" w:cs="Times New Roman" w:eastAsia="Times New Roman" w:hAnsi="Times New Roman"/>
          <w:sz w:val="18"/>
          <w:szCs w:val="18"/>
          <w:color w:val="auto"/>
        </w:rPr>
        <w:t>and an employee of the Company, you shall be expected to abide by all of the Company’s policies and procedures and the Company’s employee handbook, if any. As a condition of your commencement of services hereunder, you agree to execute and abide by the terms of the Company’s form of the Proprietary Information and Inventions Assignment Agreement, which shall survive termination of your employment or service with the Company and the termination of the Proprietary Information and Inventions Assignment Agreement. You acknowledge that a remedy at law for any breach or threatened breach by you of the provisions of the Proprietary Information and Inventions Assignment Agreement may be inadequate, and you therefore agree that the Company shall be entitled to seek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provided that any such action does not affect your rights under this Agreement.</w:t>
      </w:r>
    </w:p>
    <w:p>
      <w:pPr>
        <w:spacing w:after="0" w:line="176" w:lineRule="exact"/>
        <w:rPr>
          <w:sz w:val="20"/>
          <w:szCs w:val="20"/>
          <w:color w:val="auto"/>
        </w:rPr>
      </w:pPr>
    </w:p>
    <w:p>
      <w:pPr>
        <w:jc w:val="both"/>
        <w:ind w:left="746" w:right="20" w:hanging="746"/>
        <w:spacing w:after="0" w:line="267" w:lineRule="auto"/>
        <w:tabs>
          <w:tab w:leader="none" w:pos="7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your employment with the Company on the Start Date, you are required to (a) sign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a satisfactory I-9 Immigration form providing sufficient documentation establishing your employment eligibility in the United States, and (b) provide satisfactory proof of your identity as required by United States law.</w:t>
      </w:r>
    </w:p>
    <w:p>
      <w:pPr>
        <w:spacing w:after="0" w:line="220" w:lineRule="exact"/>
        <w:rPr>
          <w:rFonts w:ascii="Times New Roman" w:cs="Times New Roman" w:eastAsia="Times New Roman" w:hAnsi="Times New Roman"/>
          <w:sz w:val="18"/>
          <w:szCs w:val="18"/>
          <w:color w:val="auto"/>
        </w:rPr>
      </w:pPr>
    </w:p>
    <w:p>
      <w:pPr>
        <w:jc w:val="both"/>
        <w:ind w:left="746" w:right="20" w:hanging="746"/>
        <w:spacing w:after="0" w:line="248" w:lineRule="auto"/>
        <w:tabs>
          <w:tab w:leader="none" w:pos="7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represent and agree that your performance of your duties for the Company shall not violate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obligations or understandings that you may have with any third party or prior employer. Without limiting the foregoing, you represent and agree that you are not bound by any non-compete or non-solicitation agreement or any other type of agreement that would prohibit your employment with or service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or providing services to the Company, you will not engage in any business activity in competition with the Company nor make preparations to do so. In the event that you wish to undertake a business activity outside the scope of your employment by or services to the Company, which activity you believe entails no conflict with the Company’s activities, you agree to inform the Company of your intentions before the initiation of such outside business activity, and you furthermore agree to abide by the Company’s decision as to whether or not there is no conflict. If, in the Company’s reasonable determination, a conflict exists or is likely to develop, you agree not to undertake such outside business activity.</w:t>
      </w:r>
    </w:p>
    <w:p>
      <w:pPr>
        <w:spacing w:after="0" w:line="179" w:lineRule="exact"/>
        <w:rPr>
          <w:rFonts w:ascii="Times New Roman" w:cs="Times New Roman" w:eastAsia="Times New Roman" w:hAnsi="Times New Roman"/>
          <w:sz w:val="18"/>
          <w:szCs w:val="18"/>
          <w:color w:val="auto"/>
        </w:rPr>
      </w:pPr>
    </w:p>
    <w:p>
      <w:pPr>
        <w:jc w:val="both"/>
        <w:ind w:left="746" w:right="20" w:hanging="746"/>
        <w:spacing w:after="0" w:line="248" w:lineRule="auto"/>
        <w:tabs>
          <w:tab w:leader="none" w:pos="7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WILL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Start Date, your employment with the Company will be “at-will” at all times,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either you or the Company will be entitled to terminate your employment at any time and for any reason, with or without cause. Any contrary representations that may have been made to you are superseded by this offer. This Agreement in no way represents a fixed-term employment contract. This is the full and complete agreement between you and the Company on this term. The “at will” nature of your employment may only be changed in an express written agreement signed by you and a duly</w:t>
      </w:r>
    </w:p>
    <w:p>
      <w:pPr>
        <w:spacing w:after="0" w:line="3"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18"/>
          <w:szCs w:val="18"/>
          <w:color w:val="auto"/>
        </w:rPr>
        <w:t>authorized officer of the Company.</w:t>
      </w:r>
    </w:p>
    <w:p>
      <w:pPr>
        <w:spacing w:after="0" w:line="5" w:lineRule="exact"/>
        <w:rPr>
          <w:sz w:val="20"/>
          <w:szCs w:val="20"/>
          <w:color w:val="auto"/>
        </w:rPr>
      </w:pPr>
    </w:p>
    <w:p>
      <w:pPr>
        <w:ind w:left="4726"/>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93980</wp:posOffset>
            </wp:positionV>
            <wp:extent cx="716788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286"/>
          </w:cols>
          <w:pgMar w:left="1174" w:top="331" w:right="439" w:bottom="1440" w:gutter="0" w:footer="0" w:header="0"/>
        </w:sectPr>
      </w:pPr>
    </w:p>
    <w:bookmarkStart w:id="42" w:name="page43"/>
    <w:bookmarkEnd w:id="42"/>
    <w:p>
      <w:pPr>
        <w:jc w:val="both"/>
        <w:ind w:left="1380" w:hanging="746"/>
        <w:spacing w:after="0" w:line="249"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or providing services to the Company, and for one (1) year immediately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on which you terminate employment 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The foregoing restrictions shall not apply with respect to the bona fide hiring and firing of Company personnel to the extent such acts are part of your duties for Company. Your duties under this paragraph shall survive termination of your employment with or service to the Company and the termination of this Agreement.</w:t>
      </w:r>
    </w:p>
    <w:p>
      <w:pPr>
        <w:spacing w:after="0" w:line="174" w:lineRule="exact"/>
        <w:rPr>
          <w:rFonts w:ascii="Times New Roman" w:cs="Times New Roman" w:eastAsia="Times New Roman" w:hAnsi="Times New Roman"/>
          <w:sz w:val="18"/>
          <w:szCs w:val="18"/>
          <w:color w:val="auto"/>
        </w:rPr>
      </w:pPr>
    </w:p>
    <w:p>
      <w:pPr>
        <w:jc w:val="both"/>
        <w:ind w:left="1380" w:hanging="746"/>
        <w:spacing w:after="0" w:line="252"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EASONABLENESS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terms contained in the “Other Agreements” and “Non-Interference”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above are reasonable in all respects and that the restrictions contained therein are designed to protect the Company against unfair competition. In the event a court determines that any of the terms or provisions of this Agreement are unreasonable, the court may limit the application of any provision or term, or modify any provision or term, and proceed to enforce this Agreement as so limited or modified.</w:t>
      </w:r>
    </w:p>
    <w:p>
      <w:pPr>
        <w:spacing w:after="0" w:line="186" w:lineRule="exact"/>
        <w:rPr>
          <w:rFonts w:ascii="Times New Roman" w:cs="Times New Roman" w:eastAsia="Times New Roman" w:hAnsi="Times New Roman"/>
          <w:sz w:val="18"/>
          <w:szCs w:val="18"/>
          <w:color w:val="auto"/>
        </w:rPr>
      </w:pPr>
    </w:p>
    <w:p>
      <w:pPr>
        <w:jc w:val="both"/>
        <w:ind w:left="1380" w:hanging="746"/>
        <w:spacing w:after="0" w:line="252"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URISDICTION AND</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for all purposes, shall be construed in accordance with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New Jersey without regard to conflicts-of-law principles. Any action or proceeding by either party to enforce this Agreement shall be brought only in any state or federal court located in the State of New Jersey. The parties hereby irrevocably submit to the exclusive jurisdiction of such courts and waive the defense of inconvenient forum to the maintenance of any such action or proceeding in such venue.</w:t>
      </w:r>
    </w:p>
    <w:p>
      <w:pPr>
        <w:spacing w:after="0" w:line="236" w:lineRule="exact"/>
        <w:rPr>
          <w:rFonts w:ascii="Times New Roman" w:cs="Times New Roman" w:eastAsia="Times New Roman" w:hAnsi="Times New Roman"/>
          <w:sz w:val="18"/>
          <w:szCs w:val="18"/>
          <w:color w:val="auto"/>
        </w:rPr>
      </w:pPr>
    </w:p>
    <w:p>
      <w:pPr>
        <w:jc w:val="both"/>
        <w:ind w:left="1500" w:right="40" w:hanging="741"/>
        <w:spacing w:after="0" w:line="25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possible, each provision of this Agreement will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74" w:lineRule="exact"/>
        <w:rPr>
          <w:rFonts w:ascii="Times New Roman" w:cs="Times New Roman" w:eastAsia="Times New Roman" w:hAnsi="Times New Roman"/>
          <w:sz w:val="18"/>
          <w:szCs w:val="18"/>
          <w:color w:val="auto"/>
        </w:rPr>
      </w:pPr>
    </w:p>
    <w:p>
      <w:pPr>
        <w:jc w:val="both"/>
        <w:ind w:left="1500" w:right="40" w:hanging="741"/>
        <w:spacing w:after="0" w:line="260"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intended to bind and inure to the benefit of and be enforceable by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64" w:lineRule="exact"/>
        <w:rPr>
          <w:rFonts w:ascii="Times New Roman" w:cs="Times New Roman" w:eastAsia="Times New Roman" w:hAnsi="Times New Roman"/>
          <w:sz w:val="18"/>
          <w:szCs w:val="18"/>
          <w:color w:val="auto"/>
        </w:rPr>
      </w:pPr>
    </w:p>
    <w:p>
      <w:pPr>
        <w:jc w:val="both"/>
        <w:ind w:left="1500" w:right="40" w:hanging="741"/>
        <w:spacing w:after="0" w:line="250"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Proprietary Information and Inventions Assignment Agreement constitute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final and exclusive embodiment of the entire agreement between you and the Company with respect to the terms and conditions of your employment or service specified herein and therein. This Agreement and the Proprietary Information and Inventions Assignment Agreement supersede any other such promises, obligations, warranties, representations or agreements between you and the Company, and you agree that any and all such prior promises, obligations, warranties, representations and agreements are hereby terminated. This Agreement may not be amended or modified except by a written instrument signed by you and a duly authorized officer of the Company.</w:t>
      </w:r>
    </w:p>
    <w:p>
      <w:pPr>
        <w:spacing w:after="0" w:line="180" w:lineRule="exact"/>
        <w:rPr>
          <w:sz w:val="20"/>
          <w:szCs w:val="20"/>
          <w:color w:val="auto"/>
        </w:rPr>
      </w:pPr>
    </w:p>
    <w:p>
      <w:pPr>
        <w:ind w:right="40" w:firstLine="748"/>
        <w:spacing w:after="0" w:line="257" w:lineRule="auto"/>
        <w:rPr>
          <w:sz w:val="20"/>
          <w:szCs w:val="20"/>
          <w:color w:val="auto"/>
        </w:rPr>
      </w:pPr>
      <w:r>
        <w:rPr>
          <w:rFonts w:ascii="Times New Roman" w:cs="Times New Roman" w:eastAsia="Times New Roman" w:hAnsi="Times New Roman"/>
          <w:sz w:val="18"/>
          <w:szCs w:val="18"/>
          <w:color w:val="auto"/>
        </w:rPr>
        <w:t>If you choose to accept this Agreement under the terms described above, please acknowledge your acceptance of our offer by returning a signed copy of this letter and the Proprietary Information and Inventions Assignment Agreement to our attention.</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93980</wp:posOffset>
            </wp:positionV>
            <wp:extent cx="716788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900"/>
          </w:cols>
          <w:pgMar w:left="540" w:top="539" w:right="459" w:bottom="1440" w:gutter="0" w:footer="0" w:header="0"/>
        </w:sectPr>
      </w:pPr>
    </w:p>
    <w:bookmarkStart w:id="43" w:name="page44"/>
    <w:bookmarkEnd w:id="43"/>
    <w:p>
      <w:pPr>
        <w:ind w:left="220"/>
        <w:spacing w:after="0"/>
        <w:rPr>
          <w:sz w:val="20"/>
          <w:szCs w:val="20"/>
          <w:color w:val="auto"/>
        </w:rPr>
      </w:pPr>
      <w:r>
        <w:rPr>
          <w:rFonts w:ascii="Times New Roman" w:cs="Times New Roman" w:eastAsia="Times New Roman" w:hAnsi="Times New Roman"/>
          <w:sz w:val="18"/>
          <w:szCs w:val="18"/>
          <w:color w:val="auto"/>
        </w:rPr>
        <w:t>Sincerely,</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26670</wp:posOffset>
            </wp:positionV>
            <wp:extent cx="1157605" cy="285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1157605" cy="2851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Joe Hand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Chief Administrative Officer</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21" w:lineRule="exact"/>
        <w:rPr>
          <w:sz w:val="20"/>
          <w:szCs w:val="20"/>
          <w:color w:val="auto"/>
        </w:rPr>
      </w:pPr>
    </w:p>
    <w:p>
      <w:pPr>
        <w:ind w:left="220" w:firstLine="748"/>
        <w:spacing w:after="0" w:line="283" w:lineRule="auto"/>
        <w:rPr>
          <w:sz w:val="20"/>
          <w:szCs w:val="20"/>
          <w:color w:val="auto"/>
        </w:rPr>
      </w:pPr>
      <w:r>
        <w:rPr>
          <w:rFonts w:ascii="Times New Roman" w:cs="Times New Roman" w:eastAsia="Times New Roman" w:hAnsi="Times New Roman"/>
          <w:sz w:val="18"/>
          <w:szCs w:val="18"/>
          <w:color w:val="auto"/>
        </w:rPr>
        <w:t>I have read and understood this Agreement and hereby acknowledge, accept and agree to the terms as set forth above and further acknowledge and agree that no other commitments were made to me as part of my offer except as specifically set forth herein.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Molly Henderson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March 22,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Molly Henderson</w:t>
            </w:r>
          </w:p>
        </w:tc>
        <w:tc>
          <w:tcPr>
            <w:tcW w:w="58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bl>
    <w:p>
      <w:pPr>
        <w:spacing w:after="0" w:line="177" w:lineRule="exact"/>
        <w:rPr>
          <w:sz w:val="20"/>
          <w:szCs w:val="20"/>
          <w:color w:val="auto"/>
        </w:rPr>
      </w:pPr>
    </w:p>
    <w:p>
      <w:pPr>
        <w:ind w:left="5540" w:right="5100" w:hanging="5302"/>
        <w:spacing w:after="0" w:line="283" w:lineRule="auto"/>
        <w:rPr>
          <w:sz w:val="20"/>
          <w:szCs w:val="20"/>
          <w:color w:val="auto"/>
        </w:rPr>
      </w:pPr>
      <w:r>
        <w:rPr>
          <w:rFonts w:ascii="Times New Roman" w:cs="Times New Roman" w:eastAsia="Times New Roman" w:hAnsi="Times New Roman"/>
          <w:sz w:val="18"/>
          <w:szCs w:val="18"/>
          <w:color w:val="auto"/>
        </w:rPr>
        <w:t>Attachments: Proprietary Information and Inventions Assignment Agreement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6788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080"/>
          </w:cols>
          <w:pgMar w:left="320" w:top="531" w:right="4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Terrie Curran, certify that:</w:t>
      </w:r>
    </w:p>
    <w:p>
      <w:pPr>
        <w:spacing w:after="0" w:line="204" w:lineRule="exact"/>
        <w:rPr>
          <w:sz w:val="20"/>
          <w:szCs w:val="20"/>
          <w:color w:val="auto"/>
        </w:rPr>
      </w:pPr>
    </w:p>
    <w:p>
      <w:pPr>
        <w:ind w:left="520" w:hanging="520"/>
        <w:spacing w:after="0"/>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191" w:lineRule="exact"/>
        <w:rPr>
          <w:rFonts w:ascii="Times New Roman" w:cs="Times New Roman" w:eastAsia="Times New Roman" w:hAnsi="Times New Roman"/>
          <w:sz w:val="17"/>
          <w:szCs w:val="17"/>
          <w:color w:val="auto"/>
        </w:rPr>
      </w:pPr>
    </w:p>
    <w:p>
      <w:pPr>
        <w:ind w:left="520" w:right="300" w:hanging="520"/>
        <w:spacing w:after="0" w:line="255" w:lineRule="auto"/>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7"/>
          <w:szCs w:val="17"/>
          <w:color w:val="auto"/>
        </w:rPr>
      </w:pPr>
    </w:p>
    <w:p>
      <w:pPr>
        <w:ind w:left="520" w:right="400" w:hanging="520"/>
        <w:spacing w:after="0" w:line="255" w:lineRule="auto"/>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520" w:right="240" w:hanging="520"/>
        <w:spacing w:after="0" w:line="255" w:lineRule="auto"/>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Times New Roman" w:cs="Times New Roman" w:eastAsia="Times New Roman" w:hAnsi="Times New Roman"/>
          <w:sz w:val="17"/>
          <w:szCs w:val="17"/>
          <w:color w:val="auto"/>
        </w:rPr>
      </w:pPr>
    </w:p>
    <w:p>
      <w:pPr>
        <w:ind w:left="1020" w:right="20" w:hanging="511"/>
        <w:spacing w:after="0" w:line="242" w:lineRule="auto"/>
        <w:tabs>
          <w:tab w:leader="none" w:pos="10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1"/>
          <w:numId w:val="2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010000"/>
        </w:rPr>
        <w:t>(Paragraph omitted pursuant to SEC Release Nos. 33-8238/34-47986 and 33-8392/34-49313);</w:t>
      </w:r>
    </w:p>
    <w:p>
      <w:pPr>
        <w:spacing w:after="0" w:line="191" w:lineRule="exact"/>
        <w:rPr>
          <w:rFonts w:ascii="Times New Roman" w:cs="Times New Roman" w:eastAsia="Times New Roman" w:hAnsi="Times New Roman"/>
          <w:sz w:val="17"/>
          <w:szCs w:val="17"/>
          <w:color w:val="010000"/>
        </w:rPr>
      </w:pPr>
    </w:p>
    <w:p>
      <w:pPr>
        <w:ind w:left="1020" w:right="160" w:hanging="511"/>
        <w:spacing w:after="0" w:line="255" w:lineRule="auto"/>
        <w:tabs>
          <w:tab w:leader="none" w:pos="10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ind w:left="1020" w:right="220" w:hanging="511"/>
        <w:spacing w:after="0" w:line="242" w:lineRule="auto"/>
        <w:tabs>
          <w:tab w:leader="none" w:pos="10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7"/>
          <w:szCs w:val="17"/>
          <w:color w:val="auto"/>
        </w:rPr>
      </w:pPr>
    </w:p>
    <w:p>
      <w:pPr>
        <w:ind w:left="520" w:right="160" w:hanging="520"/>
        <w:spacing w:after="0" w:line="255" w:lineRule="auto"/>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020" w:right="100" w:hanging="511"/>
        <w:spacing w:after="0" w:line="270" w:lineRule="auto"/>
        <w:tabs>
          <w:tab w:leader="none" w:pos="10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020" w:right="320" w:hanging="511"/>
        <w:spacing w:after="0" w:line="255" w:lineRule="auto"/>
        <w:tabs>
          <w:tab w:leader="none" w:pos="10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6"/>
          <w:szCs w:val="16"/>
          <w:color w:val="auto"/>
        </w:rPr>
        <w:t>/s/ Terrie Curran</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-121285</wp:posOffset>
            </wp:positionV>
            <wp:extent cx="285369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2853690" cy="7620"/>
                    </a:xfrm>
                    <a:prstGeom prst="rect">
                      <a:avLst/>
                    </a:prstGeom>
                    <a:noFill/>
                  </pic:spPr>
                </pic:pic>
              </a:graphicData>
            </a:graphic>
          </wp:anchor>
        </w:drawing>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298450</wp:posOffset>
            </wp:positionV>
            <wp:extent cx="716788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Molly Henderson, certify that:</w:t>
      </w:r>
    </w:p>
    <w:p>
      <w:pPr>
        <w:spacing w:after="0" w:line="204" w:lineRule="exact"/>
        <w:rPr>
          <w:sz w:val="20"/>
          <w:szCs w:val="20"/>
          <w:color w:val="auto"/>
        </w:rPr>
      </w:pPr>
    </w:p>
    <w:p>
      <w:pPr>
        <w:ind w:left="520" w:hanging="520"/>
        <w:spacing w:after="0"/>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191" w:lineRule="exact"/>
        <w:rPr>
          <w:rFonts w:ascii="Times New Roman" w:cs="Times New Roman" w:eastAsia="Times New Roman" w:hAnsi="Times New Roman"/>
          <w:sz w:val="17"/>
          <w:szCs w:val="17"/>
          <w:color w:val="auto"/>
        </w:rPr>
      </w:pPr>
    </w:p>
    <w:p>
      <w:pPr>
        <w:ind w:left="520" w:right="300" w:hanging="520"/>
        <w:spacing w:after="0" w:line="255" w:lineRule="auto"/>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7"/>
          <w:szCs w:val="17"/>
          <w:color w:val="auto"/>
        </w:rPr>
      </w:pPr>
    </w:p>
    <w:p>
      <w:pPr>
        <w:ind w:left="520" w:right="400" w:hanging="520"/>
        <w:spacing w:after="0" w:line="255" w:lineRule="auto"/>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520" w:right="240" w:hanging="520"/>
        <w:spacing w:after="0" w:line="255" w:lineRule="auto"/>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Times New Roman" w:cs="Times New Roman" w:eastAsia="Times New Roman" w:hAnsi="Times New Roman"/>
          <w:sz w:val="17"/>
          <w:szCs w:val="17"/>
          <w:color w:val="auto"/>
        </w:rPr>
      </w:pPr>
    </w:p>
    <w:p>
      <w:pPr>
        <w:ind w:left="1020" w:right="20" w:hanging="511"/>
        <w:spacing w:after="0" w:line="242" w:lineRule="auto"/>
        <w:tabs>
          <w:tab w:leader="none" w:pos="10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1"/>
          <w:numId w:val="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010000"/>
        </w:rPr>
        <w:t>(Paragraph omitted pursuant to SEC Release Nos. 33-8238/34-47986 and 33-8392/34-49313);</w:t>
      </w:r>
    </w:p>
    <w:p>
      <w:pPr>
        <w:spacing w:after="0" w:line="191" w:lineRule="exact"/>
        <w:rPr>
          <w:rFonts w:ascii="Times New Roman" w:cs="Times New Roman" w:eastAsia="Times New Roman" w:hAnsi="Times New Roman"/>
          <w:sz w:val="17"/>
          <w:szCs w:val="17"/>
          <w:color w:val="010000"/>
        </w:rPr>
      </w:pPr>
    </w:p>
    <w:p>
      <w:pPr>
        <w:ind w:left="1020" w:right="160" w:hanging="511"/>
        <w:spacing w:after="0" w:line="255" w:lineRule="auto"/>
        <w:tabs>
          <w:tab w:leader="none" w:pos="10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ind w:left="1020" w:right="220" w:hanging="511"/>
        <w:spacing w:after="0" w:line="242" w:lineRule="auto"/>
        <w:tabs>
          <w:tab w:leader="none" w:pos="10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7"/>
          <w:szCs w:val="17"/>
          <w:color w:val="auto"/>
        </w:rPr>
      </w:pPr>
    </w:p>
    <w:p>
      <w:pPr>
        <w:ind w:left="520" w:right="160" w:hanging="520"/>
        <w:spacing w:after="0" w:line="255" w:lineRule="auto"/>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020" w:right="100" w:hanging="511"/>
        <w:spacing w:after="0" w:line="270" w:lineRule="auto"/>
        <w:tabs>
          <w:tab w:leader="none" w:pos="10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020" w:right="320" w:hanging="511"/>
        <w:spacing w:after="0" w:line="255" w:lineRule="auto"/>
        <w:tabs>
          <w:tab w:leader="none" w:pos="10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6"/>
          <w:szCs w:val="16"/>
          <w:color w:val="auto"/>
        </w:rPr>
        <w:t>/s/ Molly Henderson</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-121285</wp:posOffset>
            </wp:positionV>
            <wp:extent cx="285369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2853690" cy="7620"/>
                    </a:xfrm>
                    <a:prstGeom prst="rect">
                      <a:avLst/>
                    </a:prstGeom>
                    <a:noFill/>
                  </pic:spPr>
                </pic:pic>
              </a:graphicData>
            </a:graphic>
          </wp:anchor>
        </w:drawing>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and Business Officer</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6788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0" w:lineRule="exact"/>
        <w:rPr>
          <w:sz w:val="20"/>
          <w:szCs w:val="20"/>
          <w:color w:val="auto"/>
        </w:rPr>
      </w:pPr>
    </w:p>
    <w:p>
      <w:pPr>
        <w:jc w:val="both"/>
        <w:ind w:right="180" w:firstLine="825"/>
        <w:spacing w:after="0" w:line="242" w:lineRule="auto"/>
        <w:rPr>
          <w:sz w:val="20"/>
          <w:szCs w:val="20"/>
          <w:color w:val="auto"/>
        </w:rPr>
      </w:pPr>
      <w:r>
        <w:rPr>
          <w:rFonts w:ascii="Times New Roman" w:cs="Times New Roman" w:eastAsia="Times New Roman" w:hAnsi="Times New Roman"/>
          <w:sz w:val="17"/>
          <w:szCs w:val="17"/>
          <w:color w:val="auto"/>
        </w:rPr>
        <w:t>In connection with the Quarterly Report on Form 10-Q of Phathom Pharmaceuticals, Inc. (the “Company”) for the quarter ended March 31, 2022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95" w:lineRule="exact"/>
        <w:rPr>
          <w:sz w:val="20"/>
          <w:szCs w:val="20"/>
          <w:color w:val="auto"/>
        </w:rPr>
      </w:pPr>
    </w:p>
    <w:p>
      <w:pPr>
        <w:ind w:left="820" w:hanging="820"/>
        <w:spacing w:after="0"/>
        <w:tabs>
          <w:tab w:leader="none" w:pos="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216" w:lineRule="exact"/>
        <w:rPr>
          <w:rFonts w:ascii="Times New Roman" w:cs="Times New Roman" w:eastAsia="Times New Roman" w:hAnsi="Times New Roman"/>
          <w:sz w:val="17"/>
          <w:szCs w:val="17"/>
          <w:color w:val="auto"/>
        </w:rPr>
      </w:pPr>
    </w:p>
    <w:p>
      <w:pPr>
        <w:ind w:left="820" w:hanging="820"/>
        <w:spacing w:after="0"/>
        <w:tabs>
          <w:tab w:leader="none" w:pos="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ind w:left="1700"/>
        <w:spacing w:after="0"/>
        <w:tabs>
          <w:tab w:leader="none" w:pos="570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13335</wp:posOffset>
            </wp:positionV>
            <wp:extent cx="244157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2441575" cy="7620"/>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Terrie Curran</w:t>
      </w:r>
    </w:p>
    <w:p>
      <w:pPr>
        <w:ind w:left="5720"/>
        <w:spacing w:after="0" w:line="221" w:lineRule="auto"/>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86" w:lineRule="exact"/>
        <w:rPr>
          <w:sz w:val="20"/>
          <w:szCs w:val="20"/>
          <w:color w:val="auto"/>
        </w:rPr>
      </w:pPr>
    </w:p>
    <w:p>
      <w:pPr>
        <w:ind w:right="600" w:firstLine="825"/>
        <w:spacing w:after="0" w:line="255"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6788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0" w:lineRule="exact"/>
        <w:rPr>
          <w:sz w:val="20"/>
          <w:szCs w:val="20"/>
          <w:color w:val="auto"/>
        </w:rPr>
      </w:pPr>
    </w:p>
    <w:p>
      <w:pPr>
        <w:ind w:right="100" w:firstLine="825"/>
        <w:spacing w:after="0" w:line="242" w:lineRule="auto"/>
        <w:rPr>
          <w:sz w:val="20"/>
          <w:szCs w:val="20"/>
          <w:color w:val="auto"/>
        </w:rPr>
      </w:pPr>
      <w:r>
        <w:rPr>
          <w:rFonts w:ascii="Times New Roman" w:cs="Times New Roman" w:eastAsia="Times New Roman" w:hAnsi="Times New Roman"/>
          <w:sz w:val="17"/>
          <w:szCs w:val="17"/>
          <w:color w:val="auto"/>
        </w:rPr>
        <w:t>In connection with the Quarterly Report on Form 10-Q of Phathom Pharmaceuticals, Inc. (the “Company”) for the quarter ended March 31, 2022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195" w:lineRule="exact"/>
        <w:rPr>
          <w:sz w:val="20"/>
          <w:szCs w:val="20"/>
          <w:color w:val="auto"/>
        </w:rPr>
      </w:pPr>
    </w:p>
    <w:p>
      <w:pPr>
        <w:ind w:left="820" w:hanging="820"/>
        <w:spacing w:after="0"/>
        <w:tabs>
          <w:tab w:leader="none" w:pos="8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216" w:lineRule="exact"/>
        <w:rPr>
          <w:rFonts w:ascii="Times New Roman" w:cs="Times New Roman" w:eastAsia="Times New Roman" w:hAnsi="Times New Roman"/>
          <w:sz w:val="17"/>
          <w:szCs w:val="17"/>
          <w:color w:val="auto"/>
        </w:rPr>
      </w:pPr>
    </w:p>
    <w:p>
      <w:pPr>
        <w:ind w:left="820" w:hanging="820"/>
        <w:spacing w:after="0"/>
        <w:tabs>
          <w:tab w:leader="none" w:pos="8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ind w:left="1360"/>
        <w:spacing w:after="0"/>
        <w:tabs>
          <w:tab w:leader="none" w:pos="538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6"/>
          <w:szCs w:val="16"/>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13335</wp:posOffset>
            </wp:positionV>
            <wp:extent cx="286194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Molly Henderson</w:t>
      </w:r>
    </w:p>
    <w:p>
      <w:pPr>
        <w:ind w:left="5400"/>
        <w:spacing w:after="0" w:line="221" w:lineRule="auto"/>
        <w:rPr>
          <w:sz w:val="20"/>
          <w:szCs w:val="20"/>
          <w:color w:val="auto"/>
        </w:rPr>
      </w:pPr>
      <w:r>
        <w:rPr>
          <w:rFonts w:ascii="Times New Roman" w:cs="Times New Roman" w:eastAsia="Times New Roman" w:hAnsi="Times New Roman"/>
          <w:sz w:val="17"/>
          <w:szCs w:val="17"/>
          <w:color w:val="auto"/>
        </w:rPr>
        <w:t>Chief Financial and Business Officer</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186" w:lineRule="exact"/>
        <w:rPr>
          <w:sz w:val="20"/>
          <w:szCs w:val="20"/>
          <w:color w:val="auto"/>
        </w:rPr>
      </w:pPr>
    </w:p>
    <w:p>
      <w:pPr>
        <w:ind w:right="600" w:firstLine="825"/>
        <w:spacing w:after="0" w:line="255"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6788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lvl w:ilvl="1">
      <w:lvlJc w:val="left"/>
      <w:lvlText w:val="%2"/>
      <w:numFmt w:val="decimal"/>
      <w:start w:val="104"/>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o"/>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lvl w:ilvl="1">
      <w:lvlJc w:val="left"/>
      <w:lvlText w:val="o"/>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o"/>
      <w:numFmt w:val="bullet"/>
      <w:start w:val="1"/>
    </w:lvl>
    <w:lvl w:ilvl="1">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o"/>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o"/>
      <w:numFmt w:val="bullet"/>
      <w:start w:val="1"/>
    </w:lvl>
  </w:abstractNum>
  <w:abstractNum w:abstractNumId="20">
    <w:nsid w:val="B03E0C6"/>
    <w:multiLevelType w:val="hybridMultilevel"/>
    <w:lvl w:ilvl="0">
      <w:lvlJc w:val="left"/>
      <w:lvlText w:val="o"/>
      <w:numFmt w:val="bullet"/>
      <w:start w:val="1"/>
    </w:lvl>
    <w:lvl w:ilvl="1">
      <w:lvlJc w:val="left"/>
      <w:lvlText w:val="(%2)"/>
      <w:numFmt w:val="lowerRoman"/>
      <w:start w:val="1"/>
    </w:lvl>
  </w:abstractNum>
  <w:abstractNum w:abstractNumId="21">
    <w:nsid w:val="189A769B"/>
    <w:multiLevelType w:val="hybridMultilevel"/>
    <w:lvl w:ilvl="0">
      <w:lvlJc w:val="left"/>
      <w:lvlText w:val="o"/>
      <w:numFmt w:val="bullet"/>
      <w:start w:val="1"/>
    </w:lvl>
  </w:abstractNum>
  <w:abstractNum w:abstractNumId="22">
    <w:nsid w:val="54E49EB4"/>
    <w:multiLevelType w:val="hybridMultilevel"/>
    <w:lvl w:ilvl="0">
      <w:lvlJc w:val="left"/>
      <w:lvlText w:val="o"/>
      <w:numFmt w:val="bullet"/>
      <w:start w:val="1"/>
    </w:lvl>
    <w:lvl w:ilvl="1">
      <w:lvlJc w:val="left"/>
      <w:lvlText w:val="%2"/>
      <w:numFmt w:val="lowerLetter"/>
      <w:start w:val="1"/>
    </w:lvl>
    <w:lvl w:ilvl="2">
      <w:lvlJc w:val="left"/>
      <w:lvlText w:val="(%3)"/>
      <w:numFmt w:val="lowerLetter"/>
      <w:start w:val="1"/>
    </w:lvl>
  </w:abstractNum>
  <w:abstractNum w:abstractNumId="23">
    <w:nsid w:val="71F32454"/>
    <w:multiLevelType w:val="hybridMultilevel"/>
    <w:lvl w:ilvl="0">
      <w:lvlJc w:val="left"/>
      <w:lvlText w:val="o"/>
      <w:numFmt w:val="bullet"/>
      <w:start w:val="1"/>
    </w:lvl>
    <w:lvl w:ilvl="1">
      <w:lvlJc w:val="left"/>
      <w:lvlText w:val="(%2)"/>
      <w:numFmt w:val="lowerLetter"/>
      <w:start w:val="2"/>
    </w:lvl>
    <w:lvl w:ilvl="2">
      <w:lvlJc w:val="left"/>
      <w:lvlText w:val="%3"/>
      <w:numFmt w:val="lowerLetter"/>
      <w:start w:val="1"/>
    </w:lvl>
  </w:abstractNum>
  <w:abstractNum w:abstractNumId="24">
    <w:nsid w:val="2CA88611"/>
    <w:multiLevelType w:val="hybridMultilevel"/>
    <w:lvl w:ilvl="0">
      <w:lvlJc w:val="left"/>
      <w:lvlText w:val="•"/>
      <w:numFmt w:val="bullet"/>
      <w:start w:val="1"/>
    </w:lvl>
    <w:lvl w:ilvl="1">
      <w:lvlJc w:val="left"/>
      <w:lvlText w:val="o"/>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jpe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jpe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06" Type="http://schemas.openxmlformats.org/officeDocument/2006/relationships/hyperlink" Target="https://www.sec.gov/Archives/edgar/data/1783183/000119312519277761/d795888dex31.htm" TargetMode="External"/><Relationship Id="rId107" Type="http://schemas.openxmlformats.org/officeDocument/2006/relationships/hyperlink" Target="https://www.sec.gov/Archives/edgar/data/0001783183/000119312520254563/d10693dex31.htm" TargetMode="External"/><Relationship Id="rId108" Type="http://schemas.openxmlformats.org/officeDocument/2006/relationships/hyperlink" Target="https://www.sec.gov/Archives/edgar/data/1783183/000119312519267053/d63338dex41.htm" TargetMode="External"/><Relationship Id="rId109" Type="http://schemas.openxmlformats.org/officeDocument/2006/relationships/hyperlink" Target="https://www.sec.gov/Archives/edgar/data/1783183/000119312519258922/d63338dex42.htm" TargetMode="External"/><Relationship Id="rId110" Type="http://schemas.openxmlformats.org/officeDocument/2006/relationships/hyperlink" Target="https://www.sec.gov/Archives/edgar/data/1783183/000119312519258922/d63338dex43.htm" TargetMode="External"/><Relationship Id="rId111" Type="http://schemas.openxmlformats.org/officeDocument/2006/relationships/hyperlink" Target="https://www.sec.gov/Archives/edgar/data/1783183/000119312519258922/d63338dex44.htm" TargetMode="External"/><Relationship Id="rId112" Type="http://schemas.openxmlformats.org/officeDocument/2006/relationships/hyperlink" Target="https://www.sec.gov/Archives/edgar/data/1783183/000119312519267053/d63338dex45.htm" TargetMode="External"/><Relationship Id="rId113" Type="http://schemas.openxmlformats.org/officeDocument/2006/relationships/hyperlink" Target="https://www.sec.gov/Archives/edgar/data/1783183/000095017022002536/phat-ex4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2022-05-10T07:21:28Z</dcterms:created>
  <dcterms:modified xsi:type="dcterms:W3CDTF">2022-05-10T07:21:28Z</dcterms:modified>
</cp:coreProperties>
</file>