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149860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173355</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16" w:lineRule="exact"/>
        <w:rPr>
          <w:sz w:val="24"/>
          <w:szCs w:val="24"/>
          <w:color w:val="auto"/>
        </w:rPr>
      </w:pPr>
    </w:p>
    <w:p>
      <w:pPr>
        <w:ind w:left="520" w:right="300" w:hanging="512"/>
        <w:spacing w:after="0" w:line="262"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20" w:right="300" w:hanging="512"/>
        <w:spacing w:after="0" w:line="273"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180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580" w:type="dxa"/>
        <w:tblCellMar>
          <w:top w:w="0" w:type="dxa"/>
          <w:left w:w="0" w:type="dxa"/>
          <w:bottom w:w="0" w:type="dxa"/>
          <w:right w:w="0" w:type="dxa"/>
        </w:tblCellMar>
      </w:tblPr>
      <w:tr>
        <w:trPr>
          <w:trHeight w:val="227"/>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c>
          <w:tcPr>
            <w:tcW w:w="0" w:type="dxa"/>
            <w:vAlign w:val="bottom"/>
          </w:tcPr>
          <w:p>
            <w:pPr>
              <w:spacing w:after="0"/>
              <w:rPr>
                <w:sz w:val="1"/>
                <w:szCs w:val="1"/>
                <w:color w:val="auto"/>
              </w:rPr>
            </w:pPr>
          </w:p>
        </w:tc>
      </w:tr>
      <w:tr>
        <w:trPr>
          <w:trHeight w:val="149"/>
        </w:trPr>
        <w:tc>
          <w:tcPr>
            <w:tcW w:w="436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79"/>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c>
          <w:tcPr>
            <w:tcW w:w="0" w:type="dxa"/>
            <w:vAlign w:val="bottom"/>
          </w:tcPr>
          <w:p>
            <w:pPr>
              <w:spacing w:after="0"/>
              <w:rPr>
                <w:sz w:val="1"/>
                <w:szCs w:val="1"/>
                <w:color w:val="auto"/>
              </w:rPr>
            </w:pPr>
          </w:p>
        </w:tc>
      </w:tr>
      <w:tr>
        <w:trPr>
          <w:trHeight w:val="227"/>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24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line="202" w:lineRule="exact"/>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1"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20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29, 2022, the registrant had 39,175,205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231F20"/>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540" w:type="dxa"/>
            <w:vAlign w:val="bottom"/>
            <w:gridSpan w:val="20"/>
          </w:tcPr>
          <w:p>
            <w:pPr>
              <w:ind w:left="40"/>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80" w:type="dxa"/>
            <w:vAlign w:val="bottom"/>
            <w:tcBorders>
              <w:top w:val="single" w:sz="8" w:color="0000FF"/>
            </w:tcBorders>
            <w:gridSpan w:val="11"/>
            <w:vMerge w:val="restart"/>
          </w:tcPr>
          <w:p>
            <w:pPr>
              <w:spacing w:after="0"/>
              <w:rPr>
                <w:sz w:val="20"/>
                <w:szCs w:val="20"/>
                <w:color w:val="auto"/>
              </w:rPr>
            </w:pPr>
            <w:r>
              <w:rPr>
                <w:rFonts w:ascii="Times New Roman" w:cs="Times New Roman" w:eastAsia="Times New Roman" w:hAnsi="Times New Roman"/>
                <w:sz w:val="18"/>
                <w:szCs w:val="18"/>
                <w:color w:val="0000FF"/>
              </w:rPr>
              <w:t>Balance Sheets</w:t>
            </w:r>
          </w:p>
        </w:tc>
        <w:tc>
          <w:tcPr>
            <w:tcW w:w="5500" w:type="dxa"/>
            <w:vAlign w:val="bottom"/>
            <w:gridSpan w:val="7"/>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80" w:type="dxa"/>
            <w:vAlign w:val="bottom"/>
            <w:gridSpan w:val="11"/>
            <w:vMerge w:val="continue"/>
          </w:tcPr>
          <w:p>
            <w:pPr>
              <w:spacing w:after="0"/>
              <w:rPr>
                <w:sz w:val="17"/>
                <w:szCs w:val="17"/>
                <w:color w:val="auto"/>
              </w:rPr>
            </w:pPr>
          </w:p>
        </w:tc>
        <w:tc>
          <w:tcPr>
            <w:tcW w:w="5500" w:type="dxa"/>
            <w:vAlign w:val="bottom"/>
            <w:gridSpan w:val="7"/>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80" w:type="dxa"/>
            <w:vAlign w:val="bottom"/>
            <w:gridSpan w:val="18"/>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Statements of Stockholders’ Equity</w:t>
            </w: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5320" w:type="dxa"/>
            <w:vAlign w:val="bottom"/>
            <w:gridSpan w:val="6"/>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Financial Statements</w:t>
            </w:r>
          </w:p>
        </w:tc>
        <w:tc>
          <w:tcPr>
            <w:tcW w:w="20" w:type="dxa"/>
            <w:vAlign w:val="bottom"/>
            <w:tcBorders>
              <w:bottom w:val="single" w:sz="8" w:color="0000EE"/>
            </w:tcBorders>
          </w:tcPr>
          <w:p>
            <w:pPr>
              <w:spacing w:after="0"/>
              <w:rPr>
                <w:sz w:val="19"/>
                <w:szCs w:val="19"/>
                <w:color w:val="auto"/>
              </w:rPr>
            </w:pPr>
          </w:p>
        </w:tc>
        <w:tc>
          <w:tcPr>
            <w:tcW w:w="4900" w:type="dxa"/>
            <w:vAlign w:val="bottom"/>
            <w:gridSpan w:val="4"/>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7"/>
            <w:vMerge w:val="restart"/>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20" w:type="dxa"/>
            <w:vAlign w:val="bottom"/>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6460" w:type="dxa"/>
            <w:vAlign w:val="bottom"/>
            <w:gridSpan w:val="17"/>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tcBorders>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8"/>
            <w:vMerge w:val="restart"/>
          </w:tcPr>
          <w:p>
            <w:pPr>
              <w:spacing w:after="0"/>
              <w:rPr>
                <w:sz w:val="18"/>
                <w:szCs w:val="18"/>
                <w:color w:val="auto"/>
              </w:rPr>
            </w:pPr>
          </w:p>
        </w:tc>
        <w:tc>
          <w:tcPr>
            <w:tcW w:w="3520" w:type="dxa"/>
            <w:vAlign w:val="bottom"/>
            <w:gridSpan w:val="2"/>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780" w:type="dxa"/>
            <w:vAlign w:val="bottom"/>
            <w:tcBorders>
              <w:bottom w:val="single" w:sz="8" w:color="0000FF"/>
            </w:tcBorders>
            <w:gridSpan w:val="8"/>
            <w:vMerge w:val="continue"/>
          </w:tcPr>
          <w:p>
            <w:pPr>
              <w:spacing w:after="0"/>
              <w:rPr>
                <w:sz w:val="17"/>
                <w:szCs w:val="17"/>
                <w:color w:val="auto"/>
              </w:rPr>
            </w:pPr>
          </w:p>
        </w:tc>
        <w:tc>
          <w:tcPr>
            <w:tcW w:w="2580" w:type="dxa"/>
            <w:vAlign w:val="bottom"/>
            <w:gridSpan w:val="8"/>
            <w:vMerge w:val="continue"/>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954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9540" w:type="dxa"/>
            <w:vAlign w:val="bottom"/>
            <w:gridSpan w:val="20"/>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vMerge w:val="restart"/>
          </w:tcPr>
          <w:p>
            <w:pPr>
              <w:spacing w:after="0"/>
              <w:rPr>
                <w:sz w:val="18"/>
                <w:szCs w:val="18"/>
                <w:color w:val="auto"/>
              </w:rPr>
            </w:pPr>
          </w:p>
        </w:tc>
        <w:tc>
          <w:tcPr>
            <w:tcW w:w="6540" w:type="dxa"/>
            <w:vAlign w:val="bottom"/>
            <w:gridSpan w:val="12"/>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920" w:type="dxa"/>
            <w:vAlign w:val="bottom"/>
            <w:tcBorders>
              <w:bottom w:val="single" w:sz="8" w:color="0000FF"/>
            </w:tcBorders>
            <w:gridSpan w:val="3"/>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6540" w:type="dxa"/>
            <w:vAlign w:val="bottom"/>
            <w:gridSpan w:val="12"/>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520" w:type="dxa"/>
            <w:vAlign w:val="bottom"/>
            <w:gridSpan w:val="2"/>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4360" w:type="dxa"/>
            <w:vAlign w:val="bottom"/>
            <w:tcBorders>
              <w:bottom w:val="single" w:sz="8" w:color="0000FF"/>
            </w:tcBorders>
            <w:gridSpan w:val="16"/>
            <w:vMerge w:val="continue"/>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5540" w:type="dxa"/>
            <w:vAlign w:val="bottom"/>
            <w:gridSpan w:val="8"/>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2340" w:type="dxa"/>
            <w:vAlign w:val="bottom"/>
            <w:tcBorders>
              <w:bottom w:val="single" w:sz="8" w:color="0000FF"/>
            </w:tcBorders>
            <w:gridSpan w:val="10"/>
            <w:vMerge w:val="continue"/>
          </w:tcPr>
          <w:p>
            <w:pPr>
              <w:spacing w:after="0"/>
              <w:rPr>
                <w:sz w:val="17"/>
                <w:szCs w:val="17"/>
                <w:color w:val="auto"/>
              </w:rPr>
            </w:pPr>
          </w:p>
        </w:tc>
        <w:tc>
          <w:tcPr>
            <w:tcW w:w="5540" w:type="dxa"/>
            <w:vAlign w:val="bottom"/>
            <w:gridSpan w:val="8"/>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100" w:type="dxa"/>
            <w:vAlign w:val="bottom"/>
            <w:gridSpan w:val="10"/>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780" w:type="dxa"/>
            <w:vAlign w:val="bottom"/>
            <w:tcBorders>
              <w:bottom w:val="single" w:sz="8" w:color="0000FF"/>
            </w:tcBorders>
            <w:gridSpan w:val="8"/>
            <w:vMerge w:val="continue"/>
          </w:tcPr>
          <w:p>
            <w:pPr>
              <w:spacing w:after="0"/>
              <w:rPr>
                <w:sz w:val="17"/>
                <w:szCs w:val="17"/>
                <w:color w:val="auto"/>
              </w:rPr>
            </w:pPr>
          </w:p>
        </w:tc>
        <w:tc>
          <w:tcPr>
            <w:tcW w:w="6100" w:type="dxa"/>
            <w:vAlign w:val="bottom"/>
            <w:gridSpan w:val="10"/>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5</w:t>
            </w:r>
          </w:p>
        </w:tc>
        <w:tc>
          <w:tcPr>
            <w:tcW w:w="78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7880" w:type="dxa"/>
            <w:vAlign w:val="bottom"/>
            <w:gridSpan w:val="18"/>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vMerge w:val="restart"/>
          </w:tcPr>
          <w:p>
            <w:pPr>
              <w:spacing w:after="0"/>
              <w:rPr>
                <w:sz w:val="20"/>
                <w:szCs w:val="20"/>
                <w:color w:val="auto"/>
              </w:rPr>
            </w:pPr>
            <w:r>
              <w:rPr>
                <w:rFonts w:ascii="Times New Roman" w:cs="Times New Roman" w:eastAsia="Times New Roman" w:hAnsi="Times New Roman"/>
                <w:sz w:val="18"/>
                <w:szCs w:val="18"/>
                <w:color w:val="0000FF"/>
              </w:rPr>
              <w:t>Exhibits</w:t>
            </w:r>
          </w:p>
        </w:tc>
        <w:tc>
          <w:tcPr>
            <w:tcW w:w="6560" w:type="dxa"/>
            <w:vAlign w:val="bottom"/>
            <w:gridSpan w:val="13"/>
            <w:vMerge w:val="restart"/>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320" w:type="dxa"/>
            <w:vAlign w:val="bottom"/>
            <w:gridSpan w:val="5"/>
            <w:vMerge w:val="continue"/>
          </w:tcPr>
          <w:p>
            <w:pPr>
              <w:spacing w:after="0"/>
              <w:rPr>
                <w:sz w:val="17"/>
                <w:szCs w:val="17"/>
                <w:color w:val="auto"/>
              </w:rPr>
            </w:pPr>
          </w:p>
        </w:tc>
        <w:tc>
          <w:tcPr>
            <w:tcW w:w="6560" w:type="dxa"/>
            <w:vAlign w:val="bottom"/>
            <w:gridSpan w:val="13"/>
            <w:vMerge w:val="continue"/>
          </w:tcPr>
          <w:p>
            <w:pPr>
              <w:spacing w:after="0"/>
              <w:rPr>
                <w:sz w:val="17"/>
                <w:szCs w:val="17"/>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770"/>
        </w:trPr>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Balance Sheets</w:t>
      </w:r>
    </w:p>
    <w:p>
      <w:pPr>
        <w:ind w:left="516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207,392</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183,259</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3,267</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209,257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186,526</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213,502</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189,431</w:t>
            </w:r>
          </w:p>
        </w:tc>
      </w:tr>
      <w:tr>
        <w:trPr>
          <w:trHeight w:val="197"/>
        </w:trPr>
        <w:tc>
          <w:tcPr>
            <w:tcW w:w="7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(including related party amounts of $69 and $1,343, respectively)</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5,758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clinical trial expenses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(including related party amounts of $2,501 and $2,330, respectively)</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13,783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11,405</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487</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18,921</w:t>
            </w:r>
          </w:p>
        </w:tc>
      </w:tr>
      <w:tr>
        <w:trPr>
          <w:trHeight w:val="216"/>
        </w:trPr>
        <w:tc>
          <w:tcPr>
            <w:tcW w:w="7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92,432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89,671</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interest financing liability</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98,103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7,500</w:t>
            </w: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220,502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117,275</w:t>
            </w:r>
          </w:p>
        </w:tc>
      </w:tr>
      <w:tr>
        <w:trPr>
          <w:trHeight w:val="210"/>
        </w:trPr>
        <w:tc>
          <w:tcPr>
            <w:tcW w:w="7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71"/>
        </w:trPr>
        <w:tc>
          <w:tcPr>
            <w:tcW w:w="77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authorized shares — 40,000,000; no shares issued and</w:t>
            </w: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234"/>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authorized shares — 400,000,000; issued shares —</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9"/>
        </w:trPr>
        <w:tc>
          <w:tcPr>
            <w:tcW w:w="77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39,072,046 and 31,656,035 at June 30, 2022 and December 31, 2021, respectively; outstanding</w:t>
            </w: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 38,372,403 and 30,511,226 at June 30, 2022 and December 31, 2021, respectively</w:t>
            </w:r>
          </w:p>
        </w:tc>
        <w:tc>
          <w:tcPr>
            <w:tcW w:w="3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 19 and 1 at June 30, 2022 and December 31, 2021, respectively</w:t>
            </w: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613,952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601,523</w:t>
            </w: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(620,955 )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(529,370 )</w:t>
            </w: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72,156</w:t>
            </w: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213,502</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-4019550</wp:posOffset>
            </wp:positionV>
            <wp:extent cx="102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-4002405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-2065020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394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Research and development (includes related party amounts of $370, $905,</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$1,800, and $1,846, respectively)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$42,178</w:t>
            </w:r>
          </w:p>
        </w:tc>
        <w:tc>
          <w:tcPr>
            <w:tcW w:w="0" w:type="dxa"/>
            <w:vAlign w:val="bottom"/>
          </w:tcPr>
          <w:p>
            <w:pPr>
              <w:spacing w:after="0"/>
              <w:rPr>
                <w:sz w:val="1"/>
                <w:szCs w:val="1"/>
                <w:color w:val="auto"/>
              </w:rPr>
            </w:pPr>
          </w:p>
        </w:tc>
      </w:tr>
      <w:tr>
        <w:trPr>
          <w:trHeight w:val="171"/>
        </w:trPr>
        <w:tc>
          <w:tcPr>
            <w:tcW w:w="6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General and administrative (includes related party amounts of $0, $0, $0, and</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vMerge w:val="restart"/>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0" w:type="dxa"/>
            <w:vAlign w:val="bottom"/>
          </w:tcPr>
          <w:p>
            <w:pPr>
              <w:spacing w:after="0"/>
              <w:rPr>
                <w:sz w:val="1"/>
                <w:szCs w:val="1"/>
                <w:color w:val="auto"/>
              </w:rPr>
            </w:pPr>
          </w:p>
        </w:tc>
      </w:tr>
      <w:tr>
        <w:trPr>
          <w:trHeight w:val="221"/>
        </w:trPr>
        <w:tc>
          <w:tcPr>
            <w:tcW w:w="6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$16, respectively)</w:t>
            </w: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$(50,920)</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$(36,552)</w:t>
            </w: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$(71,395)</w:t>
            </w:r>
          </w:p>
        </w:tc>
        <w:tc>
          <w:tcPr>
            <w:tcW w:w="0" w:type="dxa"/>
            <w:vAlign w:val="bottom"/>
          </w:tcPr>
          <w:p>
            <w:pPr>
              <w:spacing w:after="0"/>
              <w:rPr>
                <w:sz w:val="1"/>
                <w:szCs w:val="1"/>
                <w:color w:val="auto"/>
              </w:rPr>
            </w:pPr>
          </w:p>
        </w:tc>
      </w:tr>
      <w:tr>
        <w:trPr>
          <w:trHeight w:val="197"/>
        </w:trPr>
        <w:tc>
          <w:tcPr>
            <w:tcW w:w="6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38,272,044</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36,636,164</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38,155,151</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36,468,498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-1765300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-1765300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-1765300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-642620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-642620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-642620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-350520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-333375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-350520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-333375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-350520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394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Statements of Stockholders’ Equity (deficit)</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2180" w:type="dxa"/>
            <w:vAlign w:val="bottom"/>
            <w:gridSpan w:val="3"/>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30,511,226</w:t>
            </w: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601,523</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(529,370</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Cashless exercise of common stock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7,359,285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401(k) matching contribution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222,595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 issued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(40,665 )</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(40,665 )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38,149,813</w:t>
            </w:r>
          </w:p>
        </w:tc>
        <w:tc>
          <w:tcPr>
            <w:tcW w:w="24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608,067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(570,035 )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Vesting of restricted shares</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222,590</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(50,920 )</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(50,920 )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38,372,403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(620,955 )</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-753745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-753745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-753745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-753745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-753745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-170815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18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28,516,010</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579,755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(385,487 )</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194,271</w:t>
            </w:r>
          </w:p>
        </w:tc>
        <w:tc>
          <w:tcPr>
            <w:tcW w:w="0" w:type="dxa"/>
            <w:vAlign w:val="bottom"/>
          </w:tcPr>
          <w:p>
            <w:pPr>
              <w:spacing w:after="0"/>
              <w:rPr>
                <w:sz w:val="1"/>
                <w:szCs w:val="1"/>
                <w:color w:val="auto"/>
              </w:rPr>
            </w:pPr>
          </w:p>
        </w:tc>
      </w:tr>
      <w:tr>
        <w:trPr>
          <w:trHeight w:val="171"/>
        </w:trPr>
        <w:tc>
          <w:tcPr>
            <w:tcW w:w="38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from exercise of stock</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36,998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401(k) matching contribution</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8,356</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301,656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3,818</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 issued</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(34,843 )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(34,843 )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28,876,510</w:t>
            </w:r>
          </w:p>
        </w:tc>
        <w:tc>
          <w:tcPr>
            <w:tcW w:w="102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584,666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(420,330 )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164,339</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Issuance of common stock from exercise of stock</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301,659</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(36,552 )</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(36,552 )</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29,186,169</w:t>
            </w:r>
          </w:p>
        </w:tc>
        <w:tc>
          <w:tcPr>
            <w:tcW w:w="102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589,007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(456,882 )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132,128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-1010920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-1010920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-1010920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-170815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-170815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(91,585 )</w:t>
            </w:r>
          </w:p>
        </w:tc>
        <w:tc>
          <w:tcPr>
            <w:tcW w:w="5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(71,395 )</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11,660</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8,055</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Issuance of PIK interest debt</w:t>
            </w: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 on revenue interest financing liability</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2,657</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874</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680" w:type="dxa"/>
            <w:vAlign w:val="bottom"/>
            <w:gridSpan w:val="2"/>
            <w:shd w:val="clear" w:color="auto" w:fill="CFF0FC"/>
          </w:tcPr>
          <w:p>
            <w:pPr>
              <w:ind w:left="380"/>
              <w:spacing w:after="0" w:line="148" w:lineRule="exact"/>
              <w:rPr>
                <w:sz w:val="20"/>
                <w:szCs w:val="20"/>
                <w:color w:val="auto"/>
              </w:rPr>
            </w:pPr>
            <w:r>
              <w:rPr>
                <w:rFonts w:ascii="Times New Roman" w:cs="Times New Roman" w:eastAsia="Times New Roman" w:hAnsi="Times New Roman"/>
                <w:sz w:val="16"/>
                <w:szCs w:val="16"/>
                <w:color w:val="auto"/>
              </w:rPr>
              <w:t>Prepaid expenses and other current assets (includes the change in related party</w:t>
            </w:r>
          </w:p>
        </w:tc>
        <w:tc>
          <w:tcPr>
            <w:tcW w:w="10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1,402</w:t>
            </w: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amounts of $0, and $82, respectively)</w:t>
            </w:r>
          </w:p>
        </w:tc>
        <w:tc>
          <w:tcPr>
            <w:tcW w:w="10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680" w:type="dxa"/>
            <w:vAlign w:val="bottom"/>
            <w:gridSpan w:val="2"/>
          </w:tcPr>
          <w:p>
            <w:pPr>
              <w:ind w:left="380"/>
              <w:spacing w:after="0" w:line="148" w:lineRule="exact"/>
              <w:rPr>
                <w:sz w:val="20"/>
                <w:szCs w:val="20"/>
                <w:color w:val="auto"/>
              </w:rPr>
            </w:pPr>
            <w:r>
              <w:rPr>
                <w:rFonts w:ascii="Times New Roman" w:cs="Times New Roman" w:eastAsia="Times New Roman" w:hAnsi="Times New Roman"/>
                <w:sz w:val="16"/>
                <w:szCs w:val="16"/>
                <w:color w:val="auto"/>
              </w:rPr>
              <w:t>Accounts payable and accrued expenses (includes the change in related party</w:t>
            </w:r>
          </w:p>
        </w:tc>
        <w:tc>
          <w:tcPr>
            <w:tcW w:w="1000" w:type="dxa"/>
            <w:vAlign w:val="bottom"/>
          </w:tcPr>
          <w:p>
            <w:pPr>
              <w:spacing w:after="0"/>
              <w:rPr>
                <w:sz w:val="12"/>
                <w:szCs w:val="12"/>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2,865</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(12,860 )</w:t>
            </w:r>
          </w:p>
        </w:tc>
        <w:tc>
          <w:tcPr>
            <w:tcW w:w="0" w:type="dxa"/>
            <w:vAlign w:val="bottom"/>
          </w:tcPr>
          <w:p>
            <w:pPr>
              <w:spacing w:after="0"/>
              <w:rPr>
                <w:sz w:val="1"/>
                <w:szCs w:val="1"/>
                <w:color w:val="auto"/>
              </w:rPr>
            </w:pPr>
          </w:p>
        </w:tc>
      </w:tr>
      <w:tr>
        <w:trPr>
          <w:trHeight w:val="213"/>
        </w:trPr>
        <w:tc>
          <w:tcPr>
            <w:tcW w:w="76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amounts of $(1,102), and $722, respectively)</w:t>
            </w:r>
          </w:p>
        </w:tc>
        <w:tc>
          <w:tcPr>
            <w:tcW w:w="10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clinical trial expenses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(5,759 )</w:t>
            </w:r>
          </w:p>
        </w:tc>
        <w:tc>
          <w:tcPr>
            <w:tcW w:w="0" w:type="dxa"/>
            <w:vAlign w:val="bottom"/>
          </w:tcPr>
          <w:p>
            <w:pPr>
              <w:spacing w:after="0"/>
              <w:rPr>
                <w:sz w:val="1"/>
                <w:szCs w:val="1"/>
                <w:color w:val="auto"/>
              </w:rPr>
            </w:pPr>
          </w:p>
        </w:tc>
      </w:tr>
      <w:tr>
        <w:trPr>
          <w:trHeight w:val="203"/>
        </w:trPr>
        <w:tc>
          <w:tcPr>
            <w:tcW w:w="7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right-of-use asset and lease liabilities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76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long-term assets</w:t>
            </w: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(464 )</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(70,818 )</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(78,129 )</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paid for property, plant and equipment</w:t>
            </w: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from exercise of stock options</w:t>
            </w:r>
          </w:p>
        </w:tc>
        <w:tc>
          <w:tcPr>
            <w:tcW w:w="100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proceeds from revenue interest financing transaction</w:t>
            </w:r>
          </w:p>
        </w:tc>
        <w:tc>
          <w:tcPr>
            <w:tcW w:w="10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95,446</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95,446</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19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24,133</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(77,827 )</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183,259</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287,496</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207,392</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209,669</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2,919</w:t>
            </w:r>
          </w:p>
        </w:tc>
        <w:tc>
          <w:tcPr>
            <w:tcW w:w="5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0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liabilities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5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75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Settlement of ESPP liability in common stock</w:t>
            </w:r>
          </w:p>
        </w:tc>
        <w:tc>
          <w:tcPr>
            <w:tcW w:w="160" w:type="dxa"/>
            <w:vAlign w:val="bottom"/>
          </w:tcPr>
          <w:p>
            <w:pPr>
              <w:spacing w:after="0"/>
              <w:rPr>
                <w:sz w:val="15"/>
                <w:szCs w:val="15"/>
                <w:color w:val="auto"/>
              </w:rPr>
            </w:pP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w:t>
            </w:r>
          </w:p>
        </w:tc>
        <w:tc>
          <w:tcPr>
            <w:tcW w:w="5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Settlement of 401(k) liability in common stock</w:t>
            </w:r>
          </w:p>
        </w:tc>
        <w:tc>
          <w:tcPr>
            <w:tcW w:w="100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-2776855</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-2245360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-1722120</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-1182370</wp:posOffset>
            </wp:positionV>
            <wp:extent cx="102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-1165225</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-333375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-316865</wp:posOffset>
            </wp:positionV>
            <wp:extent cx="102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398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Unaudited Financial Statements</w:t>
      </w:r>
    </w:p>
    <w:p>
      <w:pPr>
        <w:spacing w:after="0" w:line="149" w:lineRule="exact"/>
        <w:rPr>
          <w:sz w:val="20"/>
          <w:szCs w:val="20"/>
          <w:color w:val="auto"/>
        </w:rPr>
      </w:pPr>
    </w:p>
    <w:p>
      <w:pPr>
        <w:ind w:right="456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1. Organization, Basis of Presentation and Summary of Significant Accounting Policies </w:t>
      </w:r>
      <w:r>
        <w:rPr>
          <w:rFonts w:ascii="Times New Roman" w:cs="Times New Roman" w:eastAsia="Times New Roman" w:hAnsi="Times New Roman"/>
          <w:sz w:val="18"/>
          <w:szCs w:val="18"/>
          <w:b w:val="1"/>
          <w:bCs w:val="1"/>
          <w:i w:val="1"/>
          <w:iCs w:val="1"/>
          <w:color w:val="auto"/>
        </w:rPr>
        <w:t>Organization and Basis of Presentation</w:t>
      </w:r>
    </w:p>
    <w:p>
      <w:pPr>
        <w:ind w:right="660" w:firstLine="509"/>
        <w:spacing w:after="0" w:line="250" w:lineRule="auto"/>
        <w:rPr>
          <w:sz w:val="20"/>
          <w:szCs w:val="20"/>
          <w:color w:val="auto"/>
        </w:rPr>
      </w:pPr>
      <w:r>
        <w:rPr>
          <w:rFonts w:ascii="Times New Roman" w:cs="Times New Roman" w:eastAsia="Times New Roman" w:hAnsi="Times New Roman"/>
          <w:sz w:val="18"/>
          <w:szCs w:val="18"/>
          <w:color w:val="auto"/>
        </w:rPr>
        <w:t>Phathom Pharmaceuticals, Inc., or the Company or Phathom, was incorporated in the state of Delaware in January 2018. The Company is a biopharmaceutical company focused on developing and commercializing novel treatments for gastrointestinal diseases. The Company’s financial statements are prepared in accordance with U.S. generally accepted accounting principles, or GAAP.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From inception to June 30, 2022, the Company has devoted substantially all of its efforts to organizing and staffing the Company, business planning, raising capital, in-licensing its initial product candidate, vonoprazan, meeting with regulatory authorities, managing the clinical trials of vonoprazan, preparing for commercialization of its initial products containing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additional net losses in the future as it continues to develop and prepares for commercialization of vonoprazan. From inception to June 30, 2022, the Company has funded its operations through the issuance of convertible promissory notes, commercial bank debt, the sale of 10,997,630 shares of common stock for net proceeds of approximately $191.5 million in its 2019 IPO, and the sale of 2,250,000 shares of common stock for net proceeds of approximately $88.6 million in its December 2020 follow-on public offering.</w:t>
      </w:r>
    </w:p>
    <w:p>
      <w:pPr>
        <w:spacing w:after="0" w:line="158"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5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right="240" w:firstLine="509"/>
        <w:spacing w:after="0" w:line="246"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various equity instruments. Although these estimates are based on the Company’s knowledge of current events and actions it may undertake in the future, actual results could differ materially from those estimates and assumptions.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8" w:name="page9"/>
    <w:bookmarkEnd w:id="8"/>
    <w:p>
      <w:pPr>
        <w:ind w:right="300" w:firstLine="509"/>
        <w:spacing w:after="0" w:line="296" w:lineRule="auto"/>
        <w:rPr>
          <w:sz w:val="20"/>
          <w:szCs w:val="20"/>
          <w:color w:val="auto"/>
        </w:rPr>
      </w:pPr>
      <w:r>
        <w:rPr>
          <w:rFonts w:ascii="Times New Roman" w:cs="Times New Roman" w:eastAsia="Times New Roman" w:hAnsi="Times New Roman"/>
          <w:sz w:val="17"/>
          <w:szCs w:val="17"/>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w:t>
      </w:r>
    </w:p>
    <w:p>
      <w:pPr>
        <w:spacing w:after="0" w:line="112"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8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June 30, 2022.</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 In addition, the Company elected the short-term lease exception for leases with an initial term of one year or less. Consequently, such leases are not recorded on the Company's balance sheets.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Financing Liability</w:t>
      </w:r>
    </w:p>
    <w:p>
      <w:pPr>
        <w:spacing w:after="0" w:line="189"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Company entered into a revenue interest financing agreement, or the Revenue Interest Financing Agreement, with entities managed or advised by NovaQuest Capital Management, or NQ, Sagard Holdings Manager LP, or Sagard, and Hercules Capital, Inc., or Hercules, together with NQ and Sagard, the Initial Investors, in which the Company received funds in return for royalties on net sales of products containing vonoprazan. The net proceeds received under the transaction were recognized as a long-term liability with interest expense based on an imputed effective rate derived from the expected future payments. The Company recalculates the effective interest rate each period based on the current carrying value and the revised estimated future payments. Changes in future payments from previous estimates are included in current and future financing expense</w:t>
      </w:r>
      <w:r>
        <w:rPr>
          <w:rFonts w:ascii="Times New Roman" w:cs="Times New Roman" w:eastAsia="Times New Roman" w:hAnsi="Times New Roman"/>
          <w:sz w:val="18"/>
          <w:szCs w:val="18"/>
          <w:color w:val="FF0000"/>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Accruals</w:t>
      </w:r>
    </w:p>
    <w:p>
      <w:pPr>
        <w:spacing w:after="0" w:line="175" w:lineRule="exact"/>
        <w:rPr>
          <w:sz w:val="20"/>
          <w:szCs w:val="20"/>
          <w:color w:val="auto"/>
        </w:rPr>
      </w:pPr>
    </w:p>
    <w:p>
      <w:pPr>
        <w:jc w:val="both"/>
        <w:ind w:right="280" w:firstLine="509"/>
        <w:spacing w:after="0" w:line="250" w:lineRule="auto"/>
        <w:rPr>
          <w:sz w:val="20"/>
          <w:szCs w:val="20"/>
          <w:color w:val="auto"/>
        </w:rPr>
      </w:pPr>
      <w:r>
        <w:rPr>
          <w:rFonts w:ascii="Times New Roman" w:cs="Times New Roman" w:eastAsia="Times New Roman" w:hAnsi="Times New Roman"/>
          <w:sz w:val="18"/>
          <w:szCs w:val="18"/>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5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189"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Company also maintains an employee stock purchase program, or ESPP, under which it may issue shares. The Company estimates the fair value of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37"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3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Beginning in 2022, the Tax Cuts and Jobs Act, or TCJA, eliminates the option to deduct research and development expenditures currently and requires taxpayers to amortize domestic and foreign research and development expenditures over 5 years and 15 years, respectively. The requirement did not impact cash from operations in the current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comprehensive loss was the same as its reported net loss for all periods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until its exercise because the Takeda Warrant was exercisable for little consideration. As of June 30, 2022, all Takeda Warrants has been exercised and no Takeda Warrants remain exercisable. For the three and six months ended June 30, 2022, the Company has excluded weighted-average unvested shares of 800,002 and 910,828, respectively, from the weighted-average number of common shares outstanding, compared to 2,280,603 and 2,430,800, respectively for the same periods in 2021.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recently adopted accounting standards which would have a material impact on the Company's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2021. There were no new material accounting standards issued in the first half of 2022 that impacted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 (in thousands):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0" w:type="dxa"/>
            <w:vAlign w:val="bottom"/>
          </w:tcPr>
          <w:p>
            <w:pPr>
              <w:spacing w:after="0"/>
              <w:rPr>
                <w:sz w:val="18"/>
                <w:szCs w:val="18"/>
                <w:color w:val="auto"/>
              </w:rPr>
            </w:pP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1,502</w:t>
            </w: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(1,129 )</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(852 )</w:t>
            </w: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4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-453390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2022 and 2021 was approximately $149,000 and $131,000, respectively. Depreciation and amortization expense for the six months ended June 30, 2022 and 2021, was approximately $277,000 and $256,000, respectively. No property, plant or equipment was disposed of during the six months ended June 30, 2022 or the year ended December 31,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0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9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4,314</w:t>
            </w: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3,165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6,344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&amp; consulting expenses</w:t>
            </w:r>
          </w:p>
        </w:tc>
        <w:tc>
          <w:tcPr>
            <w:tcW w:w="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4,229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1,855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9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13,783</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11,405</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00" w:type="dxa"/>
            <w:vAlign w:val="bottom"/>
            <w:gridSpan w:val="2"/>
          </w:tcPr>
          <w:p>
            <w:pPr>
              <w:jc w:val="right"/>
              <w:ind w:right="1336"/>
              <w:spacing w:after="0"/>
              <w:rPr>
                <w:sz w:val="20"/>
                <w:szCs w:val="20"/>
                <w:color w:val="auto"/>
              </w:rPr>
            </w:pPr>
            <w:r>
              <w:rPr>
                <w:rFonts w:ascii="Times New Roman" w:cs="Times New Roman" w:eastAsia="Times New Roman" w:hAnsi="Times New Roman"/>
                <w:sz w:val="18"/>
                <w:szCs w:val="18"/>
                <w:color w:val="auto"/>
              </w:rPr>
              <w:t>F-10</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-513715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-496570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175"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Frazier is a principal stockholder of the Company.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June 30, 2022 and December 31, 2021 the Company had outstanding accounts payable and accrued expenses due to Frazier in the amount of $0, related to these shared operating expenses. For the three months ended June 30, 2022 and 2021, the Company incurred $0, respectively, of shared operating expenses. For the six months ended June 30, 2022 and 2021, the Company incurred $0 and $16,000, respectively, of shared operating expenses.</w:t>
      </w:r>
    </w:p>
    <w:p>
      <w:pPr>
        <w:spacing w:after="0" w:line="15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Frazier is a principal stockholder in PCI Pharma Services (“PCI”). In the third quarter of 2019, the Company engaged PCI for clinical manufacturing services. As of June 30, 2022 and December 31, 2021, the Company had $1.2 million and $1.7 million, respectively, outstanding accounts payable and accrued expenses related to these manufacturing services. For the three months ended June 30, 2022 and 2021, the Company incurred $0.1 million and $0.7 million, respectively, of expenses related to services performed by PCI. For the six months ended June 30, 2022 and 2021, the Company incurred $0.4 million and $1.6 million, respectively, of expenses related to services performed by PCI.</w:t>
      </w:r>
    </w:p>
    <w:p>
      <w:pPr>
        <w:spacing w:after="0" w:line="154"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On May 5, 2020, the Company entered into a Commercial Supply Agreement, or the Commercial Supply Agreement, with Takeda, pursuant to which Takeda will supply commercial quantities of vonoprazan bulk drug product or drug substance.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In connection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June 30, 2022 and December 31, 2021, the Company had $1.4 million and $0.9 million, respectively, in outstanding accounts payable and accrued expenses related to these agreements. For the three months ended June 30, 2022 and 2021, the Company incurred $0.2 million and $0.2 million, respectively, of expenses related to these agreements. For the six months ended June 30, 2022 and 2021, the Company incurred $1.3 million and $0.2 million, respectively, of expenses related to these agreements. The Company has no remaining minimum purchase obligation related to these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89"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Takeda Warrant has an exercise price of $0.00004613 per share, expires on May 7, 2029 and became exercisable upon the consummation of the IPO. As of June 30, 2022, all Takeda Warrants have been exercised.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8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 product. The Company has not incurred any expenses under the agreement during the six months ended June 30, 2022 and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 Commitments</w:t>
      </w:r>
    </w:p>
    <w:p>
      <w:pPr>
        <w:spacing w:after="0" w:line="18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As of June 30, 2022, the Company had operating leases for office space in both Buffalo Grove, Illinois and Florham Park, New Jersey, with remaining lease terms of 2.8 years and 3.2 years, respectively.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total rent expense for the three months ended June 30, 2022 and 2021 was approximately $0.2 million and $0.2 million, respectively. The total rent expense for the six months ended June 30, 2022 and 2021 was approximately $0.4 million and $0.4 million, respectively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related to the operating leases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1,914</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right-of-use assets</w:t>
            </w:r>
          </w:p>
        </w:tc>
        <w:tc>
          <w:tcPr>
            <w:tcW w:w="25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1,914</w:t>
            </w:r>
          </w:p>
        </w:tc>
        <w:tc>
          <w:tcPr>
            <w:tcW w:w="112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5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1,183</w:t>
            </w: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7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1,670</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20" w:type="dxa"/>
            <w:vAlign w:val="bottom"/>
            <w:gridSpan w:val="2"/>
          </w:tcPr>
          <w:p>
            <w:pPr>
              <w:jc w:val="right"/>
              <w:ind w:right="1616"/>
              <w:spacing w:after="0"/>
              <w:rPr>
                <w:sz w:val="20"/>
                <w:szCs w:val="20"/>
                <w:color w:val="auto"/>
              </w:rPr>
            </w:pPr>
            <w:r>
              <w:rPr>
                <w:rFonts w:ascii="Times New Roman" w:cs="Times New Roman" w:eastAsia="Times New Roman" w:hAnsi="Times New Roman"/>
                <w:sz w:val="18"/>
                <w:szCs w:val="18"/>
                <w:color w:val="auto"/>
              </w:rPr>
              <w:t>F-12</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-1233805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-1216660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-659130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As of June 30, 2022, the future minimum annual lease payments under the operating leases were as follows (in thousands):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r>
      <w:tr>
        <w:trPr>
          <w:trHeight w:val="24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tcPr>
          <w:p>
            <w:pPr>
              <w:spacing w:after="0"/>
              <w:rPr>
                <w:sz w:val="21"/>
                <w:szCs w:val="21"/>
                <w:color w:val="auto"/>
              </w:rPr>
            </w:pPr>
          </w:p>
        </w:tc>
      </w:tr>
      <w:tr>
        <w:trPr>
          <w:trHeight w:val="197"/>
        </w:trPr>
        <w:tc>
          <w:tcPr>
            <w:tcW w:w="6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8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12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80" w:type="dxa"/>
            <w:vAlign w:val="bottom"/>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8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2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-136525</wp:posOffset>
            </wp:positionV>
            <wp:extent cx="570039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Operating cash flows for the six months ended June 30, 2022 and 2021 included cash payments for operating leases of approximately $0.7 million and $0.3 million, respectively.</w:t>
      </w:r>
    </w:p>
    <w:p>
      <w:pPr>
        <w:spacing w:after="0" w:line="135"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On February 8, 2022, the Company entered into an operating lease for 6,250 rentable square feet of additional office space in Florham Park, New Jersey. The lease liability and the corresponding right-of-use asset associated with this lease obligation was recorded upon the June 14, 2022 commencement date of the lease.</w:t>
      </w:r>
    </w:p>
    <w:p>
      <w:pPr>
        <w:spacing w:after="0" w:line="15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also entered into one year leases for passenger vehicles during 2022. The Company elected the short-term lease exception for these leases and did not recognize a right-of-use asset and operating lease liability related to these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17"/>
          <w:szCs w:val="17"/>
          <w:b w:val="1"/>
          <w:bCs w:val="1"/>
          <w:color w:val="auto"/>
        </w:rPr>
        <w:t>. Debt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debt consists of the following (in thousands):</w:t>
      </w:r>
    </w:p>
    <w:p>
      <w:pPr>
        <w:spacing w:after="0" w:line="17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current portion</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non-current portion</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102,703</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(10,271 )</w:t>
            </w:r>
          </w:p>
        </w:tc>
        <w:tc>
          <w:tcPr>
            <w:tcW w:w="20" w:type="dxa"/>
            <w:vAlign w:val="bottom"/>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debt discount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92,432</w:t>
            </w:r>
          </w:p>
        </w:tc>
        <w:tc>
          <w:tcPr>
            <w:tcW w:w="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2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The Loan Agreement provides for term loans in an aggregate principal amount of up to $200.0 million, or the Term Loan, under multiple tranches. The tranches consist of (i) a first tranche consisting of term loans in an aggregate principal amount of $100.0 million, all of which was funded to the Company on the Closing Date, or First Advance, (ii) a second tranche consisting of up to an additional $50.0 million, which became available to the Company upon achievement of the protocol-specified primary efficacy endpoints in the Company’s Phase 3 trial studying vonoprazan for the healing and maintenance of healing of erosive esophagitis with acceptable safety data, such that the results support the submission of a New Drug Application, or NDA, or supplemental NDA without the need to conduct another Phase 3 study and will be available, if specified conditions are met, through December 15, 2022, (iii) a third and fourth tranches consisting of an additional total $50.0 million, which became available to the Company in May 2022 upon the achievement of (a) Food and Drug Administration, or FDA, approval of the Company’s NDA for vonoprazan and amoxicillin, or its New Drug Application for vonoprazan, amoxicillin and clarithromycin, in each case for an indication relating to the treatment of </w:t>
      </w:r>
      <w:r>
        <w:rPr>
          <w:rFonts w:ascii="Times New Roman" w:cs="Times New Roman" w:eastAsia="Times New Roman" w:hAnsi="Times New Roman"/>
          <w:sz w:val="18"/>
          <w:szCs w:val="18"/>
          <w:i w:val="1"/>
          <w:iCs w:val="1"/>
          <w:color w:val="auto"/>
        </w:rPr>
        <w:t>Helicobacter pylori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with an approved indication on the claim that is generally consistent with that sought in the Company’s NDA submission; and (b) filing of the Company’s NDA or supplemental NDA for vonoprazan for indications relating to the healing and maintenance of healing of erosive esophagitis.</w:t>
      </w:r>
    </w:p>
    <w:p>
      <w:pPr>
        <w:spacing w:after="0" w:line="16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paid a $1.25 million facility charge in connection with closing of the Loan Agreement and would need to pay 0.5% of any advances made under the third and fourth tranches.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5" w:name="page16"/>
    <w:bookmarkEnd w:id="15"/>
    <w:p>
      <w:pPr>
        <w:ind w:firstLine="509"/>
        <w:spacing w:after="0" w:line="242" w:lineRule="auto"/>
        <w:rPr>
          <w:sz w:val="20"/>
          <w:szCs w:val="20"/>
          <w:color w:val="auto"/>
        </w:rPr>
      </w:pPr>
      <w:r>
        <w:rPr>
          <w:rFonts w:ascii="Times New Roman" w:cs="Times New Roman" w:eastAsia="Times New Roman" w:hAnsi="Times New Roman"/>
          <w:sz w:val="18"/>
          <w:szCs w:val="18"/>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was extended to October 1, 2025, upon the achievement of the Second Performance Milestone in May 2022 prior to September 30, 2024 and met the condition that no default or event of default exists, and which is further extendable to October 1, 2026, subject to FDA approval of the Company’s NDA (or supplemental NDA) for vonoprazan for an indication relating to the healing and maintenance of healing of erosive esophagitis with an approved indication on the label that is generally consistent with that sought in the Company’s NDA submission (or supplemental NDA submission), or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60"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addition, the Company is obligated to pay a final payment fee of 7.50% of the original principal amount of amounts actually advanced under the Term Loan, or, each a Term Loan Advance and together, the Term Loan Advances. As of June 30, 2022, the aggregate final payment fee for the first Term Loan Advance of $7.5 million has been recorded as an other long-term liability.</w:t>
      </w:r>
    </w:p>
    <w:p>
      <w:pPr>
        <w:spacing w:after="0" w:line="15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may elect to prepay all or a portion of the Term Loan Advances prior to maturity, subject to a prepayment fee of up to 1.25% of the then outstanding principal balance of the Term Loan Advances being prepaid. After repayment, no Term Loan amounts may be borrowed again.</w:t>
      </w:r>
    </w:p>
    <w:p>
      <w:pPr>
        <w:spacing w:after="0" w:line="135"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3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Loan Agreement contains customary closing fees, prepayment fees and provisions, events of default, and representations, warranties and covenants, including a financial covenant requiring Phathom to maintain certain levels of cash subject to a control agreement in favor of the Agent (minus accounts payable not paid within 120 days of invoice), or Qualified Cash, and commencing on May 15, 2023, trailing three-month net product revenue from the sale of vonoprazan and products containing vonoprazan. The revenue covenant will be waived at any time in which the Company maintains Qualified Cash equal to at least 60.0% (prior to the Third Performance Milestone), and 35% (following the Third Performance Milestone) of the total outstanding Term Loan principal amount, or the Company’s market capitalization is at least $900.0 million. Upon the occurrence of an event of default, subject to any specified cure periods, all amounts owed by the Company may be declared immediately due and payable by Hercules, as collateral agent. As of June 30, 2022, the Company was in compliance with all applicable covenants under the Loan Agreement.</w:t>
      </w:r>
    </w:p>
    <w:p>
      <w:pPr>
        <w:spacing w:after="0" w:line="159" w:lineRule="exact"/>
        <w:rPr>
          <w:sz w:val="20"/>
          <w:szCs w:val="20"/>
          <w:color w:val="auto"/>
        </w:rPr>
      </w:pPr>
    </w:p>
    <w:p>
      <w:pPr>
        <w:ind w:right="40" w:firstLine="554"/>
        <w:spacing w:after="0" w:line="244" w:lineRule="auto"/>
        <w:rPr>
          <w:sz w:val="20"/>
          <w:szCs w:val="20"/>
          <w:color w:val="auto"/>
        </w:rPr>
      </w:pPr>
      <w:r>
        <w:rPr>
          <w:rFonts w:ascii="Times New Roman" w:cs="Times New Roman" w:eastAsia="Times New Roman" w:hAnsi="Times New Roman"/>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time until September 17, 2028 and had an initial fair value of approximately $1.3 million.</w:t>
      </w:r>
    </w:p>
    <w:p>
      <w:pPr>
        <w:spacing w:after="0" w:line="155"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initial $1.3 million fair value of the Warrant, the $7.5 million final interest payment fee and $3.1 million of debt issuance costs have been recorded as debt discount and are being amortized to interest expense using the effective interest method over the term of the Term Loan.</w:t>
      </w:r>
    </w:p>
    <w:p>
      <w:pPr>
        <w:spacing w:after="0" w:line="135"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Future minimum principal and interest payments under the Term Loan, including the final payment fee, as of June 30, 2022 are as follows (in thousands):</w:t>
      </w:r>
    </w:p>
    <w:p>
      <w:pPr>
        <w:spacing w:after="0" w:line="154"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0" w:type="dxa"/>
            <w:vAlign w:val="bottom"/>
          </w:tcPr>
          <w:p>
            <w:pPr>
              <w:spacing w:after="0"/>
              <w:rPr>
                <w:sz w:val="18"/>
                <w:szCs w:val="18"/>
                <w:color w:val="auto"/>
              </w:rPr>
            </w:pPr>
          </w:p>
        </w:tc>
      </w:tr>
      <w:tr>
        <w:trPr>
          <w:trHeight w:val="216"/>
        </w:trPr>
        <w:tc>
          <w:tcPr>
            <w:tcW w:w="5100" w:type="dxa"/>
            <w:vAlign w:val="bottom"/>
            <w:shd w:val="clear" w:color="auto" w:fill="CFF0FC"/>
          </w:tcPr>
          <w:p>
            <w:pPr>
              <w:jc w:val="right"/>
              <w:ind w:right="447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0" w:type="dxa"/>
            <w:vAlign w:val="bottom"/>
          </w:tcPr>
          <w:p>
            <w:pPr>
              <w:spacing w:after="0"/>
              <w:rPr>
                <w:sz w:val="18"/>
                <w:szCs w:val="18"/>
                <w:color w:val="auto"/>
              </w:rPr>
            </w:pPr>
          </w:p>
        </w:tc>
      </w:tr>
      <w:tr>
        <w:trPr>
          <w:trHeight w:val="216"/>
        </w:trPr>
        <w:tc>
          <w:tcPr>
            <w:tcW w:w="510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20" w:type="dxa"/>
            <w:vAlign w:val="bottom"/>
          </w:tcPr>
          <w:p>
            <w:pPr>
              <w:spacing w:after="0"/>
              <w:rPr>
                <w:sz w:val="18"/>
                <w:szCs w:val="18"/>
                <w:color w:val="auto"/>
              </w:rPr>
            </w:pPr>
          </w:p>
        </w:tc>
      </w:tr>
      <w:tr>
        <w:trPr>
          <w:trHeight w:val="216"/>
        </w:trPr>
        <w:tc>
          <w:tcPr>
            <w:tcW w:w="5100" w:type="dxa"/>
            <w:vAlign w:val="bottom"/>
            <w:shd w:val="clear" w:color="auto" w:fill="CFF0FC"/>
          </w:tcPr>
          <w:p>
            <w:pPr>
              <w:jc w:val="right"/>
              <w:ind w:right="447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20" w:type="dxa"/>
            <w:vAlign w:val="bottom"/>
          </w:tcPr>
          <w:p>
            <w:pPr>
              <w:spacing w:after="0"/>
              <w:rPr>
                <w:sz w:val="18"/>
                <w:szCs w:val="18"/>
                <w:color w:val="auto"/>
              </w:rPr>
            </w:pPr>
          </w:p>
        </w:tc>
      </w:tr>
      <w:tr>
        <w:trPr>
          <w:trHeight w:val="216"/>
        </w:trPr>
        <w:tc>
          <w:tcPr>
            <w:tcW w:w="510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105,773</w:t>
            </w:r>
          </w:p>
        </w:tc>
        <w:tc>
          <w:tcPr>
            <w:tcW w:w="20" w:type="dxa"/>
            <w:vAlign w:val="bottom"/>
          </w:tcPr>
          <w:p>
            <w:pPr>
              <w:spacing w:after="0"/>
              <w:rPr>
                <w:sz w:val="18"/>
                <w:szCs w:val="18"/>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and interest payments</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154,850</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and final payment fee</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(54,850 )</w:t>
            </w:r>
          </w:p>
        </w:tc>
        <w:tc>
          <w:tcPr>
            <w:tcW w:w="20" w:type="dxa"/>
            <w:vAlign w:val="bottom"/>
          </w:tcPr>
          <w:p>
            <w:pPr>
              <w:spacing w:after="0"/>
              <w:rPr>
                <w:sz w:val="18"/>
                <w:szCs w:val="18"/>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loan borrowings</w:t>
            </w: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21"/>
                <w:szCs w:val="21"/>
                <w:color w:val="auto"/>
              </w:rPr>
            </w:pPr>
          </w:p>
        </w:tc>
      </w:tr>
    </w:tbl>
    <w:p>
      <w:pPr>
        <w:spacing w:after="0" w:line="15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Prior to the Loan Agreement with Hercules, the Company had a loan with Silicon Valley Bank, or SVB, and approximately $54.3 million of the proceeds from the First Advance was used to satisfy in full and retire the Company’s indebtedness under the SVB Term Loan with SVB, including accrued interest through the payoff date.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$3.0 million and $5.8 million, respectively, of interest expense, including amortization of the debt discount, in connection with the Hercules Loan Agreement compared to $1.2 million and $2.5 million, respectively, for the same periods in 2021 in connection with the SVB Term Loan. As of June 30, 2022, the Company had outstanding loan balance of $102.7 million and accrued interest of $0.6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Interest Financing Liability</w:t>
      </w:r>
    </w:p>
    <w:p>
      <w:pPr>
        <w:spacing w:after="0" w:line="18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On May 3, 2022, Phathom entered into a Revenue Interest Financing Agreement with Initial Investors NQ, Sagard, and Hercules pursuant to which the Company will receive up to $260 million in funding from the Initial Investors. Under the terms of the Revenue Interest Financing Agreement, the Company received $100 million at the initial closing and can receive an additional $160 million upon FDA approval of vonoprazan for treatment of erosive esophagitis on or before March 31, 2024. At any time prior to December 31, 2022, the Company also has the right to obtain a written commitment from a third party for up to $15 million of funding upon FDA approval of vonoprazan for erosive esophagitis. In addition, the Company has the right at any time prior to June 30, 2024, to obtain a written commitment from a third party for up to $25 million of funding upon achievement of a sales milestone. The Initial Investors have a right of first offer if the Company seeks to obtain such additional funding. The total amount funded by the Initial Investors and any subsequent investors is referred to herein as the Investment Amount.</w:t>
      </w:r>
    </w:p>
    <w:p>
      <w:pPr>
        <w:spacing w:after="0" w:line="15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if the Company receives FDA approval for vonoprazan for an indication relating to the treatment of heartburn associated with symptomatic non-erosive gastroesophageal reflux disease, or NERD. The investors’ right to receive royalties on net sales will terminate when the investors have aggregate payments equal to 200% of the Investment Amount. In addition, at any time after the earlier of (i) April 30, 2024 and (ii) the date that the payment for erosive esophagitis regulatory approval is made, the Company has the right to make a cap payment equal to 200% of the Investment Amount less any royalties already paid, at which time the agreement will terminate.</w:t>
      </w:r>
    </w:p>
    <w:p>
      <w:pPr>
        <w:spacing w:after="0" w:line="155"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sufficient to gross the investors up to the applicable Minimum Amount.</w:t>
      </w:r>
    </w:p>
    <w:p>
      <w:pPr>
        <w:spacing w:after="0" w:line="1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taking place prior to April 1, 2025, between April 1, 2025, and April 1, 2028, and after April 1, 2028, the Company is obligated to pay 1.30 times Investment Amount, 1.65 times Investment Amount, and 2.0 times investment amount, respectively, less any amounts the Company previously paid pursuant to the agreement.</w:t>
      </w:r>
    </w:p>
    <w:p>
      <w:pPr>
        <w:spacing w:after="0" w:line="129"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Upon the occurrence of a change in control event taking place prior to the earlier of April 1, 2024, or FDA approval of vonoprazan for erosive esophagitis, the Company is obligated to pay 200% of the Investment Amount plus either 15% of the Investment Amount if occurrence prior to May 3, 2023, or plus 30% of the Investment Amount if occurrence thereafter.</w:t>
      </w:r>
    </w:p>
    <w:p>
      <w:pPr>
        <w:spacing w:after="0" w:line="14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2022, the Company received gross proceeds of $100.0 million before deducting transaction costs of $4.6 million, which resulted in net proceeds of $95.4 million.</w:t>
      </w:r>
    </w:p>
    <w:p>
      <w:pPr>
        <w:spacing w:after="0" w:line="135"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Changes in future payments from previous estimates are included in the current and future financing expense. The carrying value of the revenue interest financing liability was $98.1million as of June 30, 2022.</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revenue interest financing liability consists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 balance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Revenue Interest Financing Agreement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28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(4,554 )</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royalty payments and payables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Ending liability balance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98,103</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260" w:type="dxa"/>
            <w:vAlign w:val="bottom"/>
            <w:vMerge w:val="restart"/>
          </w:tcPr>
          <w:p>
            <w:pPr>
              <w:ind w:left="3200"/>
              <w:spacing w:after="0"/>
              <w:rPr>
                <w:sz w:val="20"/>
                <w:szCs w:val="20"/>
                <w:color w:val="auto"/>
              </w:rPr>
            </w:pPr>
            <w:r>
              <w:rPr>
                <w:rFonts w:ascii="Times New Roman" w:cs="Times New Roman" w:eastAsia="Times New Roman" w:hAnsi="Times New Roman"/>
                <w:sz w:val="18"/>
                <w:szCs w:val="18"/>
                <w:color w:val="auto"/>
              </w:rPr>
              <w:t>F-15</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-659765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Company will record liabilities associated with additional funding upon FDA approval of vonoprazan for erosive esophagitis and achievement of the sales milestone when such contingent events occur.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change in control or default events and the achievement of FDA approval of vonoprazan for erosive esophagitis and achievement of the sales milestone.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2019, subsequent to the Merger, the Company sold 1,491,072 shares of the Company’s common stock to Frazier.</w:t>
      </w:r>
    </w:p>
    <w:p>
      <w:pPr>
        <w:spacing w:after="0" w:line="17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June 30, 2022, 237,192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May 2019, the Company issued Takeda 1,084,000 shares of common stock in connection with the Takeda License.</w:t>
      </w:r>
    </w:p>
    <w:p>
      <w:pPr>
        <w:spacing w:after="0" w:line="185"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June 30, 2022, 462,432 shares remain available for repurchase by the Company and the associated repurchase liability was not significant.</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2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7"/>
          <w:szCs w:val="17"/>
          <w:color w:val="auto"/>
        </w:rPr>
        <w:t>In November 2020, the Company entered into an Open Market Sale Agreement</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7"/>
          <w:szCs w:val="17"/>
          <w:color w:val="auto"/>
        </w:rPr>
        <w:t>, or, the Sales Agreement, with Jefferies LLC, or, the Sales Agent, under which it may, from time to time, sell shares of its common stock having an aggregate offering price of up to $125.0 million through the Sales Agent, or,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June 30, 2022.</w:t>
      </w:r>
    </w:p>
    <w:p>
      <w:pPr>
        <w:spacing w:after="0" w:line="144"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37"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unvested shares is as follows: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7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74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1,144,809</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vesting</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(445,185 )</w:t>
            </w:r>
          </w:p>
        </w:tc>
        <w:tc>
          <w:tcPr>
            <w:tcW w:w="20" w:type="dxa"/>
            <w:vAlign w:val="bottom"/>
          </w:tcPr>
          <w:p>
            <w:pPr>
              <w:spacing w:after="0"/>
              <w:rPr>
                <w:sz w:val="18"/>
                <w:szCs w:val="18"/>
                <w:color w:val="auto"/>
              </w:rPr>
            </w:pPr>
          </w:p>
        </w:tc>
      </w:tr>
      <w:tr>
        <w:trPr>
          <w:trHeight w:val="250"/>
        </w:trPr>
        <w:tc>
          <w:tcPr>
            <w:tcW w:w="1740" w:type="dxa"/>
            <w:vAlign w:val="bottom"/>
          </w:tcPr>
          <w:p>
            <w:pPr>
              <w:spacing w:after="0"/>
              <w:rPr>
                <w:sz w:val="21"/>
                <w:szCs w:val="21"/>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699,624</w:t>
            </w:r>
          </w:p>
        </w:tc>
        <w:tc>
          <w:tcPr>
            <w:tcW w:w="20" w:type="dxa"/>
            <w:vAlign w:val="bottom"/>
          </w:tcPr>
          <w:p>
            <w:pPr>
              <w:spacing w:after="0"/>
              <w:rPr>
                <w:sz w:val="21"/>
                <w:szCs w:val="21"/>
                <w:color w:val="auto"/>
              </w:rPr>
            </w:pPr>
          </w:p>
        </w:tc>
      </w:tr>
    </w:tbl>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accounting purposes, unvested shares of common stock are considered issued, but not outstanding until they vest.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5560" w:type="dxa"/>
            <w:vAlign w:val="bottom"/>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PSUs and RSUs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6,624,915</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2019 Incentive Plan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1,311,660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the ESPP Plan</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802,085</w:t>
            </w:r>
          </w:p>
        </w:tc>
      </w:tr>
      <w:tr>
        <w:trPr>
          <w:trHeight w:val="249"/>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8,829,888</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40 million shares of preferred stock. As of June 30, 2022 and December 31, 2021, there were no shares of preferred stock issued or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8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As a result of the adoption of the 2019 Incentive Award Plan (the “2019 Plan”) in October 2019, no further shares are available for issuance under the Existing Incentive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Incentive Award Plan</w:t>
      </w:r>
    </w:p>
    <w:p>
      <w:pPr>
        <w:spacing w:after="0" w:line="17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As of June 30, 2022, 1,311,660 shares remain available for issuance, which reflects 2,148,734 of stock option, performance-based unit, or PSU, and restricted stock unit, or RSU, awards granted, and 104,848 of awards cancelled or forfeited, during the six months ended June 30, 2022 as well as an annual increase of 1,582,802 shares authorized on January 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Units</w:t>
      </w:r>
    </w:p>
    <w:p>
      <w:pPr>
        <w:spacing w:after="0" w:line="187" w:lineRule="exact"/>
        <w:rPr>
          <w:sz w:val="20"/>
          <w:szCs w:val="20"/>
          <w:color w:val="auto"/>
        </w:rPr>
      </w:pPr>
    </w:p>
    <w:p>
      <w:pPr>
        <w:ind w:right="160" w:firstLine="509"/>
        <w:spacing w:after="0" w:line="251" w:lineRule="auto"/>
        <w:rPr>
          <w:sz w:val="20"/>
          <w:szCs w:val="20"/>
          <w:color w:val="auto"/>
        </w:rPr>
      </w:pPr>
      <w:r>
        <w:rPr>
          <w:rFonts w:ascii="Times New Roman" w:cs="Times New Roman" w:eastAsia="Times New Roman" w:hAnsi="Times New Roman"/>
          <w:sz w:val="18"/>
          <w:szCs w:val="18"/>
          <w:color w:val="auto"/>
        </w:rPr>
        <w:t xml:space="preserve">During 2020, the Company granted the initial PSUs whereby vesting depends upon the approval by the FDA of vonoprazan for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and then, or concurrent with, erosive esophagitis. In 2022, the Company granted an additional 37,500 PSUs to employees. As of June 30, 2022, the PSU milestones had not been achieved and no related compensation cost had been recognized. The following table summarizes PSU activity under the 2019 Incentive Award Plan during the six months ended June 30, 2022.</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4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0"/>
        </w:trPr>
        <w:tc>
          <w:tcPr>
            <w:tcW w:w="4940" w:type="dxa"/>
            <w:vAlign w:val="bottom"/>
          </w:tcPr>
          <w:p>
            <w:pPr>
              <w:spacing w:after="0"/>
              <w:rPr>
                <w:sz w:val="13"/>
                <w:szCs w:val="13"/>
                <w:color w:val="auto"/>
              </w:rPr>
            </w:pPr>
          </w:p>
        </w:tc>
        <w:tc>
          <w:tcPr>
            <w:tcW w:w="1380" w:type="dxa"/>
            <w:vAlign w:val="bottom"/>
          </w:tcPr>
          <w:p>
            <w:pPr>
              <w:jc w:val="right"/>
              <w:ind w:right="315"/>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138"/>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89"/>
        </w:trPr>
        <w:tc>
          <w:tcPr>
            <w:tcW w:w="4940" w:type="dxa"/>
            <w:vAlign w:val="bottom"/>
          </w:tcPr>
          <w:p>
            <w:pPr>
              <w:spacing w:after="0"/>
              <w:rPr>
                <w:sz w:val="16"/>
                <w:szCs w:val="16"/>
                <w:color w:val="auto"/>
              </w:rPr>
            </w:pPr>
          </w:p>
        </w:tc>
        <w:tc>
          <w:tcPr>
            <w:tcW w:w="13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2021</w:t>
            </w: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394,300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(11,250 )</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June 30, 2022</w:t>
            </w:r>
          </w:p>
        </w:tc>
        <w:tc>
          <w:tcPr>
            <w:tcW w:w="13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420,550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there was approximately $13.0 million of related unrecognized compensation cost, which will begin to be recognized upon vesting.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2022, the Company granted 590,937 RSUs with vesting over time. The following table summarizes RSU activity under the 2019 Incentive Award Plan during the six months ended June 30, 2022.</w:t>
      </w:r>
    </w:p>
    <w:p>
      <w:pPr>
        <w:spacing w:after="0" w:line="10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5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Unvested balance at December 31, 2021</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6"/>
                <w:szCs w:val="16"/>
                <w:color w:val="auto"/>
              </w:rPr>
            </w:pPr>
          </w:p>
        </w:tc>
        <w:tc>
          <w:tcPr>
            <w:tcW w:w="12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590,937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(4,050 )</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balance at June 30, 2022</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586,887</w:t>
            </w: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-153670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$6.0 million of unrecognized stock-based compensation expense, which is expected to be recognized over a weighted-average period of 2.1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June 30, 2022, 802,085 shares of common stock remain available for issuance, which includes the 39,951 shares sold to employees during the six months ended June 30, 2022.</w:t>
      </w:r>
    </w:p>
    <w:p>
      <w:pPr>
        <w:spacing w:after="0" w:line="145" w:lineRule="exact"/>
        <w:rPr>
          <w:sz w:val="20"/>
          <w:szCs w:val="20"/>
          <w:color w:val="auto"/>
        </w:rPr>
      </w:pPr>
    </w:p>
    <w:p>
      <w:pPr>
        <w:jc w:val="both"/>
        <w:ind w:right="340" w:firstLine="509"/>
        <w:spacing w:after="0" w:line="258" w:lineRule="auto"/>
        <w:rPr>
          <w:sz w:val="20"/>
          <w:szCs w:val="20"/>
          <w:color w:val="auto"/>
        </w:rPr>
      </w:pPr>
      <w:r>
        <w:rPr>
          <w:rFonts w:ascii="Times New Roman" w:cs="Times New Roman" w:eastAsia="Times New Roman" w:hAnsi="Times New Roman"/>
          <w:sz w:val="18"/>
          <w:szCs w:val="18"/>
          <w:color w:val="auto"/>
        </w:rPr>
        <w:t>The ESPP is considered a compensatory plan, and for the three and six months ended June 30, 2022, the Company recorded related stock-based compensation of $0.2 million and $0.3 million, respectively, compared to $0.1 million and $0.2 million, respectively, for the same periods in 2021. The weighted-average assumptions used to estimate the fair value of ESPP awards using the Black-Scholes option valuation model were as follows:</w:t>
      </w:r>
    </w:p>
    <w:p>
      <w:pPr>
        <w:spacing w:after="0" w:line="150"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Assumptions:</w:t>
            </w:r>
          </w:p>
        </w:tc>
        <w:tc>
          <w:tcPr>
            <w:tcW w:w="7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8"/>
                <w:szCs w:val="18"/>
                <w:color w:val="auto"/>
              </w:rPr>
            </w:pP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72.41 %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81.83 %</w:t>
            </w: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Risk free interest rate</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0.37 %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0.10 %</w:t>
            </w:r>
          </w:p>
        </w:tc>
      </w:tr>
      <w:tr>
        <w:trPr>
          <w:trHeight w:val="216"/>
        </w:trPr>
        <w:tc>
          <w:tcPr>
            <w:tcW w:w="6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-410845</wp:posOffset>
            </wp:positionV>
            <wp:extent cx="498919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37"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7"/>
          <w:szCs w:val="17"/>
          <w:color w:val="auto"/>
        </w:rPr>
        <w:t>The estimated weighted-average fair value of ESPP awards for the six months ended June 30, 2022 and 2021, were $5.31 and $15.85, respectively. As of June 30, 2022, the total unrecognized compensation expense related to the ESPP was $28,000, which is expected to be recognized over a weighted-</w:t>
      </w:r>
    </w:p>
    <w:p>
      <w:pPr>
        <w:spacing w:after="0"/>
        <w:rPr>
          <w:sz w:val="20"/>
          <w:szCs w:val="20"/>
          <w:color w:val="auto"/>
        </w:rPr>
      </w:pPr>
      <w:r>
        <w:rPr>
          <w:rFonts w:ascii="Times New Roman" w:cs="Times New Roman" w:eastAsia="Times New Roman" w:hAnsi="Times New Roman"/>
          <w:sz w:val="18"/>
          <w:szCs w:val="18"/>
          <w:color w:val="auto"/>
        </w:rPr>
        <w:t>average period of approximately 0.5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The Company established a 401(k) savings plan during the year ended December 31, 2020. The Company’s contributions to the plan are discretionary. During the three and six months ended June 30, 2022, the Company incurred $0.3 million and $0.9 million, respectively, of expense related to estimated employer contribution liabilities, which was based on a 75% match of employees’ contributions during the periods, compared to $0.2 million and $0.6 million, respectively, for the same periods in 2021. In August 2021, the Board of Directors approved a semi-annual discretionary match for 2021, which was settled by contributing 18,394 shares. In January 2022, the Board of Directors approved a second semi-annual discretionary match for 2021, which was settled by contributing 16,756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2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8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1240" w:type="dxa"/>
            <w:vAlign w:val="bottom"/>
          </w:tcPr>
          <w:p>
            <w:pPr>
              <w:jc w:val="right"/>
              <w:ind w:right="355"/>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237"/>
              <w:spacing w:after="0" w:line="160"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0" w:type="dxa"/>
            <w:vAlign w:val="bottom"/>
          </w:tcPr>
          <w:p>
            <w:pPr>
              <w:spacing w:after="0"/>
              <w:rPr>
                <w:sz w:val="13"/>
                <w:szCs w:val="13"/>
                <w:color w:val="auto"/>
              </w:rPr>
            </w:pPr>
          </w:p>
        </w:tc>
        <w:tc>
          <w:tcPr>
            <w:tcW w:w="1280" w:type="dxa"/>
            <w:vAlign w:val="bottom"/>
          </w:tcPr>
          <w:p>
            <w:pPr>
              <w:jc w:val="center"/>
              <w:ind w:right="23"/>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4,186,729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13,973</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1,520,297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exercised and shares vested</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 expired or cancelled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(89,548 )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5,617,478</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8"/>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as of June 30, 2022</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2,013,657</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24.74</w:t>
            </w:r>
          </w:p>
        </w:tc>
        <w:tc>
          <w:tcPr>
            <w:tcW w:w="140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7.57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-156845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-156845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9"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estimated weighted-average fair value of employee and nonemployee director stock options granted during 2022 was $8.96 per option. As of June 30, 2022, the Company had $47.9 million of unrecognized stock-based compensation expense, which is expected to be recognized over a weighted-average period of 2.3 years.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using the Black-Scholes option valuation model were as follows:</w:t>
      </w:r>
    </w:p>
    <w:p>
      <w:pPr>
        <w:spacing w:after="0" w:line="192"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3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16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4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8"/>
                <w:szCs w:val="18"/>
                <w:color w:val="auto"/>
              </w:rPr>
            </w:pP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66.04 %</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67.38 %</w:t>
            </w:r>
          </w:p>
        </w:tc>
      </w:tr>
      <w:tr>
        <w:trPr>
          <w:trHeight w:val="216"/>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Risk free interest rate</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0.64 %</w:t>
            </w:r>
          </w:p>
        </w:tc>
      </w:tr>
      <w:tr>
        <w:trPr>
          <w:trHeight w:val="216"/>
        </w:trPr>
        <w:tc>
          <w:tcPr>
            <w:tcW w:w="4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-410845</wp:posOffset>
            </wp:positionV>
            <wp:extent cx="498919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including founder stock, has been reported in the statements of operations and comprehensive loss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tcPr>
          <w:p>
            <w:pPr>
              <w:spacing w:after="0"/>
              <w:rPr>
                <w:sz w:val="13"/>
                <w:szCs w:val="13"/>
                <w:color w:val="auto"/>
              </w:rPr>
            </w:pPr>
          </w:p>
        </w:tc>
      </w:tr>
      <w:tr>
        <w:trPr>
          <w:trHeight w:val="187"/>
        </w:trPr>
        <w:tc>
          <w:tcPr>
            <w:tcW w:w="1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tcPr>
          <w:p>
            <w:pPr>
              <w:spacing w:after="0"/>
              <w:rPr>
                <w:sz w:val="14"/>
                <w:szCs w:val="14"/>
                <w:color w:val="auto"/>
              </w:rPr>
            </w:pPr>
          </w:p>
        </w:tc>
      </w:tr>
      <w:tr>
        <w:trPr>
          <w:trHeight w:val="210"/>
        </w:trPr>
        <w:tc>
          <w:tcPr>
            <w:tcW w:w="170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9,202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11,660</w:t>
            </w: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680" w:type="dxa"/>
            <w:vAlign w:val="bottom"/>
          </w:tcPr>
          <w:p>
            <w:pPr>
              <w:spacing w:after="0"/>
              <w:rPr>
                <w:sz w:val="21"/>
                <w:szCs w:val="21"/>
                <w:color w:val="auto"/>
              </w:rPr>
            </w:pPr>
          </w:p>
        </w:tc>
      </w:tr>
      <w:tr>
        <w:trPr>
          <w:trHeight w:val="615"/>
        </w:trPr>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F-19</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-513715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-496570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-513715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-513715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-496570</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2021 and the related Management’s Discussion and Analysis of Financial Condition and Results of Operations, both of which are contained in our Annual Report on Form 10-K for the year ended December 31, 2021 (“2021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 xml:space="preserve">We are a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ind w:firstLine="509"/>
        <w:spacing w:after="0" w:line="256" w:lineRule="auto"/>
        <w:rPr>
          <w:sz w:val="20"/>
          <w:szCs w:val="20"/>
          <w:color w:val="auto"/>
        </w:rPr>
      </w:pPr>
      <w:r>
        <w:rPr>
          <w:rFonts w:ascii="Times New Roman" w:cs="Times New Roman" w:eastAsia="Times New Roman" w:hAnsi="Times New Roman"/>
          <w:sz w:val="17"/>
          <w:szCs w:val="17"/>
          <w:color w:val="auto"/>
        </w:rPr>
        <w:t xml:space="preserve">In 2021 we reported topline data from two pivotal Phase 3 clinical trials for vonoprazan: one for the treatment of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infection (PHALCON-HP), and a second for the treatment of erosive GERD (PHALCON-EE), also known as erosive esophagitis, or EE. In April 2021, we reported positive topline data from PHALCON-HP, and in October 2021, we reported positive topline data from PHALCON-EE. In September 2021, we submitted new drug applications (NDAs) for two treatment regimens containing vonoprazan for the treatment of </w:t>
      </w:r>
      <w:r>
        <w:rPr>
          <w:rFonts w:ascii="Times New Roman" w:cs="Times New Roman" w:eastAsia="Times New Roman" w:hAnsi="Times New Roman"/>
          <w:sz w:val="17"/>
          <w:szCs w:val="17"/>
          <w:i w:val="1"/>
          <w:iCs w:val="1"/>
          <w:color w:val="auto"/>
        </w:rPr>
        <w:t>H.</w:t>
      </w:r>
      <w:r>
        <w:rPr>
          <w:rFonts w:ascii="Times New Roman" w:cs="Times New Roman" w:eastAsia="Times New Roman" w:hAnsi="Times New Roman"/>
          <w:sz w:val="17"/>
          <w:szCs w:val="17"/>
          <w:color w:val="auto"/>
        </w:rPr>
        <w:t xml:space="preserve"> pylori, vonoprazan triple therapy (vonoprazan, amoxicillin, clarithromycin) and vonoprazan dual therapy (vonoprazan, amoxicillin), and in November 2021, the U.S. Food and Drug Administration, or FDA, accepted both NDAs for filing, granted each of them Priority Review, and assigned us a Prescription Drug User Fee Act (PDUFA) action date in May 2022. In addition, both of our </w:t>
      </w:r>
      <w:r>
        <w:rPr>
          <w:rFonts w:ascii="Times New Roman" w:cs="Times New Roman" w:eastAsia="Times New Roman" w:hAnsi="Times New Roman"/>
          <w:sz w:val="17"/>
          <w:szCs w:val="17"/>
          <w:i w:val="1"/>
          <w:iCs w:val="1"/>
          <w:color w:val="auto"/>
        </w:rPr>
        <w:t>H. pylori</w:t>
      </w:r>
      <w:r>
        <w:rPr>
          <w:rFonts w:ascii="Times New Roman" w:cs="Times New Roman" w:eastAsia="Times New Roman" w:hAnsi="Times New Roman"/>
          <w:sz w:val="17"/>
          <w:szCs w:val="17"/>
          <w:color w:val="auto"/>
        </w:rPr>
        <w:t xml:space="preserve"> NDAs received qualified infectious disease product (QIDP) designations which provides a potential extension of any regulatory exclusivity awarded following approval. On May 3, 2022, we received FDA approval for vonoprazan triple therapy, under the brand name VOQUEZNA™ TRIPLE PAK™ and vonoprazan dual therapy, under the brand name VOQUEZNA™ DUAL PAK™, in each case for the treatment of </w:t>
      </w:r>
      <w:r>
        <w:rPr>
          <w:rFonts w:ascii="Times New Roman" w:cs="Times New Roman" w:eastAsia="Times New Roman" w:hAnsi="Times New Roman"/>
          <w:sz w:val="17"/>
          <w:szCs w:val="17"/>
          <w:i w:val="1"/>
          <w:iCs w:val="1"/>
          <w:color w:val="auto"/>
        </w:rPr>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pylori </w:t>
      </w:r>
      <w:r>
        <w:rPr>
          <w:rFonts w:ascii="Times New Roman" w:cs="Times New Roman" w:eastAsia="Times New Roman" w:hAnsi="Times New Roman"/>
          <w:sz w:val="17"/>
          <w:szCs w:val="17"/>
          <w:color w:val="auto"/>
        </w:rPr>
        <w:t>infection in adults. Further, in March 2022, we submitted an NDA for the use of vonoprazan as a treatment for adults for the healing of all grades of</w:t>
      </w:r>
    </w:p>
    <w:p>
      <w:pPr>
        <w:spacing w:after="0" w:line="1" w:lineRule="exact"/>
        <w:rPr>
          <w:sz w:val="20"/>
          <w:szCs w:val="20"/>
          <w:color w:val="auto"/>
        </w:rPr>
      </w:pPr>
    </w:p>
    <w:p>
      <w:pPr>
        <w:ind w:right="80" w:firstLine="8"/>
        <w:spacing w:after="0"/>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relief of heartburn, and maintenance of healing of all grades of EE and relief of heartburn, which was accepted for filing by the FDA in May 2022, with a PDUFA action date of January 11, 2023. In August 2022, we announced that, consistent with current FDA recommendations for all chemically synthesized drug compounds such as vonoprazan, we had previously initiated post-approval testing to determine whether nitrosamine impurities were present in vonoprazan drug product. These tests showed trace levels of a nitrosamine impurity that is not described within the FDA guidance document entitled “Control of Nitrosamine Impurities in Human Drugs – Guidance for Industry.” We are working with the FDA and plan to obtain approval of and implement an additional test method, specification, including a proposed acceptable intake limit, and additional controls to address this impurity prior to releasing our first vonoprazan-based products to the market. These additional activities will result in a delay of the planned VOQUEZNA™ TRIPLE PAK™ and VOQUEZNA™ DUAL PAK™ full commercial launches. We currently expect full commercial launch of these products, as well as, if approved, VOQUEZNA™ tablets for EE, in the first quarter of 2023.</w:t>
      </w:r>
    </w:p>
    <w:p>
      <w:pPr>
        <w:spacing w:after="0" w:line="157"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We have also progressed our clinical development program in NERD. In February 2022, we reported positive topline data from a Phase 2 trial studying vonoprazan for on-demand treatment of NERD, based on the positive results from this study plan to discuss with FDA a Phase 3 trial design for this novel dosing regimen. Also in February 2022, we commenced enrollment of patients in a Phase 3 trial studying vonoprazan, dosed on a once-daily basis, for the treatment of NERD with topline data for the primary endpoint expected in the first quarter of 2023 and topline results for the full trial expected in 2023. Additionally, we plan to discuss with the FDA our proposed development plan to study vonoprazan as a treatment for eosinophilic esophagitis, or EoE.</w:t>
      </w:r>
    </w:p>
    <w:p>
      <w:pPr>
        <w:spacing w:after="0" w:line="15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plan to independently commercialize vonoprazan in the United States. We also plan to seek commercial partnerships for vonoprazan in Europe and Canada, expand development of vonoprazan into other indications, dosing regimens and alternative formulations and packaging, and in-license or acquire additional clinical or commercial stage product candidates for the treatment of GI diseases in a capital efficient manner.</w:t>
      </w:r>
    </w:p>
    <w:p>
      <w:pPr>
        <w:spacing w:after="0" w:line="12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conducting our clinical trials of vonoprazan, preparing applications for regulatory approval for vonoprazan and preparing for the commercial launch. Our operations to date have been funded primarily through the issuance of convertible promissory notes, commercial bank debt, the proceeds from our initial public offering and our follow-on public offering. From our inception through June 30, 2022, we have raised aggregate gross proceeds of $90.3 million from the issuance of convertible promissory notes, $100.0 million of debt, $100,0 million of revenue interest financing liability, net proceeds from our initial public offering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and net proceeds of $88.6 million from the sale of 2,250,000 shares of common stock at a public offering price of $39.48 per share after deducting underwriting discounts and commissions, and an additional $0.2 million in offering costs.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incurred net losses since our inception. Our net losses for the six-month periods ended June 30, 2022 and 2021 were $91.6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$71.4 million, respectively. As of June 30, 2022, we had an accumulated deficit of $621.0 million. Our net losses may fluctuate significantly from quarter-</w:t>
      </w:r>
    </w:p>
    <w:p>
      <w:pPr>
        <w:spacing w:after="0"/>
        <w:rPr>
          <w:sz w:val="20"/>
          <w:szCs w:val="20"/>
          <w:color w:val="auto"/>
        </w:rPr>
      </w:pPr>
      <w:r>
        <w:rPr>
          <w:rFonts w:ascii="Times New Roman" w:cs="Times New Roman" w:eastAsia="Times New Roman" w:hAnsi="Times New Roman"/>
          <w:sz w:val="18"/>
          <w:szCs w:val="18"/>
          <w:color w:val="auto"/>
        </w:rPr>
        <w:t>to-quarter and year-to-year, depending on the timing of our clinical development activities, other research and development activities, and pre-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activities. We expect our expenses and operating losses will increase substantially as we advance vonoprazan through additional clinical</w:t>
      </w:r>
    </w:p>
    <w:p>
      <w:pPr>
        <w:spacing w:after="0" w:line="234" w:lineRule="auto"/>
        <w:rPr>
          <w:sz w:val="20"/>
          <w:szCs w:val="20"/>
          <w:color w:val="auto"/>
        </w:rPr>
      </w:pPr>
      <w:r>
        <w:rPr>
          <w:rFonts w:ascii="Times New Roman" w:cs="Times New Roman" w:eastAsia="Times New Roman" w:hAnsi="Times New Roman"/>
          <w:sz w:val="18"/>
          <w:szCs w:val="18"/>
          <w:color w:val="auto"/>
        </w:rPr>
        <w:t>trials, seek further regulatory approval for vonoprazan, expand our clinical, regulatory, quality, manufacturing and commercialization capabilities, incur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commercialization expenses for marketing, sales, manufacturing and distribution, protect our intellectual property, expand our general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support functions, including hiring additional personnel, and incur additional costs associated with operating as a public company.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23" w:name="page24"/>
    <w:bookmarkEnd w:id="23"/>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We have never generated any revenue and do not expect to generate any revenues from product sales unless and until we commence commercialization of our initial approved products. Accordingly, until such time as we can generate significant revenue from sales of vonoprazan, if ever, we expect to finance our cash needs through equity offerings, our existing loan and security agreement, or the Loan Agreement, debt financings, Revenue Interest Financing Agreement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Takeda</w:t>
      </w:r>
    </w:p>
    <w:p>
      <w:pPr>
        <w:spacing w:after="0" w:line="18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2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include:</w:t>
      </w:r>
    </w:p>
    <w:p>
      <w:pPr>
        <w:spacing w:after="0" w:line="185" w:lineRule="exact"/>
        <w:rPr>
          <w:sz w:val="20"/>
          <w:szCs w:val="20"/>
          <w:color w:val="auto"/>
        </w:rPr>
      </w:pPr>
    </w:p>
    <w:p>
      <w:pPr>
        <w:ind w:left="900" w:right="14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charges for those individuals involved in research and development efforts;</w:t>
      </w:r>
    </w:p>
    <w:p>
      <w:pPr>
        <w:spacing w:after="0" w:line="135"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35" w:lineRule="exact"/>
        <w:rPr>
          <w:rFonts w:ascii="Times New Roman" w:cs="Times New Roman" w:eastAsia="Times New Roman" w:hAnsi="Times New Roman"/>
          <w:sz w:val="18"/>
          <w:szCs w:val="18"/>
          <w:color w:val="auto"/>
        </w:rPr>
      </w:pPr>
    </w:p>
    <w:p>
      <w:pPr>
        <w:ind w:left="900" w:right="94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manufacturing of vonoprazan for our clinical trials as well as for qualification of future third party commercial manufacturing.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24" w:name="page25"/>
    <w:bookmarkEnd w:id="24"/>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plan to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71"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evaluated in the trials;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and</w:t>
      </w:r>
    </w:p>
    <w:p>
      <w:pPr>
        <w:spacing w:after="0" w:line="1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cost increases as a result of COVID-19.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 xml:space="preserve">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significantly increase in the future to support our continued research and development activities, pre-commercial preparation activities in light of the recent approvals of VOQUEZNA™ TRIPLE PAK™ and VOQUEZNA™ DUAL PAK™ to treat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adults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on our money market fund.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Beginning on May 3, 2022, interest expense includes interest on the Revenue Interest Financing Agreement, which is based on the imputed effective rate derived from expected future payments and the carrying value of the obligation. The Company recalculates the effective interest rate each period based on the current carrying value and the revised estimated future payments. Changes in future payments from previous estimates are included in current and future financing expense.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5" w:name="page26"/>
    <w:bookmarkEnd w:id="25"/>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Beginning on September 17, 2021, interest expense includes interest on the Hercules Loan Agreement, which consists of (i) cash interest at a variable annual rate equal to the greater of (a) 5.50% and (b) the Prime Rate (as reported in the Wall Street Journal) plus 2.25% (the “Interest Rate”), (ii) payment-in-kind interest at a per annum rate of interest equal to 3.35%, and (iii) amortization of the Hercules Loan Agreement debt discount recorded in connection with the fair value of warrants issued to the lenders, the debt issuance costs incurred, and the obligation to make a final payment.</w:t>
      </w:r>
    </w:p>
    <w:p>
      <w:pPr>
        <w:spacing w:after="0" w:line="137"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Prior to September 17, 2021, interest expense consisted of interest on our outstanding commercial bank debt with SVB at a variable annual rate equal to the greater of (a) 7.25% and (b) Prime Rate (as reported by the Wall Street Journal) plus 1.75% and amortization of the SVB Term Loan debt discount recorded in connection with the fair value of warrants issued to the lenders, the debt issuance costs incurred, and the obligation to make a final payment.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8"/>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69"/>
        </w:trPr>
        <w:tc>
          <w:tcPr>
            <w:tcW w:w="5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36,475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42,178</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(5,703 )</w:t>
            </w:r>
          </w:p>
        </w:tc>
      </w:tr>
      <w:tr>
        <w:trPr>
          <w:trHeight w:val="216"/>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46,794</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26,725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20,069</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83,269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68,903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14,366</w:t>
            </w: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(83,269 )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(68,903 )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(14,366 )</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(5,898 )</w:t>
            </w:r>
          </w:p>
        </w:tc>
      </w:tr>
      <w:tr>
        <w:trPr>
          <w:trHeight w:val="216"/>
        </w:trPr>
        <w:tc>
          <w:tcPr>
            <w:tcW w:w="5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(5,824 )</w:t>
            </w:r>
          </w:p>
        </w:tc>
      </w:tr>
      <w:tr>
        <w:trPr>
          <w:trHeight w:val="250"/>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(91,585 )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(71,395 )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-1165225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-1165225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-873760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-873760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-316230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-316230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5"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$36.5 million and $42.2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respectively. The decrease of $5.7 million consisted of a $9.0 million reduction of clinical trial cost partially offset by increases of $2.0 million of personnel-related, consulting and other research expenses, and $1.3 million of chemistry manufacturing and controls, or CMC, costs related to vonoprazan.</w:t>
      </w:r>
    </w:p>
    <w:p>
      <w:pPr>
        <w:spacing w:after="0" w:line="14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$46.8 million and $26.7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respectively. The increase of $20.1 million was due to increases of $11.6 million in professional services expenses for commercial, medical affairs and other services, $8.2 million in personnel-related expenses, $1.6 million in legal and other expenses, partially offset by a $1.3 million reduction in consulting fees. Due to the planned continued buildout of administrative and commercial functions we expect general and administrative expenses to increase in future periods.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of $8.3 million for the six months ended June 30, 2022 consisted of interest expense under the Hercules Loan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Interest Financing Agreements, partially offset by interest income on deposits. Other expense of $2.5 million for the six months ended June 30, 2021 consisted of interest expense under the SVB Term Loan.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18,815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(2,782 )</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26,548</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12,826</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45,363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35,319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(45,363 )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(35,319 )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(10,044 )</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(4,411 )</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(5,557 )</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(50,920 )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(36,552 )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-1156335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-1156335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-316230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-316230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$18.8 million and $21.6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and 2021, respectively. The decrease of $2.8 million consisted of reductions of $3.7 million of clinical trial cost and $0.4 million of consulting research expenses, partially offset by increases of $0.7 million of personnel-related costs, and $0.4 million of regulatory and other research expenses, and $0.2 million of chemistry manufacturing and controls, or CMC, costs related to vonoprazan.</w:t>
      </w:r>
    </w:p>
    <w:p>
      <w:pPr>
        <w:spacing w:after="0" w:line="147" w:lineRule="exact"/>
        <w:rPr>
          <w:sz w:val="20"/>
          <w:szCs w:val="20"/>
          <w:color w:val="auto"/>
        </w:rPr>
      </w:pPr>
    </w:p>
    <w:p>
      <w:pPr>
        <w:ind w:right="1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$26.5 million and $13.7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and 2021, respectively. The increase of $12.8 million was due to increases of $8.1 million in professional services expenses for commercial, medical affairs and other services, $4.3 million in personnel-related costs, and $0.4 million of legal expenses. Due to the planned continued buildout of administrative and commercial functions we expect general and administrative expenses to increase in future periods.</w:t>
      </w:r>
    </w:p>
    <w:p>
      <w:pPr>
        <w:spacing w:after="0" w:line="13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expense of $5.6 million for the three months ended June 30, 2022 consisted of interest expense under the Hercules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and Revenue Interest Financing Agreements, partially offset by interest income on deposits. Other expense of $1.2 million for the three months ended June 30, 2021 consisted of interest expense under the SVB Term Loan.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and anticipate we will continue to incur net losses for the foreseeable future. As of June 30, 2022, we had cash and cash equivalents of $207.4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Hercules</w:t>
      </w:r>
    </w:p>
    <w:p>
      <w:pPr>
        <w:spacing w:after="0" w:line="189"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On September 17, 2021, (the “Closing Date”), we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27" w:name="page28"/>
    <w:bookmarkEnd w:id="27"/>
    <w:p>
      <w:pPr>
        <w:ind w:right="80" w:firstLine="509"/>
        <w:spacing w:after="0" w:line="241" w:lineRule="auto"/>
        <w:rPr>
          <w:sz w:val="20"/>
          <w:szCs w:val="20"/>
          <w:color w:val="auto"/>
        </w:rPr>
      </w:pPr>
      <w:r>
        <w:rPr>
          <w:rFonts w:ascii="Times New Roman" w:cs="Times New Roman" w:eastAsia="Times New Roman" w:hAnsi="Times New Roman"/>
          <w:sz w:val="18"/>
          <w:szCs w:val="18"/>
          <w:color w:val="auto"/>
        </w:rPr>
        <w:t>The Loan Agreement provides for term loans in an aggregate principal amount of up to $200.0 million (the “Term Loan”) under multiple tranches. The tranches consist of (i) a first tranche consisting of term loans in an aggregate principal amount of $100.0 million, all of which was funded on the Closing Date (the “First Advance”), (ii) a second tranche consisting of up to an additional $50.0 million, which became available to us upon achievement of the protocol-specified primary efficacy endpoints in our Phase 3 trial studying vonoprazan for the healing and maintenance of healing of erosive esophagitis with acceptable safety data, such that the results support the submission of a New Drug Application (“NDA”) or supplemental NDA without the need to conduct another Phase 3 study and will be available, if specified conditions are met, through December 15, 2022, (iii) a third and fourth tranches consisting of an additional total $50.0 million, which became available to us in May 2022 upon the achievement of (a) FDA approval of our NDA for vonoprazan and amoxicillin, or its NDA for vonoprazan, amoxicillin and clarithromycin, in each case for an indication relating to the treatment of H. pylori with an approved indication on the claim that is generally consistent with that sought in our NDA submission; and (b) filing of an NDA or supplemental NDA for vonoprazan for indications relating to the healing and maintenance of healing of erosive esophagitis. We intend to use the proceeds of the Term Loan advances for working capital and general corporate purposes. In addition, approximately $54 million of the proceeds from the First Advance was used to satisfy in full and retire our indebtedness under its previously outstanding credit facility with Silicon Valley Bank (the “SVB Term Loan”).</w:t>
      </w:r>
    </w:p>
    <w:p>
      <w:pPr>
        <w:spacing w:after="0" w:line="16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was extended to October 1, 2025, upon the achievement of the Second Performance Milestone in May 2022 prior to September 30, 2024 and the condition that no default or event of default exists, and which is further extendable to October 1, 2026, subject to FDA approval of our NDA (or supplemental NDA) for vonoprazan for an indication relating to the healing and maintenance of healing of erosive esophagitis with an approved indication on the label that is generally consistent with that sought in our NDA submission (or supplemental NDA submission)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45"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The Loan Agreement contains customary closing fees, prepayment fees and provisions, events of default, and representations, warranties and covenants, including a financial covenant requiring us to maintain certain levels of cash subject to a control agreement in favor of the Agent (minus accounts payable not paid within 120 days of invoice) (“Qualified Cash”), and commencing on May 15, 2023, trailing three-month net product revenue from the sale of vonoprazan and products containing vonoprazan. The revenue covenant will be waived at any time in which we maintain Qualified Cash equal to at least 60.0% (prior to the Third Performance Milestone), and 35% (following the Third Performance Milestone) of the total outstanding Term Loan principal amount, or our market capitalization is at least $900.0 million.</w:t>
      </w:r>
    </w:p>
    <w:p>
      <w:pPr>
        <w:spacing w:after="0" w:line="13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collateral for the obligations, we granted to Hercules a senior security interest in all of our right, title, and interest in, to and under substantially all of our property, inclusive of intellectual property.</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entry into the Loan Agreement, we issued to Hercules a warrant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will be exercisable for a period of seven years from the date of issuance at a per-share exercise price equal to $33.43, which was the closing price of our common stock on September 16,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Financing Agreement</w:t>
      </w:r>
    </w:p>
    <w:p>
      <w:pPr>
        <w:spacing w:after="0" w:line="18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On May 3, 2022, we entered into a Revenue Interest Financing Agreement with Initial Investors NQ, Sagard, and Hercules pursuant to which we will receive up to $260 million in funding from the Initial Investors. Under the terms of the Revenue Interest Financing Agreement, we received $100 million at the initial closing and can receive an additional $160 million upon FDA approval of vonoprazan for treatment of erosive esophagitis on or before March 31, 2024. We also have the right to obtain written commitments from third parties at any time prior to December 31, 2022, for up to $15 million of funding upon FDA approval of vonoprazan for erosive esophagitis and, at any time prior to June 30, 2024, for up to $25 million upon achievement of a sales milestone. The Initial Investors have a right of first offer if the Company seeks to obtain such additional funding.</w:t>
      </w:r>
    </w:p>
    <w:p>
      <w:pPr>
        <w:spacing w:after="0" w:line="15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if the Company receives FDA approval for vonoprazan for an indication relating to the treatment of heartburn associated with symptomatic non-erosive gastroesophageal reflux disease, or NERD. The investors’ right to receive royalties on net sales will terminate when the investors have aggregate payments equal to 200% of the Investment Amount. In addition, at any time after the earlier of (i) April 30, 2024 and (ii) the date that the payment for erosive esophagitis regulatory approval is made, we have the right to make a cap payment equal to 200% of the Investment Amount less any royalties already paid, at which time the agreement will terminate.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spacing w:after="0" w:line="1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taking place prior to April 1, 2025, between April 1, 2025, and April 1, 2028, and after April 1, 2028, we are obligated to pay 1.30 times Investment Amount, 1.65 times Investment Amount, and 2.0 times investment amount, respectively, less any amounts previously paid pursuant to the agreement.</w:t>
      </w:r>
    </w:p>
    <w:p>
      <w:pPr>
        <w:spacing w:after="0" w:line="1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the occurrence of a change in control event taking place prior to the earlier of April 1, 2024, or FDA approval of vonoprazan for erosive esophagitis, we are obligated to pay 200% of the Investment Amount plus either 15% of the Investment Amount if occurrence prior to May 3, 2023, or plus 30% of the Investment Amount if occurrence thereafter.</w:t>
      </w:r>
    </w:p>
    <w:p>
      <w:pPr>
        <w:spacing w:after="0" w:line="129" w:lineRule="exact"/>
        <w:rPr>
          <w:sz w:val="20"/>
          <w:szCs w:val="20"/>
          <w:color w:val="auto"/>
        </w:rPr>
      </w:pPr>
    </w:p>
    <w:p>
      <w:pPr>
        <w:ind w:right="560" w:firstLine="509"/>
        <w:spacing w:after="0" w:line="453" w:lineRule="auto"/>
        <w:rPr>
          <w:sz w:val="20"/>
          <w:szCs w:val="20"/>
          <w:color w:val="auto"/>
        </w:rPr>
      </w:pPr>
      <w:r>
        <w:rPr>
          <w:rFonts w:ascii="Times New Roman" w:cs="Times New Roman" w:eastAsia="Times New Roman" w:hAnsi="Times New Roman"/>
          <w:sz w:val="18"/>
          <w:szCs w:val="18"/>
          <w:color w:val="auto"/>
        </w:rPr>
        <w:t xml:space="preserve">We intend to use the proceeds received under the Revenue Interest Financing Agreement for working capital and general corporate purposes. </w:t>
      </w:r>
      <w:r>
        <w:rPr>
          <w:rFonts w:ascii="Times New Roman" w:cs="Times New Roman" w:eastAsia="Times New Roman" w:hAnsi="Times New Roman"/>
          <w:sz w:val="18"/>
          <w:szCs w:val="18"/>
          <w:b w:val="1"/>
          <w:bCs w:val="1"/>
          <w:i w:val="1"/>
          <w:iCs w:val="1"/>
          <w:color w:val="auto"/>
        </w:rPr>
        <w:t>At-the-Market-Offering</w:t>
      </w:r>
    </w:p>
    <w:p>
      <w:pPr>
        <w:spacing w:after="0" w:line="2" w:lineRule="exact"/>
        <w:rPr>
          <w:sz w:val="20"/>
          <w:szCs w:val="20"/>
          <w:color w:val="auto"/>
        </w:rPr>
      </w:pPr>
    </w:p>
    <w:p>
      <w:pPr>
        <w:jc w:val="both"/>
        <w:ind w:right="80" w:firstLine="509"/>
        <w:spacing w:after="0" w:line="239" w:lineRule="auto"/>
        <w:rPr>
          <w:sz w:val="20"/>
          <w:szCs w:val="20"/>
          <w:color w:val="auto"/>
        </w:rPr>
      </w:pPr>
      <w:r>
        <w:rPr>
          <w:rFonts w:ascii="Times New Roman" w:cs="Times New Roman" w:eastAsia="Times New Roman" w:hAnsi="Times New Roman"/>
          <w:sz w:val="18"/>
          <w:szCs w:val="18"/>
          <w:color w:val="auto"/>
        </w:rPr>
        <w:t>On November 10, 2020, we entered into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8"/>
          <w:szCs w:val="18"/>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six-month period ended June 30,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Public Offering</w:t>
      </w:r>
    </w:p>
    <w:p>
      <w:pPr>
        <w:spacing w:after="0" w:line="18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We incurred an additional $0.2 million of offering expenses in connection with the public offering.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existing cash and cash equivalents together with the drawdown of the remaining $100 million under our Loan Agreement with Hercules, receipt of amounts potentially available under the revenue interest financing agreement and anticipated future sales of products containing vonoprazan will be sufficient to fund our operations through 2024. We expect such amounts will allow us to complete our ongoing Phase 3 clinical trial studying vonoprazan for NERD (daily dosing), and launch vonoprazan for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and, if approved, erosive esophagitis.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900" w:right="4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cost increases as a result of COVID-19;</w:t>
      </w:r>
    </w:p>
    <w:p>
      <w:pPr>
        <w:spacing w:after="0" w:line="184" w:lineRule="exact"/>
        <w:rPr>
          <w:rFonts w:ascii="Times New Roman" w:cs="Times New Roman" w:eastAsia="Times New Roman" w:hAnsi="Times New Roman"/>
          <w:sz w:val="18"/>
          <w:szCs w:val="18"/>
          <w:color w:val="auto"/>
        </w:rPr>
      </w:pPr>
    </w:p>
    <w:p>
      <w:pPr>
        <w:ind w:left="900" w:right="46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vonoprazan or any future product candidates, including commercial scale manufacturing if any product candidate is approved;</w:t>
      </w:r>
    </w:p>
    <w:p>
      <w:pPr>
        <w:spacing w:after="0" w:line="12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vonoprazan or any future product candidates;</w:t>
      </w:r>
    </w:p>
    <w:p>
      <w:pPr>
        <w:spacing w:after="0" w:line="18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84"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9" w:name="page30"/>
    <w:bookmarkEnd w:id="29"/>
    <w:p>
      <w:pPr>
        <w:ind w:left="900" w:right="6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personnel;</w:t>
      </w:r>
    </w:p>
    <w:p>
      <w:pPr>
        <w:spacing w:after="0" w:line="1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milestone or other payments we must make to Takeda and any future licensors;</w:t>
      </w:r>
    </w:p>
    <w:p>
      <w:pPr>
        <w:spacing w:after="0" w:line="1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vonoprazan or any future product candidate;</w:t>
      </w:r>
    </w:p>
    <w:p>
      <w:pPr>
        <w:spacing w:after="0" w:line="184"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35"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13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18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45" w:lineRule="exact"/>
        <w:rPr>
          <w:sz w:val="20"/>
          <w:szCs w:val="20"/>
          <w:color w:val="auto"/>
        </w:rPr>
      </w:pPr>
    </w:p>
    <w:p>
      <w:pPr>
        <w:jc w:val="both"/>
        <w:ind w:right="40" w:firstLine="509"/>
        <w:spacing w:after="0" w:line="245" w:lineRule="auto"/>
        <w:rPr>
          <w:sz w:val="20"/>
          <w:szCs w:val="20"/>
          <w:color w:val="auto"/>
        </w:rPr>
      </w:pPr>
      <w:r>
        <w:rPr>
          <w:rFonts w:ascii="Times New Roman" w:cs="Times New Roman" w:eastAsia="Times New Roman" w:hAnsi="Times New Roman"/>
          <w:sz w:val="18"/>
          <w:szCs w:val="18"/>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each of the periods indicated (in thousands):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(70,818 )</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(78,129 )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95,446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94,930</w:t>
            </w:r>
          </w:p>
        </w:tc>
        <w:tc>
          <w:tcPr>
            <w:tcW w:w="0" w:type="dxa"/>
            <w:vAlign w:val="bottom"/>
          </w:tcPr>
          <w:p>
            <w:pPr>
              <w:spacing w:after="0"/>
              <w:rPr>
                <w:sz w:val="1"/>
                <w:szCs w:val="1"/>
                <w:color w:val="auto"/>
              </w:rPr>
            </w:pP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24,133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(77,827 )</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101,960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-25400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Net cash used in operating activities was approximately $70.8 million and $78.1 million for the six months ended June 30, 2022 and 2021, respectively. The net cash used in operating activities for the six months ended June 30, 2022 was due to approximately $73.3 million spent on ongoing research and development and general and administrative activities, partially offset by a $2.5 million net change in operating assets and liabilities. The net change in operating assets and liabilities primarily related to a $1.6 million increase in accounts payable and accrued expenses (including clinical trial expenses), a $1.4 million decrease in prepaid assets and other current assets, partially offset by a $0.5 million increase in other long-term assets. The net cash used in operating activities for the six months ended June 30, 2021 was due to approximately $61.8 million spent on ongoing research and development and general and administrative activities and a $16.3 million net change in operating assets and liabilities. The net change in operating assets and liabilities primarily related to a $18.6 million decrease in accounts payable and accrued expenses (including clinical trial expenses), partially offset by a $2.2 million decrease in prepaid assets and a $0.1 million decrease in other long-term assets.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and 2021, was primarily due to the cash we paid for acquiring property, plant and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220" w:firstLine="56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2022 was due to the net proceeds from the revenue interest financing liability. Net cash provided by financing activities for the six months ended June 30, 2021 was due to issuance of common stock from exercise of stock options.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Other than disclosed below, there were no material changes outside the ordinary course of our business during the six months ended June 30, 2022 to the information regarding our contractual obligations that was disclosed in Management’s Discussion and Analysis of Financial Condition and Results of Operations contained in our 2021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our critical accounting policies, please see the section entitled “Management’s Discussion and Analysis of Financial Condition and Results of Operations — Critical Accounting Policies and Significant Judgments and Estimates” contained in our 2021 Form 10-K. There have not been any material changes to the critical accounting policies discussed therein during the </w:t>
      </w:r>
      <w:r>
        <w:rPr>
          <w:rFonts w:ascii="Times New Roman" w:cs="Times New Roman" w:eastAsia="Times New Roman" w:hAnsi="Times New Roman"/>
          <w:sz w:val="18"/>
          <w:szCs w:val="18"/>
          <w:color w:val="FF0000"/>
        </w:rPr>
        <w:t>six</w:t>
      </w:r>
      <w:r>
        <w:rPr>
          <w:rFonts w:ascii="Times New Roman" w:cs="Times New Roman" w:eastAsia="Times New Roman" w:hAnsi="Times New Roman"/>
          <w:sz w:val="18"/>
          <w:szCs w:val="18"/>
          <w:color w:val="auto"/>
        </w:rPr>
        <w:t xml:space="preserve"> months ended June 30,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189"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55"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under SEC rules.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2021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8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six months ended June 30, 2022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2021 Form 10-K, other than as set forth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47" w:lineRule="exact"/>
        <w:rPr>
          <w:sz w:val="20"/>
          <w:szCs w:val="20"/>
          <w:color w:val="auto"/>
        </w:rPr>
      </w:pPr>
    </w:p>
    <w:p>
      <w:pPr>
        <w:ind w:right="46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vonoprazan, which is our only approved product and product candidate. If we are unable to successfully launch and commercialize vonoprazan, obtain additional, required regulatory approvals and advance the clinical development of vonoprazan in additional indications, or experience significant delays in doing so, our business will be materially harmed.</w:t>
      </w:r>
    </w:p>
    <w:p>
      <w:pPr>
        <w:spacing w:after="0" w:line="14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currently have two approved products and one product candidate, all of which contain vonoprazan, which we in-licensed from Takeda. Our current business depends entirely on our ability to successfully develop, obtain regulatory approval for, and commercialize products containing vonoprazan in a timely manner. This may make an investment in our company riskier than similar companies that have multiple approved products or product candidates in active development that may be able to better sustain failure of a single product. In May 2022, we received FDA approval for vonoprazan triple therapy, under the brand name VOQUEZNA™ TRIPLE PAK™ and vonoprazan dual therapy, under the brand name VOQUEZNA™ DUAL PAK™, in each case for the treatment of </w:t>
      </w:r>
      <w:r>
        <w:rPr>
          <w:rFonts w:ascii="Times New Roman" w:cs="Times New Roman" w:eastAsia="Times New Roman" w:hAnsi="Times New Roman"/>
          <w:sz w:val="18"/>
          <w:szCs w:val="18"/>
          <w:i w:val="1"/>
          <w:iCs w:val="1"/>
          <w:color w:val="auto"/>
        </w:rPr>
        <w:t>H. pylori</w:t>
      </w:r>
      <w:r>
        <w:rPr>
          <w:rFonts w:ascii="Times New Roman" w:cs="Times New Roman" w:eastAsia="Times New Roman" w:hAnsi="Times New Roman"/>
          <w:sz w:val="18"/>
          <w:szCs w:val="18"/>
          <w:color w:val="auto"/>
        </w:rPr>
        <w:t xml:space="preserve"> infection in adults. Further, in March 2022, we submitted an NDA for the use of vonoprazan as a treatment for adults for the healing of all grades of EE and relief of heartburn, and maintenance of healing of all grades of EE and relief of heartburn, which was accepted for filing by the FDA in May 2022, with a PDUFA action date of January 11, 2023. In February 2022, we initiated a Phase 3 trial for vonoprazan using a daily dosing regimen for the treatment of NERD, with topline data for the primary endpoint expected in the first quarter of 2023 and topline results for the full trial expected in 2023. Our assumptions about vonoprazan’s commercial potential are based in large part on the commercial experience of vonoprazan in Japan. However, our assumptions may prove to be wrong, and we may encounter a materially and adversely different development and commercial experience. The success of vonoprazan will depend on several factors, including the following:</w:t>
      </w:r>
    </w:p>
    <w:p>
      <w:pPr>
        <w:spacing w:after="0" w:line="165" w:lineRule="exact"/>
        <w:rPr>
          <w:sz w:val="20"/>
          <w:szCs w:val="20"/>
          <w:color w:val="auto"/>
        </w:rPr>
      </w:pPr>
    </w:p>
    <w:p>
      <w:pPr>
        <w:ind w:left="500" w:hanging="11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by comparable foreign regulatory authorities of our proposed design of our clinical trials;</w:t>
      </w:r>
    </w:p>
    <w:p>
      <w:pPr>
        <w:spacing w:after="0" w:line="171" w:lineRule="exact"/>
        <w:rPr>
          <w:rFonts w:ascii="Times New Roman" w:cs="Times New Roman" w:eastAsia="Times New Roman" w:hAnsi="Times New Roman"/>
          <w:sz w:val="18"/>
          <w:szCs w:val="18"/>
          <w:color w:val="auto"/>
        </w:rPr>
      </w:pPr>
    </w:p>
    <w:p>
      <w:pPr>
        <w:ind w:left="500" w:hanging="11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clinical trials and completion of clinical trials with favorable results;</w:t>
      </w:r>
    </w:p>
    <w:p>
      <w:pPr>
        <w:spacing w:after="0" w:line="184" w:lineRule="exact"/>
        <w:rPr>
          <w:rFonts w:ascii="Times New Roman" w:cs="Times New Roman" w:eastAsia="Times New Roman" w:hAnsi="Times New Roman"/>
          <w:sz w:val="18"/>
          <w:szCs w:val="18"/>
          <w:color w:val="auto"/>
        </w:rPr>
      </w:pPr>
    </w:p>
    <w:p>
      <w:pPr>
        <w:ind w:left="380" w:right="20" w:firstLine="2"/>
        <w:spacing w:after="0" w:line="258" w:lineRule="auto"/>
        <w:tabs>
          <w:tab w:leader="none" w:pos="4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the European Medicines Agency, or EMA, and other comparable foreign regulatory authorities to accept the data from the clinical trials and preclinical studies and clinical trials conducted outside of our licensed territories by Takeda and independent investigators as part of the basis for review and approval of vonoprazan;</w:t>
      </w:r>
    </w:p>
    <w:p>
      <w:pPr>
        <w:spacing w:after="0" w:line="128" w:lineRule="exact"/>
        <w:rPr>
          <w:rFonts w:ascii="Times New Roman" w:cs="Times New Roman" w:eastAsia="Times New Roman" w:hAnsi="Times New Roman"/>
          <w:sz w:val="18"/>
          <w:szCs w:val="18"/>
          <w:color w:val="auto"/>
        </w:rPr>
      </w:pPr>
    </w:p>
    <w:p>
      <w:pPr>
        <w:ind w:left="500" w:hanging="11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84" w:lineRule="exact"/>
        <w:rPr>
          <w:rFonts w:ascii="Times New Roman" w:cs="Times New Roman" w:eastAsia="Times New Roman" w:hAnsi="Times New Roman"/>
          <w:sz w:val="18"/>
          <w:szCs w:val="18"/>
          <w:color w:val="auto"/>
        </w:rPr>
      </w:pPr>
    </w:p>
    <w:p>
      <w:pPr>
        <w:ind w:left="380" w:right="860" w:firstLine="2"/>
        <w:spacing w:after="0" w:line="266" w:lineRule="auto"/>
        <w:tabs>
          <w:tab w:leader="none" w:pos="4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comparable foreign regulatory authorities;</w:t>
      </w:r>
    </w:p>
    <w:p>
      <w:pPr>
        <w:spacing w:after="0" w:line="135" w:lineRule="exact"/>
        <w:rPr>
          <w:rFonts w:ascii="Times New Roman" w:cs="Times New Roman" w:eastAsia="Times New Roman" w:hAnsi="Times New Roman"/>
          <w:sz w:val="18"/>
          <w:szCs w:val="18"/>
          <w:color w:val="auto"/>
        </w:rPr>
      </w:pPr>
    </w:p>
    <w:p>
      <w:pPr>
        <w:ind w:left="500" w:hanging="11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NDAs from the FDA and maintaining such approvals;</w:t>
      </w:r>
    </w:p>
    <w:p>
      <w:pPr>
        <w:spacing w:after="0" w:line="184" w:lineRule="exact"/>
        <w:rPr>
          <w:rFonts w:ascii="Times New Roman" w:cs="Times New Roman" w:eastAsia="Times New Roman" w:hAnsi="Times New Roman"/>
          <w:sz w:val="18"/>
          <w:szCs w:val="18"/>
          <w:color w:val="auto"/>
        </w:rPr>
      </w:pPr>
    </w:p>
    <w:p>
      <w:pPr>
        <w:ind w:left="380" w:right="180" w:firstLine="2"/>
        <w:spacing w:after="0" w:line="250" w:lineRule="auto"/>
        <w:tabs>
          <w:tab w:leader="none" w:pos="4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and/or maintaining arrangements with Takeda, Catalent, Sandoz, or any future third-party manufacturers for, or establishing, commercial manufacturing capabilities and receiving/importing commercial supplies approved by FDA and other regulators from Takeda, Catalent or any future third-party manufacturer;</w:t>
      </w:r>
    </w:p>
    <w:p>
      <w:pPr>
        <w:spacing w:after="0" w:line="149" w:lineRule="exact"/>
        <w:rPr>
          <w:rFonts w:ascii="Times New Roman" w:cs="Times New Roman" w:eastAsia="Times New Roman" w:hAnsi="Times New Roman"/>
          <w:sz w:val="18"/>
          <w:szCs w:val="18"/>
          <w:color w:val="auto"/>
        </w:rPr>
      </w:pPr>
    </w:p>
    <w:p>
      <w:pPr>
        <w:ind w:left="380" w:right="440" w:firstLine="2"/>
        <w:spacing w:after="0" w:line="266" w:lineRule="auto"/>
        <w:tabs>
          <w:tab w:leader="none" w:pos="4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vonoprazan, if approved, whether alone or in collaboration with others;</w:t>
      </w:r>
    </w:p>
    <w:p>
      <w:pPr>
        <w:spacing w:after="0" w:line="135" w:lineRule="exact"/>
        <w:rPr>
          <w:rFonts w:ascii="Times New Roman" w:cs="Times New Roman" w:eastAsia="Times New Roman" w:hAnsi="Times New Roman"/>
          <w:sz w:val="18"/>
          <w:szCs w:val="18"/>
          <w:color w:val="auto"/>
        </w:rPr>
      </w:pPr>
    </w:p>
    <w:p>
      <w:pPr>
        <w:ind w:left="500" w:hanging="11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or regulatory exclusivity for vonoprazan;</w:t>
      </w:r>
    </w:p>
    <w:p>
      <w:pPr>
        <w:spacing w:after="0" w:line="171" w:lineRule="exact"/>
        <w:rPr>
          <w:rFonts w:ascii="Times New Roman" w:cs="Times New Roman" w:eastAsia="Times New Roman" w:hAnsi="Times New Roman"/>
          <w:sz w:val="18"/>
          <w:szCs w:val="18"/>
          <w:color w:val="auto"/>
        </w:rPr>
      </w:pPr>
    </w:p>
    <w:p>
      <w:pPr>
        <w:ind w:left="500" w:hanging="118"/>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vonoprazan following approval;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ind w:left="380" w:right="280" w:firstLine="2"/>
        <w:spacing w:after="0" w:line="266" w:lineRule="auto"/>
        <w:tabs>
          <w:tab w:leader="none" w:pos="4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vonoprazan to physicians, patients, healthcare payors, and others in the medical community.</w:t>
      </w:r>
    </w:p>
    <w:p>
      <w:pPr>
        <w:spacing w:after="0" w:line="13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August 2022, we announced that, consistent with current FDA recommendations for all chemically synthesized drug compounds such as vonoprazan, we previously initiated post-approval testing to determine whether nitrosamine impurities were present in vonoprazan drug product. These tests showed trace levels of a nitrosamine impurity that is not described within the FDA guidance document entitled “Control of Nitrosamine Impurities in Human Drugs – Guidance for Industry.” We are working with the FDA and plan to obtain approval of and implement an additional test method, specification, including a proposed acceptable intake limit, and additional controls to address this impurity prior to releasing our first vonoprazan-based products to the market. These additional activities will result in a delay of the planned VOQUEZNA™ TRIPLE PAK™ and VOQUEZNA™ DUAL PAK™ full commercial launches. We currently expect full commercial launch of these products, as well as, if approved, VOQUEZNA™ tablets for EE, in the first quarter of 2023. If we are unable to obtain FDA approval for, or are unable to develop and implement, a test method, a specification and controls to maintain nitrosamine levels in vonoprazan drug product at or below an acceptable intake limit, these product launches may be further delayed, and approval of our EE NDA may also be delayed, which could substantially increase our costs and delay or put at risk our ability to generate revenue and adversely affect our commercial prospects.</w:t>
      </w:r>
    </w:p>
    <w:p>
      <w:pPr>
        <w:spacing w:after="0" w:line="148"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any revenue in the future, will primarily depend on the successful completion of clinical development, regulatory approval and commercialization of vonoprazan, including successfully addressing, to the FDA’s and the medical community’s satisfaction, the formation of nitrosamine impurities in commercial batches of vonoprazan drug product, which may be significantly delayed beyond our current expectations and may never occur. Although we have obtained marketing approval of vonoprazan in one indication, we have not yet succeeded in launching and successfully commercializing vonoprazan. Any inability to obtain required, additional regulatory approvals for, or, if approved, successfully commercializing vonoprazan, would materially and adversely affect our business, financial condition, prospects and operating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20" w:type="dxa"/>
            <w:vAlign w:val="bottom"/>
            <w:gridSpan w:val="2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Bylaws</w:t>
              </w:r>
            </w:hyperlink>
          </w:p>
        </w:tc>
        <w:tc>
          <w:tcPr>
            <w:tcW w:w="21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32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Warrant to purchase shares of common stock issued to Takeda Company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Limited, dated May 7, 2019</w:t>
              </w:r>
            </w:hyperlink>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Warrant to purchase stock issued to Silicon Valley Bank, dated May 14, 2019</w:t>
              </w:r>
            </w:hyperlink>
          </w:p>
        </w:tc>
        <w:tc>
          <w:tcPr>
            <w:tcW w:w="20" w:type="dxa"/>
            <w:vAlign w:val="bottom"/>
            <w:tcBorders>
              <w:bottom w:val="single" w:sz="8" w:color="0000EE"/>
            </w:tcBorders>
          </w:tcPr>
          <w:p>
            <w:pPr>
              <w:spacing w:after="0"/>
              <w:rPr>
                <w:sz w:val="24"/>
                <w:szCs w:val="24"/>
                <w:color w:val="auto"/>
              </w:rPr>
            </w:pPr>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Warrant to purchase stock issued to WestRiver Innovation Lending Fund VIII,</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L.P., dated May 14, 2019</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Note Purchase Agreement, dated May 7, 2019, by and among the Registrant</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and the other parties party thereto, as amended</w:t>
              </w:r>
            </w:hyperlink>
          </w:p>
        </w:tc>
        <w:tc>
          <w:tcPr>
            <w:tcW w:w="2160" w:type="dxa"/>
            <w:vAlign w:val="bottom"/>
            <w:tcBorders>
              <w:top w:val="single" w:sz="8" w:color="0000FF"/>
            </w:tcBorders>
            <w:gridSpan w:val="1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Description of Registered Securities</w:t>
              </w:r>
            </w:hyperlink>
          </w:p>
        </w:tc>
        <w:tc>
          <w:tcPr>
            <w:tcW w:w="20" w:type="dxa"/>
            <w:vAlign w:val="bottom"/>
            <w:tcBorders>
              <w:bottom w:val="single" w:sz="8" w:color="0000EE"/>
            </w:tcBorders>
          </w:tcPr>
          <w:p>
            <w:pPr>
              <w:spacing w:after="0"/>
              <w:rPr>
                <w:sz w:val="24"/>
                <w:szCs w:val="24"/>
                <w:color w:val="auto"/>
              </w:rPr>
            </w:pPr>
          </w:p>
        </w:tc>
        <w:tc>
          <w:tcPr>
            <w:tcW w:w="31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of Restricted Stock Grant Notice and Restricted Stock Agreement under</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w w:val="99"/>
              </w:rPr>
              <w:t>Phathom Pharmaceuticals, Inc. 2019 Equity Incentive Plan</w:t>
            </w:r>
          </w:p>
        </w:tc>
        <w:tc>
          <w:tcPr>
            <w:tcW w:w="20" w:type="dxa"/>
            <w:vAlign w:val="bottom"/>
            <w:tcBorders>
              <w:top w:val="single" w:sz="8" w:color="0000FF"/>
              <w:bottom w:val="single" w:sz="8" w:color="0000EE"/>
            </w:tcBorders>
          </w:tcPr>
          <w:p>
            <w:pPr>
              <w:spacing w:after="0"/>
              <w:rPr>
                <w:sz w:val="14"/>
                <w:szCs w:val="14"/>
                <w:color w:val="auto"/>
              </w:rPr>
            </w:pPr>
          </w:p>
        </w:tc>
        <w:tc>
          <w:tcPr>
            <w:tcW w:w="1420" w:type="dxa"/>
            <w:vAlign w:val="bottom"/>
            <w:tcBorders>
              <w:top w:val="single" w:sz="8" w:color="0000FF"/>
            </w:tcBorders>
            <w:gridSpan w:val="14"/>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Revenue Interest Financing Agreement, dated May 3, 2022, by and among</w:t>
            </w:r>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gridSpan w:val="33"/>
          </w:tcPr>
          <w:p>
            <w:pPr>
              <w:spacing w:after="0" w:line="169" w:lineRule="exact"/>
              <w:rPr>
                <w:sz w:val="20"/>
                <w:szCs w:val="20"/>
                <w:color w:val="auto"/>
              </w:rPr>
            </w:pPr>
            <w:r>
              <w:rPr>
                <w:rFonts w:ascii="Times New Roman" w:cs="Times New Roman" w:eastAsia="Times New Roman" w:hAnsi="Times New Roman"/>
                <w:sz w:val="18"/>
                <w:szCs w:val="18"/>
                <w:color w:val="0000FF"/>
              </w:rPr>
              <w:t>NovaQuest Capital Management, Sagard Holding Manager, Hercules Capital</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tcBorders>
              <w:top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and the Registrant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Amendment to the Loan and Security Agreement, dated September 17, 2021,</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by and among Hercules Capital and the Registrant</w:t>
            </w:r>
            <w:r>
              <w:rPr>
                <w:rFonts w:ascii="Times New Roman" w:cs="Times New Roman" w:eastAsia="Times New Roman" w:hAnsi="Times New Roman"/>
                <w:sz w:val="18"/>
                <w:szCs w:val="18"/>
                <w:color w:val="00000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6"/>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Amended and Restated Non-Employee Director Compensation Policy</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780" w:type="dxa"/>
            <w:vAlign w:val="bottom"/>
            <w:tcBorders>
              <w:right w:val="single" w:sz="8" w:color="0000FF"/>
            </w:tcBorders>
            <w:gridSpan w:val="6"/>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Transition and Separation Agreement and Release of Claims, dated April 5,</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w w:val="99"/>
              </w:rPr>
              <w:t>2022, by and between the Registrant and Anthony Guzzo</w:t>
            </w:r>
          </w:p>
        </w:tc>
        <w:tc>
          <w:tcPr>
            <w:tcW w:w="20" w:type="dxa"/>
            <w:vAlign w:val="bottom"/>
            <w:tcBorders>
              <w:top w:val="single" w:sz="8" w:color="0000FF"/>
              <w:bottom w:val="single" w:sz="8" w:color="0000EE"/>
            </w:tcBorders>
          </w:tcPr>
          <w:p>
            <w:pPr>
              <w:spacing w:after="0"/>
              <w:rPr>
                <w:sz w:val="14"/>
                <w:szCs w:val="14"/>
                <w:color w:val="auto"/>
              </w:rPr>
            </w:pPr>
          </w:p>
        </w:tc>
        <w:tc>
          <w:tcPr>
            <w:tcW w:w="1340" w:type="dxa"/>
            <w:vAlign w:val="bottom"/>
            <w:tcBorders>
              <w:top w:val="single" w:sz="8" w:color="0000FF"/>
            </w:tcBorders>
            <w:gridSpan w:val="8"/>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Phathom Pharmaceuticals, Inc., as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required by Rule 13a-14(a) or Rule 15d-14(a), as adopted pursuant to Section</w:t>
            </w: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780" w:type="dxa"/>
            <w:vAlign w:val="bottom"/>
            <w:tcBorders>
              <w:right w:val="single" w:sz="8" w:color="0000EE"/>
            </w:tcBorders>
            <w:gridSpan w:val="6"/>
            <w:shd w:val="clear" w:color="auto" w:fill="0000FF"/>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Phathom Pharmaceuticals, Inc., as</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8"/>
                <w:szCs w:val="18"/>
                <w:color w:val="0000FF"/>
                <w:w w:val="99"/>
              </w:rPr>
              <w:t>required by Rule 13a-14(a) or Rule 15d-14(a), as adopted pursuant to Section</w:t>
            </w:r>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29"/>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780" w:type="dxa"/>
            <w:vAlign w:val="bottom"/>
            <w:tcBorders>
              <w:right w:val="single" w:sz="8" w:color="0000EE"/>
            </w:tcBorders>
            <w:gridSpan w:val="6"/>
            <w:shd w:val="clear" w:color="auto" w:fill="0000FF"/>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020" w:type="dxa"/>
            <w:vAlign w:val="bottom"/>
            <w:tcBorders>
              <w:top w:val="single" w:sz="8" w:color="0000FF"/>
            </w:tcBorders>
            <w:gridSpan w:val="16"/>
          </w:tcPr>
          <w:p>
            <w:pPr>
              <w:spacing w:after="0"/>
              <w:rPr>
                <w:sz w:val="14"/>
                <w:szCs w:val="14"/>
                <w:color w:val="auto"/>
              </w:rPr>
            </w:pPr>
          </w:p>
        </w:tc>
        <w:tc>
          <w:tcPr>
            <w:tcW w:w="66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80" w:type="dxa"/>
            <w:vAlign w:val="bottom"/>
            <w:tcBorders>
              <w:top w:val="single" w:sz="8" w:color="0000FF"/>
            </w:tcBorders>
            <w:gridSpan w:val="15"/>
          </w:tcPr>
          <w:p>
            <w:pPr>
              <w:spacing w:after="0"/>
              <w:rPr>
                <w:sz w:val="14"/>
                <w:szCs w:val="14"/>
                <w:color w:val="auto"/>
              </w:rPr>
            </w:pPr>
          </w:p>
        </w:tc>
        <w:tc>
          <w:tcPr>
            <w:tcW w:w="7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8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auto"/>
              </w:rPr>
              <w:t>the Interactive Data File because XBRL tags are embedded within the Inline</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XBRL document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769"/>
        </w:trPr>
        <w:tc>
          <w:tcPr>
            <w:tcW w:w="1060" w:type="dxa"/>
            <w:vAlign w:val="bottom"/>
          </w:tcPr>
          <w:p>
            <w:pPr>
              <w:spacing w:after="0"/>
              <w:rPr>
                <w:sz w:val="24"/>
                <w:szCs w:val="24"/>
                <w:color w:val="auto"/>
              </w:rPr>
            </w:pPr>
          </w:p>
        </w:tc>
        <w:tc>
          <w:tcPr>
            <w:tcW w:w="5200" w:type="dxa"/>
            <w:vAlign w:val="bottom"/>
            <w:gridSpan w:val="20"/>
          </w:tcPr>
          <w:p>
            <w:pPr>
              <w:jc w:val="right"/>
              <w:ind w:right="5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1"/>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44"/>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10/29/19</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9"/>
              </w:rPr>
              <w:t>09/25/2020</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10/15/19</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9/30/19</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9/30/19</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auto"/>
                <w:w w:val="98"/>
              </w:rPr>
              <w:t>9/30/19</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10/15/19</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12/31/21</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pacing w:after="0" w:line="1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980" w:space="120"/>
            <w:col w:w="4140"/>
          </w:cols>
          <w:pgMar w:left="320" w:top="320" w:right="339" w:bottom="1440" w:gutter="0" w:footer="0" w:header="0"/>
        </w:sectPr>
      </w:pPr>
    </w:p>
    <w:bookmarkStart w:id="35" w:name="page36"/>
    <w:bookmarkEnd w:id="35"/>
    <w:tbl>
      <w:tblPr>
        <w:tblLayout w:type="fixed"/>
        <w:tblInd w:w="200" w:type="dxa"/>
        <w:tblCellMar>
          <w:top w:w="0" w:type="dxa"/>
          <w:left w:w="0" w:type="dxa"/>
          <w:bottom w:w="0" w:type="dxa"/>
          <w:right w:w="0" w:type="dxa"/>
        </w:tblCellMar>
      </w:tblPr>
      <w:tr>
        <w:trPr>
          <w:trHeight w:val="234"/>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246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76"/>
              </w:rPr>
              <w:t>X</w:t>
            </w:r>
          </w:p>
        </w:tc>
      </w:tr>
      <w:tr>
        <w:trPr>
          <w:trHeight w:val="3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46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17" w:lineRule="exact"/>
        <w:rPr>
          <w:sz w:val="20"/>
          <w:szCs w:val="20"/>
          <w:color w:val="auto"/>
        </w:rPr>
      </w:pPr>
    </w:p>
    <w:p>
      <w:pPr>
        <w:ind w:left="1200" w:right="4680" w:hanging="787"/>
        <w:spacing w:after="0" w:line="245" w:lineRule="auto"/>
        <w:tabs>
          <w:tab w:leader="none" w:pos="12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within the Inline XBRL document)</w:t>
      </w:r>
    </w:p>
    <w:p>
      <w:pPr>
        <w:ind w:left="140" w:hanging="132"/>
        <w:spacing w:after="0"/>
        <w:tabs>
          <w:tab w:leader="none" w:pos="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 for confidentiality purposes.</w:t>
      </w:r>
    </w:p>
    <w:p>
      <w:pPr>
        <w:ind w:firstLine="8"/>
        <w:spacing w:after="0" w:line="243" w:lineRule="auto"/>
        <w:tabs>
          <w:tab w:leader="none" w:pos="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24" w:right="7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3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PHATHOM PHARMACEUTICALS, INC.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2, 2022</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Terrie Curran</w:t>
            </w:r>
          </w:p>
        </w:tc>
      </w:tr>
      <w:tr>
        <w:trPr>
          <w:trHeight w:val="191"/>
        </w:trPr>
        <w:tc>
          <w:tcPr>
            <w:tcW w:w="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Terrie Curran</w:t>
            </w:r>
          </w:p>
        </w:tc>
      </w:tr>
      <w:tr>
        <w:trPr>
          <w:trHeight w:val="216"/>
        </w:trPr>
        <w:tc>
          <w:tcPr>
            <w:tcW w:w="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2, 2022</w:t>
            </w:r>
          </w:p>
        </w:tc>
        <w:tc>
          <w:tcPr>
            <w:tcW w:w="26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Molly Henderson</w:t>
            </w:r>
          </w:p>
        </w:tc>
      </w:tr>
      <w:tr>
        <w:trPr>
          <w:trHeight w:val="211"/>
        </w:trPr>
        <w:tc>
          <w:tcPr>
            <w:tcW w:w="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Molly Henderson</w:t>
            </w:r>
          </w:p>
        </w:tc>
      </w:tr>
    </w:tbl>
    <w:p>
      <w:pPr>
        <w:ind w:left="65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10.2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AWARD PLAN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16" w:lineRule="exact"/>
        <w:rPr>
          <w:sz w:val="20"/>
          <w:szCs w:val="20"/>
          <w:color w:val="auto"/>
        </w:rPr>
      </w:pPr>
    </w:p>
    <w:p>
      <w:pPr>
        <w:jc w:val="both"/>
        <w:ind w:left="280" w:right="260" w:firstLine="747"/>
        <w:spacing w:after="0" w:line="256"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2019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280" w:right="260" w:firstLine="749"/>
        <w:spacing w:after="0" w:line="256"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 xml:space="preserve">Exhibit A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69"/>
        </w:trPr>
        <w:tc>
          <w:tcPr>
            <w:tcW w:w="3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62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[Insert Participant Name]</w:t>
            </w:r>
          </w:p>
        </w:tc>
        <w:tc>
          <w:tcPr>
            <w:tcW w:w="0" w:type="dxa"/>
            <w:vAlign w:val="bottom"/>
          </w:tcPr>
          <w:p>
            <w:pPr>
              <w:spacing w:after="0"/>
              <w:rPr>
                <w:sz w:val="1"/>
                <w:szCs w:val="1"/>
                <w:color w:val="auto"/>
              </w:rPr>
            </w:pPr>
          </w:p>
        </w:tc>
      </w:tr>
      <w:tr>
        <w:trPr>
          <w:trHeight w:val="345"/>
        </w:trPr>
        <w:tc>
          <w:tcPr>
            <w:tcW w:w="3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62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[Insert Grant Date] [Insert Number of</w:t>
            </w: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462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RSUs]</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462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[Insert Vesting Commencement Date]</w:t>
            </w:r>
          </w:p>
        </w:tc>
        <w:tc>
          <w:tcPr>
            <w:tcW w:w="0" w:type="dxa"/>
            <w:vAlign w:val="bottom"/>
          </w:tcPr>
          <w:p>
            <w:pPr>
              <w:spacing w:after="0"/>
              <w:rPr>
                <w:sz w:val="1"/>
                <w:szCs w:val="1"/>
                <w:color w:val="auto"/>
              </w:rPr>
            </w:pPr>
          </w:p>
        </w:tc>
      </w:tr>
      <w:tr>
        <w:trPr>
          <w:trHeight w:val="262"/>
        </w:trPr>
        <w:tc>
          <w:tcPr>
            <w:tcW w:w="33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4620" w:type="dxa"/>
            <w:vAlign w:val="bottom"/>
          </w:tcPr>
          <w:p>
            <w:pPr>
              <w:ind w:left="760"/>
              <w:spacing w:after="0"/>
              <w:rPr>
                <w:sz w:val="20"/>
                <w:szCs w:val="20"/>
                <w:color w:val="auto"/>
              </w:rPr>
            </w:pPr>
            <w:r>
              <w:rPr>
                <w:rFonts w:ascii="Times New Roman" w:cs="Times New Roman" w:eastAsia="Times New Roman" w:hAnsi="Times New Roman"/>
                <w:sz w:val="20"/>
                <w:szCs w:val="20"/>
                <w:i w:val="1"/>
                <w:iCs w:val="1"/>
                <w:color w:val="auto"/>
                <w:w w:val="97"/>
              </w:rPr>
              <w:t>[To be included in individual award agreements]</w:t>
            </w:r>
          </w:p>
        </w:tc>
        <w:tc>
          <w:tcPr>
            <w:tcW w:w="0" w:type="dxa"/>
            <w:vAlign w:val="bottom"/>
          </w:tcPr>
          <w:p>
            <w:pPr>
              <w:spacing w:after="0"/>
              <w:rPr>
                <w:sz w:val="1"/>
                <w:szCs w:val="1"/>
                <w:color w:val="auto"/>
              </w:rPr>
            </w:pPr>
          </w:p>
        </w:tc>
      </w:tr>
      <w:tr>
        <w:trPr>
          <w:trHeight w:val="68"/>
        </w:trPr>
        <w:tc>
          <w:tcPr>
            <w:tcW w:w="3320" w:type="dxa"/>
            <w:vAlign w:val="bottom"/>
            <w:vMerge w:val="continue"/>
          </w:tcPr>
          <w:p>
            <w:pPr>
              <w:spacing w:after="0"/>
              <w:rPr>
                <w:sz w:val="5"/>
                <w:szCs w:val="5"/>
                <w:color w:val="auto"/>
              </w:rPr>
            </w:pPr>
          </w:p>
        </w:tc>
        <w:tc>
          <w:tcPr>
            <w:tcW w:w="4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both"/>
        <w:ind w:left="280" w:right="260" w:firstLine="749"/>
        <w:spacing w:after="0" w:line="242" w:lineRule="auto"/>
        <w:rPr>
          <w:sz w:val="20"/>
          <w:szCs w:val="20"/>
          <w:color w:val="auto"/>
        </w:rPr>
      </w:pPr>
      <w:r>
        <w:rPr>
          <w:rFonts w:ascii="Times New Roman" w:cs="Times New Roman" w:eastAsia="Times New Roman" w:hAnsi="Times New Roman"/>
          <w:sz w:val="20"/>
          <w:szCs w:val="20"/>
          <w:color w:val="auto"/>
        </w:rPr>
        <w:t>By electronically accepting this document,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8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tc>
        <w:tc>
          <w:tcPr>
            <w:tcW w:w="6360" w:type="dxa"/>
            <w:vAlign w:val="bottom"/>
          </w:tcPr>
          <w:p>
            <w:pPr>
              <w:ind w:left="88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635"/>
        </w:trPr>
        <w:tc>
          <w:tcPr>
            <w:tcW w:w="4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By:</w:t>
            </w:r>
          </w:p>
        </w:tc>
        <w:tc>
          <w:tcPr>
            <w:tcW w:w="63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By:</w:t>
            </w:r>
          </w:p>
        </w:tc>
      </w:tr>
      <w:tr>
        <w:trPr>
          <w:trHeight w:val="338"/>
        </w:trPr>
        <w:tc>
          <w:tcPr>
            <w:tcW w:w="4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Print Name:</w:t>
            </w:r>
          </w:p>
        </w:tc>
        <w:tc>
          <w:tcPr>
            <w:tcW w:w="636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Print Name:</w:t>
            </w:r>
          </w:p>
        </w:tc>
      </w:tr>
      <w:tr>
        <w:trPr>
          <w:trHeight w:val="337"/>
        </w:trPr>
        <w:tc>
          <w:tcPr>
            <w:tcW w:w="48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Title:</w:t>
            </w:r>
          </w:p>
        </w:tc>
        <w:tc>
          <w:tcPr>
            <w:tcW w:w="6360" w:type="dxa"/>
            <w:vAlign w:val="bottom"/>
          </w:tcPr>
          <w:p>
            <w:pPr>
              <w:spacing w:after="0"/>
              <w:rPr>
                <w:sz w:val="24"/>
                <w:szCs w:val="24"/>
                <w:color w:val="auto"/>
              </w:rPr>
            </w:pPr>
          </w:p>
        </w:tc>
      </w:tr>
      <w:tr>
        <w:trPr>
          <w:trHeight w:val="38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US-DOCS\128406629.2</w:t>
            </w:r>
          </w:p>
        </w:tc>
        <w:tc>
          <w:tcPr>
            <w:tcW w:w="6360" w:type="dxa"/>
            <w:vAlign w:val="bottom"/>
          </w:tcPr>
          <w:p>
            <w:pPr>
              <w:spacing w:after="0"/>
              <w:rPr>
                <w:sz w:val="24"/>
                <w:szCs w:val="24"/>
                <w:color w:val="auto"/>
              </w:rPr>
            </w:pPr>
          </w:p>
        </w:tc>
      </w:tr>
      <w:tr>
        <w:trPr>
          <w:trHeight w:val="125"/>
        </w:trPr>
        <w:tc>
          <w:tcPr>
            <w:tcW w:w="488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ind w:left="260" w:firstLine="749"/>
        <w:spacing w:after="0" w:line="269"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ARTICLE I. GENERAL</w:t>
      </w:r>
    </w:p>
    <w:p>
      <w:pPr>
        <w:spacing w:after="0" w:line="206" w:lineRule="exact"/>
        <w:rPr>
          <w:sz w:val="20"/>
          <w:szCs w:val="20"/>
          <w:color w:val="auto"/>
        </w:rPr>
      </w:pPr>
    </w:p>
    <w:p>
      <w:pPr>
        <w:jc w:val="both"/>
        <w:ind w:left="260"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the distribution of any Shares until the time (if ever) the RSUs have vested.</w:t>
      </w:r>
    </w:p>
    <w:p>
      <w:pPr>
        <w:spacing w:after="0" w:line="174" w:lineRule="exact"/>
        <w:rPr>
          <w:sz w:val="20"/>
          <w:szCs w:val="20"/>
          <w:color w:val="auto"/>
        </w:rPr>
      </w:pPr>
    </w:p>
    <w:p>
      <w:pPr>
        <w:jc w:val="both"/>
        <w:ind w:left="260" w:right="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61" w:lineRule="exact"/>
        <w:rPr>
          <w:sz w:val="20"/>
          <w:szCs w:val="20"/>
          <w:color w:val="auto"/>
        </w:rPr>
      </w:pPr>
    </w:p>
    <w:p>
      <w:pPr>
        <w:jc w:val="both"/>
        <w:ind w:left="260" w:right="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76" w:lineRule="exact"/>
        <w:rPr>
          <w:sz w:val="20"/>
          <w:szCs w:val="20"/>
          <w:color w:val="auto"/>
        </w:rPr>
      </w:pPr>
    </w:p>
    <w:p>
      <w:pPr>
        <w:jc w:val="both"/>
        <w:ind w:left="260" w:right="40" w:firstLine="749"/>
        <w:spacing w:after="0" w:line="24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Schedule</w:t>
      </w:r>
      <w:r>
        <w:rPr>
          <w:rFonts w:ascii="Times New Roman" w:cs="Times New Roman" w:eastAsia="Times New Roman" w:hAnsi="Times New Roman"/>
          <w:sz w:val="20"/>
          <w:szCs w:val="20"/>
          <w:color w:val="auto"/>
        </w:rPr>
        <w:t>”), except that any fraction of an RSU that would otherwise be vested will be accumulated and will vest only when a whole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Unless and until the RSUs have vested in accordance with the Vesting Schedule set forth in the Grant Notice, Participant will have no right to any distribution with respect to such RSUs.</w:t>
      </w:r>
    </w:p>
    <w:p>
      <w:pPr>
        <w:spacing w:after="0" w:line="186" w:lineRule="exact"/>
        <w:rPr>
          <w:sz w:val="20"/>
          <w:szCs w:val="20"/>
          <w:color w:val="auto"/>
        </w:rPr>
      </w:pPr>
    </w:p>
    <w:p>
      <w:pPr>
        <w:ind w:left="1000"/>
        <w:spacing w:after="0"/>
        <w:tabs>
          <w:tab w:leader="none" w:pos="17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97" w:lineRule="exact"/>
        <w:rPr>
          <w:sz w:val="20"/>
          <w:szCs w:val="20"/>
          <w:color w:val="auto"/>
        </w:rPr>
      </w:pPr>
    </w:p>
    <w:p>
      <w:pPr>
        <w:jc w:val="both"/>
        <w:ind w:left="260" w:right="40" w:firstLine="1495"/>
        <w:spacing w:after="0" w:line="242" w:lineRule="auto"/>
        <w:tabs>
          <w:tab w:leader="none" w:pos="248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will be paid in Shares as soon as administratively practicable after the vesting of the applicable RSU, but in no event more than sixty (60) days after the applicable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269" w:lineRule="exact"/>
        <w:rPr>
          <w:rFonts w:ascii="Times New Roman" w:cs="Times New Roman" w:eastAsia="Times New Roman" w:hAnsi="Times New Roman"/>
          <w:sz w:val="20"/>
          <w:szCs w:val="20"/>
          <w:color w:val="auto"/>
        </w:rPr>
      </w:pPr>
    </w:p>
    <w:p>
      <w:pPr>
        <w:ind w:left="2500" w:hanging="745"/>
        <w:spacing w:after="0"/>
        <w:tabs>
          <w:tab w:leader="none" w:pos="25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Common Stock.</w:t>
      </w:r>
    </w:p>
    <w:p>
      <w:pPr>
        <w:spacing w:after="0" w:line="261" w:lineRule="exact"/>
        <w:rPr>
          <w:sz w:val="20"/>
          <w:szCs w:val="20"/>
          <w:color w:val="auto"/>
        </w:rPr>
      </w:pPr>
    </w:p>
    <w:p>
      <w:pPr>
        <w:jc w:val="both"/>
        <w:ind w:left="260" w:right="40" w:firstLine="1495"/>
        <w:spacing w:after="0" w:line="254" w:lineRule="auto"/>
        <w:tabs>
          <w:tab w:leader="none" w:pos="24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RSUs may be changed, except as may be permitted by the Administrator in accordance with the Plan and Section 409A of the Code and the Treasury Regulations thereunder.</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US-DOCS\128406629.2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80" w:right="559" w:bottom="1440" w:gutter="0" w:footer="0" w:header="0"/>
        </w:sectPr>
      </w:pPr>
    </w:p>
    <w:bookmarkStart w:id="39" w:name="page40"/>
    <w:bookmarkEnd w:id="39"/>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94" w:lineRule="exact"/>
        <w:rPr>
          <w:sz w:val="20"/>
          <w:szCs w:val="20"/>
          <w:color w:val="auto"/>
        </w:rPr>
      </w:pPr>
    </w:p>
    <w:p>
      <w:pPr>
        <w:jc w:val="both"/>
        <w:ind w:left="2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61" w:lineRule="exact"/>
        <w:rPr>
          <w:sz w:val="20"/>
          <w:szCs w:val="20"/>
          <w:color w:val="auto"/>
        </w:rPr>
      </w:pPr>
    </w:p>
    <w:p>
      <w:pPr>
        <w:ind w:left="1000"/>
        <w:spacing w:after="0"/>
        <w:tabs>
          <w:tab w:leader="none" w:pos="17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97" w:lineRule="exact"/>
        <w:rPr>
          <w:sz w:val="20"/>
          <w:szCs w:val="20"/>
          <w:color w:val="auto"/>
        </w:rPr>
      </w:pPr>
    </w:p>
    <w:p>
      <w:pPr>
        <w:jc w:val="both"/>
        <w:ind w:left="260" w:firstLine="1495"/>
        <w:spacing w:after="0" w:line="246" w:lineRule="auto"/>
        <w:tabs>
          <w:tab w:leader="none" w:pos="24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deliver any certificate representing Shares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the distribution of the Shares issuable with respect thereto, or any other taxable event related to the RSUs (the “</w:t>
      </w:r>
      <w:r>
        <w:rPr>
          <w:rFonts w:ascii="Times New Roman" w:cs="Times New Roman" w:eastAsia="Times New Roman" w:hAnsi="Times New Roman"/>
          <w:sz w:val="20"/>
          <w:szCs w:val="20"/>
          <w:b w:val="1"/>
          <w:bCs w:val="1"/>
          <w:i w:val="1"/>
          <w:iCs w:val="1"/>
          <w:color w:val="auto"/>
        </w:rPr>
        <w:t>Tax Withholding Obligation</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jc w:val="both"/>
        <w:ind w:left="260" w:firstLine="1496"/>
        <w:spacing w:after="0" w:line="246" w:lineRule="auto"/>
        <w:tabs>
          <w:tab w:leader="none" w:pos="24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may elect to satisfy the Tax Withholding Obligation as provided in Section 9.5 of the Plan. Unless Participant elects to satisfy the Tax Withholding Obligation by one of the means described in Section 9.5 of the Plan, the Company has the right and option, but not the obligation, to treat Participant’s failure to provide timely payment in accordance with the Plan of any withholding tax arising in connection with the RSUs as Participant’s election to satisfy all or any portion of the withholding tax by requesting the Company retain Shares otherwise issuable under the Award.</w:t>
      </w:r>
    </w:p>
    <w:p>
      <w:pPr>
        <w:spacing w:after="0" w:line="171" w:lineRule="exact"/>
        <w:rPr>
          <w:rFonts w:ascii="Times New Roman" w:cs="Times New Roman" w:eastAsia="Times New Roman" w:hAnsi="Times New Roman"/>
          <w:sz w:val="20"/>
          <w:szCs w:val="20"/>
          <w:color w:val="auto"/>
        </w:rPr>
      </w:pPr>
    </w:p>
    <w:p>
      <w:pPr>
        <w:jc w:val="both"/>
        <w:ind w:left="260" w:firstLine="1496"/>
        <w:spacing w:after="0" w:line="242" w:lineRule="auto"/>
        <w:tabs>
          <w:tab w:leader="none" w:pos="24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ARTICLE IV. OTHER</w:t>
      </w:r>
    </w:p>
    <w:p>
      <w:pPr>
        <w:spacing w:after="0" w:line="2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PROVISIONS</w:t>
      </w:r>
    </w:p>
    <w:p>
      <w:pPr>
        <w:spacing w:after="0" w:line="194" w:lineRule="exact"/>
        <w:rPr>
          <w:sz w:val="20"/>
          <w:szCs w:val="20"/>
          <w:color w:val="auto"/>
        </w:rPr>
      </w:pPr>
    </w:p>
    <w:p>
      <w:pPr>
        <w:jc w:val="both"/>
        <w:ind w:left="2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Award Not Transferable</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w:t>
      </w:r>
    </w:p>
    <w:p>
      <w:pPr>
        <w:spacing w:after="0" w:line="146" w:lineRule="exact"/>
        <w:rPr>
          <w:sz w:val="20"/>
          <w:szCs w:val="20"/>
          <w:color w:val="auto"/>
        </w:rPr>
      </w:pPr>
    </w:p>
    <w:p>
      <w:pPr>
        <w:jc w:val="both"/>
        <w:ind w:left="26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59" w:lineRule="exact"/>
        <w:rPr>
          <w:sz w:val="20"/>
          <w:szCs w:val="20"/>
          <w:color w:val="auto"/>
        </w:rPr>
      </w:pPr>
    </w:p>
    <w:p>
      <w:pPr>
        <w:jc w:val="both"/>
        <w:ind w:left="260" w:firstLine="749"/>
        <w:spacing w:after="0" w:line="24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US-DOCS\128406629.2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80" w:right="599" w:bottom="1440" w:gutter="0" w:footer="0" w:header="0"/>
        </w:sectPr>
      </w:pPr>
    </w:p>
    <w:bookmarkStart w:id="40" w:name="page41"/>
    <w:bookmarkEnd w:id="40"/>
    <w:p>
      <w:pPr>
        <w:jc w:val="both"/>
        <w:ind w:left="260" w:right="20"/>
        <w:spacing w:after="0" w:line="269" w:lineRule="auto"/>
        <w:rPr>
          <w:sz w:val="20"/>
          <w:szCs w:val="20"/>
          <w:color w:val="auto"/>
        </w:rPr>
      </w:pPr>
      <w:r>
        <w:rPr>
          <w:rFonts w:ascii="Times New Roman" w:cs="Times New Roman" w:eastAsia="Times New Roman" w:hAnsi="Times New Roman"/>
          <w:sz w:val="20"/>
          <w:szCs w:val="20"/>
          <w:color w:val="auto"/>
        </w:rPr>
        <w:t>States Postal Service, when delivered by a nationally recognized express shipping company or upon receipt of a facsimile transmission confirmation.</w:t>
      </w:r>
    </w:p>
    <w:p>
      <w:pPr>
        <w:spacing w:after="0" w:line="159" w:lineRule="exact"/>
        <w:rPr>
          <w:sz w:val="20"/>
          <w:szCs w:val="20"/>
          <w:color w:val="auto"/>
        </w:rPr>
      </w:pPr>
    </w:p>
    <w:p>
      <w:pPr>
        <w:jc w:val="both"/>
        <w:ind w:left="260"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left="260" w:right="20" w:firstLine="749"/>
        <w:spacing w:after="0" w:line="247"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1" w:lineRule="exact"/>
        <w:rPr>
          <w:sz w:val="20"/>
          <w:szCs w:val="20"/>
          <w:color w:val="auto"/>
        </w:rPr>
      </w:pPr>
    </w:p>
    <w:p>
      <w:pPr>
        <w:jc w:val="both"/>
        <w:ind w:left="260"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66" w:lineRule="exact"/>
        <w:rPr>
          <w:sz w:val="20"/>
          <w:szCs w:val="20"/>
          <w:color w:val="auto"/>
        </w:rPr>
      </w:pPr>
    </w:p>
    <w:p>
      <w:pPr>
        <w:jc w:val="both"/>
        <w:ind w:left="260" w:firstLine="749"/>
        <w:spacing w:after="0" w:line="246"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5" w:lineRule="exact"/>
        <w:rPr>
          <w:sz w:val="20"/>
          <w:szCs w:val="20"/>
          <w:color w:val="auto"/>
        </w:rPr>
      </w:pPr>
    </w:p>
    <w:p>
      <w:pPr>
        <w:jc w:val="both"/>
        <w:ind w:left="260" w:right="20" w:firstLine="749"/>
        <w:spacing w:after="0" w:line="247"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67" w:lineRule="exact"/>
        <w:rPr>
          <w:sz w:val="20"/>
          <w:szCs w:val="20"/>
          <w:color w:val="auto"/>
        </w:rPr>
      </w:pPr>
    </w:p>
    <w:p>
      <w:pPr>
        <w:jc w:val="both"/>
        <w:ind w:left="2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4" w:lineRule="exact"/>
        <w:rPr>
          <w:sz w:val="20"/>
          <w:szCs w:val="20"/>
          <w:color w:val="auto"/>
        </w:rPr>
      </w:pPr>
    </w:p>
    <w:p>
      <w:pPr>
        <w:jc w:val="both"/>
        <w:ind w:left="260" w:firstLine="749"/>
        <w:spacing w:after="0" w:line="242"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88" w:lineRule="exact"/>
        <w:rPr>
          <w:sz w:val="20"/>
          <w:szCs w:val="20"/>
          <w:color w:val="auto"/>
        </w:rPr>
      </w:pPr>
    </w:p>
    <w:p>
      <w:pPr>
        <w:jc w:val="both"/>
        <w:ind w:left="2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6" w:lineRule="exact"/>
        <w:rPr>
          <w:sz w:val="20"/>
          <w:szCs w:val="20"/>
          <w:color w:val="auto"/>
        </w:rPr>
      </w:pPr>
    </w:p>
    <w:p>
      <w:pPr>
        <w:jc w:val="both"/>
        <w:ind w:left="260"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US-DOCS\128406629.2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84" w:right="599" w:bottom="1440" w:gutter="0" w:footer="0" w:header="0"/>
        </w:sectPr>
      </w:pPr>
    </w:p>
    <w:bookmarkStart w:id="41" w:name="page42"/>
    <w:bookmarkEnd w:id="41"/>
    <w:p>
      <w:pPr>
        <w:ind w:left="1000"/>
        <w:spacing w:after="0"/>
        <w:tabs>
          <w:tab w:leader="none" w:pos="17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97" w:lineRule="exact"/>
        <w:rPr>
          <w:sz w:val="20"/>
          <w:szCs w:val="20"/>
          <w:color w:val="auto"/>
        </w:rPr>
      </w:pPr>
    </w:p>
    <w:p>
      <w:pPr>
        <w:jc w:val="both"/>
        <w:ind w:left="260" w:firstLine="1495"/>
        <w:spacing w:after="0" w:line="242" w:lineRule="auto"/>
        <w:tabs>
          <w:tab w:leader="none" w:pos="248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“Section 409A”).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85" w:lineRule="exact"/>
        <w:rPr>
          <w:rFonts w:ascii="Times New Roman" w:cs="Times New Roman" w:eastAsia="Times New Roman" w:hAnsi="Times New Roman"/>
          <w:sz w:val="20"/>
          <w:szCs w:val="20"/>
          <w:color w:val="auto"/>
        </w:rPr>
      </w:pPr>
    </w:p>
    <w:p>
      <w:pPr>
        <w:jc w:val="both"/>
        <w:ind w:left="260" w:firstLine="1495"/>
        <w:spacing w:after="0" w:line="264" w:lineRule="auto"/>
        <w:tabs>
          <w:tab w:leader="none" w:pos="2488"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is not intended to provide for any deferral of compensation subject to Section 409A of the Code, and, accordingly, the Shares issuable pursuant to the RSUs hereunder shall be distributed to Participant no later than the later of:</w:t>
      </w:r>
    </w:p>
    <w:p>
      <w:pPr>
        <w:jc w:val="both"/>
        <w:ind w:left="260" w:hanging="3"/>
        <w:spacing w:after="0" w:line="237" w:lineRule="auto"/>
        <w:tabs>
          <w:tab w:leader="none" w:pos="58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fifteenth (15th) day of the third month following Participant’s first taxable year in which such RSUs are no longer subject to a substantial risk of forfeiture, and (B) the fifteenth (15th) day of the third month following first taxable year of the Company in which such RSUs are no longer subject to substantial risk of forfeiture, as determined in accordance with Section 409A and any Treasury Regulations and other guidance issued thereunder.</w:t>
      </w:r>
    </w:p>
    <w:p>
      <w:pPr>
        <w:spacing w:after="0" w:line="190" w:lineRule="exact"/>
        <w:rPr>
          <w:sz w:val="20"/>
          <w:szCs w:val="20"/>
          <w:color w:val="auto"/>
        </w:rPr>
      </w:pPr>
    </w:p>
    <w:p>
      <w:pPr>
        <w:jc w:val="both"/>
        <w:ind w:left="2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w:t>
      </w:r>
    </w:p>
    <w:p>
      <w:pPr>
        <w:spacing w:after="0" w:line="1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US-DOCS\128406629.2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184" w:right="5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10.3</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evenue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nterest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inancing</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14"/>
          <w:szCs w:val="14"/>
          <w:color w:val="auto"/>
        </w:rPr>
        <w:t>y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mong</w:t>
      </w:r>
    </w:p>
    <w:p>
      <w:pPr>
        <w:spacing w:after="0" w:line="31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hathom</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harmaceuticals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p>
      <w:pPr>
        <w:spacing w:after="0" w:line="3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5"/>
          <w:szCs w:val="15"/>
          <w:color w:val="auto"/>
        </w:rPr>
        <w:t xml:space="preserve">as the </w:t>
      </w:r>
      <w:r>
        <w:rPr>
          <w:rFonts w:ascii="Times New Roman" w:cs="Times New Roman" w:eastAsia="Times New Roman" w:hAnsi="Times New Roman"/>
          <w:sz w:val="21"/>
          <w:szCs w:val="21"/>
          <w:color w:val="auto"/>
        </w:rPr>
        <w:t>C</w:t>
      </w:r>
      <w:r>
        <w:rPr>
          <w:rFonts w:ascii="Times New Roman" w:cs="Times New Roman" w:eastAsia="Times New Roman" w:hAnsi="Times New Roman"/>
          <w:sz w:val="15"/>
          <w:szCs w:val="15"/>
          <w:color w:val="auto"/>
        </w:rPr>
        <w:t>ompany</w:t>
      </w:r>
    </w:p>
    <w:p>
      <w:pPr>
        <w:spacing w:after="0" w:line="3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color w:val="auto"/>
        </w:rPr>
        <w:t>and</w:t>
      </w: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ntities</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et</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orth on</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1.1,</w:t>
      </w:r>
    </w:p>
    <w:p>
      <w:pPr>
        <w:spacing w:after="0" w:line="3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21"/>
          <w:szCs w:val="21"/>
          <w:color w:val="auto"/>
        </w:rPr>
        <w:t>I</w:t>
      </w:r>
      <w:r>
        <w:rPr>
          <w:rFonts w:ascii="Times New Roman" w:cs="Times New Roman" w:eastAsia="Times New Roman" w:hAnsi="Times New Roman"/>
          <w:sz w:val="15"/>
          <w:szCs w:val="15"/>
          <w:color w:val="auto"/>
        </w:rPr>
        <w:t>nvestors</w:t>
      </w:r>
    </w:p>
    <w:p>
      <w:pPr>
        <w:spacing w:after="0" w:line="3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ay</w:t>
      </w:r>
      <w:r>
        <w:rPr>
          <w:rFonts w:ascii="Times New Roman" w:cs="Times New Roman" w:eastAsia="Times New Roman" w:hAnsi="Times New Roman"/>
          <w:sz w:val="22"/>
          <w:szCs w:val="22"/>
          <w:color w:val="auto"/>
        </w:rPr>
        <w:t xml:space="preserve">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538480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87"/>
        </w:trPr>
        <w:tc>
          <w:tcPr>
            <w:tcW w:w="1840" w:type="dxa"/>
            <w:vAlign w:val="bottom"/>
          </w:tcPr>
          <w:p>
            <w:pPr>
              <w:spacing w:after="0"/>
              <w:rPr>
                <w:sz w:val="24"/>
                <w:szCs w:val="24"/>
                <w:color w:val="auto"/>
              </w:rPr>
            </w:pPr>
          </w:p>
        </w:tc>
        <w:tc>
          <w:tcPr>
            <w:tcW w:w="6860" w:type="dxa"/>
            <w:vAlign w:val="bottom"/>
          </w:tcPr>
          <w:p>
            <w:pPr>
              <w:ind w:left="26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00" w:type="dxa"/>
            <w:vAlign w:val="bottom"/>
          </w:tcPr>
          <w:p>
            <w:pPr>
              <w:spacing w:after="0"/>
              <w:rPr>
                <w:sz w:val="24"/>
                <w:szCs w:val="24"/>
                <w:color w:val="auto"/>
              </w:rPr>
            </w:pPr>
          </w:p>
        </w:tc>
      </w:tr>
      <w:tr>
        <w:trPr>
          <w:trHeight w:val="459"/>
        </w:trPr>
        <w:tc>
          <w:tcPr>
            <w:tcW w:w="18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34"/>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1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1.2</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Certain Interpretations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64"/>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2 REVENUE INTEREST FINANCING</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Payment of the Investment Amount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2.2</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Royalty Payments to Investors.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2.3</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True Up Payments; Cap Payment.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2.4</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Event of Default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2.5</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Change of Control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2.6</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No Assumed Obligations,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2.7</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Security 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2.8</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Mandatory Payment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65"/>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3 EFFECTIVE DATE; FUNDING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3.1</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Effective Date Deliverables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3.2</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Funding Date Deliverables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65"/>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4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4.1</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Company’s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4.2</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Investors’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4.3</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No Implied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65"/>
        </w:trPr>
        <w:tc>
          <w:tcPr>
            <w:tcW w:w="8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5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Additional Reporting; Update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5.2</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Disclosures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5.3</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Inspections and Audits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5.4</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Intellectual Property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5.5</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In-Licenses.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5.6</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Out-Licenses.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5.7</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Diligence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5.8</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5.9</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Burdensome 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5.10</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Certain Tax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5.11</w:t>
            </w:r>
          </w:p>
        </w:tc>
        <w:tc>
          <w:tcPr>
            <w:tcW w:w="686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Minimum Cash</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8" w:right="459" w:bottom="1440" w:gutter="0" w:footer="0" w:header="0"/>
        </w:sectPr>
      </w:pPr>
    </w:p>
    <w:bookmarkStart w:id="44" w:name="page45"/>
    <w:bookmarkEnd w:id="44"/>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606"/>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5.12</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Additional Revenue Interests; Liens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5.13</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Change of Control</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5.14</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Dispositions of Product Rights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5.15</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Existence</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5.16</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Use of Proceeds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5.17</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Compliance with Laws.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5.18</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Mergers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65"/>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6 INDEMNIFICATION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6.1</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General Indemnity</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6.2</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Notice of Claims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6.3</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Survival; Limitations on Liability</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64"/>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7 CONFIDENTIALITY</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Confidentiality</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7.2</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Authorized Disclosure.</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64"/>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8 TERMINATION; SURVIVAL</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8.1</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Mutual Termination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8.2</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Automatic Termination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8.3</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Survival</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65"/>
        </w:trPr>
        <w:tc>
          <w:tcPr>
            <w:tcW w:w="78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9 MISCELLANEOUS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9.1</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Headings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9.2</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Notices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9.3</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Expenses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9.4</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Assignment</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9.5</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Amendment and Waiver.</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9.6</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Entire Agreement</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9.7</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No Third-Party Beneficiaries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9.8</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Governing Law</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9.9</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Jurisdiction; Venue.</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64"/>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9.10</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Severability</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9.11</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Specific Performance</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65"/>
        </w:trPr>
        <w:tc>
          <w:tcPr>
            <w:tcW w:w="184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9.12</w:t>
            </w:r>
          </w:p>
        </w:tc>
        <w:tc>
          <w:tcPr>
            <w:tcW w:w="6020" w:type="dxa"/>
            <w:vAlign w:val="bottom"/>
          </w:tcPr>
          <w:p>
            <w:pPr>
              <w:ind w:left="100"/>
              <w:spacing w:after="0"/>
              <w:rPr>
                <w:sz w:val="20"/>
                <w:szCs w:val="20"/>
                <w:color w:val="auto"/>
              </w:rPr>
            </w:pPr>
            <w:r>
              <w:rPr>
                <w:rFonts w:ascii="Times New Roman" w:cs="Times New Roman" w:eastAsia="Times New Roman" w:hAnsi="Times New Roman"/>
                <w:sz w:val="22"/>
                <w:szCs w:val="22"/>
                <w:color w:val="0000FF"/>
              </w:rPr>
              <w:t>Counterparts</w:t>
            </w:r>
          </w:p>
        </w:tc>
        <w:tc>
          <w:tcPr>
            <w:tcW w:w="3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8" w:right="459" w:bottom="1440" w:gutter="0" w:footer="0" w:header="0"/>
        </w:sectPr>
      </w:pPr>
    </w:p>
    <w:bookmarkStart w:id="45" w:name="page46"/>
    <w:bookmarkEnd w:id="45"/>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1"/>
          <w:szCs w:val="21"/>
          <w:b w:val="1"/>
          <w:bCs w:val="1"/>
          <w:color w:val="auto"/>
        </w:rPr>
        <w:t>Page</w:t>
      </w:r>
    </w:p>
    <w:p>
      <w:pPr>
        <w:sectPr>
          <w:pgSz w:w="11900" w:h="16838" w:orient="portrait"/>
          <w:cols w:equalWidth="0" w:num="1">
            <w:col w:w="11120"/>
          </w:cols>
          <w:pgMar w:left="320" w:top="108" w:right="459" w:bottom="1440" w:gutter="0" w:footer="0" w:header="0"/>
        </w:sectPr>
      </w:pPr>
    </w:p>
    <w:p>
      <w:pPr>
        <w:spacing w:after="0" w:line="36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000FF"/>
        </w:rPr>
        <w:t>Section 9.13</w:t>
      </w:r>
      <w:r>
        <w:rPr>
          <w:sz w:val="20"/>
          <w:szCs w:val="20"/>
          <w:color w:val="auto"/>
        </w:rPr>
        <w:tab/>
      </w:r>
      <w:r>
        <w:rPr>
          <w:rFonts w:ascii="Times New Roman" w:cs="Times New Roman" w:eastAsia="Times New Roman" w:hAnsi="Times New Roman"/>
          <w:sz w:val="21"/>
          <w:szCs w:val="21"/>
          <w:color w:val="0000FF"/>
        </w:rPr>
        <w:t>Subordination Agreement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112" w:lineRule="exact"/>
        <w:rPr>
          <w:sz w:val="20"/>
          <w:szCs w:val="20"/>
          <w:color w:val="auto"/>
        </w:rPr>
      </w:pPr>
    </w:p>
    <w:p>
      <w:pPr>
        <w:sectPr>
          <w:pgSz w:w="11900" w:h="16838" w:orient="portrait"/>
          <w:cols w:equalWidth="0" w:num="2">
            <w:col w:w="10160" w:space="720"/>
            <w:col w:w="240"/>
          </w:cols>
          <w:pgMar w:left="320" w:top="108" w:right="459" w:bottom="1440" w:gutter="0" w:footer="0" w:header="0"/>
          <w:type w:val="continuous"/>
        </w:sect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000FF"/>
        </w:rPr>
        <w:t>Section 9.14</w:t>
      </w:r>
      <w:r>
        <w:rPr>
          <w:sz w:val="20"/>
          <w:szCs w:val="20"/>
          <w:color w:val="auto"/>
        </w:rPr>
        <w:tab/>
      </w:r>
      <w:r>
        <w:rPr>
          <w:rFonts w:ascii="Times New Roman" w:cs="Times New Roman" w:eastAsia="Times New Roman" w:hAnsi="Times New Roman"/>
          <w:sz w:val="21"/>
          <w:szCs w:val="21"/>
          <w:color w:val="0000FF"/>
        </w:rPr>
        <w:t>Relationship of the 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54</w:t>
      </w:r>
    </w:p>
    <w:p>
      <w:pPr>
        <w:spacing w:after="0" w:line="112" w:lineRule="exact"/>
        <w:rPr>
          <w:sz w:val="20"/>
          <w:szCs w:val="20"/>
          <w:color w:val="auto"/>
        </w:rPr>
      </w:pPr>
    </w:p>
    <w:p>
      <w:pPr>
        <w:sectPr>
          <w:pgSz w:w="11900" w:h="16838" w:orient="portrait"/>
          <w:cols w:equalWidth="0" w:num="2">
            <w:col w:w="10160" w:space="720"/>
            <w:col w:w="240"/>
          </w:cols>
          <w:pgMar w:left="320" w:top="108" w:right="459" w:bottom="1440" w:gutter="0" w:footer="0" w:header="0"/>
          <w:type w:val="continuous"/>
        </w:sect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000FF"/>
        </w:rPr>
        <w:t>Section 9.15</w:t>
      </w:r>
      <w:r>
        <w:rPr>
          <w:sz w:val="20"/>
          <w:szCs w:val="20"/>
          <w:color w:val="auto"/>
        </w:rPr>
        <w:tab/>
      </w:r>
      <w:r>
        <w:rPr>
          <w:rFonts w:ascii="Times New Roman" w:cs="Times New Roman" w:eastAsia="Times New Roman" w:hAnsi="Times New Roman"/>
          <w:sz w:val="21"/>
          <w:szCs w:val="21"/>
          <w:color w:val="0000FF"/>
        </w:rPr>
        <w:t>Remedies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54</w:t>
      </w:r>
    </w:p>
    <w:p>
      <w:pPr>
        <w:spacing w:after="0" w:line="200" w:lineRule="exact"/>
        <w:rPr>
          <w:sz w:val="20"/>
          <w:szCs w:val="20"/>
          <w:color w:val="auto"/>
        </w:rPr>
      </w:pPr>
    </w:p>
    <w:p>
      <w:pPr>
        <w:sectPr>
          <w:pgSz w:w="11900" w:h="16838" w:orient="portrait"/>
          <w:cols w:equalWidth="0" w:num="2">
            <w:col w:w="10160" w:space="720"/>
            <w:col w:w="240"/>
          </w:cols>
          <w:pgMar w:left="320" w:top="108" w:right="45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Index of Exhibits and Schedules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Subordination Agreement</w:t>
      </w:r>
    </w:p>
    <w:p>
      <w:pPr>
        <w:spacing w:after="0" w:line="230" w:lineRule="auto"/>
        <w:rPr>
          <w:sz w:val="20"/>
          <w:szCs w:val="20"/>
          <w:color w:val="auto"/>
        </w:rPr>
      </w:pPr>
      <w:r>
        <w:rPr>
          <w:rFonts w:ascii="Times New Roman" w:cs="Times New Roman" w:eastAsia="Times New Roman" w:hAnsi="Times New Roman"/>
          <w:sz w:val="22"/>
          <w:szCs w:val="22"/>
          <w:color w:val="auto"/>
        </w:rPr>
        <w:t>Exhibit B: Hercules Consent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 Initial Investors</w:t>
      </w:r>
    </w:p>
    <w:p>
      <w:pPr>
        <w:spacing w:after="0" w:line="233" w:lineRule="auto"/>
        <w:rPr>
          <w:sz w:val="20"/>
          <w:szCs w:val="20"/>
          <w:color w:val="auto"/>
        </w:rPr>
      </w:pPr>
      <w:r>
        <w:rPr>
          <w:rFonts w:ascii="Times New Roman" w:cs="Times New Roman" w:eastAsia="Times New Roman" w:hAnsi="Times New Roman"/>
          <w:sz w:val="22"/>
          <w:szCs w:val="22"/>
          <w:color w:val="auto"/>
        </w:rPr>
        <w:t>Schedule 4.1(k)(i)(A): Patent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4.1(l): Indebtedness</w:t>
      </w:r>
    </w:p>
    <w:p>
      <w:pPr>
        <w:spacing w:after="0" w:line="1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color w:val="auto"/>
        </w:rPr>
        <w:t>REVENUE INTEREST FINANCING AGREEMENT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REVENUE INTEREST FINANCING AGREEMENT, dated as of May 3, 2022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among Phathom Pharmaceuticals,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the entities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Initial Investors</w:t>
      </w:r>
      <w:r>
        <w:rPr>
          <w:rFonts w:ascii="Times New Roman" w:cs="Times New Roman" w:eastAsia="Times New Roman" w:hAnsi="Times New Roman"/>
          <w:sz w:val="22"/>
          <w:szCs w:val="22"/>
          <w:color w:val="auto"/>
        </w:rPr>
        <w:t xml:space="preserve">”) and any other entity or entities that become party hereto pursuant to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(together with the Initial Investors,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and each, individually,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WHEREAS, the Company is in the business of, among other things, developing and commercializing the Products; and</w:t>
      </w:r>
    </w:p>
    <w:p>
      <w:pPr>
        <w:spacing w:after="0" w:line="21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WHEREAS, the Company desires additional funding to, among other things, develop and commercialize the Products in the Territory, and the Investors desire, on the terms and conditions set forth herein, to provide the Company with such additional funding on a several, but not joint, basis;</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agreements set forth herein and for good and valuable consideration, the receipt and adequacy of which are hereby acknowledged, the Company and the Investors hereby agree as follows: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2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The following terms, as used herein, shall have the following meanings: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Investor</w:t>
      </w:r>
      <w:r>
        <w:rPr>
          <w:rFonts w:ascii="Times New Roman" w:cs="Times New Roman" w:eastAsia="Times New Roman" w:hAnsi="Times New Roman"/>
          <w:sz w:val="22"/>
          <w:szCs w:val="22"/>
          <w:color w:val="auto"/>
        </w:rPr>
        <w:t>” means an Additional Regulatory Milestone Investor or an Additional Sales Milestone Investor.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Regulatory Milestone Investor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Regulatory Milestone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Sales Milestone Investor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particular Person, any other Person directly or indirectly controlling, controlled by or under common control with such particular Person. For purposes of the foregoing sentence, the term “control” means direct or indirect ownership of (x) 50.0% or more, including ownership by trusts with substantially the same beneficial interests, of the voting and equity rights of such Person or (y) the power to direct the management or policies of such Person, whether through ownership of voting securities, by contract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defined in the preamble.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7" w:name="page48"/>
    <w:bookmarkEnd w:id="47"/>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Affiliates from time to time concerning or relating to bribery or corruption, including the United States Foreign Corrupt Practices Act of 1977, the UK Bribery Act 2010 and other similar legislation in any other jurisdictions.</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Laws</w:t>
      </w:r>
      <w:r>
        <w:rPr>
          <w:rFonts w:ascii="Times New Roman" w:cs="Times New Roman" w:eastAsia="Times New Roman" w:hAnsi="Times New Roman"/>
          <w:sz w:val="22"/>
          <w:szCs w:val="22"/>
          <w:color w:val="auto"/>
        </w:rPr>
        <w:t>” means all laws, rules, regulations and orders relating to terrorism or money laundering, including Executive Order No. 13224, the USA PATRIOT Act, the laws comprising or implementing the Bank Secrecy Act, and the laws administered by OFAC.</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Survival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Withholding Certificate</w:t>
      </w:r>
      <w:r>
        <w:rPr>
          <w:rFonts w:ascii="Times New Roman" w:cs="Times New Roman" w:eastAsia="Times New Roman" w:hAnsi="Times New Roman"/>
          <w:sz w:val="22"/>
          <w:szCs w:val="22"/>
          <w:color w:val="auto"/>
        </w:rPr>
        <w:t>” means, with respect to each Investor (i) that is a “United States person” (within the meaning of Section 7701(a)(30) of the Code), a valid, true and properly executed IRS Form W-9 (or any applicable successor form) stating the taxpayer identification number of such Investor and certifying under penalties of perjury that such Investor is a “United States person” (within the meaning of Section 7701(a)(30) of the Code) and is exempt from United States federal backup withholding and (ii) that is not a “United States person” (within the meaning of Section 7701(a)(30) of the Code) a valid, true and properly executed applicable IRS Form W-8 (or any applicable successor form).</w:t>
      </w:r>
    </w:p>
    <w:p>
      <w:pPr>
        <w:spacing w:after="0" w:line="17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 of Default</w:t>
      </w:r>
      <w:r>
        <w:rPr>
          <w:rFonts w:ascii="Times New Roman" w:cs="Times New Roman" w:eastAsia="Times New Roman" w:hAnsi="Times New Roman"/>
          <w:sz w:val="22"/>
          <w:szCs w:val="22"/>
          <w:color w:val="auto"/>
        </w:rPr>
        <w:t>” means any of (i) the liquidation or dissolution of the Company, (ii) a Voluntary Bankruptcy or (iii) an Involuntary Bankruptcy.</w:t>
      </w:r>
    </w:p>
    <w:p>
      <w:pPr>
        <w:spacing w:after="0" w:line="14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Laws</w:t>
      </w:r>
      <w:r>
        <w:rPr>
          <w:rFonts w:ascii="Times New Roman" w:cs="Times New Roman" w:eastAsia="Times New Roman" w:hAnsi="Times New Roman"/>
          <w:sz w:val="22"/>
          <w:szCs w:val="22"/>
          <w:color w:val="auto"/>
        </w:rPr>
        <w:t>” means, collectively, bankruptcy, insolvency, reorganization, moratorium, fraudulent conveyance, fraudulent transfer or other similar laws affecting the enforcement of creditors’ rights generally.</w:t>
      </w:r>
    </w:p>
    <w:p>
      <w:pPr>
        <w:spacing w:after="0" w:line="14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Person</w:t>
      </w:r>
      <w:r>
        <w:rPr>
          <w:rFonts w:ascii="Times New Roman" w:cs="Times New Roman" w:eastAsia="Times New Roman" w:hAnsi="Times New Roman"/>
          <w:sz w:val="22"/>
          <w:szCs w:val="22"/>
          <w:color w:val="auto"/>
        </w:rPr>
        <w:t>” means any Person: (a) listed in the annex to, or who is otherwise subject to the provisions of, Executive Order No. 13224; (b) owned or controlled by, or acting for or on behalf of, any Person that is listed in the annex to, or who is otherwise subject to the provisions of, Executive Order No. 13224; (c) with which any Investor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spacing w:after="0" w:line="17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New York are permitted or required by applicable law or regulation to remain closed.</w:t>
      </w:r>
    </w:p>
    <w:p>
      <w:pPr>
        <w:spacing w:after="0" w:line="14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 Amount</w:t>
      </w:r>
      <w:r>
        <w:rPr>
          <w:rFonts w:ascii="Times New Roman" w:cs="Times New Roman" w:eastAsia="Times New Roman" w:hAnsi="Times New Roman"/>
          <w:sz w:val="22"/>
          <w:szCs w:val="22"/>
          <w:color w:val="auto"/>
        </w:rPr>
        <w:t>” means, as of any date of determination, (A) the product of (x) the Investment Amount and (y) two, (B) less any amounts creditable to the Cap Amount specifically provided for in this Agreement (but in no event less than zero).</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 Payment</w:t>
      </w:r>
      <w:r>
        <w:rPr>
          <w:rFonts w:ascii="Times New Roman" w:cs="Times New Roman" w:eastAsia="Times New Roman" w:hAnsi="Times New Roman"/>
          <w:sz w:val="22"/>
          <w:szCs w:val="22"/>
          <w:color w:val="auto"/>
        </w:rPr>
        <w:t>” means, as of any date of determination, the difference between the Cap Amount as of such date and the amount of all Royalty Payments received by the Investors pursuant to this Agreement as of such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any (w) reorganization, recapitalization, consolidation or merger (or similar transaction or series of related transactions) of the Company or issuance, sale or exchange of shares (or similar transaction or series of related transactions) of the Company in which the holders of the Company’s outstanding shares immediately before consummation of such transaction or series of related transactions do not, immediately after consummation of such transaction or series of related transactions, retain shares representing more than 50.0% of the voting power of the surviving entity of such transaction or series of related transactions (or the parent of such surviving entity if such surviving entity is wholly owned by such parent), in each case without regard to whether the Company is the surviving entity, (x) Disposition of all or substantially all of the properties or assets of the Company, (y) Disposition of all or substantially all of the Product Rights or (z) “Change in Control” or any comparable term as defined in the Hercules Loan Documents.</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has the meaning set forth in the definition of Net Sales.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means all activities undertaken in support of the promotion, marketing, sale and distribution (including importing, exporting, transporting, customs clearance, warehousing, invoicing, handling and delivering the Products to customers) of the Products for human therapeutic uses.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to engage in Commercialization activities.</w:t>
      </w:r>
    </w:p>
    <w:p>
      <w:pPr>
        <w:spacing w:after="0" w:line="18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with respect to the efforts to be expended, or considerations to be undertaken, by the Company or its Affiliate with respect to any objective, activity or decision to be undertaken hereunder, reasonable, good faith efforts to accomplish such objective, activity or decision as a similarly situated pharmaceutical company would normally use to accomplish a similar objective, activity or decision under similar circumstances, it being understood and agreed that with respect to the development, manufacture, seeking and obtaining regulatory approval (including Marketing Approval), or Commercialization of the Compound or a Product in the United States, the Company may take into account: (a) issues of efficacy, safety, and expected and actual approved labeling, (b) the expected and actual competitiveness of alternative products sold by third parties in the marketplace, (c) the expected and actual product profile of the Compound or Product, (d) the expected and actual patent and other proprietary position of the Product, (e) the likelihood of regulatory approval (including Marketing Approval) and/or pricing approval given the regulatory structure involved, including regulatory or data exclusivity, (f) the expected and actual profitability and return on investment of the Compound or Product, taking into consideration amounts owed hereunder, and (g) all other relevant scientific, technical, regulatory and commercial factors.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Compound</w:t>
      </w:r>
      <w:r>
        <w:rPr>
          <w:rFonts w:ascii="Times New Roman" w:cs="Times New Roman" w:eastAsia="Times New Roman" w:hAnsi="Times New Roman"/>
          <w:sz w:val="22"/>
          <w:szCs w:val="22"/>
          <w:color w:val="auto"/>
        </w:rPr>
        <w:t>” means the chemical compound vonoprazan fumarate (coded by Takeda as TAK-438), and any derivatives thereof, including any analogs, prodrugs, alternative salts, hydrates, solvates, esters, metabolites, intermediates, stereoisomers, complexes, and co-crystals, thereof.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means any receiver, trustee, assignee, liquidator, custodian or similar official under any Bankruptcy Law.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that, with the giving of notice or passage of time, or both, could result in an Event of Default.</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with respect to any Person, directly or indirectly, the sale, assignment, conveyance, transfer, license, sublicense or other disposition (whether in a single transaction or a series of related transactions) (including by way of a sale and leaseback transaction) of property or assets by any Person.</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the date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means the European Medicines Agency, or any successor agency thereto.</w:t>
      </w:r>
    </w:p>
    <w:p>
      <w:pPr>
        <w:spacing w:after="0" w:line="22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any of (i) any Bankruptcy Event of Default, (ii) the breach by the Company of any payment obligations under this Agreement, which failure to pay continues for more than five Business Days after receipt of written notice from any of the Investors, (iii) except as set forth in clause (ii) above, the breach by the Company of any of its obligations under any Transaction Document to which it is party, where the Required Investors have provided notice of such breach to the Company in writing and the Company has not cured such breach within 30 days following receipt of such notice and where such breach, if not cured, would reasonably be expected to have, individually or in the aggregate, a Material Adverse Effect, (iv) the termination of the Takeda License, (v) the revocation of any Marketing Approval of a Product with respect to the erosive esophagitis indication by the FDA for safety or manufacturing reasons related to the Compound or (vi) the acceleration of the obligations under the Hercules Loan Agreement, which acceleration is not rescinded, or the obligations thereunder are not paid in full.</w:t>
      </w:r>
    </w:p>
    <w:p>
      <w:pPr>
        <w:spacing w:after="0" w:line="19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 Fee</w:t>
      </w:r>
      <w:r>
        <w:rPr>
          <w:rFonts w:ascii="Times New Roman" w:cs="Times New Roman" w:eastAsia="Times New Roman" w:hAnsi="Times New Roman"/>
          <w:sz w:val="22"/>
          <w:szCs w:val="22"/>
          <w:color w:val="auto"/>
        </w:rPr>
        <w:t xml:space="preserve">” means (i) on any date beginning on the Effective Date until, but not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the Investment Amount as of such date, (ii) on any date beginning on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until, but not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times the Investment Amount as of such date, and (iii) on any date beginning on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thereafter,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the Investment Amount as of such date, less, in each case, the amount of any Royalty Payments and any other payments previously paid to the Investors pursuant to this Agreement (but in no event less than zero).</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 Payment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Order No. 13224</w:t>
      </w:r>
      <w:r>
        <w:rPr>
          <w:rFonts w:ascii="Times New Roman" w:cs="Times New Roman" w:eastAsia="Times New Roman" w:hAnsi="Times New Roman"/>
          <w:sz w:val="22"/>
          <w:szCs w:val="22"/>
          <w:color w:val="auto"/>
        </w:rPr>
        <w:t>” means Executive Order No. 13224, 66 Fed. Reg. 49079 (Sept. 25, 2001).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Patent Rights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4.1(k)(i)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FD&amp;C Act</w:t>
      </w:r>
      <w:r>
        <w:rPr>
          <w:rFonts w:ascii="Times New Roman" w:cs="Times New Roman" w:eastAsia="Times New Roman" w:hAnsi="Times New Roman"/>
          <w:sz w:val="22"/>
          <w:szCs w:val="22"/>
          <w:color w:val="auto"/>
        </w:rPr>
        <w:t>” means the United States Federal Food, Drug, and Cosmetic Act.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Application Integrity Policy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4.1(g)(ii)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True Up Date Minimum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True Up Date Royalties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True Up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Condition Satisfaction Notice</w:t>
      </w:r>
      <w:r>
        <w:rPr>
          <w:rFonts w:ascii="Times New Roman" w:cs="Times New Roman" w:eastAsia="Times New Roman" w:hAnsi="Times New Roman"/>
          <w:sz w:val="22"/>
          <w:szCs w:val="22"/>
          <w:color w:val="auto"/>
        </w:rPr>
        <w:t>” means a written notice from the Company to the Initial Investors certifying that the Regulatory Milestone (HP) Event has occurred, which notice shall state the Funding Date and shall provide the wire transfer instructions of the Company in respect of the Funding Date Payment.</w:t>
      </w:r>
    </w:p>
    <w:p>
      <w:pPr>
        <w:spacing w:after="0" w:line="16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the Business Day that is 10 Business Days after the Effective Date (or such other Business Day agreed to by the Company and the Initial Investors).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in effect from time to time.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(a) nation, principality, republic,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(d) multi-national organization or body; or (e) individual, body or other entity exercising, or entitled to exercise, any executive, legislative, judicial, administrative, regulatory, police, military or taxing authority or power of any nature.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has the meaning set forth in the definition of Hercules Loan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w:t>
      </w:r>
      <w:r>
        <w:rPr>
          <w:rFonts w:ascii="Times New Roman" w:cs="Times New Roman" w:eastAsia="Times New Roman" w:hAnsi="Times New Roman"/>
          <w:sz w:val="22"/>
          <w:szCs w:val="22"/>
          <w:color w:val="auto"/>
        </w:rPr>
        <w:t>” means Hercules Capital, Inc., a Maryland corporation, together with its successors in such capacity.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Consent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Loan Agreement</w:t>
      </w:r>
      <w:r>
        <w:rPr>
          <w:rFonts w:ascii="Times New Roman" w:cs="Times New Roman" w:eastAsia="Times New Roman" w:hAnsi="Times New Roman"/>
          <w:sz w:val="22"/>
          <w:szCs w:val="22"/>
          <w:color w:val="auto"/>
        </w:rPr>
        <w:t>” means that certain Loan and Security Agreement, dated September 17, 2021, among the Company, each Person identified as a “Guarantor” on the signature pages thereto and each other Person that joins as a Guarantor (together with their successors and permitted assigns)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each of the Persons identified as a “Lender” on the signature pages thereto and their successors and assigns, and Hercules, as administrative agent and collateral agent, and its successors and assigns, as amended by the Hercules Consent and as further amended, restated, amended and restated, supplemented, waived, replaced (whether or not upon termination, and whether with the original lenders or otherwise) or otherwise modified from time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1" w:name="page52"/>
    <w:bookmarkEnd w:id="51"/>
    <w:p>
      <w:pPr>
        <w:jc w:val="both"/>
        <w:spacing w:after="0"/>
        <w:rPr>
          <w:sz w:val="20"/>
          <w:szCs w:val="20"/>
          <w:color w:val="auto"/>
        </w:rPr>
      </w:pPr>
      <w:r>
        <w:rPr>
          <w:rFonts w:ascii="Times New Roman" w:cs="Times New Roman" w:eastAsia="Times New Roman" w:hAnsi="Times New Roman"/>
          <w:sz w:val="22"/>
          <w:szCs w:val="22"/>
          <w:color w:val="auto"/>
        </w:rPr>
        <w:t>to time, including any indentures, credit facilities, term loan facilities or other agreements extending the maturity thereof, refinancing, replacing or otherwise restructuring all or a portion of the Indebtedness under such indentures, credit facilities, term loan facilities or other agreements or any successor or replacement indentures, credit facilities, term loan facilities or other agreements and whether with the original obligors, agents, lenders, institutional investors or otherwise, and whether provided under the original Loan and Security Agreement or one or more other credit or other agreements or indentures, and any agreement (and related document) governing Indebtedness incurred to refinance, in whole or in part, the borrowings, other extensions of credit and commitments then outstanding or permitted to be outstanding under such debt facilities or successor debt facilities, whether by the same or any other obligor, issuer, agent, lender or group of lenders (or institutional investors).</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Hercules Loan Documents</w:t>
      </w:r>
      <w:r>
        <w:rPr>
          <w:rFonts w:ascii="Times New Roman" w:cs="Times New Roman" w:eastAsia="Times New Roman" w:hAnsi="Times New Roman"/>
          <w:sz w:val="22"/>
          <w:szCs w:val="22"/>
          <w:color w:val="auto"/>
        </w:rPr>
        <w:t>” means (a) the Hercules Loan Agreement, and (b) each other “Loan Document” or such similar term as defined in the Hercules Loan Agreement, in each case as amended, restated, amended and restated, modified or otherwise supplemented from time to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in effect from time to time.</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means any improvement, invention or discovery relating to a Product (other than with respect to a new composition of matter), including the formulation, or the method of manufacture of a Product.</w:t>
      </w:r>
    </w:p>
    <w:p>
      <w:pPr>
        <w:spacing w:after="0" w:line="17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each license, settlement agreement or other agreement or arrangement between the Company or any of its Affiliates and any Third Party pursuant to which the Company or any of its Affiliates obtains a license or sublicense or a covenant not to sue or similar grant of rights to any patents or other intellectual property rights of such Third Party that is necessary or reasonably useful for the research, development, manufacture, use or Commercialization of a Product in the Territory. For the avoidance of doubt, the Takeda License is an In-License.</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with respect to a Person means (i) all obligations of such Person for borrowed money, (ii) all obligations of such Person evidenced by a note, bond, debenture or similar instrument,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(excluding deferred compensation and accounts payable incurred in the ordinary course of business and not overdue by more than 90 days), (vi) all indebtedness of others secured by (or for which the holder of such indebtedness has an existing right, contingent or otherwise, to be secured by) any Lien on property owned or acquired by such Person if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all obligations of such Person under any interest rate exchange agreement, foreign currency exchange agreement, commodity price protection agreement, currency swap, forward, future or derivative transactions or other interest or currency exchange rate or commodity price hedging arrangement, (xi) all obligations, contingent or otherwise, of such Person in respect of bankers’ acceptances, (xii) any disqualified equity interests of such Person, and (xiii) all other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obligations required to be classified as indebtedness of such Person under GAAP or IFRS;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Indebtedness shall not include accrued expenses, deferred rent, deferred taxes, deferred compensation or customary obligations under employment agreements.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Investors</w:t>
      </w:r>
      <w:r>
        <w:rPr>
          <w:rFonts w:ascii="Times New Roman" w:cs="Times New Roman" w:eastAsia="Times New Roman" w:hAnsi="Times New Roman"/>
          <w:sz w:val="22"/>
          <w:szCs w:val="22"/>
          <w:color w:val="auto"/>
        </w:rPr>
        <w:t>” is defined in the preamble.</w:t>
      </w:r>
    </w:p>
    <w:p>
      <w:pPr>
        <w:spacing w:after="0" w:line="22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Product Rights</w:t>
      </w:r>
      <w:r>
        <w:rPr>
          <w:rFonts w:ascii="Times New Roman" w:cs="Times New Roman" w:eastAsia="Times New Roman" w:hAnsi="Times New Roman"/>
          <w:sz w:val="22"/>
          <w:szCs w:val="22"/>
          <w:color w:val="auto"/>
        </w:rPr>
        <w:t>” means any and all of the following as they exist throughout the Territory at any time: (a) the Patent Rights; (b) rights in registered and unregistered trademarks, service marks, trade names, trade dress, logos, packaging design, slogans and Internet domain names, and registrations and applications for registration of any of the foregoing, in each case, with respect to any Product; (c) rights in all Know-How necessary for the development, manufacture or Commercialization of any Product; and (d) any and all other intellectual property rights and/or proprietary rights, whether or not patentable, specifically relating to any of the foregoing, covering or related to the development, manufacture, use or Commercialization of a Product, including any non-published and proprietary information or data contained in any NDA for any Product.</w:t>
      </w:r>
    </w:p>
    <w:p>
      <w:pPr>
        <w:spacing w:after="0" w:line="19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Amount</w:t>
      </w:r>
      <w:r>
        <w:rPr>
          <w:rFonts w:ascii="Times New Roman" w:cs="Times New Roman" w:eastAsia="Times New Roman" w:hAnsi="Times New Roman"/>
          <w:sz w:val="22"/>
          <w:szCs w:val="22"/>
          <w:color w:val="auto"/>
        </w:rPr>
        <w:t>” means, as of any date of determination, the sum of (a) the Funding Date Payment, (b) any Regulatory Milestone Payment and (c) any Sales Milestone Payment, in each case to the extent actually paid by the Investors to the Company as of such date. When any reference herein to “Investment Amount” is qualified by “each”, “each of” or similar words, then such reference shall be to each of the payments described in clause (a) above, clause (b) above and clause (c) above, individually, as the context requires.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Account</w:t>
      </w:r>
      <w:r>
        <w:rPr>
          <w:rFonts w:ascii="Times New Roman" w:cs="Times New Roman" w:eastAsia="Times New Roman" w:hAnsi="Times New Roman"/>
          <w:sz w:val="22"/>
          <w:szCs w:val="22"/>
          <w:color w:val="auto"/>
        </w:rPr>
        <w:t xml:space="preserve">” with respect to an Investor means the bank account described on the Investor Account Information Document of such Investor, as such bank account may be changed by such Investor in its sole discretion from time to time (including in connection with any assignment by such Investor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upon prior written notice to the Company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Account Information Document</w:t>
      </w:r>
      <w:r>
        <w:rPr>
          <w:rFonts w:ascii="Times New Roman" w:cs="Times New Roman" w:eastAsia="Times New Roman" w:hAnsi="Times New Roman"/>
          <w:sz w:val="22"/>
          <w:szCs w:val="22"/>
          <w:color w:val="auto"/>
        </w:rPr>
        <w:t xml:space="preserve">” means (i) with respect to an Initial Investor, the document setting forth the bank account of such Initial Investor delivered by such Initial Investor to the Company pursuant to </w:t>
      </w:r>
      <w:r>
        <w:rPr>
          <w:rFonts w:ascii="Times New Roman" w:cs="Times New Roman" w:eastAsia="Times New Roman" w:hAnsi="Times New Roman"/>
          <w:sz w:val="22"/>
          <w:szCs w:val="22"/>
          <w:u w:val="single" w:color="auto"/>
          <w:color w:val="auto"/>
        </w:rPr>
        <w:t>Section 3.1(g)</w:t>
      </w:r>
      <w:r>
        <w:rPr>
          <w:rFonts w:ascii="Times New Roman" w:cs="Times New Roman" w:eastAsia="Times New Roman" w:hAnsi="Times New Roman"/>
          <w:sz w:val="22"/>
          <w:szCs w:val="22"/>
          <w:color w:val="auto"/>
        </w:rPr>
        <w:t xml:space="preserve">, and (ii) with respect to an Additional Investor, the document setting forth the bank account of such Additional Investor delivered by such Additional Investor pursuant to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Involuntary Bankruptcy</w:t>
      </w:r>
      <w:r>
        <w:rPr>
          <w:rFonts w:ascii="Times New Roman" w:cs="Times New Roman" w:eastAsia="Times New Roman" w:hAnsi="Times New Roman"/>
          <w:sz w:val="22"/>
          <w:szCs w:val="22"/>
          <w:color w:val="auto"/>
        </w:rPr>
        <w:t>” means a court of competent jurisdiction enters an order or decree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3" w:name="page54"/>
    <w:bookmarkEnd w:id="53"/>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under any Bankruptcy Law that: (i) is for relief against the Company in an involuntary case; (ii) appoints a Custodian of the Company or for any substantial part of its property; or (iii) orders the winding up or liquidation of the Company; or any similar relief is granted under any non-U.S. laws and the order or decree remains unstayed and in effect for 60 consecutive days.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any judgment, order, writ, injunction, citation, award or decree of any nature.</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xml:space="preserve"> ” means any and all proprietary or confidential information, know-how and trade secrets, including processes, formulae, models and techniques (but excluding rights in research in progress, algorithms, data, databases, data collections, chemical and biological materials and the results of experimentation and testing).</w:t>
      </w:r>
    </w:p>
    <w:p>
      <w:pPr>
        <w:spacing w:after="0" w:line="168"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Company</w:t>
      </w:r>
      <w:r>
        <w:rPr>
          <w:rFonts w:ascii="Times New Roman" w:cs="Times New Roman" w:eastAsia="Times New Roman" w:hAnsi="Times New Roman"/>
          <w:sz w:val="22"/>
          <w:szCs w:val="22"/>
          <w:color w:val="auto"/>
        </w:rPr>
        <w:t xml:space="preserve">” means the actual knowledge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(or any successor to any such person), after reasonable due inquiry.</w:t>
      </w:r>
    </w:p>
    <w:p>
      <w:pPr>
        <w:spacing w:after="0" w:line="14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Milestone Revenue</w:t>
      </w:r>
      <w:r>
        <w:rPr>
          <w:rFonts w:ascii="Times New Roman" w:cs="Times New Roman" w:eastAsia="Times New Roman" w:hAnsi="Times New Roman"/>
          <w:sz w:val="22"/>
          <w:szCs w:val="22"/>
          <w:color w:val="auto"/>
        </w:rPr>
        <w:t>” means any upfront or other one-time payments, milestone payments (whether regulatory, sales-based or non-sales-based), license signing fees and license maintenance fees received by the Company or any of its Affiliates from a Licensee or any of such Licensee’s affiliates or sublicensees under or pursuant to an Out-License or any sublicense under or other agreement ancillary to such Out-License, or payments received by the Company or any of its Affiliates from a Third Party in lieu of any of the foregoing payments. For the avoidance of doubt, “</w:t>
      </w:r>
      <w:r>
        <w:rPr>
          <w:rFonts w:ascii="Times New Roman" w:cs="Times New Roman" w:eastAsia="Times New Roman" w:hAnsi="Times New Roman"/>
          <w:sz w:val="22"/>
          <w:szCs w:val="22"/>
          <w:u w:val="single" w:color="auto"/>
          <w:color w:val="auto"/>
        </w:rPr>
        <w:t>License Milestone Revenue</w:t>
      </w:r>
      <w:r>
        <w:rPr>
          <w:rFonts w:ascii="Times New Roman" w:cs="Times New Roman" w:eastAsia="Times New Roman" w:hAnsi="Times New Roman"/>
          <w:sz w:val="22"/>
          <w:szCs w:val="22"/>
          <w:color w:val="auto"/>
        </w:rPr>
        <w:t>” shall exclude, or be reduced by, as the case may be:</w:t>
      </w:r>
    </w:p>
    <w:p>
      <w:pPr>
        <w:spacing w:after="0" w:line="190" w:lineRule="exact"/>
        <w:rPr>
          <w:sz w:val="20"/>
          <w:szCs w:val="20"/>
          <w:color w:val="auto"/>
        </w:rPr>
      </w:pPr>
    </w:p>
    <w:p>
      <w:pPr>
        <w:ind w:right="20" w:firstLine="757"/>
        <w:spacing w:after="0" w:line="258" w:lineRule="auto"/>
        <w:tabs>
          <w:tab w:leader="none" w:pos="118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received from any Permitted U.S. Out-Licensees in respect of any Permitted U.S. Out-Licenses (which are Net Sales under this Agreement);</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50" w:lineRule="auto"/>
        <w:tabs>
          <w:tab w:leader="none" w:pos="118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grants received from a Third Party specifically to cover future costs to be incurred by or on behalf of the Company or any Affiliate after the execution of such Out-License attributable to the development of the Product, which costs are expressly covered by the Licensee under such Out-License; and</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credits and Taxes withheld generally based on non-Tax residency of the recipient.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Without limiting clauses (a) through (c) above, to the extent that the Company permits any Licensee to set off any payments payable pursuant to the Out-License with such Licensee against any amounts payable by the Company to such Licensee, then the License Milestone Revenue under such Out-License shall include all such payments payable to the Company under such Out-License without giving effect to any such setoff.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License Milestone Revenue shall also include the amounts described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 Royalty Revenue</w:t>
      </w:r>
      <w:r>
        <w:rPr>
          <w:rFonts w:ascii="Times New Roman" w:cs="Times New Roman" w:eastAsia="Times New Roman" w:hAnsi="Times New Roman"/>
          <w:sz w:val="22"/>
          <w:szCs w:val="22"/>
          <w:color w:val="auto"/>
        </w:rPr>
        <w:t>” means any sales-based royalty payments received by the Company or any of its Affiliates from a Licensee or any of such Licensee’s affiliates or sublicensees under or pursuant to an Out-License or any sublicense under or other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4" w:name="page55"/>
    <w:bookmarkEnd w:id="54"/>
    <w:p>
      <w:pPr>
        <w:jc w:val="both"/>
        <w:spacing w:after="0" w:line="250" w:lineRule="auto"/>
        <w:rPr>
          <w:sz w:val="20"/>
          <w:szCs w:val="20"/>
          <w:color w:val="auto"/>
        </w:rPr>
      </w:pPr>
      <w:r>
        <w:rPr>
          <w:rFonts w:ascii="Times New Roman" w:cs="Times New Roman" w:eastAsia="Times New Roman" w:hAnsi="Times New Roman"/>
          <w:sz w:val="22"/>
          <w:szCs w:val="22"/>
          <w:color w:val="auto"/>
        </w:rPr>
        <w:t>ancillary to such Out-License, or payments received by the Company or any of its Affiliates from a Third Party in lieu of any of the foregoing payments. For the avoidance of doubt, “</w:t>
      </w:r>
      <w:r>
        <w:rPr>
          <w:rFonts w:ascii="Times New Roman" w:cs="Times New Roman" w:eastAsia="Times New Roman" w:hAnsi="Times New Roman"/>
          <w:sz w:val="22"/>
          <w:szCs w:val="22"/>
          <w:u w:val="single" w:color="auto"/>
          <w:color w:val="auto"/>
        </w:rPr>
        <w:t>License Royalty Revenue</w:t>
      </w:r>
      <w:r>
        <w:rPr>
          <w:rFonts w:ascii="Times New Roman" w:cs="Times New Roman" w:eastAsia="Times New Roman" w:hAnsi="Times New Roman"/>
          <w:sz w:val="22"/>
          <w:szCs w:val="22"/>
          <w:color w:val="auto"/>
        </w:rPr>
        <w:t>” shall exclude, or be reduced by, as the case may be:</w:t>
      </w:r>
    </w:p>
    <w:p>
      <w:pPr>
        <w:spacing w:after="0" w:line="168" w:lineRule="exact"/>
        <w:rPr>
          <w:sz w:val="20"/>
          <w:szCs w:val="20"/>
          <w:color w:val="auto"/>
        </w:rPr>
      </w:pPr>
    </w:p>
    <w:p>
      <w:pPr>
        <w:ind w:right="20" w:firstLine="757"/>
        <w:spacing w:after="0" w:line="271"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and fees received from any Permitted U.S. Out-Licensees in respect of any Permitted U.S. Out-Licenses (which are Net Sales under this Agreement);</w:t>
      </w:r>
    </w:p>
    <w:p>
      <w:pPr>
        <w:spacing w:after="0" w:line="144" w:lineRule="exact"/>
        <w:rPr>
          <w:rFonts w:ascii="Times New Roman" w:cs="Times New Roman" w:eastAsia="Times New Roman" w:hAnsi="Times New Roman"/>
          <w:sz w:val="22"/>
          <w:szCs w:val="22"/>
          <w:color w:val="auto"/>
        </w:rPr>
      </w:pPr>
    </w:p>
    <w:p>
      <w:pPr>
        <w:jc w:val="both"/>
        <w:ind w:right="20" w:firstLine="757"/>
        <w:spacing w:after="0" w:line="250"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or grants received from a Third Party specifically to cover future costs to be incurred by or on behalf of the Company or any Affiliate after the execution of such Out-License attributable to the development of the Product, which costs are expressly covered by the Licensee under such Out-License;</w:t>
      </w:r>
    </w:p>
    <w:p>
      <w:pPr>
        <w:spacing w:after="0" w:line="16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credits and Taxes withheld generally based on non-Tax residency of the recipient; and</w:t>
      </w:r>
    </w:p>
    <w:p>
      <w:pPr>
        <w:spacing w:after="0" w:line="219"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sales or supply of Product inventory at or below the Company’s actual cost of goods sold,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mark-up from, or other amounts in excess of, the Company’s cost of goods sold for such inventory shall be License Royalty Revenue.</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Without limiting clauses (a) through (d) above, to the extent that the Company permits any Licensee to set off any payments payable pursuant to the Out-License with such Licensee against any amounts payable by the Company to such Licensee, then the License Royalty Revenue under such Out-License shall include all such payments payable to the Company under such Out-License without giving effect to any such setoff.</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License Royalty Revenue shall also include the amounts described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with respect to any Product, a Third Party to whom the Company or any Affiliate of the Company has granted an Out-License.</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participation interest, charge, adverse claim, security interest, encumbrance or restriction of any kind, whether voluntarily incurred and arising by operation by law or otherwise, including any restriction on use, transfer or exercise of any other attribute of ownership of any kind.</w:t>
      </w:r>
    </w:p>
    <w:p>
      <w:pPr>
        <w:spacing w:after="0" w:line="1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w:t>
      </w:r>
      <w:r>
        <w:rPr>
          <w:rFonts w:ascii="Times New Roman" w:cs="Times New Roman" w:eastAsia="Times New Roman" w:hAnsi="Times New Roman"/>
          <w:sz w:val="22"/>
          <w:szCs w:val="22"/>
          <w:color w:val="auto"/>
        </w:rPr>
        <w:t>” means any and all Judgments, damages, losses, claims, costs, liabilities and expenses, including reasonable fees and out-of-pocket expenses of counsel.</w:t>
      </w:r>
    </w:p>
    <w:p>
      <w:pPr>
        <w:spacing w:after="0" w:line="17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Marketing Approval</w:t>
      </w:r>
      <w:r>
        <w:rPr>
          <w:rFonts w:ascii="Times New Roman" w:cs="Times New Roman" w:eastAsia="Times New Roman" w:hAnsi="Times New Roman"/>
          <w:sz w:val="22"/>
          <w:szCs w:val="22"/>
          <w:color w:val="auto"/>
        </w:rPr>
        <w:t>” means, an NDA approved by the FDA, a marketing authorization application approved by the European Commission of the European Union, upon the recommendation of the EMA under the centralized European procedure, or any corresponding non-U.S. or non-EMA application, registration or certification in the Territory, necessary or reasonably useful to Commercialize a Product approved by the corresponding Regulatory Authority, including pricing and reimbursement approvals where required.</w:t>
      </w:r>
    </w:p>
    <w:p>
      <w:pPr>
        <w:spacing w:after="0" w:line="1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(i) the timing, duration or amount of the Royalty Payments, (ii) the Commercialization of a Product in the United States, (iii) any of the Intellectual Property Product Rights, including the Company’s rights in or to 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5" w:name="page56"/>
    <w:bookmarkEnd w:id="55"/>
    <w:p>
      <w:pPr>
        <w:jc w:val="both"/>
        <w:spacing w:after="0" w:line="243" w:lineRule="auto"/>
        <w:rPr>
          <w:sz w:val="20"/>
          <w:szCs w:val="20"/>
          <w:color w:val="auto"/>
        </w:rPr>
      </w:pPr>
      <w:r>
        <w:rPr>
          <w:rFonts w:ascii="Times New Roman" w:cs="Times New Roman" w:eastAsia="Times New Roman" w:hAnsi="Times New Roman"/>
          <w:sz w:val="22"/>
          <w:szCs w:val="22"/>
          <w:color w:val="auto"/>
        </w:rPr>
        <w:t>Intellectual Property Product Rights, (iv) any Marketing Approval of a Product in the United States or the timing thereof, (v) the legality, validity or enforceability of any provision of any Transaction Document, (vi) the ability of the Company to perform any of its obligations under any Transaction Document (including the Company being unable or failing to make the Royalty Payments in accordance with the terms of this Agreement) or to consummate the transactions contemplated hereby or thereby, or (vii) the rights or remedies of the Investors under any Transaction Document.</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Cash Reference Amount</w:t>
      </w:r>
      <w:r>
        <w:rPr>
          <w:rFonts w:ascii="Times New Roman" w:cs="Times New Roman" w:eastAsia="Times New Roman" w:hAnsi="Times New Roman"/>
          <w:sz w:val="22"/>
          <w:szCs w:val="22"/>
          <w:color w:val="auto"/>
        </w:rPr>
        <w:t>” means, as of any date of determination, the difference between the Investment Amount as of such date and the amount of all Royalty Payments received by the Investors pursuant to this Agreement as of such date.</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xml:space="preserve"> ” means a New Drug Application submitted to the FDA in the United States in accordance with the FD&amp;C Act with respect to a pharmaceutical product or any analogous application or submission with any Regulatory Authority outside of the United States.</w:t>
      </w:r>
    </w:p>
    <w:p>
      <w:pPr>
        <w:spacing w:after="0" w:line="18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any Product, the gross amounts invoiced and/or received (whichever is the first to occur) by the Company and its Affiliates and any Permitted U.S. Out-Licensee for sales of such Product to Third Parties, less the following deductions, to the extent such deductions are paid, incurred or otherwise taken, reasonable and customary, provided to Third Parties, and actually allowed with respect to such sales (to the extent not reimbursed by any Third Party and without duplication):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2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 xml:space="preserve">The Net Sales of any Product sold as a component of a combination or bundled product that consists of a Product (or the Compound) together with one or more other therapeutically active products or compounds (a </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xml:space="preserve"> shall be calculated as follows: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Net Sales shall also include the amounts described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Treasury Office of Foreign Assets Control.</w:t>
      </w:r>
    </w:p>
    <w:p>
      <w:pPr>
        <w:spacing w:after="0" w:line="22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 Lists</w:t>
      </w:r>
      <w:r>
        <w:rPr>
          <w:rFonts w:ascii="Times New Roman" w:cs="Times New Roman" w:eastAsia="Times New Roman" w:hAnsi="Times New Roman"/>
          <w:sz w:val="22"/>
          <w:szCs w:val="22"/>
          <w:color w:val="auto"/>
        </w:rPr>
        <w:t>” means, collectively, the Specially Designated Nationals and Blocked Persons List maintained by OFAC pursuant to Executive Order No. 13224 and/or any other list of terrorists or other restricted Persons maintained pursuant to any of the rules and regulations of OFAC or pursuant to any other applicable executive orders.</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each license, settlement agreement or other agreement or arrangement between the Company or any of its Affiliates and any Third Party pursuant to which the Company or any of its Affiliates grants a license, sublicense or similar grant of any Intellectual Property Product Right that is necessary or reasonably useful for the research, development, manufacture, use or Commercialization of a Product in the Territory.</w:t>
      </w:r>
    </w:p>
    <w:p>
      <w:pPr>
        <w:spacing w:after="0" w:line="18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means any and all patents and patent applications owned or in-licensed by the Company or any of its Affiliates or under which the Company or any of its Affiliates is or may become empowered to grant licenses necessary or reasonably useful for the research, development,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6" w:name="page57"/>
    <w:bookmarkEnd w:id="56"/>
    <w:p>
      <w:pPr>
        <w:spacing w:after="0" w:line="271" w:lineRule="auto"/>
        <w:rPr>
          <w:sz w:val="20"/>
          <w:szCs w:val="20"/>
          <w:color w:val="auto"/>
        </w:rPr>
      </w:pPr>
      <w:r>
        <w:rPr>
          <w:rFonts w:ascii="Times New Roman" w:cs="Times New Roman" w:eastAsia="Times New Roman" w:hAnsi="Times New Roman"/>
          <w:sz w:val="22"/>
          <w:szCs w:val="22"/>
          <w:color w:val="auto"/>
        </w:rPr>
        <w:t>manufacture, use, detailing or Commercialization of a Product in the Territory, as well as existing or future patents covering any Improvements.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4.1(g)(iv)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License</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180" w:hanging="423"/>
        <w:spacing w:after="0"/>
        <w:tabs>
          <w:tab w:leader="none" w:pos="11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 in any country in the Territory other than the United States;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United States, any Permitted U.S. Out-License; and</w:t>
      </w:r>
    </w:p>
    <w:p>
      <w:pPr>
        <w:spacing w:after="0" w:line="21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license or sublicense of any Intellectual Property Product Right between the Company and its Subsidiaries;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Permitted License shall assign or otherwise convey title to or impose any Lien, other than the grant of the permitted license or sublicense, in favor of any Third Party.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the following:</w:t>
      </w:r>
    </w:p>
    <w:p>
      <w:pPr>
        <w:spacing w:after="0" w:line="206" w:lineRule="exact"/>
        <w:rPr>
          <w:sz w:val="20"/>
          <w:szCs w:val="20"/>
          <w:color w:val="auto"/>
        </w:rPr>
      </w:pPr>
    </w:p>
    <w:p>
      <w:pPr>
        <w:jc w:val="both"/>
        <w:ind w:firstLine="757"/>
        <w:spacing w:after="0" w:line="250" w:lineRule="auto"/>
        <w:tabs>
          <w:tab w:leader="none" w:pos="11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67"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77" w:lineRule="exact"/>
        <w:rPr>
          <w:rFonts w:ascii="Times New Roman" w:cs="Times New Roman" w:eastAsia="Times New Roman" w:hAnsi="Times New Roman"/>
          <w:sz w:val="22"/>
          <w:szCs w:val="22"/>
          <w:color w:val="auto"/>
        </w:rPr>
      </w:pPr>
    </w:p>
    <w:p>
      <w:pPr>
        <w:ind w:firstLine="757"/>
        <w:spacing w:after="0" w:line="271" w:lineRule="auto"/>
        <w:tabs>
          <w:tab w:leader="none" w:pos="11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property existing at the time of acquisition of such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Liens were in existence prior to such acquisition and not incurred in contemplation thereof;</w:t>
      </w:r>
    </w:p>
    <w:p>
      <w:pPr>
        <w:spacing w:after="0" w:line="14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 including any interest or title of a licensee under a Permitted License;</w:t>
      </w:r>
    </w:p>
    <w:p>
      <w:pPr>
        <w:spacing w:after="0" w:line="21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under the Hercules Loan Documents;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permitted under the Hercules Loan Documents;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under the Transaction Documents for the benefit of the Investors.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U.S. Out-License</w:t>
      </w:r>
      <w:r>
        <w:rPr>
          <w:rFonts w:ascii="Times New Roman" w:cs="Times New Roman" w:eastAsia="Times New Roman" w:hAnsi="Times New Roman"/>
          <w:sz w:val="22"/>
          <w:szCs w:val="22"/>
          <w:color w:val="auto"/>
        </w:rPr>
        <w:t>” means any Out-License that is non-exclusive or co-exclusive with the Company or any of its Affiliates and is entered into by the Company or any of its Affiliates pursuant to which the Company or its Affiliate and a Licensee agree to co-Commercialize one or more Products in the United States, including sharing in the net profits (and losses) of such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7" w:name="page58"/>
    <w:bookmarkEnd w:id="57"/>
    <w:p>
      <w:pPr>
        <w:jc w:val="both"/>
        <w:spacing w:after="0" w:line="271" w:lineRule="auto"/>
        <w:rPr>
          <w:sz w:val="20"/>
          <w:szCs w:val="20"/>
          <w:color w:val="auto"/>
        </w:rPr>
      </w:pPr>
      <w:r>
        <w:rPr>
          <w:rFonts w:ascii="Times New Roman" w:cs="Times New Roman" w:eastAsia="Times New Roman" w:hAnsi="Times New Roman"/>
          <w:sz w:val="22"/>
          <w:szCs w:val="22"/>
          <w:color w:val="auto"/>
        </w:rPr>
        <w:t>Commercialization, with the Company (or its Affiliate) entitled to at least a 40.0% share of such net profits (and losses), whether such percentage is calculated as a percentage of net sales or net profits.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U.S. Out-Licensee</w:t>
      </w:r>
      <w:r>
        <w:rPr>
          <w:rFonts w:ascii="Times New Roman" w:cs="Times New Roman" w:eastAsia="Times New Roman" w:hAnsi="Times New Roman"/>
          <w:sz w:val="22"/>
          <w:szCs w:val="22"/>
          <w:color w:val="auto"/>
        </w:rPr>
        <w:t>” means the Licensee party to a Permitted U.S. Out-License.</w:t>
      </w:r>
    </w:p>
    <w:p>
      <w:pPr>
        <w:spacing w:after="0" w:line="20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company, partnership, limited liability company, trust, joint venture, association, estate, trust, Governmental Entity or other entity, enterprise, association or organization.</w:t>
      </w:r>
    </w:p>
    <w:p>
      <w:pPr>
        <w:spacing w:after="0" w:line="14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Post-Regulatory Milestone Change of Control</w:t>
      </w:r>
      <w:r>
        <w:rPr>
          <w:rFonts w:ascii="Times New Roman" w:cs="Times New Roman" w:eastAsia="Times New Roman" w:hAnsi="Times New Roman"/>
          <w:sz w:val="22"/>
          <w:szCs w:val="22"/>
          <w:color w:val="auto"/>
        </w:rPr>
        <w:t xml:space="preserve">” means a Change of Control that occurs on or after the earlier of (i)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(ii) the date that the Regulatory Milestone Payment is made.</w:t>
      </w:r>
    </w:p>
    <w:p>
      <w:pPr>
        <w:spacing w:after="0" w:line="14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Post-Regulatory Milestone Change of Control Payment Date</w:t>
      </w:r>
      <w:r>
        <w:rPr>
          <w:rFonts w:ascii="Times New Roman" w:cs="Times New Roman" w:eastAsia="Times New Roman" w:hAnsi="Times New Roman"/>
          <w:sz w:val="22"/>
          <w:szCs w:val="22"/>
          <w:color w:val="auto"/>
        </w:rPr>
        <w:t>” means a Business Day identified by the Company by written notice to the Investors that is on or prior to the occurrence of the Change of Control described in the definition of Post-Regulatory Milestone Change of Control.</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Post-Regulatory Milestone Change of Control Price</w:t>
      </w:r>
      <w:r>
        <w:rPr>
          <w:rFonts w:ascii="Times New Roman" w:cs="Times New Roman" w:eastAsia="Times New Roman" w:hAnsi="Times New Roman"/>
          <w:sz w:val="22"/>
          <w:szCs w:val="22"/>
          <w:color w:val="auto"/>
        </w:rPr>
        <w:t xml:space="preserve">” means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less the amount of all Royalty Payments and any other payments received by the Investors pursuant to this Agreement (but in no event less than zero), as of the Post-Regulatory Milestone Change of Control Payment Date.</w:t>
      </w:r>
    </w:p>
    <w:p>
      <w:pPr>
        <w:spacing w:after="0" w:line="16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Pre-Regulatory Milestone Change of Control</w:t>
      </w:r>
      <w:r>
        <w:rPr>
          <w:rFonts w:ascii="Times New Roman" w:cs="Times New Roman" w:eastAsia="Times New Roman" w:hAnsi="Times New Roman"/>
          <w:sz w:val="22"/>
          <w:szCs w:val="22"/>
          <w:color w:val="auto"/>
        </w:rPr>
        <w:t xml:space="preserve">” means a Change of Control that occurs on any date beginning on the Effective Date until the earlier of (i)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(ii) the date that the Regulatory Milestone Payment is made.</w:t>
      </w:r>
    </w:p>
    <w:p>
      <w:pPr>
        <w:spacing w:after="0" w:line="14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Pre-Regulatory Milestone Change of Control Payment Date</w:t>
      </w:r>
      <w:r>
        <w:rPr>
          <w:rFonts w:ascii="Times New Roman" w:cs="Times New Roman" w:eastAsia="Times New Roman" w:hAnsi="Times New Roman"/>
          <w:sz w:val="22"/>
          <w:szCs w:val="22"/>
          <w:color w:val="auto"/>
        </w:rPr>
        <w:t>” means a Business Day identified by the Company by written notice to the Investors that is on or prior to the occurrence of the Change of Control described in the definition of Pre-Regulatory Milestone Change of Control.</w:t>
      </w:r>
    </w:p>
    <w:p>
      <w:pPr>
        <w:spacing w:after="0" w:line="1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Pre-Regulatory Milestone Change of Control Price</w:t>
      </w:r>
      <w:r>
        <w:rPr>
          <w:rFonts w:ascii="Times New Roman" w:cs="Times New Roman" w:eastAsia="Times New Roman" w:hAnsi="Times New Roman"/>
          <w:sz w:val="21"/>
          <w:szCs w:val="21"/>
          <w:color w:val="auto"/>
        </w:rPr>
        <w:t xml:space="preserve">” means, as of the Pre-Regulatory Milestone Change of Control Payment Date, an amount equal to (i) the Cap Amount, less the amount of all Royalty Payments received by the Investors pursuant to this Agreement (but in no event less than zero), as of the Pre-Regulatory Milestone Change of Control Payment Date plus (ii) (a) beginning on the Effective Date until the day prior to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as of the Pre-Regulatory Milestone Change of Control Payment Date and (b) beginning on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as of the Pre-Regulatory Milestone Change of Control Payment Date.</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prime rate published by The Wall Street Journal, from time to time, as the prime rate.</w:t>
      </w:r>
    </w:p>
    <w:p>
      <w:pPr>
        <w:spacing w:after="0" w:line="22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individually and collectively, any pharmaceutical product, including all forms, presentations, strengths, doses and formulations (including any method of delivery), containing the Compound alone or in combination with at least one other therapeutically active ingredient.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8" w:name="page59"/>
    <w:bookmarkEnd w:id="58"/>
    <w:p>
      <w:pPr>
        <w:jc w:val="both"/>
        <w:ind w:right="20"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Rights</w:t>
      </w:r>
      <w:r>
        <w:rPr>
          <w:rFonts w:ascii="Times New Roman" w:cs="Times New Roman" w:eastAsia="Times New Roman" w:hAnsi="Times New Roman"/>
          <w:sz w:val="22"/>
          <w:szCs w:val="22"/>
          <w:color w:val="auto"/>
        </w:rPr>
        <w:t>” means any and all of the following, as they exist throughout the Territory: (a) Intellectual Property Product Rights, (b) regulatory filings, submissions and approvals, including Marketing Approvals, with or from any Regulatory Authorities with respect to any of the Products, (c) In-Licenses and (d) Out-Licenses.</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Assignee</w:t>
      </w:r>
      <w:r>
        <w:rPr>
          <w:rFonts w:ascii="Times New Roman" w:cs="Times New Roman" w:eastAsia="Times New Roman" w:hAnsi="Times New Roman"/>
          <w:sz w:val="22"/>
          <w:szCs w:val="22"/>
          <w:color w:val="auto"/>
        </w:rPr>
        <w:t>” means (i) any competitor of the Company primarily operating in the biopharmaceutical industry, at least 50.0% of the revenues of which are derived from the sale of biopharmaceutical products, and (ii) any of such competitor’s Affiliates (other than any Person that is a bona fide debt fund primarily engaged in the making, purchasing, holding or other investing in commercial loans, notes, bonds or similar extensions of credit or securities in the ordinary course of business) that is either (x) identified by name in writing by the Company to the Investors from time to time or (y) clearly identifiable on the basis of such Affiliate’s name.</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Party</w:t>
      </w:r>
      <w:r>
        <w:rPr>
          <w:rFonts w:ascii="Times New Roman" w:cs="Times New Roman" w:eastAsia="Times New Roman" w:hAnsi="Times New Roman"/>
          <w:sz w:val="22"/>
          <w:szCs w:val="22"/>
          <w:color w:val="auto"/>
        </w:rPr>
        <w:t xml:space="preserve">” means: (i) a pharmaceutical or biotech company with (a) annual revenue for its most recently completed fiscal year of at least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(b) a market capitalization or enterprise value (as determined in good faith by the Company) in excess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at the time of determination; or (ii) any other Person designated as such in writing by mutual agreement of the Company and the Required Investors.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national or supranational Governmental Entity, including the FDA, the European Commission of the European Union (upon the recommendation of the EMA) or such equivalent regulatory authority, or any successor agency thereto, that has responsibility in granting a Marketing Approval.</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(EE) Event</w:t>
      </w:r>
      <w:r>
        <w:rPr>
          <w:rFonts w:ascii="Times New Roman" w:cs="Times New Roman" w:eastAsia="Times New Roman" w:hAnsi="Times New Roman"/>
          <w:sz w:val="22"/>
          <w:szCs w:val="22"/>
          <w:color w:val="auto"/>
        </w:rPr>
        <w:t>” means that the FDA has approved the Company’s NDA for vonoprazan for an indication relating to the healing and maintenance of healing of erosive esophagitis with an approved indication on the label that is generally consistent with that sought in the Company’s NDA submission.</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(HP) Event</w:t>
      </w:r>
      <w:r>
        <w:rPr>
          <w:rFonts w:ascii="Times New Roman" w:cs="Times New Roman" w:eastAsia="Times New Roman" w:hAnsi="Times New Roman"/>
          <w:sz w:val="22"/>
          <w:szCs w:val="22"/>
          <w:color w:val="auto"/>
        </w:rPr>
        <w:t xml:space="preserve">” means that the FDA has approved the Company’s NDA for the Compound co-packaged with one or more antibiotics for treatment of </w:t>
      </w:r>
      <w:r>
        <w:rPr>
          <w:rFonts w:ascii="Times New Roman" w:cs="Times New Roman" w:eastAsia="Times New Roman" w:hAnsi="Times New Roman"/>
          <w:sz w:val="22"/>
          <w:szCs w:val="22"/>
          <w:i w:val="1"/>
          <w:iCs w:val="1"/>
          <w:color w:val="auto"/>
        </w:rPr>
        <w:t>Helicobacter pylori</w:t>
      </w:r>
      <w:r>
        <w:rPr>
          <w:rFonts w:ascii="Times New Roman" w:cs="Times New Roman" w:eastAsia="Times New Roman" w:hAnsi="Times New Roman"/>
          <w:sz w:val="22"/>
          <w:szCs w:val="22"/>
          <w:color w:val="auto"/>
        </w:rPr>
        <w:t xml:space="preserve"> infection in adults with an approved indication on the label that is generally consistent with that sought in the Company’s NDA submission.</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(NERD) Event</w:t>
      </w:r>
      <w:r>
        <w:rPr>
          <w:rFonts w:ascii="Times New Roman" w:cs="Times New Roman" w:eastAsia="Times New Roman" w:hAnsi="Times New Roman"/>
          <w:sz w:val="22"/>
          <w:szCs w:val="22"/>
          <w:color w:val="auto"/>
        </w:rPr>
        <w:t>” means that the FDA has approved the Company’s NDA (or supplemental NDA) for vonoprazan for an indication relating to the treatment of heartburn associated with symptomatic non-erosive gastroesophageal reflux disease, with an approved indication on the label that is generally consistent with that sought in the Company’s NDA submission (or the Company’s supplemental NDA submission).</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Payment</w:t>
      </w:r>
      <w:r>
        <w:rPr>
          <w:rFonts w:ascii="Times New Roman" w:cs="Times New Roman" w:eastAsia="Times New Roman" w:hAnsi="Times New Roman"/>
          <w:sz w:val="22"/>
          <w:szCs w:val="22"/>
          <w:color w:val="auto"/>
        </w:rPr>
        <w:t xml:space="preserve">” means (i) at any time prior to the date on which the Company has obtained a commitment for an Additional Regulatory Milestone Payment, if any, pursuant to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 $160,000,000, and (ii) thereafter, an amount equal to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59" w:name="page60"/>
    <w:bookmarkEnd w:id="59"/>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$160,000,000 plus (b) the amount of the Additional Regulatory Milestone Payment for which the Company has obtained a commitment pursuant to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Payment Option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Milestone ROFO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means, with respect to any Person, (a) any direct or indirect equityholder, member or partner of such Person and (b) any manager, director, trustee, officer, employee, agent, advisor or other representative (including attorneys, accountants, consultants, contractors, bankers and financial advisers and actual and potential lenders (or other sources of funding), investors, co-investors and assignees) of such Person.</w:t>
      </w:r>
    </w:p>
    <w:p>
      <w:pPr>
        <w:spacing w:after="0" w:line="17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Investors</w:t>
      </w:r>
      <w:r>
        <w:rPr>
          <w:rFonts w:ascii="Times New Roman" w:cs="Times New Roman" w:eastAsia="Times New Roman" w:hAnsi="Times New Roman"/>
          <w:sz w:val="22"/>
          <w:szCs w:val="22"/>
          <w:color w:val="auto"/>
        </w:rPr>
        <w:t>” means, as of any date of determination, Investors whose Specified Percentages taken together equal at least 50.1% as of such date.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Interest Collateral</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Interests</w:t>
      </w:r>
      <w:r>
        <w:rPr>
          <w:rFonts w:ascii="Times New Roman" w:cs="Times New Roman" w:eastAsia="Times New Roman" w:hAnsi="Times New Roman"/>
          <w:sz w:val="22"/>
          <w:szCs w:val="22"/>
          <w:color w:val="auto"/>
        </w:rPr>
        <w:t>” means all of the Company’s rights, title and interest in and to the Royalty Payments.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ROFO Regulatory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ROFO Sales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Payment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Payments</w:t>
      </w:r>
      <w:r>
        <w:rPr>
          <w:rFonts w:ascii="Times New Roman" w:cs="Times New Roman" w:eastAsia="Times New Roman" w:hAnsi="Times New Roman"/>
          <w:sz w:val="22"/>
          <w:szCs w:val="22"/>
          <w:color w:val="auto"/>
        </w:rPr>
        <w:t>” means, for each calendar quarter from and after April 1, 2022, an amount equal to (i) the amount of all aggregate Net Sales in the Territory during such calendar quarter multiplied by the Royalty Rate, plus (ii) the amount of all aggregate License Royalty Revenue in the Territory during such calendar quarter multiplied by 10.0%, plus (iii) the amount of all aggregate License Milestone Revenue in the Territory during such calendar quarter multiplied by 10.0%.</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 xml:space="preserve">” means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subject to receipt by the Investors of written evidence from the Company of the achievement of the Regulatory Milestone (NERD) Event, the “</w:t>
      </w:r>
      <w:r>
        <w:rPr>
          <w:rFonts w:ascii="Times New Roman" w:cs="Times New Roman" w:eastAsia="Times New Roman" w:hAnsi="Times New Roman"/>
          <w:sz w:val="22"/>
          <w:szCs w:val="22"/>
          <w:u w:val="single" w:color="auto"/>
          <w:color w:val="auto"/>
        </w:rPr>
        <w:t>Royalty Rate</w:t>
      </w:r>
      <w:r>
        <w:rPr>
          <w:rFonts w:ascii="Times New Roman" w:cs="Times New Roman" w:eastAsia="Times New Roman" w:hAnsi="Times New Roman"/>
          <w:sz w:val="22"/>
          <w:szCs w:val="22"/>
          <w:color w:val="auto"/>
        </w:rPr>
        <w:t xml:space="preserve">” shall be reduced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for the increment of Net Sales in the Territory exceeding the amounts set forth in the table below for the corresponding calendar year: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0" w:name="page61"/>
    <w:bookmarkEnd w:id="60"/>
    <w:tbl>
      <w:tblPr>
        <w:tblLayout w:type="fixed"/>
        <w:tblInd w:w="2030" w:type="dxa"/>
        <w:tblCellMar>
          <w:top w:w="0" w:type="dxa"/>
          <w:left w:w="0" w:type="dxa"/>
          <w:bottom w:w="0" w:type="dxa"/>
          <w:right w:w="0" w:type="dxa"/>
        </w:tblCellMar>
      </w:tblPr>
      <w:tr>
        <w:trPr>
          <w:trHeight w:val="326"/>
        </w:trPr>
        <w:tc>
          <w:tcPr>
            <w:tcW w:w="2940" w:type="dxa"/>
            <w:vAlign w:val="bottom"/>
            <w:tcBorders>
              <w:top w:val="single" w:sz="8" w:color="auto"/>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b w:val="1"/>
                <w:bCs w:val="1"/>
                <w:color w:val="auto"/>
              </w:rPr>
              <w:t>Calendar Year</w:t>
            </w:r>
          </w:p>
        </w:tc>
        <w:tc>
          <w:tcPr>
            <w:tcW w:w="4600" w:type="dxa"/>
            <w:vAlign w:val="bottom"/>
            <w:tcBorders>
              <w:top w:val="single" w:sz="8" w:color="auto"/>
              <w:right w:val="single" w:sz="8" w:color="auto"/>
            </w:tcBorders>
          </w:tcPr>
          <w:p>
            <w:pPr>
              <w:jc w:val="right"/>
              <w:ind w:right="1804"/>
              <w:spacing w:after="0"/>
              <w:rPr>
                <w:sz w:val="20"/>
                <w:szCs w:val="20"/>
                <w:color w:val="auto"/>
              </w:rPr>
            </w:pPr>
            <w:r>
              <w:rPr>
                <w:rFonts w:ascii="Times New Roman" w:cs="Times New Roman" w:eastAsia="Times New Roman" w:hAnsi="Times New Roman"/>
                <w:sz w:val="22"/>
                <w:szCs w:val="22"/>
                <w:b w:val="1"/>
                <w:bCs w:val="1"/>
                <w:color w:val="auto"/>
              </w:rPr>
              <w:t>Net Sales</w:t>
            </w:r>
          </w:p>
        </w:tc>
      </w:tr>
      <w:tr>
        <w:trPr>
          <w:trHeight w:val="52"/>
        </w:trPr>
        <w:tc>
          <w:tcPr>
            <w:tcW w:w="2940" w:type="dxa"/>
            <w:vAlign w:val="bottom"/>
            <w:tcBorders>
              <w:left w:val="single" w:sz="8" w:color="auto"/>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306"/>
        </w:trPr>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2022</w:t>
            </w:r>
          </w:p>
        </w:tc>
        <w:tc>
          <w:tcPr>
            <w:tcW w:w="4600" w:type="dxa"/>
            <w:vAlign w:val="bottom"/>
            <w:tcBorders>
              <w:right w:val="single" w:sz="8" w:color="auto"/>
            </w:tcBorders>
          </w:tcPr>
          <w:p>
            <w:pPr>
              <w:jc w:val="right"/>
              <w:ind w:right="4024"/>
              <w:spacing w:after="0"/>
              <w:rPr>
                <w:sz w:val="20"/>
                <w:szCs w:val="20"/>
                <w:color w:val="auto"/>
              </w:rPr>
            </w:pPr>
            <w:r>
              <w:rPr>
                <w:rFonts w:ascii="Times New Roman" w:cs="Times New Roman" w:eastAsia="Times New Roman" w:hAnsi="Times New Roman"/>
                <w:sz w:val="19"/>
                <w:szCs w:val="19"/>
                <w:color w:val="auto"/>
              </w:rPr>
              <w:t>[***]</w:t>
            </w:r>
          </w:p>
        </w:tc>
      </w:tr>
      <w:tr>
        <w:trPr>
          <w:trHeight w:val="56"/>
        </w:trPr>
        <w:tc>
          <w:tcPr>
            <w:tcW w:w="29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303"/>
        </w:trPr>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2023</w:t>
            </w:r>
          </w:p>
        </w:tc>
        <w:tc>
          <w:tcPr>
            <w:tcW w:w="4600" w:type="dxa"/>
            <w:vAlign w:val="bottom"/>
            <w:tcBorders>
              <w:right w:val="single" w:sz="8" w:color="auto"/>
            </w:tcBorders>
          </w:tcPr>
          <w:p>
            <w:pPr>
              <w:jc w:val="right"/>
              <w:ind w:right="4024"/>
              <w:spacing w:after="0"/>
              <w:rPr>
                <w:sz w:val="20"/>
                <w:szCs w:val="20"/>
                <w:color w:val="auto"/>
              </w:rPr>
            </w:pPr>
            <w:r>
              <w:rPr>
                <w:rFonts w:ascii="Times New Roman" w:cs="Times New Roman" w:eastAsia="Times New Roman" w:hAnsi="Times New Roman"/>
                <w:sz w:val="19"/>
                <w:szCs w:val="19"/>
                <w:color w:val="auto"/>
              </w:rPr>
              <w:t>[***]</w:t>
            </w:r>
          </w:p>
        </w:tc>
      </w:tr>
      <w:tr>
        <w:trPr>
          <w:trHeight w:val="56"/>
        </w:trPr>
        <w:tc>
          <w:tcPr>
            <w:tcW w:w="29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302"/>
        </w:trPr>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2024</w:t>
            </w:r>
          </w:p>
        </w:tc>
        <w:tc>
          <w:tcPr>
            <w:tcW w:w="4600" w:type="dxa"/>
            <w:vAlign w:val="bottom"/>
            <w:tcBorders>
              <w:right w:val="single" w:sz="8" w:color="auto"/>
            </w:tcBorders>
          </w:tcPr>
          <w:p>
            <w:pPr>
              <w:jc w:val="right"/>
              <w:ind w:right="4024"/>
              <w:spacing w:after="0"/>
              <w:rPr>
                <w:sz w:val="20"/>
                <w:szCs w:val="20"/>
                <w:color w:val="auto"/>
              </w:rPr>
            </w:pPr>
            <w:r>
              <w:rPr>
                <w:rFonts w:ascii="Times New Roman" w:cs="Times New Roman" w:eastAsia="Times New Roman" w:hAnsi="Times New Roman"/>
                <w:sz w:val="19"/>
                <w:szCs w:val="19"/>
                <w:color w:val="auto"/>
              </w:rPr>
              <w:t>[***]</w:t>
            </w:r>
          </w:p>
        </w:tc>
      </w:tr>
      <w:tr>
        <w:trPr>
          <w:trHeight w:val="56"/>
        </w:trPr>
        <w:tc>
          <w:tcPr>
            <w:tcW w:w="29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303"/>
        </w:trPr>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2025</w:t>
            </w:r>
          </w:p>
        </w:tc>
        <w:tc>
          <w:tcPr>
            <w:tcW w:w="4600" w:type="dxa"/>
            <w:vAlign w:val="bottom"/>
            <w:tcBorders>
              <w:right w:val="single" w:sz="8" w:color="auto"/>
            </w:tcBorders>
          </w:tcPr>
          <w:p>
            <w:pPr>
              <w:jc w:val="right"/>
              <w:ind w:right="4024"/>
              <w:spacing w:after="0"/>
              <w:rPr>
                <w:sz w:val="20"/>
                <w:szCs w:val="20"/>
                <w:color w:val="auto"/>
              </w:rPr>
            </w:pPr>
            <w:r>
              <w:rPr>
                <w:rFonts w:ascii="Times New Roman" w:cs="Times New Roman" w:eastAsia="Times New Roman" w:hAnsi="Times New Roman"/>
                <w:sz w:val="19"/>
                <w:szCs w:val="19"/>
                <w:color w:val="auto"/>
              </w:rPr>
              <w:t>[***]</w:t>
            </w:r>
          </w:p>
        </w:tc>
      </w:tr>
      <w:tr>
        <w:trPr>
          <w:trHeight w:val="56"/>
        </w:trPr>
        <w:tc>
          <w:tcPr>
            <w:tcW w:w="29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302"/>
        </w:trPr>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2026</w:t>
            </w:r>
          </w:p>
        </w:tc>
        <w:tc>
          <w:tcPr>
            <w:tcW w:w="4600" w:type="dxa"/>
            <w:vAlign w:val="bottom"/>
            <w:tcBorders>
              <w:right w:val="single" w:sz="8" w:color="auto"/>
            </w:tcBorders>
          </w:tcPr>
          <w:p>
            <w:pPr>
              <w:jc w:val="right"/>
              <w:ind w:right="4024"/>
              <w:spacing w:after="0"/>
              <w:rPr>
                <w:sz w:val="20"/>
                <w:szCs w:val="20"/>
                <w:color w:val="auto"/>
              </w:rPr>
            </w:pPr>
            <w:r>
              <w:rPr>
                <w:rFonts w:ascii="Times New Roman" w:cs="Times New Roman" w:eastAsia="Times New Roman" w:hAnsi="Times New Roman"/>
                <w:sz w:val="19"/>
                <w:szCs w:val="19"/>
                <w:color w:val="auto"/>
              </w:rPr>
              <w:t>[***]</w:t>
            </w:r>
          </w:p>
        </w:tc>
      </w:tr>
      <w:tr>
        <w:trPr>
          <w:trHeight w:val="56"/>
        </w:trPr>
        <w:tc>
          <w:tcPr>
            <w:tcW w:w="29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r>
        <w:trPr>
          <w:trHeight w:val="303"/>
        </w:trPr>
        <w:tc>
          <w:tcPr>
            <w:tcW w:w="2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2027 and thereafter</w:t>
            </w:r>
          </w:p>
        </w:tc>
        <w:tc>
          <w:tcPr>
            <w:tcW w:w="4600" w:type="dxa"/>
            <w:vAlign w:val="bottom"/>
            <w:tcBorders>
              <w:right w:val="single" w:sz="8" w:color="auto"/>
            </w:tcBorders>
          </w:tcPr>
          <w:p>
            <w:pPr>
              <w:jc w:val="right"/>
              <w:ind w:right="4024"/>
              <w:spacing w:after="0"/>
              <w:rPr>
                <w:sz w:val="20"/>
                <w:szCs w:val="20"/>
                <w:color w:val="auto"/>
              </w:rPr>
            </w:pPr>
            <w:r>
              <w:rPr>
                <w:rFonts w:ascii="Times New Roman" w:cs="Times New Roman" w:eastAsia="Times New Roman" w:hAnsi="Times New Roman"/>
                <w:sz w:val="19"/>
                <w:szCs w:val="19"/>
                <w:color w:val="auto"/>
              </w:rPr>
              <w:t>[***]</w:t>
            </w:r>
          </w:p>
        </w:tc>
      </w:tr>
      <w:tr>
        <w:trPr>
          <w:trHeight w:val="56"/>
        </w:trPr>
        <w:tc>
          <w:tcPr>
            <w:tcW w:w="2940" w:type="dxa"/>
            <w:vAlign w:val="bottom"/>
            <w:tcBorders>
              <w:bottom w:val="single" w:sz="8" w:color="auto"/>
              <w:right w:val="single" w:sz="8" w:color="auto"/>
            </w:tcBorders>
          </w:tcPr>
          <w:p>
            <w:pPr>
              <w:spacing w:after="0"/>
              <w:rPr>
                <w:sz w:val="4"/>
                <w:szCs w:val="4"/>
                <w:color w:val="auto"/>
              </w:rPr>
            </w:pPr>
          </w:p>
        </w:tc>
        <w:tc>
          <w:tcPr>
            <w:tcW w:w="4600" w:type="dxa"/>
            <w:vAlign w:val="bottom"/>
            <w:tcBorders>
              <w:bottom w:val="single" w:sz="8" w:color="auto"/>
              <w:right w:val="single" w:sz="8" w:color="auto"/>
            </w:tcBorders>
          </w:tcPr>
          <w:p>
            <w:pPr>
              <w:spacing w:after="0"/>
              <w:rPr>
                <w:sz w:val="4"/>
                <w:szCs w:val="4"/>
                <w:color w:val="auto"/>
              </w:rPr>
            </w:pPr>
          </w:p>
        </w:tc>
      </w:tr>
    </w:tbl>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For the avoidance of doubt, the Royalty Rate shall not change solely due to the occurrence or non-occurrence of an Additional Regulatory Milestone Payment and/or a Sales Milestone Payment.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Amount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Sales Milestone Event</w:t>
      </w:r>
      <w:r>
        <w:rPr>
          <w:rFonts w:ascii="Times New Roman" w:cs="Times New Roman" w:eastAsia="Times New Roman" w:hAnsi="Times New Roman"/>
          <w:sz w:val="21"/>
          <w:szCs w:val="21"/>
          <w:color w:val="auto"/>
        </w:rPr>
        <w:t>” means that aggregate Net Sales of Products in the Territory in the twelve-month period ending</w:t>
      </w:r>
    </w:p>
    <w:p>
      <w:pPr>
        <w:spacing w:after="0" w:line="39"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 xml:space="preserve">shall have been equal to or greater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Payment Option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Milestone ROFO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that is the subject or target of any Sanctions.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OFAC or the U.S. Department of State, or by the United Nations Security Council, the United Kingdom, the European Union or any European Union member state, (b) any Person operating, organized or resident in a Sanctioned Country or (c) any Person controlled by any such Person.</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True Up Date Minimum</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True Up Date Royalties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True Up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1" w:name="page62"/>
    <w:bookmarkEnd w:id="61"/>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Percentage</w:t>
      </w:r>
      <w:r>
        <w:rPr>
          <w:rFonts w:ascii="Times New Roman" w:cs="Times New Roman" w:eastAsia="Times New Roman" w:hAnsi="Times New Roman"/>
          <w:sz w:val="22"/>
          <w:szCs w:val="22"/>
          <w:color w:val="auto"/>
        </w:rPr>
        <w:t>” means, with respect to an Investor as of any date of determination, (i) the Investment Amount paid by such Investor as of such date divided by (ii) the total Investment Amount paid by all Investors as of such date.</w:t>
      </w:r>
    </w:p>
    <w:p>
      <w:pPr>
        <w:spacing w:after="0" w:line="14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xml:space="preserve">” means that certain Subordination Agreement dated as of the Effective Date by and among Hercules and the Investors, and acknowledged and agreed to by the Company, in substantially the form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as amended, amended and restated, supplemented and otherwise modified from time to time in accordance with the terms thereof.</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and all corporations, partnerships, limited liability companies, joint ventures, associations and other entities controlled (by contract or otherwise) by the Company directly or indirectly through one or more intermediaries. For purposes hereof, the Company shall be deemed to control a partnership, limited liability company, association or other business entity if the Company, directly or indirectly through one or more intermediaries, shall be allocated a majority of partnership, limited liability company, association or other business entity gains or losses or shall be or control the managing director or general partner of such partnership, limited liability company, association or other business entity.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Takeda</w:t>
      </w:r>
      <w:r>
        <w:rPr>
          <w:rFonts w:ascii="Times New Roman" w:cs="Times New Roman" w:eastAsia="Times New Roman" w:hAnsi="Times New Roman"/>
          <w:sz w:val="22"/>
          <w:szCs w:val="22"/>
          <w:color w:val="auto"/>
        </w:rPr>
        <w:t>” means Takeda Pharmaceutical Company Limited, a company incorporated under the laws of Japan.</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Takeda License</w:t>
      </w:r>
      <w:r>
        <w:rPr>
          <w:rFonts w:ascii="Times New Roman" w:cs="Times New Roman" w:eastAsia="Times New Roman" w:hAnsi="Times New Roman"/>
          <w:sz w:val="22"/>
          <w:szCs w:val="22"/>
          <w:color w:val="auto"/>
        </w:rPr>
        <w:t>” means that certain License Agreement, dated May 7, 2019, by and between the Company and Takeda, as amended by Amendment No. 1, dated September 21, 2020, and as may be further amended, amended and restated, supplemented or otherwise modified from time to time.</w:t>
      </w:r>
    </w:p>
    <w:p>
      <w:pPr>
        <w:spacing w:after="0" w:line="18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9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shall mean the United States, Canada, Albania, Andorra, Austria, Belgium, Bosnia and Herzegovina, Bulgaria, Croatia, Cyprus, Czech Republic, Denmark, Estonia, Finland, France, Germany, Greece, Hungary, Iceland, Ireland, Italy, Kosovo, Latvia, Liechtenstein, Lithuania, Luxembourg, Malta, Moldova, Monaco, Montenegro, Netherlands, North Macedonia (formerly Macedonia), Norway, Poland, Portugal, Romania, San Marino, Serbia, Slovakia, Slovenia, Spain, Sweden, Switzerland, United Kingdom of Great Britain and Northern Ireland, and Vatican City (Holy See).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that is not the Company or the Company’s Affiliates.</w:t>
      </w:r>
    </w:p>
    <w:p>
      <w:pPr>
        <w:spacing w:after="0" w:line="22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this Agreement, the Subordination Agreement and any other documents, instruments or financing statements required to be delivered hereunder or thereunder or in connection herewith or therewith.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True Up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True Up Payments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 respect to any financing statement or by reason of any provisions of applicable law, the perfection or the effect of perfection or non-perfection of the security interest or any portion thereof granted pursuant to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xml:space="preserve"> is governed by the Uniform Commercial Code as in effect in a jurisdiction of the United States other than the State of New York, then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of this Agreement and any financing statement relating to such perfection or effect of perfection or non-perfection.</w:t>
      </w:r>
    </w:p>
    <w:p>
      <w:pPr>
        <w:spacing w:after="0" w:line="177" w:lineRule="exact"/>
        <w:rPr>
          <w:sz w:val="20"/>
          <w:szCs w:val="20"/>
          <w:color w:val="auto"/>
        </w:rPr>
      </w:pPr>
    </w:p>
    <w:p>
      <w:pPr>
        <w:ind w:right="440" w:firstLine="749"/>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 its 50 states, each territory thereof and the District of Columbia.</w:t>
      </w:r>
    </w:p>
    <w:p>
      <w:pPr>
        <w:spacing w:after="0" w:line="14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Voluntary Bankruptcy</w:t>
      </w:r>
      <w:r>
        <w:rPr>
          <w:rFonts w:ascii="Times New Roman" w:cs="Times New Roman" w:eastAsia="Times New Roman" w:hAnsi="Times New Roman"/>
          <w:sz w:val="22"/>
          <w:szCs w:val="22"/>
          <w:color w:val="auto"/>
        </w:rPr>
        <w:t>” means the Company, pursuant to or within the meaning of any Bankruptcy Law: (i) commences a voluntary case; (ii) consents to the entry of an order for relief against it in an involuntary case; (iii) consents to the appointment of a Custodian of it or for any substantial part of its property; or (iv) makes a general assignment for the benefit of its creditors or takes any comparable action under any non-U.S. laws relating to insolvency.</w:t>
      </w:r>
    </w:p>
    <w:p>
      <w:pPr>
        <w:spacing w:after="0" w:line="18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Certain Interpretations</w:t>
      </w:r>
      <w:r>
        <w:rPr>
          <w:rFonts w:ascii="Times New Roman" w:cs="Times New Roman" w:eastAsia="Times New Roman" w:hAnsi="Times New Roman"/>
          <w:sz w:val="22"/>
          <w:szCs w:val="22"/>
          <w:color w:val="auto"/>
        </w:rPr>
        <w:t>. Except where expressly stated otherwise in this Agreement, the following rules of interpretation apply to this Agreement:</w:t>
      </w:r>
    </w:p>
    <w:p>
      <w:pPr>
        <w:spacing w:after="0" w:line="172" w:lineRule="exact"/>
        <w:rPr>
          <w:sz w:val="20"/>
          <w:szCs w:val="20"/>
          <w:color w:val="auto"/>
        </w:rPr>
      </w:pPr>
    </w:p>
    <w:p>
      <w:pPr>
        <w:ind w:right="20" w:firstLine="757"/>
        <w:spacing w:after="0" w:line="258"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and “or” are not exclusive and “include,” “includes” and “including” are not limiting and shall be deemed to be followed by the words “without limitation”;</w:t>
      </w:r>
    </w:p>
    <w:p>
      <w:pPr>
        <w:spacing w:after="0" w:line="158"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in the phrase “to the extent” means the degree to which a subject or other thing extends, and such phrase does not mean simply “if”;</w:t>
      </w:r>
    </w:p>
    <w:p>
      <w:pPr>
        <w:spacing w:after="0" w:line="144"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“hereto,” “herein” and “hereunder” and words of similar import when used in this Agreement refer to this Agreement as a whole and not to any particular provision of this Agreement;</w:t>
      </w:r>
    </w:p>
    <w:p>
      <w:pPr>
        <w:spacing w:after="0" w:line="144" w:lineRule="exact"/>
        <w:rPr>
          <w:rFonts w:ascii="Times New Roman" w:cs="Times New Roman" w:eastAsia="Times New Roman" w:hAnsi="Times New Roman"/>
          <w:sz w:val="22"/>
          <w:szCs w:val="22"/>
          <w:color w:val="auto"/>
        </w:rPr>
      </w:pPr>
    </w:p>
    <w:p>
      <w:pPr>
        <w:jc w:val="both"/>
        <w:ind w:right="20" w:firstLine="757"/>
        <w:spacing w:after="0" w:line="250"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Person are also to its permitted successors and assigns (subject to any restrictions on assignment, transfer or delegation set forth herein), and any reference to a Person in a particular capacity excludes such Person in other capacities;</w:t>
      </w:r>
    </w:p>
    <w:p>
      <w:pPr>
        <w:spacing w:after="0" w:line="16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are applicable to the singular as well as the plural forms of such terms;</w:t>
      </w:r>
    </w:p>
    <w:p>
      <w:pPr>
        <w:spacing w:after="0" w:line="206"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“Article”, “Section” or “Exhibit” refer to an Article or Section of, or an Exhibit to, this Agreement, and references to a “Schedule” refer to a Schedule to this Agreement;</w:t>
      </w:r>
    </w:p>
    <w:p>
      <w:pPr>
        <w:spacing w:after="0" w:line="14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or otherwise to dollar amounts refer to the lawful currency of the United States;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3" w:name="page64"/>
    <w:bookmarkEnd w:id="63"/>
    <w:p>
      <w:pPr>
        <w:jc w:val="both"/>
        <w:ind w:firstLine="757"/>
        <w:spacing w:after="0" w:line="250" w:lineRule="auto"/>
        <w:tabs>
          <w:tab w:leader="none" w:pos="11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Effective Date;</w:t>
      </w:r>
    </w:p>
    <w:p>
      <w:pPr>
        <w:spacing w:after="0" w:line="167"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 and an accounting term not otherwise defined has the meaning assigned to it in accordance with GAAP;</w:t>
      </w:r>
    </w:p>
    <w:p>
      <w:pPr>
        <w:spacing w:after="0" w:line="14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 agreement or other document include references to such agreement or document as from time to time amended, restated, reformed, supplemented or otherwise modified in accordance with the terms thereof (subject to any restrictions on such amendments, restatements, reformations, supplements or modifications set forth in any Transaction Document) and include any annexes, exhibits and schedules attached thereto;</w:t>
      </w:r>
    </w:p>
    <w:p>
      <w:pPr>
        <w:spacing w:after="0" w:line="18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“will” shall be construed to have the same meaning and effect as the word “shall”;</w:t>
      </w:r>
    </w:p>
    <w:p>
      <w:pPr>
        <w:spacing w:after="0" w:line="206"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a period of time from a specified date to a later specified date, the word “from” means “from and including” and each of the words “to” and “until” means “to but excluding”;</w:t>
      </w:r>
    </w:p>
    <w:p>
      <w:pPr>
        <w:spacing w:after="0" w:line="14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spacing w:after="0" w:line="18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of any gender shall mean and include the correlative words of any other gender;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all terms that are defined in the UCC shall have the meanings stated in the UCC; and</w:t>
      </w:r>
    </w:p>
    <w:p>
      <w:pPr>
        <w:spacing w:after="0" w:line="206" w:lineRule="exact"/>
        <w:rPr>
          <w:rFonts w:ascii="Times New Roman" w:cs="Times New Roman" w:eastAsia="Times New Roman" w:hAnsi="Times New Roman"/>
          <w:sz w:val="22"/>
          <w:szCs w:val="22"/>
          <w:color w:val="auto"/>
        </w:rPr>
      </w:pPr>
    </w:p>
    <w:p>
      <w:pPr>
        <w:ind w:right="20" w:firstLine="757"/>
        <w:spacing w:after="0" w:line="295" w:lineRule="auto"/>
        <w:tabs>
          <w:tab w:leader="none" w:pos="118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that require that a party or the parties “agree”, “consent”, “approve” or the like shall require that such agreement, consent or approval be specific and in writing, whether by written agreement, letter, approved minutes or otherwise.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REVENUE INTEREST FINANCING</w:t>
      </w:r>
    </w:p>
    <w:p>
      <w:pPr>
        <w:spacing w:after="0" w:line="206"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Payment of the Investment Amount</w:t>
      </w:r>
      <w:r>
        <w:rPr>
          <w:rFonts w:ascii="Times New Roman" w:cs="Times New Roman" w:eastAsia="Times New Roman" w:hAnsi="Times New Roman"/>
          <w:sz w:val="22"/>
          <w:szCs w:val="22"/>
          <w:color w:val="auto"/>
        </w:rPr>
        <w:t>. Subject to the terms and conditions set forth herein, the Investors, severally but not jointly, shall make the following payments to the Company, free and clear, and without any deduction on account, of any withholding of any taxes:</w:t>
      </w:r>
    </w:p>
    <w:p>
      <w:pPr>
        <w:spacing w:after="0" w:line="164" w:lineRule="exact"/>
        <w:rPr>
          <w:sz w:val="20"/>
          <w:szCs w:val="20"/>
          <w:color w:val="auto"/>
        </w:rPr>
      </w:pPr>
    </w:p>
    <w:p>
      <w:pPr>
        <w:jc w:val="both"/>
        <w:ind w:firstLine="757"/>
        <w:spacing w:after="0" w:line="245" w:lineRule="auto"/>
        <w:tabs>
          <w:tab w:leader="none" w:pos="119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Funding Date Payment</w:t>
      </w:r>
      <w:r>
        <w:rPr>
          <w:rFonts w:ascii="Times New Roman" w:cs="Times New Roman" w:eastAsia="Times New Roman" w:hAnsi="Times New Roman"/>
          <w:sz w:val="22"/>
          <w:szCs w:val="22"/>
          <w:color w:val="auto"/>
        </w:rPr>
        <w:t>. On the Funding Date, subject to the satisfaction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each Initial Investor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pay (or cause to be paid) to the Company, severally but not jointly, the sum set forth opposite such Initial Investor’s name in the column entitled “Funding Date Payment”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attached hereto, by wire transfer of immediately available funds in U.S.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4" w:name="page65"/>
    <w:bookmarkEnd w:id="64"/>
    <w:p>
      <w:pPr>
        <w:ind w:right="20"/>
        <w:spacing w:after="0" w:line="271" w:lineRule="auto"/>
        <w:rPr>
          <w:sz w:val="20"/>
          <w:szCs w:val="20"/>
          <w:color w:val="auto"/>
        </w:rPr>
      </w:pPr>
      <w:r>
        <w:rPr>
          <w:rFonts w:ascii="Times New Roman" w:cs="Times New Roman" w:eastAsia="Times New Roman" w:hAnsi="Times New Roman"/>
          <w:sz w:val="22"/>
          <w:szCs w:val="22"/>
          <w:color w:val="auto"/>
        </w:rPr>
        <w:t>dollars to the account specified in the Funding Condition Satisfaction Notice (the aggregate of such amounts being the “</w:t>
      </w:r>
      <w:r>
        <w:rPr>
          <w:rFonts w:ascii="Times New Roman" w:cs="Times New Roman" w:eastAsia="Times New Roman" w:hAnsi="Times New Roman"/>
          <w:sz w:val="22"/>
          <w:szCs w:val="22"/>
          <w:u w:val="single" w:color="auto"/>
          <w:color w:val="auto"/>
        </w:rPr>
        <w:t>Funding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 Payment</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1180" w:hanging="423"/>
        <w:spacing w:after="0"/>
        <w:tabs>
          <w:tab w:leader="none" w:pos="11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Regulatory Milestone Payment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760" w:firstLine="745"/>
        <w:spacing w:after="0" w:line="250" w:lineRule="auto"/>
        <w:tabs>
          <w:tab w:leader="none" w:pos="194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 xml:space="preserve">, if the Regulatory Milestone (EE) Event occurs on or before March 31, 2024, then the Company shall notify the Investors in writing of the occurrence of the Regulatory Milestone (EE) Event within five Business Days of the occurrence thereof, and, no later than 15 Business Days after receipt by the Investors of such written notice, each Investor shall pay (or cause to be paid) to the Company, severally but not jointly, by wire transfer of immediately available funds in U.S. dollars as directed by the Company in writing concurrent with the furnishing of such written notice, (A) if such Investor is an Initial Investor, the sum set forth opposite such Initial Investor’s name in the column entitled “Regulatory Milestone Payment” on </w:t>
      </w:r>
      <w:r>
        <w:rPr>
          <w:rFonts w:ascii="Times New Roman" w:cs="Times New Roman" w:eastAsia="Times New Roman" w:hAnsi="Times New Roman"/>
          <w:sz w:val="21"/>
          <w:szCs w:val="21"/>
          <w:u w:val="single" w:color="auto"/>
          <w:color w:val="auto"/>
        </w:rPr>
        <w:t>Schedule 1.1</w:t>
      </w:r>
      <w:r>
        <w:rPr>
          <w:rFonts w:ascii="Times New Roman" w:cs="Times New Roman" w:eastAsia="Times New Roman" w:hAnsi="Times New Roman"/>
          <w:sz w:val="21"/>
          <w:szCs w:val="21"/>
          <w:color w:val="auto"/>
        </w:rPr>
        <w:t xml:space="preserve"> attached hereto plus any additional amount committed by such Investor as set forth in the written notice described in the last sentence of </w:t>
      </w:r>
      <w:r>
        <w:rPr>
          <w:rFonts w:ascii="Times New Roman" w:cs="Times New Roman" w:eastAsia="Times New Roman" w:hAnsi="Times New Roman"/>
          <w:sz w:val="21"/>
          <w:szCs w:val="21"/>
          <w:u w:val="single" w:color="auto"/>
          <w:color w:val="auto"/>
        </w:rPr>
        <w:t>Section 2.1(b)(ii)</w:t>
      </w:r>
      <w:r>
        <w:rPr>
          <w:rFonts w:ascii="Times New Roman" w:cs="Times New Roman" w:eastAsia="Times New Roman" w:hAnsi="Times New Roman"/>
          <w:sz w:val="21"/>
          <w:szCs w:val="21"/>
          <w:color w:val="auto"/>
        </w:rPr>
        <w:t xml:space="preserve">, and (B) if such Investor is an Additional Regulatory Milestone Investor, the portion of the Additional Regulatory Milestone Payment payable by such Additional Regulatory Milestone Investor. If the Regulatory Milestone (EE) Event does not occur on or before March 31, 2024, then no Investor shall be required to pay any amounts pursuant to this </w:t>
      </w:r>
      <w:r>
        <w:rPr>
          <w:rFonts w:ascii="Times New Roman" w:cs="Times New Roman" w:eastAsia="Times New Roman" w:hAnsi="Times New Roman"/>
          <w:sz w:val="21"/>
          <w:szCs w:val="21"/>
          <w:u w:val="single" w:color="auto"/>
          <w:color w:val="auto"/>
        </w:rPr>
        <w:t>Section 2.1(b)</w:t>
      </w:r>
      <w:r>
        <w:rPr>
          <w:rFonts w:ascii="Times New Roman" w:cs="Times New Roman" w:eastAsia="Times New Roman" w:hAnsi="Times New Roman"/>
          <w:sz w:val="21"/>
          <w:szCs w:val="21"/>
          <w:color w:val="auto"/>
        </w:rPr>
        <w:t>.</w:t>
      </w:r>
    </w:p>
    <w:p>
      <w:pPr>
        <w:spacing w:after="0" w:line="189" w:lineRule="exact"/>
        <w:rPr>
          <w:rFonts w:ascii="Times New Roman" w:cs="Times New Roman" w:eastAsia="Times New Roman" w:hAnsi="Times New Roman"/>
          <w:sz w:val="21"/>
          <w:szCs w:val="21"/>
          <w:color w:val="auto"/>
        </w:rPr>
      </w:pPr>
    </w:p>
    <w:p>
      <w:pPr>
        <w:jc w:val="both"/>
        <w:ind w:left="760" w:firstLine="745"/>
        <w:spacing w:after="0" w:line="248" w:lineRule="auto"/>
        <w:tabs>
          <w:tab w:leader="none" w:pos="194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the right at any time prior to the occurrence of the Regulatory Milestone (EE) Event, but in no event later than December 31, 2022, to obtain a written commitment for additional funding from a Third Party (an “</w:t>
      </w:r>
      <w:r>
        <w:rPr>
          <w:rFonts w:ascii="Times New Roman" w:cs="Times New Roman" w:eastAsia="Times New Roman" w:hAnsi="Times New Roman"/>
          <w:sz w:val="21"/>
          <w:szCs w:val="21"/>
          <w:u w:val="single" w:color="auto"/>
          <w:color w:val="auto"/>
        </w:rPr>
        <w:t>Additional Regulatory Milestone Investor</w:t>
      </w:r>
      <w:r>
        <w:rPr>
          <w:rFonts w:ascii="Times New Roman" w:cs="Times New Roman" w:eastAsia="Times New Roman" w:hAnsi="Times New Roman"/>
          <w:sz w:val="21"/>
          <w:szCs w:val="21"/>
          <w:color w:val="auto"/>
        </w:rPr>
        <w:t>”) in an amount up to $15,000,000 (an “</w:t>
      </w:r>
      <w:r>
        <w:rPr>
          <w:rFonts w:ascii="Times New Roman" w:cs="Times New Roman" w:eastAsia="Times New Roman" w:hAnsi="Times New Roman"/>
          <w:sz w:val="21"/>
          <w:szCs w:val="21"/>
          <w:u w:val="single" w:color="auto"/>
          <w:color w:val="auto"/>
        </w:rPr>
        <w:t>Additional Regulatory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Milestone Payment</w:t>
      </w:r>
      <w:r>
        <w:rPr>
          <w:rFonts w:ascii="Times New Roman" w:cs="Times New Roman" w:eastAsia="Times New Roman" w:hAnsi="Times New Roman"/>
          <w:sz w:val="21"/>
          <w:szCs w:val="21"/>
          <w:color w:val="auto"/>
        </w:rPr>
        <w:t xml:space="preserve">”), to be payable in accordance with (and only in accordance with) </w:t>
      </w:r>
      <w:r>
        <w:rPr>
          <w:rFonts w:ascii="Times New Roman" w:cs="Times New Roman" w:eastAsia="Times New Roman" w:hAnsi="Times New Roman"/>
          <w:sz w:val="21"/>
          <w:szCs w:val="21"/>
          <w:u w:val="single" w:color="auto"/>
          <w:color w:val="auto"/>
        </w:rPr>
        <w:t>Section 2.1(b)(i)</w:t>
      </w:r>
      <w:r>
        <w:rPr>
          <w:rFonts w:ascii="Times New Roman" w:cs="Times New Roman" w:eastAsia="Times New Roman" w:hAnsi="Times New Roman"/>
          <w:sz w:val="21"/>
          <w:szCs w:val="21"/>
          <w:color w:val="auto"/>
        </w:rPr>
        <w:t xml:space="preserve"> (and subject to </w:t>
      </w:r>
      <w:r>
        <w:rPr>
          <w:rFonts w:ascii="Times New Roman" w:cs="Times New Roman" w:eastAsia="Times New Roman" w:hAnsi="Times New Roman"/>
          <w:sz w:val="21"/>
          <w:szCs w:val="21"/>
          <w:u w:val="single" w:color="auto"/>
          <w:color w:val="auto"/>
        </w:rPr>
        <w:t>Section 2.1(d)</w:t>
      </w:r>
      <w:r>
        <w:rPr>
          <w:rFonts w:ascii="Times New Roman" w:cs="Times New Roman" w:eastAsia="Times New Roman" w:hAnsi="Times New Roman"/>
          <w:sz w:val="21"/>
          <w:szCs w:val="21"/>
          <w:color w:val="auto"/>
        </w:rPr>
        <w:t xml:space="preserve">), subject to such Additional Regulatory Milestone Investor executing a joinder to this Agreement and agreeing to be an “Investor” for all purposes hereunder, and subject to the Company’s compliance with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2.1(b)(ii)</w:t>
      </w:r>
      <w:r>
        <w:rPr>
          <w:rFonts w:ascii="Times New Roman" w:cs="Times New Roman" w:eastAsia="Times New Roman" w:hAnsi="Times New Roman"/>
          <w:sz w:val="21"/>
          <w:szCs w:val="21"/>
          <w:color w:val="auto"/>
        </w:rPr>
        <w:t xml:space="preserve">. If the Company desires to obtain a commitment for an Additional Regulatory Milestone Payment from an Additional Regulatory Milestone Investor, then the Company shall first grant the Initial Investors the right to extend commitments for such Additional Regulatory Milestone Payment (pro rata in accordance with their Investment Amounts specified in </w:t>
      </w:r>
      <w:r>
        <w:rPr>
          <w:rFonts w:ascii="Times New Roman" w:cs="Times New Roman" w:eastAsia="Times New Roman" w:hAnsi="Times New Roman"/>
          <w:sz w:val="21"/>
          <w:szCs w:val="21"/>
          <w:u w:val="single" w:color="auto"/>
          <w:color w:val="auto"/>
        </w:rPr>
        <w:t>Schedule 1.1</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Regulatory Milestone Payment Option</w:t>
      </w:r>
      <w:r>
        <w:rPr>
          <w:rFonts w:ascii="Times New Roman" w:cs="Times New Roman" w:eastAsia="Times New Roman" w:hAnsi="Times New Roman"/>
          <w:sz w:val="21"/>
          <w:szCs w:val="21"/>
          <w:color w:val="auto"/>
        </w:rPr>
        <w:t>”) by delivering to the Initial Investors a written notice of such intended transaction with the Additional Regulatory Milestone Investor (a “</w:t>
      </w:r>
      <w:r>
        <w:rPr>
          <w:rFonts w:ascii="Times New Roman" w:cs="Times New Roman" w:eastAsia="Times New Roman" w:hAnsi="Times New Roman"/>
          <w:sz w:val="21"/>
          <w:szCs w:val="21"/>
          <w:u w:val="single" w:color="auto"/>
          <w:color w:val="auto"/>
        </w:rPr>
        <w:t>ROFO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Regulatory Notice</w:t>
      </w:r>
      <w:r>
        <w:rPr>
          <w:rFonts w:ascii="Times New Roman" w:cs="Times New Roman" w:eastAsia="Times New Roman" w:hAnsi="Times New Roman"/>
          <w:sz w:val="21"/>
          <w:szCs w:val="21"/>
          <w:color w:val="auto"/>
        </w:rPr>
        <w:t>”). Each such Initial Investor shall have 15 days after receipt of the ROFO Regulatory Notice (the “</w:t>
      </w:r>
      <w:r>
        <w:rPr>
          <w:rFonts w:ascii="Times New Roman" w:cs="Times New Roman" w:eastAsia="Times New Roman" w:hAnsi="Times New Roman"/>
          <w:sz w:val="21"/>
          <w:szCs w:val="21"/>
          <w:u w:val="single" w:color="auto"/>
          <w:color w:val="auto"/>
        </w:rPr>
        <w:t>Regulatory Milestone ROFO Period</w:t>
      </w:r>
      <w:r>
        <w:rPr>
          <w:rFonts w:ascii="Times New Roman" w:cs="Times New Roman" w:eastAsia="Times New Roman" w:hAnsi="Times New Roman"/>
          <w:sz w:val="21"/>
          <w:szCs w:val="21"/>
          <w:color w:val="auto"/>
        </w:rPr>
        <w:t>”) within which to exercise the Regulatory Milestone Payment Option by written notice to the Company, which may, at the sole discretion of each such Initial Investor, also provide a higher percentage of the Additional Regulatory Milestone Payment as to which such Initial Investor is willing to commit to the extent that one or more other Initial Investors do not timely exercise their Regulatory Milestone Payment Option. If (x) one or more of the Initial Investors do not exercise the Regulatory Milestone Payment Option within the Regulatory Milestone ROFO Period and (y) any Initial Investors who did exercise the Regulatory Milestone Payment Option within the Regulatory Milestone ROFO Period did not express a willingness to collectively commit to the full amount of the Additional Regulatory Milestone Payment, then the Company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5" w:name="page66"/>
    <w:bookmarkEnd w:id="65"/>
    <w:p>
      <w:pPr>
        <w:jc w:val="both"/>
        <w:ind w:left="760"/>
        <w:spacing w:after="0" w:line="241" w:lineRule="auto"/>
        <w:rPr>
          <w:sz w:val="20"/>
          <w:szCs w:val="20"/>
          <w:color w:val="auto"/>
        </w:rPr>
      </w:pPr>
      <w:r>
        <w:rPr>
          <w:rFonts w:ascii="Times New Roman" w:cs="Times New Roman" w:eastAsia="Times New Roman" w:hAnsi="Times New Roman"/>
          <w:sz w:val="22"/>
          <w:szCs w:val="22"/>
          <w:color w:val="auto"/>
        </w:rPr>
        <w:t xml:space="preserve">shall have the right to obtain a commitment, for the portion of the Additional Regulatory Milestone Payment in respect of which the Initial Investors have not exercised the Regulatory Milestone Payment Option, from the Additional Regulatory Milestone Investor identified in the ROFO Regulatory Notice. Within two Business Days of the effectiveness of the commitments for an Additional Regulatory Milestone Payment pursuant to this </w:t>
      </w:r>
      <w:r>
        <w:rPr>
          <w:rFonts w:ascii="Times New Roman" w:cs="Times New Roman" w:eastAsia="Times New Roman" w:hAnsi="Times New Roman"/>
          <w:sz w:val="22"/>
          <w:szCs w:val="22"/>
          <w:u w:val="single" w:color="auto"/>
          <w:color w:val="auto"/>
        </w:rPr>
        <w:t>Section 2.1(b)(ii)</w:t>
      </w:r>
      <w:r>
        <w:rPr>
          <w:rFonts w:ascii="Times New Roman" w:cs="Times New Roman" w:eastAsia="Times New Roman" w:hAnsi="Times New Roman"/>
          <w:sz w:val="22"/>
          <w:szCs w:val="22"/>
          <w:color w:val="auto"/>
        </w:rPr>
        <w:t>, the Company shall provide a written notice to all Investors identifying each Investor committing to a portion of the Additional Regulatory Milestone Payment and each such Investor’s portion (in U.S. dollars) of the Additional Regulatory Milestone Payment.</w:t>
      </w:r>
    </w:p>
    <w:p>
      <w:pPr>
        <w:spacing w:after="0" w:line="175" w:lineRule="exact"/>
        <w:rPr>
          <w:sz w:val="20"/>
          <w:szCs w:val="20"/>
          <w:color w:val="auto"/>
        </w:rPr>
      </w:pPr>
    </w:p>
    <w:p>
      <w:pPr>
        <w:jc w:val="both"/>
        <w:ind w:firstLine="757"/>
        <w:spacing w:after="0" w:line="236"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Sales Milestone Payment</w:t>
      </w:r>
      <w:r>
        <w:rPr>
          <w:rFonts w:ascii="Times New Roman" w:cs="Times New Roman" w:eastAsia="Times New Roman" w:hAnsi="Times New Roman"/>
          <w:sz w:val="22"/>
          <w:szCs w:val="22"/>
          <w:color w:val="auto"/>
        </w:rPr>
        <w:t>. The Company shall have the right at any time prior to June 30, 2024 to obtain a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commitment for additional funding from a Third Party (an “</w:t>
      </w:r>
      <w:r>
        <w:rPr>
          <w:rFonts w:ascii="Times New Roman" w:cs="Times New Roman" w:eastAsia="Times New Roman" w:hAnsi="Times New Roman"/>
          <w:sz w:val="22"/>
          <w:szCs w:val="22"/>
          <w:u w:val="single" w:color="auto"/>
          <w:color w:val="auto"/>
        </w:rPr>
        <w:t>Additional Sales Milestone Investor</w:t>
      </w:r>
      <w:r>
        <w:rPr>
          <w:rFonts w:ascii="Times New Roman" w:cs="Times New Roman" w:eastAsia="Times New Roman" w:hAnsi="Times New Roman"/>
          <w:sz w:val="22"/>
          <w:szCs w:val="22"/>
          <w:color w:val="auto"/>
        </w:rPr>
        <w:t>”) in an amount up to $25,000,000 (a “</w:t>
      </w:r>
      <w:r>
        <w:rPr>
          <w:rFonts w:ascii="Times New Roman" w:cs="Times New Roman" w:eastAsia="Times New Roman" w:hAnsi="Times New Roman"/>
          <w:sz w:val="22"/>
          <w:szCs w:val="22"/>
          <w:u w:val="single" w:color="auto"/>
          <w:color w:val="auto"/>
        </w:rPr>
        <w:t>Sales Milestone Payment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xml:space="preserve">, subject to such Additional Sales Milestone Investor executing a joinder to this Agreement and agreeing to be an “Investor” for all purposes hereunder, and subject to the Company’s compliance with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such Sales Milestone Payment to be payable as described below in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If the Company desires to obtain a commitment for a Sales Milestone Payment from an Additional Sales Milestone Investor, then the Company shall first grant the Initial Investors the right to extend commitments for such Sales Milestone Payment (pro rata in accordance with their Investment Amounts specified in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Sales Milestone Payment Option</w:t>
      </w:r>
      <w:r>
        <w:rPr>
          <w:rFonts w:ascii="Times New Roman" w:cs="Times New Roman" w:eastAsia="Times New Roman" w:hAnsi="Times New Roman"/>
          <w:sz w:val="22"/>
          <w:szCs w:val="22"/>
          <w:color w:val="auto"/>
        </w:rPr>
        <w:t>”) by delivering to the Initial Investors a written notice of such intended transaction with the Additional Sales Milestone Investor (a “</w:t>
      </w:r>
      <w:r>
        <w:rPr>
          <w:rFonts w:ascii="Times New Roman" w:cs="Times New Roman" w:eastAsia="Times New Roman" w:hAnsi="Times New Roman"/>
          <w:sz w:val="22"/>
          <w:szCs w:val="22"/>
          <w:u w:val="single" w:color="auto"/>
          <w:color w:val="auto"/>
        </w:rPr>
        <w:t>ROFO Sales Notice</w:t>
      </w:r>
      <w:r>
        <w:rPr>
          <w:rFonts w:ascii="Times New Roman" w:cs="Times New Roman" w:eastAsia="Times New Roman" w:hAnsi="Times New Roman"/>
          <w:sz w:val="22"/>
          <w:szCs w:val="22"/>
          <w:color w:val="auto"/>
        </w:rPr>
        <w:t>”). Each such Initial Investor shall have 15 days after receipt of the ROFO Sales Notice (the “</w:t>
      </w:r>
      <w:r>
        <w:rPr>
          <w:rFonts w:ascii="Times New Roman" w:cs="Times New Roman" w:eastAsia="Times New Roman" w:hAnsi="Times New Roman"/>
          <w:sz w:val="22"/>
          <w:szCs w:val="22"/>
          <w:u w:val="single" w:color="auto"/>
          <w:color w:val="auto"/>
        </w:rPr>
        <w:t>Sales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Milestone ROFO Period</w:t>
      </w:r>
      <w:r>
        <w:rPr>
          <w:rFonts w:ascii="Times New Roman" w:cs="Times New Roman" w:eastAsia="Times New Roman" w:hAnsi="Times New Roman"/>
          <w:sz w:val="22"/>
          <w:szCs w:val="22"/>
          <w:color w:val="auto"/>
        </w:rPr>
        <w:t xml:space="preserve">”) within which to exercise the Sales Milestone Payment Option by written notice to the Company, which may, at the sole discretion of each such Initial Investor, also provide a higher percentage of the Sales Milestone Payment as to which such Initial Investor is willing to commit to the extent that one or more other Initial Investors do not timely exercise their Sales Milestone Payment Option. If (x) one or more of the Initial Investors do not exercise the Sales Milestone Payment Option within the Sales Milestone ROFO Period and (y) any Initial Investors who did exercise the Sales Milestone Payment Option within the Sales Milestone ROFO Period did not express a willingness to collectively commit to the full amount of the Sales Milestone Payment, then the Company shall have the right to obtain a commitment, for the portion of the Sales Milestone Payment in respect of which the Initial Investors have not exercised the Sales Milestone Payment Option, from the Additional Sales Milestone Investor identified in the ROFO Sales Notice. Within two Business Days of the effectiveness of the commitments for a Sales Milestone Payment pursuant to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the Company shall provide a written notice to all Investors identifying each Investor committing to a portion of the Sales Milestone Payment and each such Investor’s portion (in U.S. dollars) of the Sales Milestone Payment (the “</w:t>
      </w:r>
      <w:r>
        <w:rPr>
          <w:rFonts w:ascii="Times New Roman" w:cs="Times New Roman" w:eastAsia="Times New Roman" w:hAnsi="Times New Roman"/>
          <w:sz w:val="22"/>
          <w:szCs w:val="22"/>
          <w:u w:val="single" w:color="auto"/>
          <w:color w:val="auto"/>
        </w:rPr>
        <w:t>Sales Milestone Amount Notice</w:t>
      </w:r>
      <w:r>
        <w:rPr>
          <w:rFonts w:ascii="Times New Roman" w:cs="Times New Roman" w:eastAsia="Times New Roman" w:hAnsi="Times New Roman"/>
          <w:sz w:val="22"/>
          <w:szCs w:val="22"/>
          <w:color w:val="auto"/>
        </w:rPr>
        <w:t xml:space="preserve">”). To the extent that (x) the Company obtains one or more written commitments for the Sales Milestone Payment pursuant to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(whether by an Additional Sales Milestone Investor and/or via exercise of the Sales Milestone Payment Option by an Initial Investor) and (y) the Sales Milestone Event occurs, then the Company shall notify the Investors in writing of the occurrence of the Sales Milestone Event within five Business Days of the occurrence thereof. Following receipt of such written notice, and subject to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each Investor that has provided such a written commitment for the Sales Milestone Payment shall pay (or cause to be paid) to the Company, severally but not jointly, by wire transfer of immediately available funds in U.S. dollars as directed by the Company in writing concurrent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6" w:name="page67"/>
    <w:bookmarkEnd w:id="6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with the furnishing of such written notice, no later than the later of (A) 15 Business Days after such Investor’s receipt of such written notice and (B) June 30, 2024 (but in any event no earlier than May 1, 2024), the amount identified for such Investor in the Sales Milestone Amount Notice. If the Sales Milestone Event does not occur, then no Investor shall be required to pay any amounts pursuant to this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757"/>
        <w:spacing w:after="0"/>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condition to the Investors’ obligation to pay the amounts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on the respective intended dates of such respective intended payments, the Company shall deliver to the Investors a certificate of an officer of the Company stating that, as of such respective date, (i) the representations and warranties of the Company contained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4.1(r)</w:t>
      </w:r>
      <w:r>
        <w:rPr>
          <w:rFonts w:ascii="Times New Roman" w:cs="Times New Roman" w:eastAsia="Times New Roman" w:hAnsi="Times New Roman"/>
          <w:sz w:val="22"/>
          <w:szCs w:val="22"/>
          <w:color w:val="auto"/>
        </w:rPr>
        <w:t xml:space="preserve"> and Section </w:t>
      </w:r>
      <w:r>
        <w:rPr>
          <w:rFonts w:ascii="Times New Roman" w:cs="Times New Roman" w:eastAsia="Times New Roman" w:hAnsi="Times New Roman"/>
          <w:sz w:val="22"/>
          <w:szCs w:val="22"/>
          <w:u w:val="single" w:color="auto"/>
          <w:color w:val="auto"/>
        </w:rPr>
        <w:t>4.1(s)</w:t>
      </w:r>
      <w:r>
        <w:rPr>
          <w:rFonts w:ascii="Times New Roman" w:cs="Times New Roman" w:eastAsia="Times New Roman" w:hAnsi="Times New Roman"/>
          <w:sz w:val="22"/>
          <w:szCs w:val="22"/>
          <w:color w:val="auto"/>
        </w:rPr>
        <w:t xml:space="preserve"> are true and correct in all material respects (except to the extent that such representations and warranties relate specifically to an earlier date, in which case they shall be true and correct in all material respects as of such earlier date, and except for such representations qualified by materiality or Material Adverse Effect, which shall be true and correct in all respects) and (ii) no Default or Event of Default shall have occurred and be continuing.</w:t>
      </w:r>
    </w:p>
    <w:p>
      <w:pPr>
        <w:spacing w:after="0" w:line="176"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 with the effectiveness of an Additional Investor’s commitment hereunder, such Additional Investor shall deliver to the Company (i) a duly executed joinder to the Subordination Agreement, (ii) an Applicable Withholding Certificate and (iii) its Investor Account Information Document.</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Royalty Payments to Investors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757"/>
        <w:spacing w:after="0" w:line="251" w:lineRule="auto"/>
        <w:tabs>
          <w:tab w:leader="none" w:pos="118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of the Investors paying the Investment Amount hereunder from time to time pursuant to this Agreement, the Company shall pay to the Investors, by wire transfer of immediately available funds in U.S. dollars to each Investor Account, without any setoff or offset (subject, in each case, to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the Royalty Payment for each calendar quarter (commencing with the calendar quarter beginning April 1, 2022) promptly, but in any event no later than 45 calendar days after the end of each calendar quarter (each such date, a “</w:t>
      </w:r>
      <w:r>
        <w:rPr>
          <w:rFonts w:ascii="Times New Roman" w:cs="Times New Roman" w:eastAsia="Times New Roman" w:hAnsi="Times New Roman"/>
          <w:sz w:val="21"/>
          <w:szCs w:val="21"/>
          <w:u w:val="single" w:color="auto"/>
          <w:color w:val="auto"/>
        </w:rPr>
        <w:t>Royalty Payment Date</w:t>
      </w:r>
      <w:r>
        <w:rPr>
          <w:rFonts w:ascii="Times New Roman" w:cs="Times New Roman" w:eastAsia="Times New Roman" w:hAnsi="Times New Roman"/>
          <w:sz w:val="21"/>
          <w:szCs w:val="21"/>
          <w:color w:val="auto"/>
        </w:rPr>
        <w:t>”), such that each Investor receives its Specified Percentage of such Royalty Payment on each such Royalty Payment Date (except that, to the extent any such payment to a particular Investor would result in such Investor having received two times its Investment Amount at a time when one or more other Investors shall not have received two times their respective Investment Amounts, then the remaining amounts shall be paid to such other Investors until such other Investors shall have received two times their respective Investment Amounts).</w:t>
      </w:r>
    </w:p>
    <w:p>
      <w:pPr>
        <w:spacing w:after="0" w:line="170"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late fee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over the Prime Rate (calculated on a per annum basis) will accrue on all unpaid amounts with respect to any Royalty Payment from the applicable Royalty Payment Date. The imposition and payment of a late fee shall not constitute a waiver of the Investors’ rights with respect to such payment default. Such accrued late fee will be compounded annually. Payment of such accrued late fee shall accompany payment of the outstanding Royalty Payment.</w:t>
      </w:r>
    </w:p>
    <w:p>
      <w:pPr>
        <w:spacing w:after="0" w:line="18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each Royalty Payment Date, the Company shall provide to the Investors a written report (the “</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setting forth in reasonable detail: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7" w:name="page68"/>
    <w:bookmarkEnd w:id="67"/>
    <w:p>
      <w:pPr>
        <w:ind w:left="760" w:right="20" w:firstLine="745"/>
        <w:spacing w:after="0" w:line="271"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Net Sales for the applicable calendar quarter and calendar year to date, on a country-by-country basis within the Territory;</w:t>
      </w:r>
    </w:p>
    <w:p>
      <w:pPr>
        <w:spacing w:after="0" w:line="144" w:lineRule="exact"/>
        <w:rPr>
          <w:rFonts w:ascii="Times New Roman" w:cs="Times New Roman" w:eastAsia="Times New Roman" w:hAnsi="Times New Roman"/>
          <w:sz w:val="22"/>
          <w:szCs w:val="22"/>
          <w:color w:val="auto"/>
        </w:rPr>
      </w:pPr>
    </w:p>
    <w:p>
      <w:pPr>
        <w:jc w:val="both"/>
        <w:ind w:left="760" w:right="20" w:firstLine="745"/>
        <w:spacing w:after="0" w:line="250"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License Milestone Revenue for the applicable calendar quarter and calendar year to date, on a country-by-country and Licensee-by-Licensee basis within the Territory (including a detailed breakdown of License Milestone Revenue consisting of upfront or other one-time payments, milestones and other fixed payments);</w:t>
      </w:r>
    </w:p>
    <w:p>
      <w:pPr>
        <w:spacing w:after="0" w:line="167" w:lineRule="exact"/>
        <w:rPr>
          <w:rFonts w:ascii="Times New Roman" w:cs="Times New Roman" w:eastAsia="Times New Roman" w:hAnsi="Times New Roman"/>
          <w:sz w:val="22"/>
          <w:szCs w:val="22"/>
          <w:color w:val="auto"/>
        </w:rPr>
      </w:pPr>
    </w:p>
    <w:p>
      <w:pPr>
        <w:ind w:left="760" w:right="20" w:firstLine="745"/>
        <w:spacing w:after="0" w:line="271"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License Royalty Revenue for the applicable calendar quarter and calendar year to date, on a country-by-country and Licensee-by-Licensee basis within the Territory;</w:t>
      </w:r>
    </w:p>
    <w:p>
      <w:pPr>
        <w:spacing w:after="0" w:line="144" w:lineRule="exact"/>
        <w:rPr>
          <w:rFonts w:ascii="Times New Roman" w:cs="Times New Roman" w:eastAsia="Times New Roman" w:hAnsi="Times New Roman"/>
          <w:sz w:val="22"/>
          <w:szCs w:val="22"/>
          <w:color w:val="auto"/>
        </w:rPr>
      </w:pPr>
    </w:p>
    <w:p>
      <w:pPr>
        <w:jc w:val="both"/>
        <w:ind w:left="760" w:firstLine="745"/>
        <w:spacing w:after="0" w:line="250"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applicable calendar quarter and calendar year to date, on a Product-by-Product and country-by-country basis within the Territory, the number of units of each Product sold by the Company, its Affiliates and each Licensee;</w:t>
      </w:r>
    </w:p>
    <w:p>
      <w:pPr>
        <w:spacing w:after="0" w:line="167" w:lineRule="exact"/>
        <w:rPr>
          <w:rFonts w:ascii="Times New Roman" w:cs="Times New Roman" w:eastAsia="Times New Roman" w:hAnsi="Times New Roman"/>
          <w:sz w:val="22"/>
          <w:szCs w:val="22"/>
          <w:color w:val="auto"/>
        </w:rPr>
      </w:pPr>
    </w:p>
    <w:p>
      <w:pPr>
        <w:ind w:left="760" w:right="60" w:firstLine="745"/>
        <w:spacing w:after="0" w:line="271"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applicable calendar quarter and calendar year to date, the applicable Royalty Rate and the calculation of the Royalty Payment payable to each Investor; and</w:t>
      </w:r>
    </w:p>
    <w:p>
      <w:pPr>
        <w:spacing w:after="0" w:line="144"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applicable calendar quarter, on a Product-by-Product and country-by-country basis within the Territory, the foreign currency exchange rate used to calculate the Royalty Payment (which shall be the rate of exchange determined in a manner consistent with the Company’s method for calculating rates of exchange in the preparation of the Company’s annual financial statements in accordance with GAAP).</w:t>
      </w:r>
    </w:p>
    <w:p>
      <w:pPr>
        <w:spacing w:after="0" w:line="18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True Up Payments; Cap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Royalty Payments and any other payments by the Company to the Investors hereunder actually paid by the Company to the Investors through December 31, 2028 (the “</w:t>
      </w:r>
      <w:r>
        <w:rPr>
          <w:rFonts w:ascii="Times New Roman" w:cs="Times New Roman" w:eastAsia="Times New Roman" w:hAnsi="Times New Roman"/>
          <w:sz w:val="22"/>
          <w:szCs w:val="22"/>
          <w:u w:val="single" w:color="auto"/>
          <w:color w:val="auto"/>
        </w:rPr>
        <w:t>First True Up Date Royalties</w:t>
      </w:r>
      <w:r>
        <w:rPr>
          <w:rFonts w:ascii="Times New Roman" w:cs="Times New Roman" w:eastAsia="Times New Roman" w:hAnsi="Times New Roman"/>
          <w:sz w:val="22"/>
          <w:szCs w:val="22"/>
          <w:color w:val="auto"/>
        </w:rPr>
        <w:t>”) are less than the Investment Amount as of such date (the “</w:t>
      </w:r>
      <w:r>
        <w:rPr>
          <w:rFonts w:ascii="Times New Roman" w:cs="Times New Roman" w:eastAsia="Times New Roman" w:hAnsi="Times New Roman"/>
          <w:sz w:val="22"/>
          <w:szCs w:val="22"/>
          <w:u w:val="single" w:color="auto"/>
          <w:color w:val="auto"/>
        </w:rPr>
        <w:t>First True Up Date Minimum</w:t>
      </w:r>
      <w:r>
        <w:rPr>
          <w:rFonts w:ascii="Times New Roman" w:cs="Times New Roman" w:eastAsia="Times New Roman" w:hAnsi="Times New Roman"/>
          <w:sz w:val="22"/>
          <w:szCs w:val="22"/>
          <w:color w:val="auto"/>
        </w:rPr>
        <w:t>”), then the Company shall pay to each Investor, by wire transfer of immediately available funds in U.S. dollars to each Investor Account, the difference between the First True Up Date Minimum and the First True Up Date Royalties (such difference, the “</w:t>
      </w:r>
      <w:r>
        <w:rPr>
          <w:rFonts w:ascii="Times New Roman" w:cs="Times New Roman" w:eastAsia="Times New Roman" w:hAnsi="Times New Roman"/>
          <w:sz w:val="22"/>
          <w:szCs w:val="22"/>
          <w:u w:val="single" w:color="auto"/>
          <w:color w:val="auto"/>
        </w:rPr>
        <w:t>First True Up Payment</w:t>
      </w:r>
      <w:r>
        <w:rPr>
          <w:rFonts w:ascii="Times New Roman" w:cs="Times New Roman" w:eastAsia="Times New Roman" w:hAnsi="Times New Roman"/>
          <w:sz w:val="22"/>
          <w:szCs w:val="22"/>
          <w:color w:val="auto"/>
        </w:rPr>
        <w:t>”), such that each such Investor shall have been repaid its Investment Amount after giving effect to such First True Up Payment and all prior payments by the Company to such Investor hereunder. The First True Up Payment shall be paid in four (4) equal installments on each Royalty Payment Date for the quarters ending March 31, June 30, September 30, and December 31, 2029, respectively (subject to earlier prepayment of all or part of all or any such installments at the option of the Company), and such payments by the Company shall be fully creditable towards the Cap Amount.</w:t>
      </w:r>
    </w:p>
    <w:p>
      <w:pPr>
        <w:spacing w:after="0" w:line="191"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Royalty Payments and any other payments by the Company to the Investors hereunder actually paid by the Company to the Investors through December 31, 2037 (the “</w:t>
      </w:r>
      <w:r>
        <w:rPr>
          <w:rFonts w:ascii="Times New Roman" w:cs="Times New Roman" w:eastAsia="Times New Roman" w:hAnsi="Times New Roman"/>
          <w:sz w:val="22"/>
          <w:szCs w:val="22"/>
          <w:u w:val="single" w:color="auto"/>
          <w:color w:val="auto"/>
        </w:rPr>
        <w:t>Second True Up Date Royalties</w:t>
      </w:r>
      <w:r>
        <w:rPr>
          <w:rFonts w:ascii="Times New Roman" w:cs="Times New Roman" w:eastAsia="Times New Roman" w:hAnsi="Times New Roman"/>
          <w:sz w:val="22"/>
          <w:szCs w:val="22"/>
          <w:color w:val="auto"/>
        </w:rPr>
        <w:t>”) are less than 2.00 times the Investment Amount as of such date (the “</w:t>
      </w:r>
      <w:r>
        <w:rPr>
          <w:rFonts w:ascii="Times New Roman" w:cs="Times New Roman" w:eastAsia="Times New Roman" w:hAnsi="Times New Roman"/>
          <w:sz w:val="22"/>
          <w:szCs w:val="22"/>
          <w:u w:val="single" w:color="auto"/>
          <w:color w:val="auto"/>
        </w:rPr>
        <w:t>Second True Up Date Minimum</w:t>
      </w:r>
      <w:r>
        <w:rPr>
          <w:rFonts w:ascii="Times New Roman" w:cs="Times New Roman" w:eastAsia="Times New Roman" w:hAnsi="Times New Roman"/>
          <w:sz w:val="22"/>
          <w:szCs w:val="22"/>
          <w:color w:val="auto"/>
        </w:rPr>
        <w:t>”), then the Company shall pay to each Investor, by wire transfer of immediately available funds in U.S. dollars to each Investor Account, the difference between the Second True Up Date Minimum and the Second True Up Date Royalties (such difference, the “</w:t>
      </w:r>
      <w:r>
        <w:rPr>
          <w:rFonts w:ascii="Times New Roman" w:cs="Times New Roman" w:eastAsia="Times New Roman" w:hAnsi="Times New Roman"/>
          <w:sz w:val="22"/>
          <w:szCs w:val="22"/>
          <w:u w:val="single" w:color="auto"/>
          <w:color w:val="auto"/>
        </w:rPr>
        <w:t>Second True Up Payment</w:t>
      </w:r>
      <w:r>
        <w:rPr>
          <w:rFonts w:ascii="Times New Roman" w:cs="Times New Roman" w:eastAsia="Times New Roman" w:hAnsi="Times New Roman"/>
          <w:sz w:val="22"/>
          <w:szCs w:val="22"/>
          <w:color w:val="auto"/>
        </w:rPr>
        <w:t>” and, together with the First True Up Payment,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8" w:name="page69"/>
    <w:bookmarkEnd w:id="68"/>
    <w:p>
      <w:pPr>
        <w:jc w:val="both"/>
        <w:spacing w:after="0" w:line="24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True Up Payments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True Up Payment</w:t>
      </w:r>
      <w:r>
        <w:rPr>
          <w:rFonts w:ascii="Times New Roman" w:cs="Times New Roman" w:eastAsia="Times New Roman" w:hAnsi="Times New Roman"/>
          <w:sz w:val="22"/>
          <w:szCs w:val="22"/>
          <w:color w:val="auto"/>
        </w:rPr>
        <w:t>”), such that each such Investor shall have been repaid 2.00 times its Investment Amount after giving effect to such Second True Up Payment and all prior payments by the Company to such Investor hereunder. The Second True Up Payment shall be paid in four (4) equal installments on each Royalty Payment Date for the quarters ending March 31, June 30, September 30, and December 31, 2038, respectively (subject to earlier prepayment of all or part of all or any such installments at the option of the Company), and such payments by the Company shall be fully creditable towards the Cap Amount.</w:t>
      </w:r>
    </w:p>
    <w:p>
      <w:pPr>
        <w:spacing w:after="0" w:line="190" w:lineRule="exact"/>
        <w:rPr>
          <w:sz w:val="20"/>
          <w:szCs w:val="20"/>
          <w:color w:val="auto"/>
        </w:rPr>
      </w:pPr>
    </w:p>
    <w:p>
      <w:pPr>
        <w:jc w:val="both"/>
        <w:ind w:firstLine="757"/>
        <w:spacing w:after="0"/>
        <w:tabs>
          <w:tab w:leader="none" w:pos="11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after the earlier of (i) April 30, 2024 and (ii) the date that the Regulatory Milestone Payment is made, the Company shall have the right, but not the obligation, to pay to the Investors, by wire transfer of immediately available funds in U.S. dollars to each Investor Account, the Cap Payment as of such Business Day. Except as otherwise specifically set forth herein, the Company shall not have the right to prepay its obligations hereunder prior to the earlier of (i) April 30, 2024 and (ii) the date that the Regulatory Milestone Payment is made.</w:t>
      </w:r>
    </w:p>
    <w:p>
      <w:pPr>
        <w:spacing w:after="0" w:line="19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9" w:lineRule="auto"/>
        <w:tabs>
          <w:tab w:leader="none" w:pos="118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notify the Investors in writing as soon as possible and in any event within two Business Days following the occurrence of any Default or Event of Default during the term of this Agreement, identifying the nature of such Default or Event of Default and whether or not such Default or Event of Default is in respect of, or is, a Bankruptcy Event of Default. If a Bankruptcy Event of Default occurs after the Effective Date, the Event of Default Fee shall automatically (without any action or notice by any of the Investors) be due and payable on the Event of Default Payment Date. If an Event of Default that is not a Bankruptcy Event of Default occurs and is continuing, then the Required Investors by written notice to the Issuer may declare that the Event of Default Fee shall be due and payable on the Event of Default Payment Date. The Event of Default Fee shall be fully earned on the Effective Date. Payment of the Event of Default Fee shall occur (i) in respect of a Bankruptcy Event of Default, immediately upon the occurrence of such Bankruptcy Event of Default, and (ii) in respect of any other Event of Default, on a Business Day specified in writing by the Company to the Investors, which date shall be within 10 Business Days from the date that the Required Investors provide the aforementioned written notice to the Company (the date of such payment pursuant to clause (i) above or clause (ii) above being referred to herein as the “</w:t>
      </w:r>
      <w:r>
        <w:rPr>
          <w:rFonts w:ascii="Times New Roman" w:cs="Times New Roman" w:eastAsia="Times New Roman" w:hAnsi="Times New Roman"/>
          <w:sz w:val="21"/>
          <w:szCs w:val="21"/>
          <w:u w:val="single" w:color="auto"/>
          <w:color w:val="auto"/>
        </w:rPr>
        <w:t>Event of Default Payment Date</w:t>
      </w:r>
      <w:r>
        <w:rPr>
          <w:rFonts w:ascii="Times New Roman" w:cs="Times New Roman" w:eastAsia="Times New Roman" w:hAnsi="Times New Roman"/>
          <w:sz w:val="21"/>
          <w:szCs w:val="21"/>
          <w:color w:val="auto"/>
        </w:rPr>
        <w:t xml:space="preserve">”). On the Event of Default Payment Date, the Company shall pay to the Investors, by wire transfer of immediately available funds in U.S. dollars to each Investor Account, an amount equal to the Event of Default Fee as of the Event of Default Payment Date, such that each Investor shall have been repaid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as the case may be, its Investment Amount after giving effect to the payment of such Event of Default Fee and all prior payments by the Company to such Investor hereunder.</w:t>
      </w:r>
    </w:p>
    <w:p>
      <w:pPr>
        <w:spacing w:after="0" w:line="176" w:lineRule="exact"/>
        <w:rPr>
          <w:rFonts w:ascii="Times New Roman" w:cs="Times New Roman" w:eastAsia="Times New Roman" w:hAnsi="Times New Roman"/>
          <w:sz w:val="21"/>
          <w:szCs w:val="21"/>
          <w:color w:val="auto"/>
        </w:rPr>
      </w:pPr>
    </w:p>
    <w:p>
      <w:pPr>
        <w:jc w:val="both"/>
        <w:ind w:firstLine="757"/>
        <w:spacing w:after="0" w:line="241" w:lineRule="auto"/>
        <w:tabs>
          <w:tab w:leader="none" w:pos="11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any Investor or all the Investors acting as a group may, without further notice to the Company, exercise all remedies available at law or in equity in respect of the Revenue Interest Collateral, including directing the Company and its Affiliates to assemble and deliver the Revenue Interest Collateral as directed by such Investor or such group, notifying any Third Party holding such Revenue Interest Collateral (or portion thereof) of the Investor’s or group’s rights in such Revenue Interest Collateral (or portion) and directing such Third Party to transfer such Revenue Interest Collateral or make payments in respect thereof to such Investor or group (and the Company hereby consents to such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9" w:name="page70"/>
    <w:bookmarkEnd w:id="69"/>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transfer or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Investor shall obtain any payment (whether voluntary, involuntary, through the exercise of any right of set-off, or otherwise) on account of the Revenue Interest Collateral that, when taken together with all other payments previously made to such Investor hereunder, would be in excess of its Specified Percentage when compared to all payments made to the other Investors hereunder (excluding the cost, if any, to recover such payment), such Investor shall promptly pay over to the other Investors such amounts as shall be necessary to cause such first Investor to share the excess payment ratably with each of the other Investors in accordance with their Specified Percentages.</w:t>
      </w:r>
    </w:p>
    <w:p>
      <w:pPr>
        <w:spacing w:after="0" w:line="19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Change of Control Payments.</w:t>
      </w:r>
      <w:r>
        <w:rPr>
          <w:rFonts w:ascii="Times New Roman" w:cs="Times New Roman" w:eastAsia="Times New Roman" w:hAnsi="Times New Roman"/>
          <w:sz w:val="22"/>
          <w:szCs w:val="22"/>
          <w:color w:val="auto"/>
        </w:rPr>
        <w:t xml:space="preserve"> The Company shall notify the Investors in writing at least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prior to the occurrence of any Pre-Regulatory Milestone Change of Control or Post-Regulatory Milestone Change of Control during the term of this Agreement. If a Pre-Regulatory Milestone Change of Control occurs during the term of this Agreement, the Company shall pay, on the Pre-Regulatory Milestone Change of Control Payment Date, to each Investor, by wire transfer of immediately available funds in U.S. dollars to each Investor Account, an amount equal to (x) the Pre-Regulatory Milestone Change of Control Price times (y) such Investor’s Specified Percentage as of the Pre-Regulatory Milestone Change of Control Payment Date. If a Post-Regulatory Milestone Change of Control occurs during the term of this Agreement, the Company shall pay, on the Post-Regulatory Milestone Change of Control Payment Date, to the Investors, by wire transfer of immediately available funds in U.S. dollars to each Investor Account, an amount equal to the Post-Regulatory Milestone Change of Control Price as of the Post-Regulatory Milestone Change of Control Payment Date, such that each such Investor shall have been repaid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after giving effect to the payment of such Post-Regulatory Milestone Change of Control Price and all prior payments by the Company to such Investor hereunder. The Post-Regulatory Milestone Change of Control Price shall be fully creditable towards the Cap Amount.</w:t>
      </w:r>
    </w:p>
    <w:p>
      <w:pPr>
        <w:spacing w:after="0" w:line="19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No Assumed Obligations, Etc.</w:t>
      </w:r>
      <w:r>
        <w:rPr>
          <w:rFonts w:ascii="Times New Roman" w:cs="Times New Roman" w:eastAsia="Times New Roman" w:hAnsi="Times New Roman"/>
          <w:sz w:val="22"/>
          <w:szCs w:val="22"/>
          <w:color w:val="auto"/>
        </w:rPr>
        <w:t xml:space="preserve"> Notwithstanding any provision in this Agreement to the contrary, no Investor is assuming any liability or obligation of the Company or any other Investor hereunder of whatever nature, whether presently in existence or arising or asserted hereafter. All such liabilities and obligations shall be retained by and remain liabilities of the Company. The Company has sole authority and responsibility for the research, development and Commercialization of the Product.</w:t>
      </w:r>
    </w:p>
    <w:p>
      <w:pPr>
        <w:spacing w:after="0" w:line="19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Security Interest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8" w:lineRule="auto"/>
        <w:tabs>
          <w:tab w:leader="none" w:pos="11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the payment, observance and performance of the Company’s obligations hereunder, the Company hereby grants to the Investors a continuing security interest in all of the Company’s right, title and interest in and to the Revenue Interests, including the accounts, payment intangibles, instruments, chattel paper, check, money and investment property (each, as defined in Article 9 of the UCC) solely to the extent any of the foregoing evidence or constitute the Revenue Interests, and all proceeds thereof, including cash proceeds and noncash proceeds (each, as defined in Article 9 of the UCC), the deposit account described in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 all funds deposited in or credited to such deposit account, and copies of the books and records of the Company related to the Revenue Interests and such deposit account (all of the foregoing items in which a security interest is granted or purported to be granted, collectively, the “</w:t>
      </w:r>
      <w:r>
        <w:rPr>
          <w:rFonts w:ascii="Times New Roman" w:cs="Times New Roman" w:eastAsia="Times New Roman" w:hAnsi="Times New Roman"/>
          <w:sz w:val="22"/>
          <w:szCs w:val="22"/>
          <w:u w:val="single" w:color="auto"/>
          <w:color w:val="auto"/>
        </w:rPr>
        <w:t>Revenue Interest Collateral</w:t>
      </w:r>
      <w:r>
        <w:rPr>
          <w:rFonts w:ascii="Times New Roman" w:cs="Times New Roman" w:eastAsia="Times New Roman" w:hAnsi="Times New Roman"/>
          <w:sz w:val="22"/>
          <w:szCs w:val="22"/>
          <w:color w:val="auto"/>
        </w:rPr>
        <w:t>”), subject to the provisions of the Subordination Agreement, if any. The Company authorizes the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0" w:name="page71"/>
    <w:bookmarkEnd w:id="70"/>
    <w:p>
      <w:pPr>
        <w:jc w:val="both"/>
        <w:spacing w:after="0" w:line="237" w:lineRule="auto"/>
        <w:rPr>
          <w:sz w:val="20"/>
          <w:szCs w:val="20"/>
          <w:color w:val="auto"/>
        </w:rPr>
      </w:pPr>
      <w:r>
        <w:rPr>
          <w:rFonts w:ascii="Times New Roman" w:cs="Times New Roman" w:eastAsia="Times New Roman" w:hAnsi="Times New Roman"/>
          <w:sz w:val="22"/>
          <w:szCs w:val="22"/>
          <w:color w:val="auto"/>
        </w:rPr>
        <w:t>Investors, from and after the Effective Date, to file such financing statements and continuation statements with respect to such financing statements when applicable, in such manner and such jurisdictions as are necessary or appropriate to perfect such security interest. Notwithstanding such authorization, the Company shall ensure, at the Company’s own expense, that the Investors’ security interest in the Revenue Interest Collateral is and remains perfected no later than the Funding Date and at all times thereafter until the termination of this Agreement in accordance with ARTICLE 8. The Company shall provide the Investors written evidence of such perfection, in form and substance satisfactory to the Investors, (x) promptly following the Effective Date, (y) at least 90 days prior to the fifth anniversary of the Effective Date and each fifth anniversary thereafter until the termination of this Agreement in accordance with ARTICLE 8 and (z) at other times upon the reasonable request of any Investor. The provision of such evidence shall be deemed to be a representation and warranty by the Company as of the date such evidence is provided that all actions necessary to perfect the Investors’ security interest in the Revenue Interest Collateral have been taken and that no other creditor has a security interest in the Revenue Interest Collateral except for a Permitted Lien of the type described in clause (a) of the definition thereof and subject to the provisions of the Subordination Agreement, if any. Notwithstanding the foregoing, the Company shall have no obligation to file any amendment to any financing statement to reflect a change in any Investor’s name or address and shall not be deemed to represent and warrant to any such change.</w:t>
      </w:r>
    </w:p>
    <w:p>
      <w:pPr>
        <w:spacing w:after="0" w:line="202" w:lineRule="exact"/>
        <w:rPr>
          <w:sz w:val="20"/>
          <w:szCs w:val="20"/>
          <w:color w:val="auto"/>
        </w:rPr>
      </w:pPr>
    </w:p>
    <w:p>
      <w:pPr>
        <w:jc w:val="both"/>
        <w:ind w:firstLine="757"/>
        <w:spacing w:after="0" w:line="260" w:lineRule="auto"/>
        <w:tabs>
          <w:tab w:leader="none" w:pos="118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June 30, 2022 (or such later date as the Required Investors may agree in writing), the Company shall, at the Company’s own expense and at all times thereafter until the termination of this Agreement in accordance with ARTICLE 8,</w:t>
      </w:r>
    </w:p>
    <w:p>
      <w:pPr>
        <w:jc w:val="both"/>
        <w:ind w:firstLine="8"/>
        <w:spacing w:after="0" w:line="247" w:lineRule="auto"/>
        <w:tabs>
          <w:tab w:leader="none" w:pos="26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establish and maintain a separate deposit account with a financial institution satisfactory to the Required Investors, (ii) cause such deposit account to be and remain subject to an agreement of the type described in Section 9-104(a)(2) of the UCC among the Company, such financial institution and the Investors (or an agent, trustee or representative on their behalf) in form and substance satisfactory to the Required Investors and (iii) deposit, on or prior to each Royalty Payment Date, an amount equal to the Royalty Payment for the applicable calendar quarter in such deposit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at any time the Company’s cash and cash equivalents becomes less than the greater of (x)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(y)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the Company shall deposit into such deposit account within two Business Days of such occurrence, and at least monthly thereafter until the termination of this Agreement, an amount of cash equal to the Royalty Payments estimated in good faith by the Company to be payable on the next Royalty Payment Date in respect of the portion of the applicable calendar quarter elapsed prior to such date of determination. The funds on deposit in or credited to such deposit account may be used to make the Royalty Payments to the Investors.</w:t>
      </w:r>
    </w:p>
    <w:p>
      <w:pPr>
        <w:spacing w:after="0" w:line="177"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Mandatory Payment Obligations</w:t>
      </w:r>
      <w:r>
        <w:rPr>
          <w:rFonts w:ascii="Times New Roman" w:cs="Times New Roman" w:eastAsia="Times New Roman" w:hAnsi="Times New Roman"/>
          <w:sz w:val="22"/>
          <w:szCs w:val="22"/>
          <w:color w:val="auto"/>
        </w:rPr>
        <w:t>. The Company’s obligations to pay the True Up Payments, the Event of Default Fee, the Pre-Regulatory Milestone Change of Control Price and the Post-Regulatory Milestone Change of Control Price as they become due under this Agreement shall be absolute. The Company agrees that the True Up Payments, the Event of Default Fee, the Pre-Regulatory Milestone Change of Control Price and the Post-Regulatory Milestone Change of Control Price shall be presumed to be the liquidated damages sustained by each Investor, and the Company agrees that such presumption is reasonable under the circumstances currently existing. The Company expressly waives (to the fullest extent it may lawfully do so) the provisions of any present or future applicable law that prohibits or may prohibit the collection of the True Up Payments, the Event of Default Fee, the Pre-Regulatory Milestone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1" w:name="page72"/>
    <w:bookmarkEnd w:id="71"/>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Change of Control Price or the Post-Regulatory Milestone Change of Control Price by the Investors. The Company agrees (to the fullest extent that it may lawfully do so) that (i) each of the True Up Payments, the Event of Default Fee, the Pre-Regulatory Milestone Change of Control Price and the Post-Regulatory Milestone Change of Control Price is reasonable and is the product of an arm’s length transaction between sophisticated business people, ably represented by counsel, (ii) each of the True Up Payments, the Event of Default Fee, the Pre-Regulatory Milestone Change of Control Price and the Post-Regulatory Milestone Change of Control Price shall be payable notwithstanding the then-prevailing market rates at the time payment is made, (iii) there has been a course of conduct between the Investors and the Company giving specific consideration in the transactions contemplated hereby for such agreement to pay the True Up Payments as a charge (and not interest) to the extent they become due, the Event of Default Fee as a charge (and not interest) in the event of an Event of Default, the Pre-Regulatory Milestone Change of Control Price as a charge (and not interest) in the event of a Pre-Regulatory Milestone Change of Control and the Post-Regulatory Milestone Change of Control Price as a charge (and not interest) in the event of a Post-Regulatory Milestone Change of Control and (iv) the Company shall be estopped from claiming differently than as agreed to in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The Company expressly acknowledges that its agreement to pay each of the True Up Payments, the Event of Default Fee, the Pre-Regulatory Milestone Change of Control Price and the Post-Regulatory Milestone Change of Control Price to the Investors as herein described is on the Effective Date, and will continue to be, a material inducement to each Investor to pay its portion of the Investment Amount.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233" w:lineRule="exact"/>
        <w:rPr>
          <w:sz w:val="20"/>
          <w:szCs w:val="20"/>
          <w:color w:val="auto"/>
        </w:rPr>
      </w:pPr>
    </w:p>
    <w:p>
      <w:pPr>
        <w:ind w:left="760" w:right="3900" w:firstLine="3148"/>
        <w:spacing w:after="0" w:line="441" w:lineRule="auto"/>
        <w:rPr>
          <w:sz w:val="20"/>
          <w:szCs w:val="20"/>
          <w:color w:val="auto"/>
        </w:rPr>
      </w:pPr>
      <w:r>
        <w:rPr>
          <w:rFonts w:ascii="Times New Roman" w:cs="Times New Roman" w:eastAsia="Times New Roman" w:hAnsi="Times New Roman"/>
          <w:sz w:val="22"/>
          <w:szCs w:val="22"/>
          <w:color w:val="auto"/>
        </w:rPr>
        <w:t xml:space="preserve">EFFECTIVE DATE; FUNDING DATE Section 3.1 </w:t>
      </w:r>
      <w:r>
        <w:rPr>
          <w:rFonts w:ascii="Times New Roman" w:cs="Times New Roman" w:eastAsia="Times New Roman" w:hAnsi="Times New Roman"/>
          <w:sz w:val="22"/>
          <w:szCs w:val="22"/>
          <w:u w:val="single" w:color="auto"/>
          <w:color w:val="auto"/>
        </w:rPr>
        <w:t>Effective Date Deliverables</w:t>
      </w:r>
      <w:r>
        <w:rPr>
          <w:rFonts w:ascii="Times New Roman" w:cs="Times New Roman" w:eastAsia="Times New Roman" w:hAnsi="Times New Roman"/>
          <w:sz w:val="22"/>
          <w:szCs w:val="22"/>
          <w:color w:val="auto"/>
        </w:rPr>
        <w:t>. On the Effective Date:</w:t>
      </w:r>
    </w:p>
    <w:p>
      <w:pPr>
        <w:spacing w:after="0" w:line="2" w:lineRule="exact"/>
        <w:rPr>
          <w:sz w:val="20"/>
          <w:szCs w:val="20"/>
          <w:color w:val="auto"/>
        </w:rPr>
      </w:pPr>
    </w:p>
    <w:p>
      <w:pPr>
        <w:ind w:left="1180" w:hanging="423"/>
        <w:spacing w:after="0"/>
        <w:tabs>
          <w:tab w:leader="none" w:pos="11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Initial Investors the Funding Condition Satisfaction Notice;</w:t>
      </w:r>
    </w:p>
    <w:p>
      <w:pPr>
        <w:spacing w:after="0" w:line="206"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or cause to be delivered to the Initial Investors an opinion of Morgan, Lewis &amp; Bockius LLP, special counsel to the Company, dated the Effective Date and in form and substance satisfactory to the Initial Investors and their counsel;</w:t>
      </w:r>
    </w:p>
    <w:p>
      <w:pPr>
        <w:spacing w:after="0" w:line="167"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Initial Investors a certificate of an officer of the Company, dated the Effective Date, (i) certifying as to the Company’s organizational documents and the attached resolutions adopted by the board of directors of the Company authorizing the transactions contemplated by the Transaction Documents and (ii) setting forth the incumbency of the officer or officers of the Company who have executed and delivered the Transaction Documents, including therein a signature specimen of each such officer;</w:t>
      </w:r>
    </w:p>
    <w:p>
      <w:pPr>
        <w:spacing w:after="0" w:line="177" w:lineRule="exact"/>
        <w:rPr>
          <w:rFonts w:ascii="Times New Roman" w:cs="Times New Roman" w:eastAsia="Times New Roman" w:hAnsi="Times New Roman"/>
          <w:sz w:val="22"/>
          <w:szCs w:val="22"/>
          <w:color w:val="auto"/>
        </w:rPr>
      </w:pPr>
    </w:p>
    <w:p>
      <w:pPr>
        <w:jc w:val="both"/>
        <w:ind w:firstLine="757"/>
        <w:spacing w:after="0" w:line="295" w:lineRule="auto"/>
        <w:tabs>
          <w:tab w:leader="none" w:pos="118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deliver to the Initial Investors a written consent from Hercules in which Hercules consents to the transactions contemplated hereby, which shall be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Hercules Consent</w:t>
      </w:r>
      <w:r>
        <w:rPr>
          <w:rFonts w:ascii="Times New Roman" w:cs="Times New Roman" w:eastAsia="Times New Roman" w:hAnsi="Times New Roman"/>
          <w:sz w:val="21"/>
          <w:szCs w:val="21"/>
          <w:color w:val="auto"/>
        </w:rPr>
        <w:t>”);</w:t>
      </w:r>
    </w:p>
    <w:p>
      <w:pPr>
        <w:spacing w:after="0" w:line="121" w:lineRule="exact"/>
        <w:rPr>
          <w:rFonts w:ascii="Times New Roman" w:cs="Times New Roman" w:eastAsia="Times New Roman" w:hAnsi="Times New Roman"/>
          <w:sz w:val="21"/>
          <w:szCs w:val="21"/>
          <w:color w:val="auto"/>
        </w:rPr>
      </w:pPr>
    </w:p>
    <w:p>
      <w:pPr>
        <w:ind w:right="20" w:firstLine="757"/>
        <w:spacing w:after="0" w:line="258" w:lineRule="auto"/>
        <w:tabs>
          <w:tab w:leader="none" w:pos="118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Investor shall deliver a duly executed counterpart of the Subordination Agreement to the Company, and the Company shall deliver to the Initial Investors a fully executed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copy of the Subordination Agreement containing the executed counterparts of the Company, the Initial Investors and Hercules;</w:t>
      </w:r>
    </w:p>
    <w:p>
      <w:pPr>
        <w:spacing w:after="0" w:line="220" w:lineRule="exact"/>
        <w:rPr>
          <w:sz w:val="20"/>
          <w:szCs w:val="20"/>
          <w:color w:val="auto"/>
        </w:rPr>
      </w:pPr>
    </w:p>
    <w:p>
      <w:pPr>
        <w:ind w:left="1180" w:hanging="423"/>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Investor shall have delivered to the Company an Applicable Withholding Certificate;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Investor shall have delivered to the Company its Investor Account Information Document.</w:t>
      </w:r>
    </w:p>
    <w:p>
      <w:pPr>
        <w:spacing w:after="0" w:line="206"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Funding Date Deliverables</w:t>
      </w:r>
      <w:r>
        <w:rPr>
          <w:rFonts w:ascii="Times New Roman" w:cs="Times New Roman" w:eastAsia="Times New Roman" w:hAnsi="Times New Roman"/>
          <w:sz w:val="22"/>
          <w:szCs w:val="22"/>
          <w:color w:val="auto"/>
        </w:rPr>
        <w:t>. On the Funding Date, as conditions to the Initial Investors’ obligation to pay the Funding Date Payment:</w:t>
      </w:r>
    </w:p>
    <w:p>
      <w:pPr>
        <w:spacing w:after="0" w:line="144" w:lineRule="exact"/>
        <w:rPr>
          <w:sz w:val="20"/>
          <w:szCs w:val="20"/>
          <w:color w:val="auto"/>
        </w:rPr>
      </w:pPr>
    </w:p>
    <w:p>
      <w:pPr>
        <w:jc w:val="both"/>
        <w:ind w:firstLine="757"/>
        <w:spacing w:after="0" w:line="241" w:lineRule="auto"/>
        <w:tabs>
          <w:tab w:leader="none" w:pos="11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Initial Investors a certificate of an officer of the Company, dated the Funding Date, stating that, as of the Funding Date, (i) the representations and warranties of the Company in the Transaction Documents to which the Company is party are true and correct in all material respects (except to the extent that such representations and warranties relate specifically to an earlier date, in which case they shall be true and correct in all material respects as of such earlier date, and except for such representations qualified by materiality or Material Adverse Effect, which shall be true and correct in all respects) and (ii) no Default or Event of Default shall have occurred and be continuing; and</w:t>
      </w:r>
    </w:p>
    <w:p>
      <w:pPr>
        <w:spacing w:after="0" w:line="19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filed one or more financing statements in such manner and such jurisdictions as are necessary or appropriate to perfect the Investors’ security interest in the Revenue Interest Collateral as described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xml:space="preserve"> and shall have provided evidence of such filings to the Initial Investors.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23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2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Company’s Representations and Warranties</w:t>
      </w:r>
      <w:r>
        <w:rPr>
          <w:rFonts w:ascii="Times New Roman" w:cs="Times New Roman" w:eastAsia="Times New Roman" w:hAnsi="Times New Roman"/>
          <w:sz w:val="21"/>
          <w:szCs w:val="21"/>
          <w:color w:val="auto"/>
        </w:rPr>
        <w:t>. The Company represents and warrants to the Investors that:</w:t>
      </w:r>
    </w:p>
    <w:p>
      <w:pPr>
        <w:spacing w:after="0" w:line="206" w:lineRule="exact"/>
        <w:rPr>
          <w:sz w:val="20"/>
          <w:szCs w:val="20"/>
          <w:color w:val="auto"/>
        </w:rPr>
      </w:pPr>
    </w:p>
    <w:p>
      <w:pPr>
        <w:jc w:val="both"/>
        <w:ind w:firstLine="757"/>
        <w:spacing w:after="0" w:line="241" w:lineRule="auto"/>
        <w:tabs>
          <w:tab w:leader="none" w:pos="118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 Good Standing</w:t>
      </w:r>
      <w:r>
        <w:rPr>
          <w:rFonts w:ascii="Times New Roman" w:cs="Times New Roman" w:eastAsia="Times New Roman" w:hAnsi="Times New Roman"/>
          <w:sz w:val="22"/>
          <w:szCs w:val="22"/>
          <w:color w:val="auto"/>
        </w:rPr>
        <w:t>. The Company is a corporation duly incorporated, validly existing and in good standing under the laws of the State of Delaware. The Company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The Company has all requisite corporate power and authority to execute, deliver and perform its obligations under the Transaction Documents. The execution, delivery and performance of the Transaction Documents, and the consummation of the transactions contemplated hereby and thereby, have been duly authorized by all necessary corporate action on the part of the Company.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3" w:name="page74"/>
    <w:bookmarkEnd w:id="73"/>
    <w:p>
      <w:pPr>
        <w:jc w:val="both"/>
        <w:ind w:firstLine="757"/>
        <w:spacing w:after="0" w:line="244"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Transaction Documents have been duly executed and delivered by an authorized officer of the Company and constitute the valid and binding obligations of the Company, enforceable against the Company in accordance with the terms of each respective Transaction Document, except as may be limited by applicable Bankruptcy Laws or by general principles of equity (whether considered in a proceeding in equity or at law).</w:t>
      </w:r>
    </w:p>
    <w:p>
      <w:pPr>
        <w:spacing w:after="0" w:line="186"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Company of the Transaction Documents and the consummation of the transactions contemplated hereby and thereby do not and will not (i) contravene or conflict with the certificate of incorporation or bylaws of the Company, (ii) contravene or conflict with or constitute a material default or violation under any law binding upon or applicable to the Company or the Revenue Interests or (iii) contravene or conflict with or constitute a material default under the Hercules Loan Agreement (after giving effect to the Hercules Consent), the Takeda License or any other agreement, Judgment or Marketing Approval binding upon or applicable to the Company or the Revenue Interests.</w:t>
      </w:r>
    </w:p>
    <w:p>
      <w:pPr>
        <w:spacing w:after="0" w:line="194"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xml:space="preserve">. Except for the Hercules Consent, the UCC financing statements contemplated by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or any filings required by the federal securities laws or stock exchange rules, no consent, approval, license, order, authorization, registration, declaration or filing with or of any Governmental Entity or other Person (including, for the avoidance of doubt, Takeda with respect to the Takeda License) is required to be done or obtained by the Company in connection with (i) the execution and delivery by the Company of the Transaction Documents to which it is party, (ii) the performance by the Company of its obligations under the Transaction Documents to which it is party or (iii) the consummation by the Company of any of the transactions contemplated by the Transaction Documents to which it is party.</w:t>
      </w:r>
    </w:p>
    <w:p>
      <w:pPr>
        <w:spacing w:after="0" w:line="180"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Neither the Company nor any of its Subsidiaries is a party to, or has received any written notice of, any action, suit, investigation or proceeding pending before any Governmental Entity and, to the Knowledge of the Company, no such action, suit, investigation or proceeding has been threatened against the Company, that, individually or in the aggregate, has had or would, if determined adversely, reasonably be expected to have a Material Adverse Effect.</w:t>
      </w:r>
    </w:p>
    <w:p>
      <w:pPr>
        <w:spacing w:after="0" w:line="16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3" w:lineRule="auto"/>
        <w:tabs>
          <w:tab w:leader="none" w:pos="19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applications, submissions, information and data related to a Product submitted or utilized as the basis for any request to any Regulatory Authority by or on behalf of the Company were true and correct in all material respects as of the date of such submission or request, and, to the Knowledge of the Company any material updates, changes, corrections or modifications to such applications, submissions, information or data required under applicable laws or regulations have been submitted to the necessary Regulatory Authorities.</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43" w:lineRule="auto"/>
        <w:tabs>
          <w:tab w:leader="none" w:pos="194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committed any act, made any statement or failed to make any statement that would reasonably be expected to provide a basis for the FDA to invoke its policy with respect to “Fraud, Untrue Statements of Material Facts, Bribery, and Illegal Gratuities”, 56 Fed. Reg. 46191 (September 10, 1991) (the “</w:t>
      </w:r>
      <w:r>
        <w:rPr>
          <w:rFonts w:ascii="Times New Roman" w:cs="Times New Roman" w:eastAsia="Times New Roman" w:hAnsi="Times New Roman"/>
          <w:sz w:val="22"/>
          <w:szCs w:val="22"/>
          <w:u w:val="single" w:color="auto"/>
          <w:color w:val="auto"/>
        </w:rPr>
        <w:t>FDA Application Integrity Policy</w:t>
      </w:r>
      <w:r>
        <w:rPr>
          <w:rFonts w:ascii="Times New Roman" w:cs="Times New Roman" w:eastAsia="Times New Roman" w:hAnsi="Times New Roman"/>
          <w:sz w:val="22"/>
          <w:szCs w:val="22"/>
          <w:color w:val="auto"/>
        </w:rPr>
        <w:t>”) and any amendments thereto, or any similar policies by the FDA or any other Regulatory Authority, set forth in any applicable laws 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4" w:name="page75"/>
    <w:bookmarkEnd w:id="74"/>
    <w:p>
      <w:pPr>
        <w:jc w:val="both"/>
        <w:ind w:left="3"/>
        <w:spacing w:after="0" w:line="244" w:lineRule="auto"/>
        <w:rPr>
          <w:sz w:val="20"/>
          <w:szCs w:val="20"/>
          <w:color w:val="auto"/>
        </w:rPr>
      </w:pPr>
      <w:r>
        <w:rPr>
          <w:rFonts w:ascii="Times New Roman" w:cs="Times New Roman" w:eastAsia="Times New Roman" w:hAnsi="Times New Roman"/>
          <w:sz w:val="22"/>
          <w:szCs w:val="22"/>
          <w:color w:val="auto"/>
        </w:rPr>
        <w:t>regulations. Neither the Company, nor, to the Knowledge of the Company, any of its officers, employees, contractors or agents is the subject of any pending or, to the Knowledge of the Company, threatened investigation by the FDA or any other Regulatory Authority that could reasonably result in the invocation of the FDA Application Integrity Policy or any similar policy by any Regulatory Authority.</w:t>
      </w:r>
    </w:p>
    <w:p>
      <w:pPr>
        <w:spacing w:after="0" w:line="186" w:lineRule="exact"/>
        <w:rPr>
          <w:sz w:val="20"/>
          <w:szCs w:val="20"/>
          <w:color w:val="auto"/>
        </w:rPr>
      </w:pPr>
    </w:p>
    <w:p>
      <w:pPr>
        <w:jc w:val="both"/>
        <w:ind w:left="3" w:firstLine="745"/>
        <w:spacing w:after="0" w:line="239" w:lineRule="auto"/>
        <w:tabs>
          <w:tab w:leader="none" w:pos="11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of its Subsidiaries and, to the Company’s Knowledge, any Third Party manufacturer named in any NDA for any Product, has received from the FDA a “Warning Letter”, Form FDA-483, “Untitled Letter”, or similar material written correspondence or notice alleging violations of applicable laws and regulations enforced by the FDA, or any comparable material written correspondence from any other Regulatory Authority with regard to any Product or the manufacture, processing, packaging or holding thereof, the subject of which communication is unresolved and if determined adversely to the Company or such Subsidiary would, individually or in the aggregate, reasonably be expected to result in a Material Adverse Effect.</w:t>
      </w:r>
    </w:p>
    <w:p>
      <w:pPr>
        <w:spacing w:after="0" w:line="194" w:lineRule="exact"/>
        <w:rPr>
          <w:rFonts w:ascii="Times New Roman" w:cs="Times New Roman" w:eastAsia="Times New Roman" w:hAnsi="Times New Roman"/>
          <w:sz w:val="22"/>
          <w:szCs w:val="22"/>
          <w:color w:val="auto"/>
        </w:rPr>
      </w:pPr>
    </w:p>
    <w:p>
      <w:pPr>
        <w:jc w:val="both"/>
        <w:ind w:left="3" w:firstLine="745"/>
        <w:spacing w:after="0" w:line="249" w:lineRule="auto"/>
        <w:tabs>
          <w:tab w:leader="none" w:pos="118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possesses all material permits, licenses, registrations, certificates, authorizations, orders and approvals from the appropriate federal, state or foreign regulatory authorities necessary to conduct its business, including all such material permits, licenses, registrations, certificates, authorizations, orders and approvals required by the FDA or any other Regulatory Authority (collectively, “</w:t>
      </w:r>
      <w:r>
        <w:rPr>
          <w:rFonts w:ascii="Times New Roman" w:cs="Times New Roman" w:eastAsia="Times New Roman" w:hAnsi="Times New Roman"/>
          <w:sz w:val="21"/>
          <w:szCs w:val="21"/>
          <w:u w:val="single" w:color="auto"/>
          <w:color w:val="auto"/>
        </w:rPr>
        <w:t>Permits</w:t>
      </w:r>
      <w:r>
        <w:rPr>
          <w:rFonts w:ascii="Times New Roman" w:cs="Times New Roman" w:eastAsia="Times New Roman" w:hAnsi="Times New Roman"/>
          <w:sz w:val="21"/>
          <w:szCs w:val="21"/>
          <w:color w:val="auto"/>
        </w:rPr>
        <w:t>”). The Company has not received any written notice of proceedings relating to the suspension, modification, revocation or cancellation of any Permit. Neither the Company nor, to the Knowledge of the Company, any officer, employee or agent of the Company has been convicted of any crime or engaged in any conduct that has previously caused or would reasonably be expected to result in (A) disqualification or debarment by the FDA under 21 U.S.C. Sections 335(a) or (b), or any similar law, rule or regulation of any other Governmental Entity, (B) debarment, suspension, or exclusion under any federal healthcare programs or by the General Services Administration, or (C) exclusion under 42 U.S.C. Section 1320a-7 or any similar law, rule or regulation administered by any Regulatory Authority. To the Knowledge of the Company, neither the Company nor any of its officers, employees, contractors or agents has made an untrue statement of material fact on, or material omissions from, any notifications, applications, approvals, reports and other submissions to the FDA or any similar Regulatory Authority.</w:t>
      </w:r>
    </w:p>
    <w:p>
      <w:pPr>
        <w:spacing w:after="0" w:line="185" w:lineRule="exact"/>
        <w:rPr>
          <w:rFonts w:ascii="Times New Roman" w:cs="Times New Roman" w:eastAsia="Times New Roman" w:hAnsi="Times New Roman"/>
          <w:sz w:val="21"/>
          <w:szCs w:val="21"/>
          <w:color w:val="auto"/>
        </w:rPr>
      </w:pPr>
    </w:p>
    <w:p>
      <w:pPr>
        <w:jc w:val="both"/>
        <w:ind w:left="3" w:firstLine="745"/>
        <w:spacing w:after="0" w:line="241" w:lineRule="auto"/>
        <w:tabs>
          <w:tab w:leader="none" w:pos="11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and has been in compliance with all applicable laws administered or issued by the FDA or any similar Regulatory Authority, including the FD&amp;C Act, applicable requirements in FDA regulations, and any orders issued by the FDA or similar Regulatory Authorities, and all other laws regarding ownership, developing, testing, manufacturing, packaging, storage, import, export, disposal, marketing, distributing, promoting, and complaint handling or adverse event reporting for the products of the Company, except to the extent that such failure to comply with such applicable laws would not reasonably be expected to result in a Material Adverse Effect.</w:t>
      </w:r>
    </w:p>
    <w:p>
      <w:pPr>
        <w:spacing w:after="0" w:line="177" w:lineRule="exact"/>
        <w:rPr>
          <w:sz w:val="20"/>
          <w:szCs w:val="20"/>
          <w:color w:val="auto"/>
        </w:rPr>
      </w:pPr>
    </w:p>
    <w:p>
      <w:pPr>
        <w:ind w:left="423" w:hanging="423"/>
        <w:spacing w:after="0"/>
        <w:tabs>
          <w:tab w:leader="none" w:pos="42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201930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15" w:right="339" w:bottom="1440" w:gutter="0" w:footer="0" w:header="0"/>
        </w:sectPr>
      </w:pPr>
    </w:p>
    <w:bookmarkStart w:id="75" w:name="page76"/>
    <w:bookmarkEnd w:id="75"/>
    <w:p>
      <w:pPr>
        <w:jc w:val="both"/>
        <w:ind w:left="-360" w:firstLine="745"/>
        <w:spacing w:after="0" w:line="241" w:lineRule="auto"/>
        <w:tabs>
          <w:tab w:leader="none" w:pos="86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In-Licenses</w:t>
      </w:r>
      <w:r>
        <w:rPr>
          <w:rFonts w:ascii="Times New Roman" w:cs="Times New Roman" w:eastAsia="Times New Roman" w:hAnsi="Times New Roman"/>
          <w:sz w:val="22"/>
          <w:szCs w:val="22"/>
          <w:color w:val="auto"/>
        </w:rPr>
        <w:t>. Except for the Takeda License, (i) there are no In-Licenses and (ii) there are no other contracts, agreements, commitments or undertakings pursuant to which the Company has rights under any patent or intellectual property rights of any Third Party that are material to the Commercialization of the Products in the Territory. A true, correct and complete copy of the Takeda License has been provided to the Investors by the Company in a data room available to the Investors. Other than as provided in the data room, neither the Company nor Takeda has made or entered into any amendment, supplement or modification to, or granted any waiver under any provision of, the Takeda License.</w:t>
      </w:r>
    </w:p>
    <w:p>
      <w:pPr>
        <w:spacing w:after="0" w:line="179"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Out-Licenses</w:t>
      </w:r>
      <w:r>
        <w:rPr>
          <w:rFonts w:ascii="Times New Roman" w:cs="Times New Roman" w:eastAsia="Times New Roman" w:hAnsi="Times New Roman"/>
          <w:sz w:val="22"/>
          <w:szCs w:val="22"/>
          <w:color w:val="auto"/>
        </w:rPr>
        <w:t>. There are no Out-Licenses.</w:t>
      </w:r>
    </w:p>
    <w:p>
      <w:pPr>
        <w:spacing w:after="0" w:line="206" w:lineRule="exact"/>
        <w:rPr>
          <w:rFonts w:ascii="Times New Roman" w:cs="Times New Roman" w:eastAsia="Times New Roman" w:hAnsi="Times New Roman"/>
          <w:sz w:val="22"/>
          <w:szCs w:val="22"/>
          <w:color w:val="auto"/>
        </w:rPr>
      </w:pPr>
    </w:p>
    <w:p>
      <w:pPr>
        <w:jc w:val="both"/>
        <w:ind w:left="-360" w:firstLine="745"/>
        <w:spacing w:after="0" w:line="258" w:lineRule="auto"/>
        <w:tabs>
          <w:tab w:leader="none" w:pos="82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Validity and Enforceability of Takeda License</w:t>
      </w:r>
      <w:r>
        <w:rPr>
          <w:rFonts w:ascii="Times New Roman" w:cs="Times New Roman" w:eastAsia="Times New Roman" w:hAnsi="Times New Roman"/>
          <w:sz w:val="21"/>
          <w:szCs w:val="21"/>
          <w:color w:val="auto"/>
        </w:rPr>
        <w:t>. The Takeda License is a valid and binding obligation of the Company and Takeda. The Takeda License is enforceable against the Company and, to the Knowledge of the Company, Takeda in accordance with its terms except as may be limited by applicable Bankruptcy Laws or by general principles of equity (whether considered in a proceeding in equity or at law). The Company has not received any written notice in connection with the Takeda License challenging the validity, enforceability or interpretation of any provision thereof.</w:t>
      </w:r>
    </w:p>
    <w:p>
      <w:pPr>
        <w:spacing w:after="0" w:line="160" w:lineRule="exact"/>
        <w:rPr>
          <w:rFonts w:ascii="Times New Roman" w:cs="Times New Roman" w:eastAsia="Times New Roman" w:hAnsi="Times New Roman"/>
          <w:sz w:val="21"/>
          <w:szCs w:val="21"/>
          <w:color w:val="auto"/>
        </w:rPr>
      </w:pPr>
    </w:p>
    <w:p>
      <w:pPr>
        <w:jc w:val="both"/>
        <w:ind w:left="-360" w:firstLine="745"/>
        <w:spacing w:after="0" w:line="264" w:lineRule="auto"/>
        <w:tabs>
          <w:tab w:leader="none" w:pos="82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Termination</w:t>
      </w:r>
      <w:r>
        <w:rPr>
          <w:rFonts w:ascii="Times New Roman" w:cs="Times New Roman" w:eastAsia="Times New Roman" w:hAnsi="Times New Roman"/>
          <w:sz w:val="21"/>
          <w:szCs w:val="21"/>
          <w:color w:val="auto"/>
        </w:rPr>
        <w:t>. The Company has not (A) given notice to Takeda of the termination of the Takeda License (whether in whole or in part) or any notice to Takeda expressing any intention or desire to terminate the Takeda License or (B) received from Takeda any written notice of termination of the Takeda License (whether in whole or in part) or any written notice from Takeda expressing any intention or desire to terminate the Takeda License.</w:t>
      </w:r>
    </w:p>
    <w:p>
      <w:pPr>
        <w:spacing w:after="0" w:line="152" w:lineRule="exact"/>
        <w:rPr>
          <w:rFonts w:ascii="Times New Roman" w:cs="Times New Roman" w:eastAsia="Times New Roman" w:hAnsi="Times New Roman"/>
          <w:sz w:val="21"/>
          <w:szCs w:val="21"/>
          <w:color w:val="auto"/>
        </w:rPr>
      </w:pPr>
    </w:p>
    <w:p>
      <w:pPr>
        <w:jc w:val="both"/>
        <w:ind w:left="-360" w:firstLine="745"/>
        <w:spacing w:after="0" w:line="244" w:lineRule="auto"/>
        <w:tabs>
          <w:tab w:leader="none" w:pos="82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Breaches or Defaults</w:t>
      </w:r>
      <w:r>
        <w:rPr>
          <w:rFonts w:ascii="Times New Roman" w:cs="Times New Roman" w:eastAsia="Times New Roman" w:hAnsi="Times New Roman"/>
          <w:sz w:val="22"/>
          <w:szCs w:val="22"/>
          <w:color w:val="auto"/>
        </w:rPr>
        <w:t>. No material breach or default under any provision of the Takeda License exists or has occurred, either by the Company or, to the Knowledge of the Company, by Takeda, and there is no event that upon notice or the passage of time, or both, would reasonably be expected to give rise to any breach or default either by the Company or, to the Knowledge of the Company, by Takeda.</w:t>
      </w:r>
    </w:p>
    <w:p>
      <w:pPr>
        <w:spacing w:after="0" w:line="186" w:lineRule="exact"/>
        <w:rPr>
          <w:rFonts w:ascii="Times New Roman" w:cs="Times New Roman" w:eastAsia="Times New Roman" w:hAnsi="Times New Roman"/>
          <w:sz w:val="22"/>
          <w:szCs w:val="22"/>
          <w:color w:val="auto"/>
        </w:rPr>
      </w:pPr>
    </w:p>
    <w:p>
      <w:pPr>
        <w:ind w:left="-360" w:firstLine="745"/>
        <w:spacing w:after="0" w:line="258" w:lineRule="auto"/>
        <w:tabs>
          <w:tab w:leader="none" w:pos="8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Made</w:t>
      </w:r>
      <w:r>
        <w:rPr>
          <w:rFonts w:ascii="Times New Roman" w:cs="Times New Roman" w:eastAsia="Times New Roman" w:hAnsi="Times New Roman"/>
          <w:sz w:val="22"/>
          <w:szCs w:val="22"/>
          <w:color w:val="auto"/>
        </w:rPr>
        <w:t>. The Company has made all payments to Takeda that are required to be made under the Takeda License as of the date hereof.</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50" w:lineRule="auto"/>
        <w:tabs>
          <w:tab w:leader="none" w:pos="8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Company has not consented to any assignment by Takeda of any of its rights or obligations under the Takeda License and, to the Knowledge of the Company, Takeda has not assigned any of its rights or obligations under the Takeda License to any Person.</w:t>
      </w:r>
    </w:p>
    <w:p>
      <w:pPr>
        <w:spacing w:after="0" w:line="167" w:lineRule="exact"/>
        <w:rPr>
          <w:rFonts w:ascii="Times New Roman" w:cs="Times New Roman" w:eastAsia="Times New Roman" w:hAnsi="Times New Roman"/>
          <w:sz w:val="22"/>
          <w:szCs w:val="22"/>
          <w:color w:val="auto"/>
        </w:rPr>
      </w:pPr>
    </w:p>
    <w:p>
      <w:pPr>
        <w:jc w:val="both"/>
        <w:ind w:left="-360" w:firstLine="745"/>
        <w:spacing w:after="0" w:line="250" w:lineRule="auto"/>
        <w:tabs>
          <w:tab w:leader="none" w:pos="13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Claims</w:t>
      </w:r>
      <w:r>
        <w:rPr>
          <w:rFonts w:ascii="Times New Roman" w:cs="Times New Roman" w:eastAsia="Times New Roman" w:hAnsi="Times New Roman"/>
          <w:sz w:val="22"/>
          <w:szCs w:val="22"/>
          <w:color w:val="auto"/>
        </w:rPr>
        <w:t>. The Company has not notified any Person of any claims for indemnification under the Takeda License nor has the Company received any claims for indemnification under the Takeda License.</w:t>
      </w:r>
    </w:p>
    <w:p>
      <w:pPr>
        <w:spacing w:after="0" w:line="181" w:lineRule="exact"/>
        <w:rPr>
          <w:rFonts w:ascii="Times New Roman" w:cs="Times New Roman" w:eastAsia="Times New Roman" w:hAnsi="Times New Roman"/>
          <w:sz w:val="22"/>
          <w:szCs w:val="22"/>
          <w:color w:val="auto"/>
        </w:rPr>
      </w:pPr>
    </w:p>
    <w:p>
      <w:pPr>
        <w:ind w:left="-360" w:firstLine="745"/>
        <w:spacing w:after="0" w:line="282" w:lineRule="auto"/>
        <w:tabs>
          <w:tab w:leader="none" w:pos="82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Infringement</w:t>
      </w:r>
      <w:r>
        <w:rPr>
          <w:rFonts w:ascii="Times New Roman" w:cs="Times New Roman" w:eastAsia="Times New Roman" w:hAnsi="Times New Roman"/>
          <w:sz w:val="21"/>
          <w:szCs w:val="21"/>
          <w:color w:val="auto"/>
        </w:rPr>
        <w:t>. Neither the Company nor any of its Subsidiaries has received any written notice from, or given any written notice to, Takeda regarding any infringement of any of the Existing Patent Rights licensed thereunder.</w:t>
      </w:r>
    </w:p>
    <w:p>
      <w:pPr>
        <w:spacing w:after="0" w:line="1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15" w:right="339" w:bottom="1440" w:gutter="0" w:footer="0" w:header="0"/>
        </w:sectPr>
      </w:pPr>
    </w:p>
    <w:bookmarkStart w:id="76" w:name="page77"/>
    <w:bookmarkEnd w:id="76"/>
    <w:p>
      <w:pPr>
        <w:jc w:val="both"/>
        <w:ind w:right="20" w:firstLine="757"/>
        <w:spacing w:after="0" w:line="244" w:lineRule="auto"/>
        <w:tabs>
          <w:tab w:leader="none" w:pos="120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None of the property or assets, in each case, that specifically relate to the Products in the Territory, including Intellectual Property Product Rights and Marketing Approvals, of the Company or any of its Subsidiaries is subject to any Lien, except for a Permitted Lien. The Revenue Interests are not subject to any Lien, except for a Lien of the type described in clause (a) or clause (g) of the definition of Permitted Liens.</w:t>
      </w:r>
    </w:p>
    <w:p>
      <w:pPr>
        <w:spacing w:after="0" w:line="186"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Supply</w:t>
      </w:r>
      <w:r>
        <w:rPr>
          <w:rFonts w:ascii="Times New Roman" w:cs="Times New Roman" w:eastAsia="Times New Roman" w:hAnsi="Times New Roman"/>
          <w:sz w:val="22"/>
          <w:szCs w:val="22"/>
          <w:color w:val="auto"/>
        </w:rPr>
        <w:t>. The Company has on hand or has made adequate provisions to secure sufficient clinical quantities of Products to complete all clinical trials and all activities required for Marketing Approvals, in each case, that are ongoing as of the date hereof. The Company has on hand or has made adequate provisions to secure sufficient quantities of Product to support the commercial launch, and Commercialization of, Product in the United States.</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760" w:firstLine="745"/>
        <w:spacing w:after="0"/>
        <w:tabs>
          <w:tab w:leader="none" w:pos="196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4.1(k)(i)(A)</w:t>
      </w:r>
      <w:r>
        <w:rPr>
          <w:rFonts w:ascii="Times New Roman" w:cs="Times New Roman" w:eastAsia="Times New Roman" w:hAnsi="Times New Roman"/>
          <w:sz w:val="22"/>
          <w:szCs w:val="22"/>
          <w:color w:val="auto"/>
        </w:rPr>
        <w:t xml:space="preserve"> attached hereto lists all of the currently existing patents and patent applications included within the Patent Rights (the “</w:t>
      </w:r>
      <w:r>
        <w:rPr>
          <w:rFonts w:ascii="Times New Roman" w:cs="Times New Roman" w:eastAsia="Times New Roman" w:hAnsi="Times New Roman"/>
          <w:sz w:val="22"/>
          <w:szCs w:val="22"/>
          <w:u w:val="single" w:color="auto"/>
          <w:color w:val="auto"/>
        </w:rPr>
        <w:t>Existing Patent Rights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4.1(k)(i)(A)</w:t>
      </w:r>
      <w:r>
        <w:rPr>
          <w:rFonts w:ascii="Times New Roman" w:cs="Times New Roman" w:eastAsia="Times New Roman" w:hAnsi="Times New Roman"/>
          <w:sz w:val="22"/>
          <w:szCs w:val="22"/>
          <w:color w:val="auto"/>
        </w:rPr>
        <w:t xml:space="preserve"> attached hereto specifies as to each listed patent or patent application (i) the application number, (ii) the patent or registration number, if any, (iii) the jurisdictions by or in which each such patent has issued as a patent or such patent application has been filed, (iv) the assignee/registered owner thereof and (v) the scheduled expiration date thereof.</w:t>
      </w:r>
    </w:p>
    <w:p>
      <w:pPr>
        <w:spacing w:after="0" w:line="193" w:lineRule="exact"/>
        <w:rPr>
          <w:rFonts w:ascii="Times New Roman" w:cs="Times New Roman" w:eastAsia="Times New Roman" w:hAnsi="Times New Roman"/>
          <w:sz w:val="22"/>
          <w:szCs w:val="22"/>
          <w:color w:val="auto"/>
        </w:rPr>
      </w:pPr>
    </w:p>
    <w:p>
      <w:pPr>
        <w:jc w:val="both"/>
        <w:ind w:left="760" w:firstLine="745"/>
        <w:spacing w:after="0" w:line="250" w:lineRule="auto"/>
        <w:tabs>
          <w:tab w:leader="none" w:pos="19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a party to any pending and, to the Knowledge of the Company, there is no threatened, litigation, interference, reexamination, opposition, inter partes review, post grant review or like procedure involving any of the Existing Patent Rights.</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patents within the Existing Patent Rights are (A) to the Knowledge of the Company, valid and enforceable, and (B) in full force and effect. None of the issued patents within the Existing Patent Rights have lapsed, expired or otherwise terminated. Neither the Company nor any of its Subsidiaries has received any written notice relating to the lapse, expiration or other termination of any of the issued patents within the Existing Patent Rights, and neither the Company nor its Subsidiaries has received any written legal opinion that alleges that, an issued patent within any of the Existing Patent Rights is invalid or unenforceable.</w:t>
      </w:r>
    </w:p>
    <w:p>
      <w:pPr>
        <w:spacing w:after="0" w:line="176" w:lineRule="exact"/>
        <w:rPr>
          <w:rFonts w:ascii="Times New Roman" w:cs="Times New Roman" w:eastAsia="Times New Roman" w:hAnsi="Times New Roman"/>
          <w:sz w:val="22"/>
          <w:szCs w:val="22"/>
          <w:color w:val="auto"/>
        </w:rPr>
      </w:pPr>
    </w:p>
    <w:p>
      <w:pPr>
        <w:jc w:val="both"/>
        <w:ind w:left="760" w:right="20" w:firstLine="745"/>
        <w:spacing w:after="0" w:line="250" w:lineRule="auto"/>
        <w:tabs>
          <w:tab w:leader="none" w:pos="19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has received any written notice that there is any, and, to the Knowledge of the Company, there is no, Person who is or claims to be an inventor under any of the Existing Patent Rights who is not a named inventor thereof.</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Affiliates has received any written notice of any claim by any Person challenging the inventorship or ownership of, the rights of the Company in and to, or the patentability, validity or enforceability of, any of the Existing Patent Rights, or asserting that the development, manufacture, importation, sale, offer for sale or use of any Product infringes, misappropriates or otherwise violates or will infringe,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22"/>
          <w:szCs w:val="22"/>
          <w:color w:val="auto"/>
        </w:rPr>
        <w:t>misappropriate or otherwise violate such Person’s Patent Rights or other intellectual property rights.</w:t>
      </w:r>
    </w:p>
    <w:p>
      <w:pPr>
        <w:spacing w:after="0" w:line="220" w:lineRule="exact"/>
        <w:rPr>
          <w:sz w:val="20"/>
          <w:szCs w:val="20"/>
          <w:color w:val="auto"/>
        </w:rPr>
      </w:pPr>
    </w:p>
    <w:p>
      <w:pPr>
        <w:jc w:val="both"/>
        <w:ind w:left="760" w:firstLine="745"/>
        <w:spacing w:after="0" w:line="244"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 discovery, development manufacture, importation, sale, offer for sale or use of each Product, in each case in the form such Product exists as of the date hereof and as such activity is currently contemplated by the Company, has not and will not, infringe, misappropriate or otherwise violate any Patent Rights or other intellectual property rights owned by any Third Party.</w:t>
      </w:r>
    </w:p>
    <w:p>
      <w:pPr>
        <w:spacing w:after="0" w:line="172" w:lineRule="exact"/>
        <w:rPr>
          <w:rFonts w:ascii="Times New Roman" w:cs="Times New Roman" w:eastAsia="Times New Roman" w:hAnsi="Times New Roman"/>
          <w:sz w:val="22"/>
          <w:szCs w:val="22"/>
          <w:color w:val="auto"/>
        </w:rPr>
      </w:pPr>
    </w:p>
    <w:p>
      <w:pPr>
        <w:ind w:left="760" w:right="20" w:firstLine="745"/>
        <w:spacing w:after="0" w:line="271"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no Person has infringed, misappropriated or otherwise violated, or is infringing, misappropriating or otherwise violating, any of the Intellectual Property Product Rights.</w:t>
      </w:r>
    </w:p>
    <w:p>
      <w:pPr>
        <w:spacing w:after="0" w:line="144"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maintenance fees, annuities and like payments required as of the date hereof with respect to each of the Existing Patent Rights.</w:t>
      </w:r>
    </w:p>
    <w:p>
      <w:pPr>
        <w:spacing w:after="0" w:line="171" w:lineRule="exact"/>
        <w:rPr>
          <w:rFonts w:ascii="Times New Roman" w:cs="Times New Roman" w:eastAsia="Times New Roman" w:hAnsi="Times New Roman"/>
          <w:sz w:val="22"/>
          <w:szCs w:val="22"/>
          <w:color w:val="auto"/>
        </w:rPr>
      </w:pPr>
    </w:p>
    <w:p>
      <w:pPr>
        <w:ind w:firstLine="757"/>
        <w:spacing w:after="0" w:line="258" w:lineRule="auto"/>
        <w:tabs>
          <w:tab w:leader="none" w:pos="120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4.1(l)</w:t>
      </w:r>
      <w:r>
        <w:rPr>
          <w:rFonts w:ascii="Times New Roman" w:cs="Times New Roman" w:eastAsia="Times New Roman" w:hAnsi="Times New Roman"/>
          <w:sz w:val="22"/>
          <w:szCs w:val="22"/>
          <w:color w:val="auto"/>
        </w:rPr>
        <w:t xml:space="preserve"> attached hereto sets forth a complete list of the outstanding Indebtedness of the Company and its Subsidiaries in excess of $1,000,000 in the aggregate.</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 Related Representation and Warranties</w:t>
      </w:r>
      <w:r>
        <w:rPr>
          <w:rFonts w:ascii="Times New Roman" w:cs="Times New Roman" w:eastAsia="Times New Roman" w:hAnsi="Times New Roman"/>
          <w:sz w:val="22"/>
          <w:szCs w:val="22"/>
          <w:color w:val="auto"/>
        </w:rPr>
        <w:t>. The Company’s exact legal name is, and since March 13, 2019, has been “Phathom Pharmaceuticals, Inc.” and prior to that, the exact legal name was North Bridge IV, Inc. at the time of incorporation. The Company is, and has been since its incorporation, incorporated in the State of Delaware.</w:t>
      </w:r>
    </w:p>
    <w:p>
      <w:pPr>
        <w:spacing w:after="0" w:line="18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(i) The Company and its Subsidiaries have filed all federal and state income Tax returns and other material Tax returns that they are required to file, (ii) the Company and its Subsidiaries have duly paid all federal and state income Taxes and other material Taxes or installments thereof that they are required to pay, except Taxes being contested in good faith by appropriate proceedings and for which the Company and its Subsidiaries maintain adequate reserves in accordance with GAAP, and (iii) no proposed or pending Tax assessments, deficiencies, audits or other proceedings with respect to the Company or any Subsidiary have had, or could reasonably be expected to have, individually or in the aggregate, a Material Adverse Effect.</w:t>
      </w:r>
    </w:p>
    <w:p>
      <w:pPr>
        <w:spacing w:after="0" w:line="161" w:lineRule="exact"/>
        <w:rPr>
          <w:rFonts w:ascii="Times New Roman" w:cs="Times New Roman" w:eastAsia="Times New Roman" w:hAnsi="Times New Roman"/>
          <w:sz w:val="21"/>
          <w:szCs w:val="21"/>
          <w:color w:val="auto"/>
        </w:rPr>
      </w:pPr>
    </w:p>
    <w:p>
      <w:pPr>
        <w:jc w:val="both"/>
        <w:ind w:firstLine="757"/>
        <w:spacing w:after="0" w:line="250" w:lineRule="auto"/>
        <w:tabs>
          <w:tab w:leader="none" w:pos="120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Except for Morgan Stanley &amp; Co. LLC, there is no investment banker, broker, finder, financial advisor or other intermediary who has been retained by or is authorized to act on behalf of the Company who might be entitled to any fee or commission in connection with the transactions contemplated by the Transaction Documents.</w:t>
      </w:r>
    </w:p>
    <w:p>
      <w:pPr>
        <w:spacing w:after="0" w:line="167" w:lineRule="exact"/>
        <w:rPr>
          <w:rFonts w:ascii="Times New Roman" w:cs="Times New Roman" w:eastAsia="Times New Roman" w:hAnsi="Times New Roman"/>
          <w:sz w:val="22"/>
          <w:szCs w:val="22"/>
          <w:color w:val="auto"/>
        </w:rPr>
      </w:pPr>
    </w:p>
    <w:p>
      <w:pPr>
        <w:ind w:firstLine="757"/>
        <w:spacing w:after="0" w:line="271" w:lineRule="auto"/>
        <w:tabs>
          <w:tab w:leader="none" w:pos="11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The Company is the exclusive owner of the entire right, title (legal and equitable) and interest in, to and under the Revenue Interests and has good and valid title thereto.</w:t>
      </w:r>
    </w:p>
    <w:p>
      <w:pPr>
        <w:spacing w:after="0" w:line="144"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No Material Adverse Effect has occurred and is continuing, and, to the Knowledge of the Company, no event or circumstance is likely to occur that is reasonably expected to result in a Material Adverse Effect.</w:t>
      </w:r>
    </w:p>
    <w:p>
      <w:pPr>
        <w:spacing w:after="0" w:line="17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Upon consummation of the transactions contemplated by the Transaction Documents and the application of the proceeds therefrom, (i) the fair saleable value of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8" w:name="page79"/>
    <w:bookmarkEnd w:id="78"/>
    <w:p>
      <w:pPr>
        <w:jc w:val="both"/>
        <w:spacing w:after="0" w:line="238" w:lineRule="auto"/>
        <w:rPr>
          <w:sz w:val="20"/>
          <w:szCs w:val="20"/>
          <w:color w:val="auto"/>
        </w:rPr>
      </w:pPr>
      <w:r>
        <w:rPr>
          <w:rFonts w:ascii="Times New Roman" w:cs="Times New Roman" w:eastAsia="Times New Roman" w:hAnsi="Times New Roman"/>
          <w:sz w:val="22"/>
          <w:szCs w:val="22"/>
          <w:color w:val="auto"/>
        </w:rPr>
        <w:t>Company’s assets will be greater than the sum of its Indebtedness, liabilities and other obligations, including contingent liabilities, (ii) the present fair saleable value of the Company’s assets will be greater than the amount that would be required to pay its probable liabilities on its existing Indebtedness, liabilities and other obligations, including contingent liabilities, as they become absolute and matured, (iii) the Company will be able to realize upon its assets and pay its Indebtedness, liabilities and other obligations, including contingent obligations, as they mature, (iv) the Company will not be rendered insolvent (within the meaning of any applicable law or otherwise), will not have unreasonably small capital with which to engage in its business and will not be unable to pay its Indebtedness as it matures, and (v) the Company will not have become subject to any Voluntary Bankruptcy or Involuntary Bankruptcy. No step has been taken by the Company or, to the Knowledge of the Company, any other Person, to make the Company subject to a Voluntary Bankruptcy or Involuntary Bankruptcy.</w:t>
      </w:r>
    </w:p>
    <w:p>
      <w:pPr>
        <w:spacing w:after="0" w:line="199" w:lineRule="exact"/>
        <w:rPr>
          <w:sz w:val="20"/>
          <w:szCs w:val="20"/>
          <w:color w:val="auto"/>
        </w:rPr>
      </w:pPr>
    </w:p>
    <w:p>
      <w:pPr>
        <w:jc w:val="both"/>
        <w:ind w:firstLine="757"/>
        <w:spacing w:after="0" w:line="250" w:lineRule="auto"/>
        <w:tabs>
          <w:tab w:leader="none" w:pos="120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Subordination</w:t>
      </w:r>
      <w:r>
        <w:rPr>
          <w:rFonts w:ascii="Times New Roman" w:cs="Times New Roman" w:eastAsia="Times New Roman" w:hAnsi="Times New Roman"/>
          <w:sz w:val="22"/>
          <w:szCs w:val="22"/>
          <w:color w:val="auto"/>
        </w:rPr>
        <w:t>. The claims and rights of the Investors created by any Transaction Document in and to the Revenue Interests are not and shall not be subordinated to any creditor of the Company, except as may be set forth in the Subordination Agreement.</w:t>
      </w:r>
    </w:p>
    <w:p>
      <w:pPr>
        <w:spacing w:after="0" w:line="16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Investors’ Representations and Warranties</w:t>
      </w:r>
      <w:r>
        <w:rPr>
          <w:rFonts w:ascii="Times New Roman" w:cs="Times New Roman" w:eastAsia="Times New Roman" w:hAnsi="Times New Roman"/>
          <w:sz w:val="22"/>
          <w:szCs w:val="22"/>
          <w:color w:val="auto"/>
        </w:rPr>
        <w:t>. Each Investor hereby represents and warrants, severally and not jointly, to the Company that:</w:t>
      </w:r>
    </w:p>
    <w:p>
      <w:pPr>
        <w:spacing w:after="0" w:line="172" w:lineRule="exact"/>
        <w:rPr>
          <w:sz w:val="20"/>
          <w:szCs w:val="20"/>
          <w:color w:val="auto"/>
        </w:rPr>
      </w:pPr>
    </w:p>
    <w:p>
      <w:pPr>
        <w:ind w:firstLine="757"/>
        <w:spacing w:after="0" w:line="258" w:lineRule="auto"/>
        <w:tabs>
          <w:tab w:leader="none" w:pos="119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Existence; Good Standing</w:t>
      </w:r>
      <w:r>
        <w:rPr>
          <w:rFonts w:ascii="Times New Roman" w:cs="Times New Roman" w:eastAsia="Times New Roman" w:hAnsi="Times New Roman"/>
          <w:sz w:val="22"/>
          <w:szCs w:val="22"/>
          <w:color w:val="auto"/>
        </w:rPr>
        <w:t>. Such Investor is duly formed or organized and, to the extent such concepts exist in its jurisdiction of organization, validly existing and in good standing under the laws of its jurisdiction of organization.</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Such Investor has the requisite right, power and authority to execute, deliver and perform its obligations under the Transaction Documents. The execution, delivery and performance of the Transaction Documents, and the consummation of the transactions contemplated hereby and thereby, have been duly authorized by all necessary action on the part of such Investor.</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The Transaction Documents have been duly executed and delivered by an authorized person of such Investor and constitute the valid and binding obligations of such Investor, enforceable against such Investor in accordance with the terms of each respective Transaction Document, except as may be limited by applicable Bankruptcy Laws or by general principles of equity (whether considered in a proceeding in equity or at law).</w:t>
      </w:r>
    </w:p>
    <w:p>
      <w:pPr>
        <w:spacing w:after="0" w:line="186" w:lineRule="exact"/>
        <w:rPr>
          <w:rFonts w:ascii="Times New Roman" w:cs="Times New Roman" w:eastAsia="Times New Roman" w:hAnsi="Times New Roman"/>
          <w:sz w:val="22"/>
          <w:szCs w:val="22"/>
          <w:color w:val="auto"/>
        </w:rPr>
      </w:pPr>
    </w:p>
    <w:p>
      <w:pPr>
        <w:jc w:val="both"/>
        <w:ind w:firstLine="757"/>
        <w:spacing w:after="0"/>
        <w:tabs>
          <w:tab w:leader="none" w:pos="11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such Investor of the Transaction Documents do not and will not (i) contravene or conflict with the organizational documents of such Investor, (ii) contravene or conflict with or constitute a default under any material provision of any law binding upon or applicable to such Investor or (iii) contravene or conflict with or constitute a default under any material contract or other material agreement or Judgment binding upon or applicable to such Investor.</w:t>
      </w:r>
    </w:p>
    <w:p>
      <w:pPr>
        <w:spacing w:after="0" w:line="193"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Except for any filings required by the federal securities laws or stock exchange rules, no consent, approval, license, order, authorization, registration, declaration or filing with or of any Governmental Entity or other Person is required to be done or obtained by such Investor in connection with (i) the execution and delivery by such Investor of the Transaction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9" w:name="page80"/>
    <w:bookmarkEnd w:id="79"/>
    <w:p>
      <w:pPr>
        <w:spacing w:after="0" w:line="271" w:lineRule="auto"/>
        <w:rPr>
          <w:sz w:val="20"/>
          <w:szCs w:val="20"/>
          <w:color w:val="auto"/>
        </w:rPr>
      </w:pPr>
      <w:r>
        <w:rPr>
          <w:rFonts w:ascii="Times New Roman" w:cs="Times New Roman" w:eastAsia="Times New Roman" w:hAnsi="Times New Roman"/>
          <w:sz w:val="22"/>
          <w:szCs w:val="22"/>
          <w:color w:val="auto"/>
        </w:rPr>
        <w:t>Documents, (ii) the performance by such Investor of its obligations under the Transaction Documents or (iii) the consummation by such Investor of any of the transactions contemplated by the Transaction Documents.</w:t>
      </w:r>
    </w:p>
    <w:p>
      <w:pPr>
        <w:spacing w:after="0" w:line="144" w:lineRule="exact"/>
        <w:rPr>
          <w:sz w:val="20"/>
          <w:szCs w:val="20"/>
          <w:color w:val="auto"/>
        </w:rPr>
      </w:pPr>
    </w:p>
    <w:p>
      <w:pPr>
        <w:jc w:val="both"/>
        <w:ind w:firstLine="757"/>
        <w:spacing w:after="0" w:line="244" w:lineRule="auto"/>
        <w:tabs>
          <w:tab w:leader="none" w:pos="11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is no action, suit, investigation or proceeding pending or, to the knowledge of such Investor, threatened before any Governmental Entity to which such Investor is a party that would, if determined adversely, reasonably be expected to prevent or materially and adversely affect the ability of such Investor to perform its obligations under the Transaction Documents.</w:t>
      </w:r>
    </w:p>
    <w:p>
      <w:pPr>
        <w:spacing w:after="0" w:line="18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xml:space="preserve">. Such Investor has or will have sufficient cash to pay the sums set forth opposite such Investor’s name in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attached hereto at the respective dates on which such payments are required to be made hereunder. Such Investor acknowledges that its obligations under this Agreement are not contingent on obtaining financing.</w:t>
      </w:r>
    </w:p>
    <w:p>
      <w:pPr>
        <w:spacing w:after="0" w:line="186"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Brokers’ Fees</w:t>
      </w:r>
      <w:r>
        <w:rPr>
          <w:rFonts w:ascii="Times New Roman" w:cs="Times New Roman" w:eastAsia="Times New Roman" w:hAnsi="Times New Roman"/>
          <w:sz w:val="22"/>
          <w:szCs w:val="22"/>
          <w:color w:val="auto"/>
        </w:rPr>
        <w:t>. There is no investment banker, broker, finder, financial advisor or other intermediary who has been retained by or is authorized to act on behalf of such Initial Investor who might be entitled to any fee or commission in connection with the transactions contemplated by the Transaction Documents.</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 Implied Representations and Warranties</w:t>
      </w:r>
      <w:r>
        <w:rPr>
          <w:rFonts w:ascii="Times New Roman" w:cs="Times New Roman" w:eastAsia="Times New Roman" w:hAnsi="Times New Roman"/>
          <w:sz w:val="22"/>
          <w:szCs w:val="22"/>
          <w:color w:val="auto"/>
        </w:rPr>
        <w:t xml:space="preserve">. Each Investor, severally but not jointly, acknowledges and agrees that, other than the express representations and warranties of the Company specifically contained in this ARTICLE 4, (a) there are no representations or warranties of the Company either expressed or implied with respect to the Patent Rights or Royalty Payments and that such Investor does not rely on, and shall have no remedies in respect of, any representation or warranty not specifically set forth in this ARTICLE 4, and all other representations and warranties are hereby expressly disclaimed, and (b) nothing contained herein guarantees that sales of the Products or the aggregate Royalty Payments due to the Investors will achieve any specific amounts. Notwithstanding the foregoing, claims for fraud, gross negligence, or willful misconduct shall not be waived or limited in any way by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Except for the Revenue Interests and the Investors’ rights under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 each Investor, severally but not jointly, further acknowledges and agrees that no licenses or assignments under any assets (including the Patent Rights or any other intellectual property) of the Company and its Affiliates are granted pursuant to this Agreement, including by implication, estoppel, exhaustion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2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COVENANTS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Additional Reporting; Update Meetings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8" w:lineRule="auto"/>
        <w:tabs>
          <w:tab w:leader="none" w:pos="118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Company shall provide each Investor with such information regarding the clinical development and Commercialization of Products as such Investor may reasonably request from time to time. All such reports, and the Confidential Information contained therein, shall be the Confidential Information of the Company and subject to the obligations of confidentiality set forth in ARTICLE 7.</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0" w:name="page81"/>
    <w:bookmarkEnd w:id="80"/>
    <w:p>
      <w:pPr>
        <w:jc w:val="both"/>
        <w:ind w:firstLine="757"/>
        <w:spacing w:after="0" w:line="241" w:lineRule="auto"/>
        <w:tabs>
          <w:tab w:leader="none" w:pos="11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Effective Date, the Investors shall be entitled to a quarterly update call or meeting (via teleconference or videoconference or at a location reasonably designated by the Company) to discuss (i) the Royalty Reports, (ii) the progress of Commercialization efforts made by the Company with respect to any Product in the Territory, (iii) the status and the historical and potential performance of the Products in the Territory, (iv) any regulatory developments with respect to any Product in the Territory and/or (v) such other matters that the Investors deem reasonably appropriate. Any information disclosed by any party during such update meetings or calls or provided to a party pursuant to its request shall be considered “Confidential Information” of the disclosing party subject to the terms of ARTICLE 7.</w:t>
      </w:r>
    </w:p>
    <w:p>
      <w:pPr>
        <w:spacing w:after="0" w:line="17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no event more than 10 Business Days) after the Company receives from any Third Party any written notice, demand, certificate, offer, proposal, correspondence, report or other communication relating to the Takeda License, the Patent Rights, the Revenue Interests or the Products, which notice, demand, certificate, offer, proposal, correspondence, report or other communication would, or relates to any event or circumstance that would, reasonably be expected to have a Material Adverse Effect, the Company shall provide to the Investors written notice thereof (including reasonable details to enable the Investors to understand the applicable matters involved, the facts, events or circumstances that gave rise to such matters, any relief or remedies being sought, any proposed corrective action to be taken, and relevant timelines for any exercise of remedies or for any proposed corrective action), together with a copy of such written notice, demand, certificate, offer, proposal, correspondence, report or other communication.</w:t>
      </w:r>
    </w:p>
    <w:p>
      <w:pPr>
        <w:spacing w:after="0" w:line="199"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each Investor shall provide the other parties hereto with written notice as promptly as practicable (and in any event within 10 Business Days) after the Company or such Investor (as applicable) becomes aware of any of the following: (i) any breach or default by the Company or such Investor (as applicable) of any covenant, agreement or other provision of any of the Transaction Documents to which it is party; (ii) any representation or warranty made by the Company or such Investor (as applicable) in any of the Transaction Documents to which it is party shall prove to be untrue, inaccurate or incomplete in any respect on the date as of which made; or (iii) any change, effect, event, occurrence, state of facts, development or condition that would reasonably be expected to result in a Material Adverse Effect.</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Disclosures</w:t>
      </w:r>
      <w:r>
        <w:rPr>
          <w:rFonts w:ascii="Times New Roman" w:cs="Times New Roman" w:eastAsia="Times New Roman" w:hAnsi="Times New Roman"/>
          <w:sz w:val="22"/>
          <w:szCs w:val="22"/>
          <w:color w:val="auto"/>
        </w:rPr>
        <w:t xml:space="preserve">. Except for a press release previously approved in form and substance by the Company and the Investors or any other public announcement using substantially the same text as such press release, neither the Investors nor the Company shall, and each party hereto shall cause its respective Representatives, Affiliates and Affiliates’ Representatives not to issue a press release or other public announcement or otherwise make any public disclosure with respect to the Transaction Documents, or the subject matter or any terms hereof or thereof (including the identity of any of the parties hereto), without the prior written consent of the other parties hereto (which consent shall not be unreasonably withheld or delayed), except as may be required by applicable law or stock exchange rule (in which case the party hereto required to make the press release or other public announcement or disclosure shall allow the other parties hereto reasonable time to comment on, and, if applicable, reasonably direct the disclosing party to seek confidential treatment in respect of portions of, such press release or other public announcement or disclosure in advance of such issuance) or except as permitted by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1" w:name="page82"/>
    <w:bookmarkEnd w:id="81"/>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Inspections and Audits of the Company</w:t>
      </w:r>
      <w:r>
        <w:rPr>
          <w:rFonts w:ascii="Times New Roman" w:cs="Times New Roman" w:eastAsia="Times New Roman" w:hAnsi="Times New Roman"/>
          <w:sz w:val="22"/>
          <w:szCs w:val="22"/>
          <w:color w:val="auto"/>
        </w:rPr>
        <w:t xml:space="preserve">. Following the Effective Date, upon at least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written notice and during normal business hours, no more frequently than once per calendar year, the Investors may cause an inspection and/or audit by an independent public accounting firm to be made of the Company’s books of account for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calendar years prior to the audit for the purpose of determining the correctness of the calculation of the Royalty Payments under this Agreement; provided, however, that no calendar year may be subject to more than one audit unless an Event of Default has occurred and is continuing. Upon the Investors’ reasonable request, no more frequently than once per calendar year while any Out-License remains in effect, the Company shall use Commercially Reasonable Efforts to exercise any rights it may have under any Out-License relating to a Product to cause an inspection and/or audit by an independent public accounting firm to be made of the books of account of any counterparty thereto for the purpose of determining the correctness of the calculation of the Royalty Payments under this Agreement. The Company shall promptly notify the Investors in writing if it initiates an inspection and/or audit of the books of accounts of any counterparty to an Out-License to the extent such inspection and/or audit is related to the Royalty Payments, and shall provide to the Investors a copy of any report relating thereto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of receipt thereof, which copy may be redacted;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redactions to such report shall not include any information necessary to determine the correctness of the calculation of the Royalty Payments made under this Agreement. All of the out-of-pocket expenses of any inspection or audit requested by the Investors hereunder (including the fees and expenses of such independent public accounting firm designated for such purpose) otherwise payable by the Company shall be borne solely by the Investors, unless the independent public accounting firm determines that Royalty Payments previously paid to the Investors during the period of the audit were underpaid by an amount greater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of the Royalty Payments actually paid during such period, in which case such expenses shall be borne by the Company. Any such accounting firm or Company shall not disclose the confidential information of the Company or any such Licensee relating to a Product to the Investors, except to the extent such disclosure is necessary to determine the correctness of Royalty Payments or otherwise would be included in a Royalty Report. All information obtained by the Investors as a result of any such inspection or audit shall be Confidential Information subject to ARTICLE 7. If any audit discloses any underpayments by the Company to the Investors, then such underpayment, together with the late fees contemplated by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shall be paid by the Company to the Investors (in accordance with their Specified Percentages in the same manner as provided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calendar days of such underpayment being so disclosed. If any audit discloses any overpayments by the Company to the Investors, then the Company shall have the right to credit the amount of the overpayment against each subsequent quarterly Royalty Payment due to the Investors until the overpayment has been fully applied.</w:t>
      </w:r>
    </w:p>
    <w:p>
      <w:pPr>
        <w:spacing w:after="0" w:line="20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Intellectual Property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757"/>
        <w:spacing w:after="0"/>
        <w:tabs>
          <w:tab w:leader="none" w:pos="118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provide to the Investors a copy of any written notice received by the Company from a Third Party alleging or claiming that the making, having made, using, importing, offering for sale or selling of a Product in the Territory infringes or misappropriates any patent or other intellectual property rights of such Third Party, together with copies of material correspondence sent or received by the Company related thereto, as soon as practicable and in any event not more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such delivery or receipt.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2" w:name="page83"/>
    <w:bookmarkEnd w:id="82"/>
    <w:p>
      <w:pPr>
        <w:jc w:val="both"/>
        <w:ind w:firstLine="757"/>
        <w:spacing w:after="0" w:line="241" w:lineRule="auto"/>
        <w:tabs>
          <w:tab w:leader="none" w:pos="118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promptly inform the Investors of any infringement by a Third Party of any Patent Right of which any of the individuals named in the definition of “Knowledge of the Company” (or the successors of such Person at the Company) becomes aware. Without limiting the foregoing, the Company shall provide to the Investors a copy of any written notice of any suspected infringement of any Patent Rights delivered or received by the Company, as well as copies of material correspondence related thereto, as soon as practicable and in any event not more than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such delivery or receipt.</w:t>
      </w:r>
    </w:p>
    <w:p>
      <w:pPr>
        <w:spacing w:after="0" w:line="19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initiating, or permitting Takeda to initiate, an enforcement action regarding any suspected infringement by a Third Party of any Patent Right, the Company shall provide the Investors with written notice of such enforcement action.</w:t>
      </w:r>
    </w:p>
    <w:p>
      <w:pPr>
        <w:spacing w:after="0" w:line="186" w:lineRule="exact"/>
        <w:rPr>
          <w:rFonts w:ascii="Times New Roman" w:cs="Times New Roman" w:eastAsia="Times New Roman" w:hAnsi="Times New Roman"/>
          <w:sz w:val="22"/>
          <w:szCs w:val="22"/>
          <w:color w:val="auto"/>
        </w:rPr>
      </w:pPr>
    </w:p>
    <w:p>
      <w:pPr>
        <w:jc w:val="both"/>
        <w:ind w:firstLine="757"/>
        <w:spacing w:after="0" w:line="251" w:lineRule="auto"/>
        <w:tabs>
          <w:tab w:leader="none" w:pos="1181"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recovers monetary damages from a Third Party in an action brought for such Third Party’s infringement of any Patent Rights relating to a Product, where such damages, whether in the form of judgment or settlement, are awarded for such infringement of such Patent Rights, (i) such recovery will be allocated first to the reimbursement of any expenses incurred by the Company (or any party to an In-License or Permitted License of such Patent Rights entitled to such reimbursement under any such In-License or Permitted License) in bringing such action (including all reasonable attorney’s fees),</w:t>
      </w:r>
    </w:p>
    <w:p>
      <w:pPr>
        <w:spacing w:after="0" w:line="3" w:lineRule="exact"/>
        <w:rPr>
          <w:rFonts w:ascii="Times New Roman" w:cs="Times New Roman" w:eastAsia="Times New Roman" w:hAnsi="Times New Roman"/>
          <w:sz w:val="21"/>
          <w:szCs w:val="21"/>
          <w:color w:val="auto"/>
        </w:rPr>
      </w:pPr>
    </w:p>
    <w:p>
      <w:pPr>
        <w:jc w:val="both"/>
        <w:ind w:firstLine="8"/>
        <w:spacing w:after="0" w:line="248" w:lineRule="auto"/>
        <w:tabs>
          <w:tab w:leader="none" w:pos="32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remaining amounts will be reduced, if applicable, to comply with allocation of recovered damages with licensors of such Patent Rights required under any In-Licenses or Permitted Licenses of such Patent Rights under any Out-Licenses, if any, and</w:t>
      </w:r>
    </w:p>
    <w:p>
      <w:pPr>
        <w:ind w:firstLine="8"/>
        <w:spacing w:after="0" w:line="237" w:lineRule="auto"/>
        <w:tabs>
          <w:tab w:leader="none" w:pos="3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residual amount of such damages after application of (i) and (ii) will be treated as Net Sales, License Milestone Revenue or License Royalty Revenue, as applicable.</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In-Licenses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757"/>
        <w:spacing w:after="0" w:line="250" w:lineRule="auto"/>
        <w:tabs>
          <w:tab w:leader="none" w:pos="11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promptly (and in any event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execution thereof) provide the Investors with (i) executed copies of any In-License entered into by the Company or its Affiliates, and (ii) executed copies of each amendment, supplement, modification or written waiver of any provision of any In-License.</w:t>
      </w:r>
    </w:p>
    <w:p>
      <w:pPr>
        <w:spacing w:after="0" w:line="16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use Commercially Reasonable Efforts to comply in all material respects with its obligations under any In-Licenses it enters into and shall not take any action or forego any action that would reasonably be expected to result in a material breach thereof. Promptly, and in any event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after receipt of any written or oral notice by the Company or any of its Affiliates with respect to an alleged material breach under any In-License, the Company shall provide the Investors a copy (or, in the case of oral notices, a written summary) thereof. The Company shall use its Commercially Reasonable Efforts to cure any material breaches by it under any In-License and shall give written notice to the Investors upon curing any such breach. The Company shall provide the Investors with written notice following (and in any event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of) becoming aware of a counterparty’s material breach of its obligations under any In-License. The Company shall not terminate (i) any In-License without providing the Investors prior written notice or (ii) the Takeda License. The Company shall not make or enter into any amendment, supplement or modification to, or grant any waiver under any provision of, the Takeda License without the Investors’ prior written consent (which consent shall not be unreasonably withheld, conditioned or delayed) to the extent that such amendment, supplement, modification or grant would reasonably be expected to have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2"/>
          <w:szCs w:val="22"/>
          <w:color w:val="auto"/>
        </w:rPr>
        <w:t>on the timing, amount or duration of the Royalty Payments. Promptly, and in any event within 10 Business Days following the Company’s notice to a counterparty to any In-License of an alleged breach by such counterparty under any such In-License, the Company shall provide the Investors a copy thereof.</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Out-Licenses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757"/>
        <w:spacing w:after="0" w:line="250"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compliance with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the Company may enter into Out-Licenses that are Permitted Licenses without the Investors’ prior written consent. The Company may not enter into any other Out-Licenses without the Investors’ prior written consent.</w:t>
      </w:r>
    </w:p>
    <w:p>
      <w:pPr>
        <w:spacing w:after="0" w:line="167" w:lineRule="exact"/>
        <w:rPr>
          <w:rFonts w:ascii="Times New Roman" w:cs="Times New Roman" w:eastAsia="Times New Roman" w:hAnsi="Times New Roman"/>
          <w:sz w:val="22"/>
          <w:szCs w:val="22"/>
          <w:color w:val="auto"/>
        </w:rPr>
      </w:pPr>
    </w:p>
    <w:p>
      <w:pPr>
        <w:jc w:val="both"/>
        <w:ind w:right="20" w:firstLine="757"/>
        <w:spacing w:after="0" w:line="250"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promptly (and in any event within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Business Days following execution thereof) provide the Investors with (i) executed copies of each Out-License, and (ii) executed copies of each amendment, supplement, modification or written waiver of any material provision of an Out-License.</w:t>
      </w:r>
    </w:p>
    <w:p>
      <w:pPr>
        <w:spacing w:after="0" w:line="167"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include in all Out-Licenses provisions permitting the Company to audit such Licensee and shall use Commercially Reasonable Efforts to include terms and conditions consistent in all material respects with the Investors’ rights to audit the Company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757"/>
        <w:spacing w:after="0" w:line="250"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the Investors prompt (and in any event within three Business Days) written notice of a Licensee’s material breach of its obligations under any Out-License of which any of the individuals named in the definition of “Knowledge of the Company” (or the successors of such Person at the Company) becomes aware.</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provide the Investors with written notice promptly (and in any event within five Business Days) following the termination of any Out-License.</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Diligence</w:t>
      </w:r>
      <w:r>
        <w:rPr>
          <w:rFonts w:ascii="Times New Roman" w:cs="Times New Roman" w:eastAsia="Times New Roman" w:hAnsi="Times New Roman"/>
          <w:sz w:val="21"/>
          <w:szCs w:val="21"/>
          <w:color w:val="auto"/>
        </w:rPr>
        <w:t>. The Company shall use Commercially Reasonable Efforts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After the Effective Date, the Company and the Investors, severally and not jointly, agree to execute and deliver such other documents, certificates, agreements and other writings and to take such other actions as may be reasonably necessary in order to give effect to the transactions contemplated by the Transaction Documents.</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Burdensome Actions</w:t>
      </w:r>
      <w:r>
        <w:rPr>
          <w:rFonts w:ascii="Times New Roman" w:cs="Times New Roman" w:eastAsia="Times New Roman" w:hAnsi="Times New Roman"/>
          <w:sz w:val="22"/>
          <w:szCs w:val="22"/>
          <w:color w:val="auto"/>
        </w:rPr>
        <w:t>. Notwithstanding anything herein to the contrary, the Company shall not enter into any contracts or arrangements or otherwise knowingly take any action or knowingly fail to act in a manner that would, individually or in the aggregate, reasonably be expected to result in a Material Adverse Effect.</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5.10</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8" w:lineRule="auto"/>
        <w:tabs>
          <w:tab w:leader="none" w:pos="118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and shall cause each of its Subsidiaries to, pay when due all material Taxes of any nature whatsoever now or hereafter imposed or assessed against the Company or such Subsidiary or their assets or upon the Company’s (or such Subsidiary’s) ownership, possession, use, operation or disposition thereof or upon the Company’s (or such Subsidiary’s) rents, receipts or earnings arising therefrom. The Company shall, and shall cause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22"/>
          <w:szCs w:val="22"/>
          <w:color w:val="auto"/>
        </w:rPr>
        <w:t>each of its Subsidiaries to, accurately file on or before the due date therefor (taking into account proper extensions) all federal and state income Tax returns and other material Tax returns required to be filed. Notwithstanding the foregoing, the Company and its Subsidiaries may contest, in good faith and by appropriate proceedings diligently conducted, Taxes for which the Company and its Subsidiaries maintain adequate reserves in accordance with GAAP.</w:t>
      </w:r>
    </w:p>
    <w:p>
      <w:pPr>
        <w:spacing w:after="0" w:line="186" w:lineRule="exact"/>
        <w:rPr>
          <w:sz w:val="20"/>
          <w:szCs w:val="20"/>
          <w:color w:val="auto"/>
        </w:rPr>
      </w:pPr>
    </w:p>
    <w:p>
      <w:pPr>
        <w:jc w:val="both"/>
        <w:ind w:firstLine="757"/>
        <w:spacing w:after="0" w:line="249" w:lineRule="auto"/>
        <w:tabs>
          <w:tab w:leader="none" w:pos="118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and the Investors agree that, for Tax purposes, (i) the Company and the Investors shall treat the transactions contemplated by this Agreement as indebtedness and shall treat each of the Investment Amounts as comprising separate debt instruments subject to the rules applicable to contingent payment debt instruments under Treasury Regulation Section 1.1275-4(b), and (ii) subject to the application of the Cap Amount or as otherwise required by applicable law, if multiple Investment Amounts have been paid by the Investors to the Company, then Royalty Payments shall for tax purposes be treated as paid pro rata in respect of each such Investment Amount. The parties hereto agree not to take any position that is inconsistent with the provisions of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on any tax return or in any audit or other tax-related administrative or judicial proceeding unless (x) the other parties hereto have consented in writing (such consent not to be unreasonably withheld, conditioned or delayed) to such actions or (y) a party hereto receives advice in the form of a written memorandum or opinion from a nationally recognized accounting or law firm (at a more likely than not standard) that debt treatment is not appropriate,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party receives such advice, it shall promptly inform the other parties hereto thereof, and if another party hereto receives written advice from a nationally recognized accounting or law firm (at a more likely than not standard) that debt treatment is appropriate, the parties hereto shall in good faith discuss the differing conclusions and attempt to reconcile the differences, and if they are unable to do so, each such party may take its own position in respect thereof. If there is an inquiry by any Governmental Entity of the Investors or the Company related to the treatment described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the parties hereto shall cooperate with each other in responding to such inquiry in a reasonable manner which is consistent with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w:t>
      </w:r>
    </w:p>
    <w:p>
      <w:pPr>
        <w:spacing w:after="0" w:line="176"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(but subject to the requirement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to treat the transactions contemplated hereby as indebtedness and subject to the Company’s obligation to pay additional amounts pursuant to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xml:space="preserve">), each of the Investors and the Company shall be entitled to withhold and deduct (or cause to be withheld and deducted) from any amount payable under this Agreement to any other party any Tax that any Investor or the Company, as applicable, determines that it is required to withhold and deduct under applicable law, and any such amount withheld and deducted shall be treated for all purposes of this Agreement as being paid to such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of the Investors and the Company shall give such other party reasonable prior notice and the opportunity, in good faith, to contest and prevent such withholding and deduction. The parties hereto shall use commercially reasonable efforts to give or cause to be given to the other parties hereto such assistance and such information concerning the reasons for withholding or deduction (including, in reasonable detail, the method of calculation for the deduction or withholding thereof) as may be reasonably necessary to enable an Investor or the Company, as applicable, to claim exemption therefrom, or credit therefor, or relief (whether at source or by reclaim) therefrom, and, in each case, shall furnish the Investors or the Company, as applicable, with proper evidence of the taxes withheld and deducted and remitted to the relevant taxing authority. Each Investor, severally but not jointly, agrees (i) to notify the Company in writing if (A) such Investor becomes ineligible to use or deliver the Applicable Withholding Certificate delivered by such Investor to the Company under </w:t>
      </w:r>
      <w:r>
        <w:rPr>
          <w:rFonts w:ascii="Times New Roman" w:cs="Times New Roman" w:eastAsia="Times New Roman" w:hAnsi="Times New Roman"/>
          <w:sz w:val="22"/>
          <w:szCs w:val="22"/>
          <w:u w:val="single" w:color="auto"/>
          <w:color w:val="auto"/>
        </w:rPr>
        <w:t>Section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5" w:name="page86"/>
    <w:bookmarkEnd w:id="85"/>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3.1(f)</w:t>
      </w:r>
      <w:r>
        <w:rPr>
          <w:rFonts w:ascii="Times New Roman" w:cs="Times New Roman" w:eastAsia="Times New Roman" w:hAnsi="Times New Roman"/>
          <w:sz w:val="22"/>
          <w:szCs w:val="22"/>
          <w:color w:val="auto"/>
        </w:rPr>
        <w:t xml:space="preserve"> or (B) the Applicable Withholding Certificate delivered by such Investor to the Company under </w:t>
      </w:r>
      <w:r>
        <w:rPr>
          <w:rFonts w:ascii="Times New Roman" w:cs="Times New Roman" w:eastAsia="Times New Roman" w:hAnsi="Times New Roman"/>
          <w:sz w:val="22"/>
          <w:szCs w:val="22"/>
          <w:u w:val="single" w:color="auto"/>
          <w:color w:val="auto"/>
        </w:rPr>
        <w:t>Section 3.1(f)</w:t>
      </w:r>
      <w:r>
        <w:rPr>
          <w:rFonts w:ascii="Times New Roman" w:cs="Times New Roman" w:eastAsia="Times New Roman" w:hAnsi="Times New Roman"/>
          <w:sz w:val="22"/>
          <w:szCs w:val="22"/>
          <w:color w:val="auto"/>
        </w:rPr>
        <w:t xml:space="preserve"> ceases to be accurate or complete and (ii) to provide (to the extent it is legally eligible to do so) any additional Tax forms that the Company may reasonably request.</w:t>
      </w:r>
    </w:p>
    <w:p>
      <w:pPr>
        <w:spacing w:after="0" w:line="168" w:lineRule="exact"/>
        <w:rPr>
          <w:sz w:val="20"/>
          <w:szCs w:val="20"/>
          <w:color w:val="auto"/>
        </w:rPr>
      </w:pPr>
    </w:p>
    <w:p>
      <w:pPr>
        <w:jc w:val="both"/>
        <w:ind w:right="20" w:firstLine="757"/>
        <w:spacing w:after="0" w:line="250"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if the Company (including, for the avoidance of doubt for purposes of this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any successor to the Company under this Agreement) becomes organized, formed or tax resident in a jurisdiction outside of the United States, then:</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applicable non-U.S. law requires the deduction or withholding of any additional amount from any payment hereunder to any Investor (which additional amount would not have resulted, solely as a result of the Company being organized, formed or tax resident in a jurisdiction outside of the United States), then the sum payable by the Company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such Investor receives the full contractual amount of the applicable payment as if no such additional deduction or withholding had been required or made;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Investor is required to pay any additional Taxes with respect to payments hereunder under any applicable non-U.S. law the amount of which it would not otherwise have to pay solely as a result of the Company being organized, formed or tax resident in a jurisdiction outside of the United States, then the Company shall indemnify such Investor, within 10 days after demand therefor, for the full amount of such additional Taxes (including Taxes imposed or asserted on or attributable to amounts payable under this </w:t>
      </w:r>
      <w:r>
        <w:rPr>
          <w:rFonts w:ascii="Times New Roman" w:cs="Times New Roman" w:eastAsia="Times New Roman" w:hAnsi="Times New Roman"/>
          <w:sz w:val="22"/>
          <w:szCs w:val="22"/>
          <w:u w:val="single" w:color="auto"/>
          <w:color w:val="auto"/>
        </w:rPr>
        <w:t>Section 5.10(d)</w:t>
      </w:r>
      <w:r>
        <w:rPr>
          <w:rFonts w:ascii="Times New Roman" w:cs="Times New Roman" w:eastAsia="Times New Roman" w:hAnsi="Times New Roman"/>
          <w:sz w:val="22"/>
          <w:szCs w:val="22"/>
          <w:color w:val="auto"/>
        </w:rPr>
        <w:t xml:space="preserve"> under such non-U.S. law) payable or paid by such Investor; and</w:t>
      </w:r>
    </w:p>
    <w:p>
      <w:pPr>
        <w:spacing w:after="0" w:line="190" w:lineRule="exact"/>
        <w:rPr>
          <w:rFonts w:ascii="Times New Roman" w:cs="Times New Roman" w:eastAsia="Times New Roman" w:hAnsi="Times New Roman"/>
          <w:sz w:val="22"/>
          <w:szCs w:val="22"/>
          <w:color w:val="auto"/>
        </w:rPr>
      </w:pPr>
    </w:p>
    <w:p>
      <w:pPr>
        <w:jc w:val="both"/>
        <w:ind w:left="760" w:firstLine="745"/>
        <w:spacing w:after="0"/>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treated as paid by the Company and received by the applicable Investor for purposes of this Agreement shall include all additional amounts and indemnity payments paid to such Investor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5.10(d)</w:t>
      </w:r>
      <w:r>
        <w:rPr>
          <w:rFonts w:ascii="Times New Roman" w:cs="Times New Roman" w:eastAsia="Times New Roman" w:hAnsi="Times New Roman"/>
          <w:sz w:val="22"/>
          <w:szCs w:val="22"/>
          <w:color w:val="auto"/>
        </w:rPr>
        <w:t xml:space="preserve"> (and for the avoidance of doubt shall be fully creditable towards the Cap Amount) and shall be reduced by all indemnified Taxes withheld from payments to such Investor or payable directly by such Investor (and for the avoidance of doubt shall be fully deducted from the Cap Amount).</w:t>
      </w:r>
    </w:p>
    <w:p>
      <w:pPr>
        <w:spacing w:after="0" w:line="19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each party’s obligations under this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shall survive any assignment of rights by, or the replacement of, an Investor and the repayment, satisfaction or discharge of the Investment Amounts and any other obligations under this Agreement.</w:t>
      </w:r>
    </w:p>
    <w:p>
      <w:pPr>
        <w:spacing w:after="0" w:line="18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Minimum Cash</w:t>
      </w:r>
      <w:r>
        <w:rPr>
          <w:rFonts w:ascii="Times New Roman" w:cs="Times New Roman" w:eastAsia="Times New Roman" w:hAnsi="Times New Roman"/>
          <w:sz w:val="22"/>
          <w:szCs w:val="22"/>
          <w:color w:val="auto"/>
        </w:rPr>
        <w:t xml:space="preserve">. The Company shall maintain an amount of cash, cash equivalents and liquid funds of at least (a) beginning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on each day thereafter until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(b) beginning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on each day thereafter until </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the percentage of the Minimum Cash Reference Amount set forth below as of each such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6" w:name="page87"/>
    <w:bookmarkEnd w:id="86"/>
    <w:tbl>
      <w:tblPr>
        <w:tblLayout w:type="fixed"/>
        <w:tblInd w:w="510" w:type="dxa"/>
        <w:tblCellMar>
          <w:top w:w="0" w:type="dxa"/>
          <w:left w:w="0" w:type="dxa"/>
          <w:bottom w:w="0" w:type="dxa"/>
          <w:right w:w="0" w:type="dxa"/>
        </w:tblCellMar>
      </w:tblPr>
      <w:tr>
        <w:trPr>
          <w:trHeight w:val="269"/>
        </w:trPr>
        <w:tc>
          <w:tcPr>
            <w:tcW w:w="7020" w:type="dxa"/>
            <w:vAlign w:val="bottom"/>
            <w:tcBorders>
              <w:top w:val="single" w:sz="8" w:color="auto"/>
              <w:left w:val="single" w:sz="8" w:color="auto"/>
              <w:right w:val="single" w:sz="8" w:color="auto"/>
            </w:tcBorders>
          </w:tcPr>
          <w:p>
            <w:pPr>
              <w:jc w:val="right"/>
              <w:ind w:right="3122"/>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3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 Minimum Cash</w:t>
            </w:r>
          </w:p>
        </w:tc>
      </w:tr>
      <w:tr>
        <w:trPr>
          <w:trHeight w:val="286"/>
        </w:trPr>
        <w:tc>
          <w:tcPr>
            <w:tcW w:w="7020" w:type="dxa"/>
            <w:vAlign w:val="bottom"/>
            <w:tcBorders>
              <w:left w:val="single" w:sz="8" w:color="auto"/>
              <w:right w:val="single" w:sz="8" w:color="auto"/>
            </w:tcBorders>
          </w:tcPr>
          <w:p>
            <w:pPr>
              <w:spacing w:after="0"/>
              <w:rPr>
                <w:sz w:val="24"/>
                <w:szCs w:val="24"/>
                <w:color w:val="auto"/>
              </w:rPr>
            </w:pP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Reference Amount</w:t>
            </w:r>
          </w:p>
        </w:tc>
      </w:tr>
      <w:tr>
        <w:trPr>
          <w:trHeight w:val="52"/>
        </w:trPr>
        <w:tc>
          <w:tcPr>
            <w:tcW w:w="7020" w:type="dxa"/>
            <w:vAlign w:val="bottom"/>
            <w:tcBorders>
              <w:left w:val="single" w:sz="8" w:color="auto"/>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269"/>
        </w:trPr>
        <w:tc>
          <w:tcPr>
            <w:tcW w:w="7020" w:type="dxa"/>
            <w:vAlign w:val="bottom"/>
            <w:tcBorders>
              <w:right w:val="single" w:sz="8" w:color="auto"/>
            </w:tcBorders>
          </w:tcPr>
          <w:p>
            <w:pPr>
              <w:jc w:val="right"/>
              <w:ind w:right="6422"/>
              <w:spacing w:after="0"/>
              <w:rPr>
                <w:sz w:val="20"/>
                <w:szCs w:val="20"/>
                <w:color w:val="auto"/>
              </w:rPr>
            </w:pPr>
            <w:r>
              <w:rPr>
                <w:rFonts w:ascii="Times New Roman" w:cs="Times New Roman" w:eastAsia="Times New Roman" w:hAnsi="Times New Roman"/>
                <w:sz w:val="19"/>
                <w:szCs w:val="19"/>
                <w:color w:val="auto"/>
              </w:rPr>
              <w:t>[***]</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w:t>
            </w:r>
          </w:p>
        </w:tc>
      </w:tr>
      <w:tr>
        <w:trPr>
          <w:trHeight w:val="66"/>
        </w:trPr>
        <w:tc>
          <w:tcPr>
            <w:tcW w:w="702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r>
      <w:tr>
        <w:trPr>
          <w:trHeight w:val="265"/>
        </w:trPr>
        <w:tc>
          <w:tcPr>
            <w:tcW w:w="7020" w:type="dxa"/>
            <w:vAlign w:val="bottom"/>
            <w:tcBorders>
              <w:right w:val="single" w:sz="8" w:color="auto"/>
            </w:tcBorders>
          </w:tcPr>
          <w:p>
            <w:pPr>
              <w:jc w:val="right"/>
              <w:ind w:right="6422"/>
              <w:spacing w:after="0"/>
              <w:rPr>
                <w:sz w:val="20"/>
                <w:szCs w:val="20"/>
                <w:color w:val="auto"/>
              </w:rPr>
            </w:pPr>
            <w:r>
              <w:rPr>
                <w:rFonts w:ascii="Times New Roman" w:cs="Times New Roman" w:eastAsia="Times New Roman" w:hAnsi="Times New Roman"/>
                <w:sz w:val="19"/>
                <w:szCs w:val="19"/>
                <w:color w:val="auto"/>
              </w:rPr>
              <w:t>[***]</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w:t>
            </w:r>
          </w:p>
        </w:tc>
      </w:tr>
      <w:tr>
        <w:trPr>
          <w:trHeight w:val="66"/>
        </w:trPr>
        <w:tc>
          <w:tcPr>
            <w:tcW w:w="702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r>
      <w:tr>
        <w:trPr>
          <w:trHeight w:val="265"/>
        </w:trPr>
        <w:tc>
          <w:tcPr>
            <w:tcW w:w="7020" w:type="dxa"/>
            <w:vAlign w:val="bottom"/>
            <w:tcBorders>
              <w:right w:val="single" w:sz="8" w:color="auto"/>
            </w:tcBorders>
          </w:tcPr>
          <w:p>
            <w:pPr>
              <w:jc w:val="right"/>
              <w:ind w:right="6422"/>
              <w:spacing w:after="0"/>
              <w:rPr>
                <w:sz w:val="20"/>
                <w:szCs w:val="20"/>
                <w:color w:val="auto"/>
              </w:rPr>
            </w:pPr>
            <w:r>
              <w:rPr>
                <w:rFonts w:ascii="Times New Roman" w:cs="Times New Roman" w:eastAsia="Times New Roman" w:hAnsi="Times New Roman"/>
                <w:sz w:val="19"/>
                <w:szCs w:val="19"/>
                <w:color w:val="auto"/>
              </w:rPr>
              <w:t>[***]</w:t>
            </w:r>
          </w:p>
        </w:tc>
        <w:tc>
          <w:tcPr>
            <w:tcW w:w="3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w:t>
            </w:r>
          </w:p>
        </w:tc>
      </w:tr>
      <w:tr>
        <w:trPr>
          <w:trHeight w:val="66"/>
        </w:trPr>
        <w:tc>
          <w:tcPr>
            <w:tcW w:w="7020" w:type="dxa"/>
            <w:vAlign w:val="bottom"/>
            <w:tcBorders>
              <w:bottom w:val="single" w:sz="8" w:color="auto"/>
              <w:right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Additional Revenue Interests; Liens</w:t>
      </w:r>
      <w:r>
        <w:rPr>
          <w:rFonts w:ascii="Times New Roman" w:cs="Times New Roman" w:eastAsia="Times New Roman" w:hAnsi="Times New Roman"/>
          <w:sz w:val="22"/>
          <w:szCs w:val="22"/>
          <w:color w:val="auto"/>
        </w:rPr>
        <w:t>. The Company shall not create, incur, sell, issue, assume, enforce or suffer to exist any additional revenue interests (or similar economic equivalents) with respect to Net Sales of the Products, License Milestone Revenue or License Royalty Revenue in the Territory unless such additional revenue interests (or such economic equivalents) are subordinated to the Revenue Interests as to payment, security and enforcement. The Revenue Interest Collateral shall not be subject to any Lien, except for a Lien of the type described in clause (a) or clause (g) of the definition of Permitted Liens.</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xml:space="preserve">. The Company shall not, directly or indirectly, effectuate or consummate a Change of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may, directly or indirectly, effectuate or consummate: (a) a Pre-Regulatory Milestone Change of Control if the Company pays the Pre-Regulatory Milestone Change of Control Price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(b) a Post-Regulatory Milestone Change of Control if (i) the Company pays the Post-Regulatory Milestone Change of Control Price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(ii) the acquiring Person in such Post-Regulatory Milestone Change of Control (if other than the Company) is a Qualified Party and (iii) to the extent that the Company is party to such Post-Regulatory Milestone Change of Control and is not the surviving Person, such surviving Person expressly assumes all the obligations of the Company under the Transaction Documents to which the Company is party, in which case such surviving Person shall succeed to, and be substituted for, the Company under the Transaction Documents to which the Company is party and the Company shall automatically be released and discharged from its obligations under the Transaction Documents to which the Company is party.</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Dispositions of Product Rights</w:t>
      </w:r>
      <w:r>
        <w:rPr>
          <w:rFonts w:ascii="Times New Roman" w:cs="Times New Roman" w:eastAsia="Times New Roman" w:hAnsi="Times New Roman"/>
          <w:sz w:val="22"/>
          <w:szCs w:val="22"/>
          <w:color w:val="auto"/>
        </w:rPr>
        <w:t xml:space="preserve">. The Company shall not Dispose of any of its rights in a Product, in whole or in part, including any Product Rights, in one or more related transactions, to any Person unless (i) pursuant to the Hercules Loan Documents in connection with the exercise of remedies thereunder after an acceleration of the obligations thereunder, (ii) in connection with a Change of Control that complies with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(iii) in connection with a transaction that complies with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shall not restrict the Company from licensing any Product Rights pursuant to a Permitted License or from transferring the Marketing Approvals for any jurisdiction to a Licensee in connection with a Permitted License covering such jurisdiction.</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Existence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the Company shall (a) preserve and maintain its existence, (b) preserve and maintain its rights, franchises and privileges, unless failure to do any of the foregoing would not reasonably be expected to have, individually or in the aggregate, a Material Adverse Effect, (c) qualify and remain qualified in good standing in each jurisdiction where the failure to do so would reasonably be expected to have, individually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7" w:name="page88"/>
    <w:bookmarkEnd w:id="87"/>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or in the aggregate, a Material Adverse Effect, including appointing and employing such agents or attorneys in each jurisdiction where it shall be necessary to take action under the Transaction Documents, and (d) comply with its organizational documents.</w:t>
      </w:r>
    </w:p>
    <w:p>
      <w:pPr>
        <w:spacing w:after="0" w:line="12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agrees that the proceeds of the Investment Amount shall be used solely for the continued development and commercialization of the Products and to pay fees and expenses incurred in connection with the Transaction Documents. The proceeds of the Investment Amount shall not be used in violation of Anti-Corruption Laws or applicable Sanctions.</w:t>
      </w:r>
    </w:p>
    <w:p>
      <w:pPr>
        <w:spacing w:after="0" w:line="18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39"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and shall cause each of its Subsidiaries to maintain, compliance in all material respects with all applicable laws, rules or regulations, and shall, or shall cause its Subsidiaries to, obtain and maintain all required authorizations, approvals, licenses, permits, certificates, registrations, listings, certificates or exemptions of or issued by any Governmental Entity reasonably necessary in connection with the conduct of the Company’s business. The Company shall not become an “investment company” or a company controlled by an “investment company” under the Investment Company Act of 1940 or undertake as one of its important activities extending credit to purchase or carry margin stock (as defined in Regulations T, U and X of the Federal Reserve Board of Governors).</w:t>
      </w:r>
    </w:p>
    <w:p>
      <w:pPr>
        <w:spacing w:after="0" w:line="194"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shall, nor shall the Company or any of its Subsidiaries permit any controlled Affiliate to, directly or indirectly, knowingly enter into any documents, instruments, agreements or contracts with any Person listed on the OFAC Lists. Neither the Company nor any of its Subsidiaries shall, nor shall the Company or any of its Subsidiaries permit any controlled Affiliate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5"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in effect policies and procedures designed to reasonably ensure compliance by the Company and its Subsidiaries and their respective directors, officers, employees and agents with Anti-Corruption Laws and applicable Sanctions, and the Company and its Subsidiaries and their respective officers and employees and, to the Knowledge of the Company, its directors and agents are in compliance with Anti-Corruption Laws and applicable Sanctions in all material respects.</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Subsidiaries nor any of their respective directors, officers or employees, or, to the Knowledge of the Company, any agent for the Company or any of its Subsidiaries that shall act in any capacity in connection with or benefit from the transactions contemplated by the Transaction Documents, is a Sanctioned Person. No Investment Amount, use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22"/>
          <w:szCs w:val="22"/>
          <w:color w:val="auto"/>
        </w:rPr>
        <w:t>of proceeds or other transaction contemplated by the Transaction Documents shall violate Anti-Corruption Laws or applicable Sanctions.</w:t>
      </w:r>
    </w:p>
    <w:p>
      <w:pPr>
        <w:spacing w:after="0" w:line="14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xml:space="preserve">. The Company shall not consummate any merger, reorganization, or sale of all or substantially all of its properties or assets, unless (a) in connection with a Change of Control that complies with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(b) upon closing such transaction, if the surviving Person is not the Company, (i) such surviving Person is a Qualified Party and (ii) such surviving Person expressly assumes all the obligations of the Company under the Transaction Documents to which the Company is party, in which case such surviving Person shall succeed to, and be substituted for, the Company under the Transaction Documents to which the Company is party and the Company shall automatically be released and discharged from its obligations under the Transaction Documents to which the Company is party.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2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2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General Indemnity</w:t>
      </w:r>
      <w:r>
        <w:rPr>
          <w:rFonts w:ascii="Times New Roman" w:cs="Times New Roman" w:eastAsia="Times New Roman" w:hAnsi="Times New Roman"/>
          <w:sz w:val="21"/>
          <w:szCs w:val="21"/>
          <w:color w:val="auto"/>
        </w:rPr>
        <w:t>. From and after the Effective Date:</w:t>
      </w:r>
    </w:p>
    <w:p>
      <w:pPr>
        <w:spacing w:after="0" w:line="206" w:lineRule="exact"/>
        <w:rPr>
          <w:sz w:val="20"/>
          <w:szCs w:val="20"/>
          <w:color w:val="auto"/>
        </w:rPr>
      </w:pPr>
    </w:p>
    <w:p>
      <w:pPr>
        <w:jc w:val="both"/>
        <w:ind w:firstLine="757"/>
        <w:spacing w:after="0" w:line="251" w:lineRule="auto"/>
        <w:tabs>
          <w:tab w:leader="none" w:pos="1181"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hereby agrees to indemnify, defend and hold harmless the Investors and their Affiliates and their respective directors, managers, trustees, officers, agents and employees (the “</w:t>
      </w:r>
      <w:r>
        <w:rPr>
          <w:rFonts w:ascii="Times New Roman" w:cs="Times New Roman" w:eastAsia="Times New Roman" w:hAnsi="Times New Roman"/>
          <w:sz w:val="21"/>
          <w:szCs w:val="21"/>
          <w:u w:val="single" w:color="auto"/>
          <w:color w:val="auto"/>
        </w:rPr>
        <w:t>Investor Indemnified Parties</w:t>
      </w:r>
      <w:r>
        <w:rPr>
          <w:rFonts w:ascii="Times New Roman" w:cs="Times New Roman" w:eastAsia="Times New Roman" w:hAnsi="Times New Roman"/>
          <w:sz w:val="21"/>
          <w:szCs w:val="21"/>
          <w:color w:val="auto"/>
        </w:rPr>
        <w:t>”) from, against and in respect of all Losses suffered or incurred by the Investor Indemnified Parties, in each case whether or not brought by a Third Party, to the extent arising out of or resulting from (i) any breach of any of the representations or warranties of the Company in any Transaction Document, (ii) any breach of any of the covenants or agreements of the Company in any Transaction Document,</w:t>
      </w:r>
    </w:p>
    <w:p>
      <w:pPr>
        <w:spacing w:after="0" w:line="3" w:lineRule="exact"/>
        <w:rPr>
          <w:rFonts w:ascii="Times New Roman" w:cs="Times New Roman" w:eastAsia="Times New Roman" w:hAnsi="Times New Roman"/>
          <w:sz w:val="21"/>
          <w:szCs w:val="21"/>
          <w:color w:val="auto"/>
        </w:rPr>
      </w:pPr>
    </w:p>
    <w:p>
      <w:pPr>
        <w:jc w:val="both"/>
        <w:ind w:firstLine="8"/>
        <w:spacing w:after="0" w:line="238" w:lineRule="auto"/>
        <w:tabs>
          <w:tab w:leader="none" w:pos="40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 liability claims relating to a Product, (iv) any claims of infringement or misappropriation of any intellectual property rights by any Third Parties against any Investor, the Company or any of its Affiliates or Takeda and (v) any fees, expenses, costs, liabilities or other amounts incurred or owed by the Company or any of its Affiliates to any brokers, financial advisors or comparable other Persons retained or employed by any of them in connection with the transactions contemplated by the Transaction Documents; and</w:t>
      </w:r>
    </w:p>
    <w:p>
      <w:pPr>
        <w:spacing w:after="0" w:line="179" w:lineRule="exact"/>
        <w:rPr>
          <w:rFonts w:ascii="Times New Roman" w:cs="Times New Roman" w:eastAsia="Times New Roman" w:hAnsi="Times New Roman"/>
          <w:sz w:val="22"/>
          <w:szCs w:val="22"/>
          <w:color w:val="auto"/>
        </w:rPr>
      </w:pPr>
    </w:p>
    <w:p>
      <w:pPr>
        <w:jc w:val="both"/>
        <w:ind w:firstLine="757"/>
        <w:spacing w:after="0"/>
        <w:tabs>
          <w:tab w:leader="none" w:pos="118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Investor hereby agrees, severally and not jointly, to indemnify, defend and hold harmless the Company and its Affiliates and its and their directors, officers, agents and employees (the “</w:t>
      </w:r>
      <w:r>
        <w:rPr>
          <w:rFonts w:ascii="Times New Roman" w:cs="Times New Roman" w:eastAsia="Times New Roman" w:hAnsi="Times New Roman"/>
          <w:sz w:val="22"/>
          <w:szCs w:val="22"/>
          <w:u w:val="single" w:color="auto"/>
          <w:color w:val="auto"/>
        </w:rPr>
        <w:t>Company Indemnified Parties</w:t>
      </w:r>
      <w:r>
        <w:rPr>
          <w:rFonts w:ascii="Times New Roman" w:cs="Times New Roman" w:eastAsia="Times New Roman" w:hAnsi="Times New Roman"/>
          <w:sz w:val="22"/>
          <w:szCs w:val="22"/>
          <w:color w:val="auto"/>
        </w:rPr>
        <w:t>”) from, against and in respect of all Losses suffered or incurred by the Company Indemnified Parties to the extent arising out of or resulting from (i) any breach of any of the representations or warranties of such Investor in any Transaction Document, and (ii) any breach of any of the covenants or agreements of such Investor in any Transaction Document.</w:t>
      </w:r>
    </w:p>
    <w:p>
      <w:pPr>
        <w:spacing w:after="0" w:line="19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Notice of Claims</w:t>
      </w:r>
      <w:r>
        <w:rPr>
          <w:rFonts w:ascii="Times New Roman" w:cs="Times New Roman" w:eastAsia="Times New Roman" w:hAnsi="Times New Roman"/>
          <w:sz w:val="22"/>
          <w:szCs w:val="22"/>
          <w:color w:val="auto"/>
        </w:rPr>
        <w:t>. If either an Investor Indemnified Party, on the one hand, or a Company Indemnified Party, on the other hand (such Investor Indemnified Party on the one hand and such Company Indemnified Party on the other hand being hereinafter referred to as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suffered or incurred any Losses for which indemnification may be sought under this ARTICLE 6, the Indemnified Party shall so notify the other party from whom indemnification is sought under this ARTICLE 6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promptly in writing</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9" w:name="page90"/>
    <w:bookmarkEnd w:id="89"/>
    <w:p>
      <w:pPr>
        <w:jc w:val="both"/>
        <w:spacing w:after="0"/>
        <w:rPr>
          <w:sz w:val="20"/>
          <w:szCs w:val="20"/>
          <w:color w:val="auto"/>
        </w:rPr>
      </w:pPr>
      <w:r>
        <w:rPr>
          <w:rFonts w:ascii="Times New Roman" w:cs="Times New Roman" w:eastAsia="Times New Roman" w:hAnsi="Times New Roman"/>
          <w:sz w:val="22"/>
          <w:szCs w:val="22"/>
          <w:color w:val="auto"/>
        </w:rPr>
        <w:t xml:space="preserve">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6,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shall not limit the obligation of the Indemnifying Party under this ARTICLE 6, except to the extent such Indemnifying Party is actually prejudiced thereby.</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Survival; Limitations on Liability.</w:t>
      </w:r>
    </w:p>
    <w:p>
      <w:pPr>
        <w:spacing w:after="0" w:line="220" w:lineRule="exact"/>
        <w:rPr>
          <w:sz w:val="20"/>
          <w:szCs w:val="20"/>
          <w:color w:val="auto"/>
        </w:rPr>
      </w:pPr>
    </w:p>
    <w:p>
      <w:pPr>
        <w:jc w:val="both"/>
        <w:ind w:firstLine="757"/>
        <w:spacing w:after="0" w:line="239"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contained in this Agreement shall survive the Effective Date solely for purposes of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terminate on the Applicable Survival Date. No party hereto shall have any liability or obligation of any nature with respect to any representation or warranty after the termination thereof, unless the other party or parties hereto shall have delivered a notice to such party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claiming such a liability or obligation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prior to the Applicable Survival Date. “</w:t>
      </w:r>
      <w:r>
        <w:rPr>
          <w:rFonts w:ascii="Times New Roman" w:cs="Times New Roman" w:eastAsia="Times New Roman" w:hAnsi="Times New Roman"/>
          <w:sz w:val="22"/>
          <w:szCs w:val="22"/>
          <w:u w:val="single" w:color="auto"/>
          <w:color w:val="auto"/>
        </w:rPr>
        <w:t>Applicable Survival Date</w:t>
      </w:r>
      <w:r>
        <w:rPr>
          <w:rFonts w:ascii="Times New Roman" w:cs="Times New Roman" w:eastAsia="Times New Roman" w:hAnsi="Times New Roman"/>
          <w:sz w:val="22"/>
          <w:szCs w:val="22"/>
          <w:color w:val="auto"/>
        </w:rPr>
        <w:t xml:space="preserve">” means (a) in the case of the representations and warranties contained in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(b) in all other cases,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the Company shall not have any liability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w:t>
      </w:r>
      <w:r>
        <w:rPr>
          <w:rFonts w:ascii="Times New Roman" w:cs="Times New Roman" w:eastAsia="Times New Roman" w:hAnsi="Times New Roman"/>
          <w:sz w:val="22"/>
          <w:szCs w:val="22"/>
          <w:color w:val="auto"/>
        </w:rPr>
        <w:t xml:space="preserve"> in excess of an amount equal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limitation shall not apply to breach of any of the representations, covenants or agreements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no Investor shall have any liability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 xml:space="preserve"> in excess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cases of fraud, gross negligence, or willful misconduct, no party hereto shall be liable for any consequential, punitive, lost profits, special or incidental damages under this ARTICLE 6 (and no claim for indemnification hereunder shall be asserted) as a result of any breach or violation of any covenant or agreement of such party (including under this ARTICLE 6) in or pursuant to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CONFIDENTIALITY</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Except as provided in this ARTICLE 7 or otherwise agreed in writing by the parties, the parties hereto agree that, during the term of this Agreement and for one year thereafter, each party (the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shall keep confidential and shall not publish or otherwise disclose and shall not use for any purpose other than as provided for in this Agreement (which includes the exercise of any rights or the performance of any obligations hereunder) 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0" w:name="page91"/>
    <w:bookmarkEnd w:id="90"/>
    <w:p>
      <w:pPr>
        <w:spacing w:after="0" w:line="271" w:lineRule="auto"/>
        <w:rPr>
          <w:sz w:val="20"/>
          <w:szCs w:val="20"/>
          <w:color w:val="auto"/>
        </w:rPr>
      </w:pPr>
      <w:r>
        <w:rPr>
          <w:rFonts w:ascii="Times New Roman" w:cs="Times New Roman" w:eastAsia="Times New Roman" w:hAnsi="Times New Roman"/>
          <w:sz w:val="22"/>
          <w:szCs w:val="22"/>
          <w:color w:val="auto"/>
        </w:rPr>
        <w:t>information furnished to it by or on behalf of any other party (the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pursuant to this Agreement (such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the Disclosing Party), except for that portion of such information that:</w:t>
      </w:r>
    </w:p>
    <w:p>
      <w:pPr>
        <w:spacing w:after="0" w:line="144" w:lineRule="exact"/>
        <w:rPr>
          <w:sz w:val="20"/>
          <w:szCs w:val="20"/>
          <w:color w:val="auto"/>
        </w:rPr>
      </w:pPr>
    </w:p>
    <w:p>
      <w:pPr>
        <w:ind w:right="60" w:firstLine="757"/>
        <w:spacing w:after="0" w:line="258"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other than under an obligation of confidentiality, at the time of disclosure by the Disclosing Party;</w:t>
      </w:r>
    </w:p>
    <w:p>
      <w:pPr>
        <w:spacing w:after="0" w:line="171"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it was disclosed to or learned by the Receiving Party;</w:t>
      </w:r>
    </w:p>
    <w:p>
      <w:pPr>
        <w:spacing w:after="0" w:line="17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 or any other agreement;</w:t>
      </w:r>
    </w:p>
    <w:p>
      <w:pPr>
        <w:spacing w:after="0" w:line="158"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independently developed by the Receiving Party or any of its Affiliates, as evidenced by written records, without the use of or reference of the Confidential Information; or</w:t>
      </w:r>
    </w:p>
    <w:p>
      <w:pPr>
        <w:spacing w:after="0" w:line="144" w:lineRule="exact"/>
        <w:rPr>
          <w:rFonts w:ascii="Times New Roman" w:cs="Times New Roman" w:eastAsia="Times New Roman" w:hAnsi="Times New Roman"/>
          <w:sz w:val="22"/>
          <w:szCs w:val="22"/>
          <w:color w:val="auto"/>
        </w:rPr>
      </w:pPr>
    </w:p>
    <w:p>
      <w:pPr>
        <w:ind w:right="20" w:firstLine="757"/>
        <w:spacing w:after="0" w:line="271" w:lineRule="auto"/>
        <w:tabs>
          <w:tab w:leader="none" w:pos="11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on a non-confidential basis by a Third Party without obligations of confidentiality with respect thereto.</w:t>
      </w:r>
    </w:p>
    <w:p>
      <w:pPr>
        <w:spacing w:after="0" w:line="14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Authorized Disclosure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757"/>
        <w:spacing w:after="0" w:line="271" w:lineRule="auto"/>
        <w:tabs>
          <w:tab w:leader="none" w:pos="118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disclose Confidential Information to the extent such disclosure is reasonably necessary in the following situations:</w:t>
      </w:r>
    </w:p>
    <w:p>
      <w:pPr>
        <w:spacing w:after="0" w:line="144"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prosecuting or defending litigation;</w:t>
      </w:r>
    </w:p>
    <w:p>
      <w:pPr>
        <w:spacing w:after="0" w:line="21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applicable laws and regulations, including regulations promulgated by securities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exchanges;</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complying with a valid order of a court of competent jurisdiction or other Governmental Entity;</w:t>
      </w:r>
    </w:p>
    <w:p>
      <w:pPr>
        <w:spacing w:after="0" w:line="219"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regulatory, Tax or customs purposes, including in connection with a routine examination by a regulatory or supervisory authority having jurisdiction over the Receiving Party;</w:t>
      </w:r>
    </w:p>
    <w:p>
      <w:pPr>
        <w:spacing w:after="0" w:line="171"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audit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recipient of Confidential Information must be bound by customary and reasonable obligations of confidentiality and non-use prior to any such disclosure;</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50"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its Affiliates and Representatives on a need-to-know basis,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such recipient of Confidential Information must be bound by contractual or professional obligations of confidentiality and non-use at least as stringent as those imposed upon the parties hereunder prior to any such disclosure;</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prior written consent of the Disclosing Party;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1" w:name="page92"/>
    <w:bookmarkEnd w:id="91"/>
    <w:p>
      <w:pPr>
        <w:jc w:val="both"/>
        <w:ind w:left="760" w:firstLine="745"/>
        <w:spacing w:after="0" w:line="243" w:lineRule="auto"/>
        <w:tabs>
          <w:tab w:leader="none" w:pos="237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disclosure to its Representatives or potential partners, collaborators or acquirers, and their respective accountants, financial advisors and other professional representatives,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disclosure shall be made only to the extent customarily required to consummate an investment, financing transaction, partnership, collaboration or acquisition and that each recipient of Confidential Information must be bound by customary obligations of confidentiality and non-use prior to any such disclosure; and</w:t>
      </w:r>
    </w:p>
    <w:p>
      <w:pPr>
        <w:spacing w:after="0" w:line="17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is necessary in connection with an assignment permitted by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the event the Receiving Party is required to make a disclosure of the Disclosing Party’s Confidential Information pursuant to </w:t>
      </w:r>
      <w:r>
        <w:rPr>
          <w:rFonts w:ascii="Times New Roman" w:cs="Times New Roman" w:eastAsia="Times New Roman" w:hAnsi="Times New Roman"/>
          <w:sz w:val="22"/>
          <w:szCs w:val="22"/>
          <w:u w:val="single" w:color="auto"/>
          <w:color w:val="auto"/>
        </w:rPr>
        <w:t>Section 7.2(a)(i)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it will, except where impracticable, give reasonable advance notice to the Disclosing Party of such disclosure and use reasonable efforts to secure confidential treatment of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Investors will not be required to give such advance notice if such disclosure is made pursuant to </w:t>
      </w:r>
      <w:r>
        <w:rPr>
          <w:rFonts w:ascii="Times New Roman" w:cs="Times New Roman" w:eastAsia="Times New Roman" w:hAnsi="Times New Roman"/>
          <w:sz w:val="22"/>
          <w:szCs w:val="22"/>
          <w:u w:val="single" w:color="auto"/>
          <w:color w:val="auto"/>
        </w:rPr>
        <w:t>Section 7.2(a)(iv)</w:t>
      </w:r>
      <w:r>
        <w:rPr>
          <w:rFonts w:ascii="Times New Roman" w:cs="Times New Roman" w:eastAsia="Times New Roman" w:hAnsi="Times New Roman"/>
          <w:sz w:val="22"/>
          <w:szCs w:val="22"/>
          <w:color w:val="auto"/>
        </w:rPr>
        <w:t xml:space="preserve"> in connection with a routine examination by a regulatory or supervisory authority having jurisdiction over such Investor.</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materials and documentation relating to the Company’s Intellectual Property Product Rights may be only disclosed to or accessed by the Investors and their respective attorneys and auditors, without further disclosure to any other Representative of the Investors, without the consent of the Company, unless in connection with a routine examination by a regulatory or supervisory authority having jurisdiction over such Investor.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SURVIVAL</w:t>
      </w:r>
    </w:p>
    <w:p>
      <w:pPr>
        <w:spacing w:after="0" w:line="206"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Mutual Termination</w:t>
      </w:r>
      <w:r>
        <w:rPr>
          <w:rFonts w:ascii="Times New Roman" w:cs="Times New Roman" w:eastAsia="Times New Roman" w:hAnsi="Times New Roman"/>
          <w:sz w:val="22"/>
          <w:szCs w:val="22"/>
          <w:color w:val="auto"/>
        </w:rPr>
        <w:t>. This Agreement may be terminated by mutual written agreement of the Investors and the Company.</w:t>
      </w:r>
    </w:p>
    <w:p>
      <w:pPr>
        <w:spacing w:after="0" w:line="14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 xml:space="preserve">Section 8.2 </w:t>
      </w:r>
      <w:r>
        <w:rPr>
          <w:rFonts w:ascii="Times New Roman" w:cs="Times New Roman" w:eastAsia="Times New Roman" w:hAnsi="Times New Roman"/>
          <w:sz w:val="21"/>
          <w:szCs w:val="21"/>
          <w:u w:val="single" w:color="auto"/>
          <w:color w:val="auto"/>
        </w:rPr>
        <w:t>Automatic Termination</w:t>
      </w:r>
      <w:r>
        <w:rPr>
          <w:rFonts w:ascii="Times New Roman" w:cs="Times New Roman" w:eastAsia="Times New Roman" w:hAnsi="Times New Roman"/>
          <w:sz w:val="21"/>
          <w:szCs w:val="21"/>
          <w:color w:val="auto"/>
        </w:rPr>
        <w:t xml:space="preserve">. Unless earlier terminated as provided in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following the Effective Date, this Agreement shall continue in full force and effect until the earliest of: (i) the date on which the sum of all Royalty Payments (and any other payments made by the Company to the Investors hereunder) received by the Investors under this Agreement from and after the Funding Date meets or exceeds (x) the aggregate of the Funding Date Payment, any Regulatory Milestone Payment (whether or not previously paid by the Investors, unless no longer payable in accordance with the terms of this Agreement) and any Sales Milestone Payment (whether or not previously paid by the Investors, unless no longer payable in accordance with the terms of this Agreement), multiplied by (y) two; (ii) the date on which the Company pays the Pre-Regulatory Milestone Change of Control Price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(iii) the date on which the Company makes the payments contemplated by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and (iv) the date on which the Company pays the Event of Default Fee in accordance with </w:t>
      </w:r>
      <w:r>
        <w:rPr>
          <w:rFonts w:ascii="Times New Roman" w:cs="Times New Roman" w:eastAsia="Times New Roman" w:hAnsi="Times New Roman"/>
          <w:sz w:val="21"/>
          <w:szCs w:val="21"/>
          <w:u w:val="single" w:color="auto"/>
          <w:color w:val="auto"/>
        </w:rPr>
        <w:t>Section 2.4(a)</w:t>
      </w:r>
      <w:r>
        <w:rPr>
          <w:rFonts w:ascii="Times New Roman" w:cs="Times New Roman" w:eastAsia="Times New Roman" w:hAnsi="Times New Roman"/>
          <w:sz w:val="21"/>
          <w:szCs w:val="21"/>
          <w:color w:val="auto"/>
        </w:rPr>
        <w:t>. Upon the occurrence of any of clause (i) above, clause (ii) above, clause (iii) above or clause (iv) above, this Agreement (including, for the avoidance of doubt, any obligations of any Investor to provide further Investment Amounts to the Company) shall automatically terminate, except with respect to any rights that shall have accrued prior to such termination.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2" w:name="page93"/>
    <w:bookmarkEnd w:id="92"/>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Notwithstanding anything to the contrary in this ARTICLE 8, the following provisions shall survive termination of this Agreement: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(Disclosures),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(Inspections and Audits of the Company), ARTICLE 6 (Indemnification), ARTICLE 7 (Confidentiality),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(Survival), and ARTICLE 9 (Miscellaneous). Termination of the Agreement shall not relieve any party of liability in respect of breaches under this Agreement by any party on or prior to termination.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9</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table of contents and the descriptive headings of the several Articles and Sections of this Agreement and the Exhibits and Schedules are for convenience only, do not constitute a part of this Agreement and shall not control or affect, in any way, the meaning or interpretation of this Agreement.</w:t>
      </w:r>
    </w:p>
    <w:p>
      <w:pPr>
        <w:spacing w:after="0" w:line="16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and other communications under this Agreement shall be in writing and shall be by email with PDF attachment, facsimile, courier service or personal delivery to the following addresses, or to such other addresses as shall be designated from time to time by a party hereto in accordance with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Company, to it at:</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1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 Campus Drive, Suite 102</w:t>
      </w:r>
    </w:p>
    <w:p>
      <w:pPr>
        <w:ind w:left="1960"/>
        <w:spacing w:after="0" w:line="233" w:lineRule="auto"/>
        <w:rPr>
          <w:sz w:val="20"/>
          <w:szCs w:val="20"/>
          <w:color w:val="auto"/>
        </w:rPr>
      </w:pPr>
      <w:r>
        <w:rPr>
          <w:rFonts w:ascii="Times New Roman" w:cs="Times New Roman" w:eastAsia="Times New Roman" w:hAnsi="Times New Roman"/>
          <w:sz w:val="22"/>
          <w:szCs w:val="22"/>
          <w:color w:val="auto"/>
        </w:rPr>
        <w:t>Florham Park, NJ 07932</w:t>
      </w:r>
    </w:p>
    <w:p>
      <w:pPr>
        <w:ind w:left="196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Morgan, Lewis &amp; Bockius LLP</w:t>
      </w:r>
    </w:p>
    <w:p>
      <w:pPr>
        <w:spacing w:after="0" w:line="1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1701 Market Street</w:t>
      </w:r>
    </w:p>
    <w:p>
      <w:pPr>
        <w:ind w:left="1960"/>
        <w:spacing w:after="0" w:line="230" w:lineRule="auto"/>
        <w:rPr>
          <w:sz w:val="20"/>
          <w:szCs w:val="20"/>
          <w:color w:val="auto"/>
        </w:rPr>
      </w:pPr>
      <w:r>
        <w:rPr>
          <w:rFonts w:ascii="Times New Roman" w:cs="Times New Roman" w:eastAsia="Times New Roman" w:hAnsi="Times New Roman"/>
          <w:sz w:val="22"/>
          <w:szCs w:val="22"/>
          <w:color w:val="auto"/>
        </w:rPr>
        <w:t>Philadelphia, PA 19103-2921</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Conor F. Larkin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the Investors, to them at:</w:t>
      </w:r>
    </w:p>
    <w:p>
      <w:pPr>
        <w:spacing w:after="0" w:line="206" w:lineRule="exact"/>
        <w:rPr>
          <w:sz w:val="20"/>
          <w:szCs w:val="20"/>
          <w:color w:val="auto"/>
        </w:rPr>
      </w:pPr>
    </w:p>
    <w:p>
      <w:pPr>
        <w:ind w:left="2640" w:right="640" w:hanging="664"/>
        <w:spacing w:after="0" w:line="271" w:lineRule="auto"/>
        <w:tabs>
          <w:tab w:leader="none" w:pos="24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Sagard Healthcare Royalty Partners, LP or Sagard Healthcare Partners Co-Invest Designated Activity Company:</w:t>
      </w:r>
    </w:p>
    <w:p>
      <w:pPr>
        <w:spacing w:after="0" w:line="1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Sagard</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161 Bay Street, Suite 5000</w:t>
      </w:r>
    </w:p>
    <w:p>
      <w:pPr>
        <w:ind w:left="2620"/>
        <w:spacing w:after="0" w:line="230" w:lineRule="auto"/>
        <w:rPr>
          <w:sz w:val="20"/>
          <w:szCs w:val="20"/>
          <w:color w:val="auto"/>
        </w:rPr>
      </w:pPr>
      <w:r>
        <w:rPr>
          <w:rFonts w:ascii="Times New Roman" w:cs="Times New Roman" w:eastAsia="Times New Roman" w:hAnsi="Times New Roman"/>
          <w:sz w:val="22"/>
          <w:szCs w:val="22"/>
          <w:color w:val="auto"/>
        </w:rPr>
        <w:t>Toronto, ON M5J 2S1</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Canada</w:t>
      </w:r>
    </w:p>
    <w:p>
      <w:pPr>
        <w:ind w:left="2620"/>
        <w:spacing w:after="0" w:line="233"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3" w:name="page94"/>
    <w:bookmarkEnd w:id="93"/>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Torys LLP</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1114 Avenue of the Americas</w:t>
      </w:r>
    </w:p>
    <w:p>
      <w:pPr>
        <w:ind w:left="1500"/>
        <w:spacing w:after="0"/>
        <w:rPr>
          <w:sz w:val="20"/>
          <w:szCs w:val="20"/>
          <w:color w:val="auto"/>
        </w:rPr>
      </w:pPr>
      <w:r>
        <w:rPr>
          <w:rFonts w:ascii="Times New Roman" w:cs="Times New Roman" w:eastAsia="Times New Roman" w:hAnsi="Times New Roman"/>
          <w:sz w:val="22"/>
          <w:szCs w:val="22"/>
          <w:color w:val="auto"/>
        </w:rPr>
        <w:t>New York, NY 10036</w:t>
      </w:r>
    </w:p>
    <w:p>
      <w:pPr>
        <w:ind w:left="1500"/>
        <w:spacing w:after="0" w:line="233" w:lineRule="auto"/>
        <w:rPr>
          <w:sz w:val="20"/>
          <w:szCs w:val="20"/>
          <w:color w:val="auto"/>
        </w:rPr>
      </w:pPr>
      <w:r>
        <w:rPr>
          <w:rFonts w:ascii="Times New Roman" w:cs="Times New Roman" w:eastAsia="Times New Roman" w:hAnsi="Times New Roman"/>
          <w:sz w:val="22"/>
          <w:szCs w:val="22"/>
          <w:color w:val="auto"/>
        </w:rPr>
        <w:t>Attention: Darien G Leung</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22"/>
          <w:szCs w:val="22"/>
          <w:color w:val="auto"/>
        </w:rPr>
        <w:t>(y)</w:t>
      </w:r>
      <w:r>
        <w:rPr>
          <w:sz w:val="20"/>
          <w:szCs w:val="20"/>
          <w:color w:val="auto"/>
        </w:rPr>
        <w:tab/>
      </w:r>
      <w:r>
        <w:rPr>
          <w:rFonts w:ascii="Times New Roman" w:cs="Times New Roman" w:eastAsia="Times New Roman" w:hAnsi="Times New Roman"/>
          <w:sz w:val="21"/>
          <w:szCs w:val="21"/>
          <w:color w:val="auto"/>
        </w:rPr>
        <w:t>in the case of NQ Project Pharaoh, L.P.:</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NQ Project Pharaoh, L.P.</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NovaQuest Capital Management, L.L.C.</w:t>
      </w:r>
    </w:p>
    <w:p>
      <w:pPr>
        <w:ind w:left="1500"/>
        <w:spacing w:after="0" w:line="233" w:lineRule="auto"/>
        <w:rPr>
          <w:sz w:val="20"/>
          <w:szCs w:val="20"/>
          <w:color w:val="auto"/>
        </w:rPr>
      </w:pPr>
      <w:r>
        <w:rPr>
          <w:rFonts w:ascii="Times New Roman" w:cs="Times New Roman" w:eastAsia="Times New Roman" w:hAnsi="Times New Roman"/>
          <w:sz w:val="22"/>
          <w:szCs w:val="22"/>
          <w:color w:val="auto"/>
        </w:rPr>
        <w:t>4208 Six Forks Road, Suite 920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Raleigh, NC 27609</w:t>
      </w:r>
    </w:p>
    <w:p>
      <w:pPr>
        <w:ind w:left="1500"/>
        <w:spacing w:after="0" w:line="233" w:lineRule="auto"/>
        <w:rPr>
          <w:sz w:val="20"/>
          <w:szCs w:val="20"/>
          <w:color w:val="auto"/>
        </w:rPr>
      </w:pPr>
      <w:r>
        <w:rPr>
          <w:rFonts w:ascii="Times New Roman" w:cs="Times New Roman" w:eastAsia="Times New Roman" w:hAnsi="Times New Roman"/>
          <w:sz w:val="22"/>
          <w:szCs w:val="22"/>
          <w:color w:val="auto"/>
        </w:rPr>
        <w:t>Attention: Jonathan Tunnicliffe</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Wyrick Robbins Yates &amp; Ponton LLP</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4101 Lake Boone Trail, Suite 300</w:t>
      </w:r>
    </w:p>
    <w:p>
      <w:pPr>
        <w:ind w:left="1500"/>
        <w:spacing w:after="0" w:line="233" w:lineRule="auto"/>
        <w:rPr>
          <w:sz w:val="20"/>
          <w:szCs w:val="20"/>
          <w:color w:val="auto"/>
        </w:rPr>
      </w:pPr>
      <w:r>
        <w:rPr>
          <w:rFonts w:ascii="Times New Roman" w:cs="Times New Roman" w:eastAsia="Times New Roman" w:hAnsi="Times New Roman"/>
          <w:sz w:val="22"/>
          <w:szCs w:val="22"/>
          <w:color w:val="auto"/>
        </w:rPr>
        <w:t>Raleigh, NC 27607</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Daniel S. Porper</w:t>
      </w: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22"/>
          <w:szCs w:val="22"/>
          <w:color w:val="auto"/>
        </w:rPr>
        <w:t>(z)</w:t>
      </w:r>
      <w:r>
        <w:rPr>
          <w:sz w:val="20"/>
          <w:szCs w:val="20"/>
          <w:color w:val="auto"/>
        </w:rPr>
        <w:tab/>
      </w:r>
      <w:r>
        <w:rPr>
          <w:rFonts w:ascii="Times New Roman" w:cs="Times New Roman" w:eastAsia="Times New Roman" w:hAnsi="Times New Roman"/>
          <w:sz w:val="21"/>
          <w:szCs w:val="21"/>
          <w:color w:val="auto"/>
        </w:rPr>
        <w:t>in the case of Hercules Capital, Inc. or Hercules Private Global Venture Growth Fund I L.P.:</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Hercules Capital, Inc.</w:t>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400 Hamilton Avenue, Suite 310</w:t>
      </w:r>
    </w:p>
    <w:p>
      <w:pPr>
        <w:ind w:left="1500"/>
        <w:spacing w:after="0" w:line="230" w:lineRule="auto"/>
        <w:rPr>
          <w:sz w:val="20"/>
          <w:szCs w:val="20"/>
          <w:color w:val="auto"/>
        </w:rPr>
      </w:pPr>
      <w:r>
        <w:rPr>
          <w:rFonts w:ascii="Times New Roman" w:cs="Times New Roman" w:eastAsia="Times New Roman" w:hAnsi="Times New Roman"/>
          <w:sz w:val="22"/>
          <w:szCs w:val="22"/>
          <w:color w:val="auto"/>
        </w:rPr>
        <w:t>Palo Alto, CA 94301</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Chief Legal Officer and Michael Dutra</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 [***]</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DLA Piper LLP (US)</w:t>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401 B Street, Suite 1700</w:t>
      </w:r>
    </w:p>
    <w:p>
      <w:pPr>
        <w:ind w:left="1500"/>
        <w:spacing w:after="0"/>
        <w:rPr>
          <w:sz w:val="20"/>
          <w:szCs w:val="20"/>
          <w:color w:val="auto"/>
        </w:rPr>
      </w:pPr>
      <w:r>
        <w:rPr>
          <w:rFonts w:ascii="Times New Roman" w:cs="Times New Roman" w:eastAsia="Times New Roman" w:hAnsi="Times New Roman"/>
          <w:sz w:val="22"/>
          <w:szCs w:val="22"/>
          <w:color w:val="auto"/>
        </w:rPr>
        <w:t>San Diego, CA 92101-4297</w:t>
      </w:r>
    </w:p>
    <w:p>
      <w:pPr>
        <w:ind w:left="1500"/>
        <w:spacing w:after="0" w:line="233" w:lineRule="auto"/>
        <w:rPr>
          <w:sz w:val="20"/>
          <w:szCs w:val="20"/>
          <w:color w:val="auto"/>
        </w:rPr>
      </w:pPr>
      <w:r>
        <w:rPr>
          <w:rFonts w:ascii="Times New Roman" w:cs="Times New Roman" w:eastAsia="Times New Roman" w:hAnsi="Times New Roman"/>
          <w:sz w:val="22"/>
          <w:szCs w:val="22"/>
          <w:color w:val="auto"/>
        </w:rPr>
        <w:t>Attention: Matt Schwartz, Esq.</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and in all cases with a copy to:</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Pillsbury Winthrop Shaw Pittman LLP</w:t>
      </w:r>
    </w:p>
    <w:p>
      <w:pPr>
        <w:spacing w:after="0" w:line="1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31 West 52nd Street</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New York, NY 10019-6131</w:t>
      </w:r>
    </w:p>
    <w:p>
      <w:pPr>
        <w:spacing w:after="0" w:line="200" w:lineRule="exact"/>
        <w:rPr>
          <w:sz w:val="20"/>
          <w:szCs w:val="20"/>
          <w:color w:val="auto"/>
        </w:rPr>
      </w:pPr>
    </w:p>
    <w:p>
      <w:pPr>
        <w:spacing w:after="0" w:line="23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315" w:right="1219" w:bottom="1440" w:gutter="0" w:footer="0" w:header="0"/>
        </w:sectPr>
      </w:pPr>
    </w:p>
    <w:bookmarkStart w:id="94" w:name="page95"/>
    <w:bookmarkEnd w:id="94"/>
    <w:p>
      <w:pPr>
        <w:ind w:left="1960"/>
        <w:spacing w:after="0"/>
        <w:rPr>
          <w:sz w:val="20"/>
          <w:szCs w:val="20"/>
          <w:color w:val="auto"/>
        </w:rPr>
      </w:pPr>
      <w:r>
        <w:rPr>
          <w:rFonts w:ascii="Times New Roman" w:cs="Times New Roman" w:eastAsia="Times New Roman" w:hAnsi="Times New Roman"/>
          <w:sz w:val="22"/>
          <w:szCs w:val="22"/>
          <w:color w:val="auto"/>
        </w:rPr>
        <w:t>Attention: Jeffrey J. Delaney and David S. Baxter</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All notices and communications under this Agreement shall be deemed to have been duly given (i) when delivered by hand, if personally delivered, (ii) when sent, if sent by facsimile, with an acknowledgement of sending being produced by the sending facsimile machine, (iii) when sent, if by email with PDF attachment, with an acknowledgment of receipt being produced by the recipient’s email account, or (iv) one Business Day following sending within the United States by overnight delivery via commercial one-day overnight courier service.</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Except as otherwise provided in the Transaction Documents, all fees, costs and expenses (including any legal, accounting and banking fees) incurred in connection with the preparation, negotiation, execution and delivery of this Agreement and to consummate the transactions contemplated hereby shall be paid by the party hereto incurring such fees, costs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shall pay (a) no later than the Business Day following the Funding Date, all documented fees and disbursements of Pillsbury Winthrop Shaw Pittman LLP, counsel for the Initial Investors, in an aggregate amount not to exceed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it being understood that such amount may be increased with the consent of the Company, and (b) all reasonable documented out-of-pocket expenses of the Investors in respect of the Transaction Documents incurred following the Funding Date (including the reasonable documented fees and disbursements of one external counsel per Investor) resulting from any amendment or waiver requested with respect to the Transaction Documents.</w:t>
      </w:r>
    </w:p>
    <w:p>
      <w:pPr>
        <w:spacing w:after="0" w:line="19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The Company may not assign in whole or in part this Agreement or any of its rights or obligations hereunder except as permitted under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Following the Effective Date, no Investor may assign its obligations to pay its portion of the Investment Amount pursuant to this Agreement to any Person without the Company’s prior written consent, which shall not be unreasonably withheld, conditioned or delayed, unless such assignment is to an Affiliate of an Investor and such Affiliate executes a joinder to this Agreement, in form and substance reasonably acceptable to the Company, and agrees to be an “Investor” for all purposes hereunder. Except as set forth in the prior sentence, an Investor may assign all or any of its rights and/or obligations under the Transaction Documents to any Person without the prior written consent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(x) if such Person is not an Investor, such assignment will be subject to such Person’s execution of a joinder to this Agreement, in form and substance reasonably acceptable to the Company, and agreement to be an “Investor” for all purposes hereunder, and (y) such Person shall not be a Prohibited Assignee. This Agreement shall be binding upon, inure to the benefit of, and be enforceable by, the parties hereto and their respective permitted successors and assigns. Any purported assignment in violation of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shall be null and void.</w:t>
      </w:r>
    </w:p>
    <w:p>
      <w:pPr>
        <w:spacing w:after="0" w:line="18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The Company shall maintain a register for the recordation of the names and addresses of the Investors, the amount of each portion of the Investment Amount, and the amount of the Royalty Payments paid to each Investor, in the aggregate with respect to all Investment Amounts and individually with respect to each clause of the definition of Investment Amount, in a manner calculated consistent with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Company shall promptly record any assignment by an Investor permitted by this Agreement in the Register. The entries in the Register shall be conclusive absent manifest error, and the Company and the Investors shall treat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5" w:name="page96"/>
    <w:bookmarkEnd w:id="95"/>
    <w:p>
      <w:pPr>
        <w:jc w:val="both"/>
        <w:spacing w:after="0" w:line="250" w:lineRule="auto"/>
        <w:rPr>
          <w:sz w:val="20"/>
          <w:szCs w:val="20"/>
          <w:color w:val="auto"/>
        </w:rPr>
      </w:pPr>
      <w:r>
        <w:rPr>
          <w:rFonts w:ascii="Times New Roman" w:cs="Times New Roman" w:eastAsia="Times New Roman" w:hAnsi="Times New Roman"/>
          <w:sz w:val="22"/>
          <w:szCs w:val="22"/>
          <w:color w:val="auto"/>
        </w:rPr>
        <w:t>each Person whose name is recorded in the Register pursuant to the terms hereof as an Investor hereunder for all purposes of this Agreement. The Register shall be available for inspection by any Investor, at any reasonable time and from time to time upon prior written notice.</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757"/>
        <w:spacing w:after="0" w:line="258"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modified or supplemented only in a writing signed by all of the parties hereto. Any provision of this Agreement may be waived only in a writing signed by the party hereto granting such waiver.</w:t>
      </w:r>
    </w:p>
    <w:p>
      <w:pPr>
        <w:spacing w:after="0" w:line="17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Exhibits annexed hereto, the Schedules attached hereto and the Subordination Agreement constitute the entire understanding between the parties hereto with respect to the subject matter hereof and supersede all other understandings and negotiations with respect thereto, including any confidentiality agreement to which the Company (or any Affiliate of the Company), on the one hand, and any Initial Investor (other than Hercules Capital Inc. or any Affiliate thereof), on the other hand, is party or bound, and any such confidentiality agreement is hereby terminated without further force and effect, including any provisions that by the terms thereof would have otherwise survived the termination of such confidentiality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xml:space="preserve">. This Agreement is for the sole benefit of the Company and the Investors and their permitted successors and assigns and nothing herein expressed or implied shall give or be construed to give to any Person, other than the parties hereto and such successors and assigns, any legal or equitable rights hereunder, except that the Indemnified Parties shall be third party beneficiaries of the benefits provided for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9.9</w:t>
      </w:r>
      <w:r>
        <w:rPr>
          <w:sz w:val="20"/>
          <w:szCs w:val="20"/>
          <w:color w:val="auto"/>
        </w:rPr>
        <w:tab/>
      </w:r>
      <w:r>
        <w:rPr>
          <w:rFonts w:ascii="Times New Roman" w:cs="Times New Roman" w:eastAsia="Times New Roman" w:hAnsi="Times New Roman"/>
          <w:sz w:val="21"/>
          <w:szCs w:val="21"/>
          <w:u w:val="single" w:color="auto"/>
          <w:color w:val="auto"/>
        </w:rPr>
        <w:t>Jurisdiction; Venue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THE INVESTORS AND THE COMPANY HEREBY IRREVOCABLY AND UNCONDITIONALLY AGREE THAT ALL CLAIMS IN RESPECT OF ANY SUCH ACTION OR PROCEEDING MAY BE HEARD AND DETERMINED IN ANY SUCH NEW YORK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6" w:name="page97"/>
    <w:bookmarkEnd w:id="96"/>
    <w:p>
      <w:pPr>
        <w:jc w:val="both"/>
        <w:spacing w:after="0"/>
        <w:rPr>
          <w:sz w:val="20"/>
          <w:szCs w:val="20"/>
          <w:color w:val="auto"/>
        </w:rPr>
      </w:pPr>
      <w:r>
        <w:rPr>
          <w:rFonts w:ascii="Times New Roman" w:cs="Times New Roman" w:eastAsia="Times New Roman" w:hAnsi="Times New Roman"/>
          <w:sz w:val="22"/>
          <w:szCs w:val="22"/>
          <w:color w:val="auto"/>
        </w:rPr>
        <w:t xml:space="preserve">STATE COURT OR, TO THE FULLEST EXTENT PERMITTED BY APPLICABLE LAW, IN SUCH FEDERAL COURT. THE INVESTORS AND THE COMPANY HEREBY AGREE THAT A FINAL JUDGMENT IN ANY SUCH ACTION OR PROCEEDING SHALL BE CONCLUSIVE AND MAY BE ENFORCED IN OTHER JURISDICTIONS BY SUIT ON THE JUDGMENT OR IN ANY OTHER MANNER PROVIDED BY APPLICABLE LAW. EACH OF THE INVESTORS AND THE COMPANY HEREBY SUBMITS TO THE EXCLUSIVE PERSONAL JURISDICTION AND VENUE OF SUCH NEW YORK STATE AND FEDERAL COURTS. THE INVESTORS AND THE COMPANY AGREE, TO THE FULLEST EXTENT PERMITTED BY APPLICABLE LAW, THAT PROCESS MAY BE SERVED ON THE INVESTORS OR THE COMPANY IN THE SAME MANNER THAT NOTICES MAY BE GIVEN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HEREOF.</w:t>
      </w:r>
    </w:p>
    <w:p>
      <w:pPr>
        <w:spacing w:after="0" w:line="177" w:lineRule="exact"/>
        <w:rPr>
          <w:sz w:val="20"/>
          <w:szCs w:val="20"/>
          <w:color w:val="auto"/>
        </w:rPr>
      </w:pPr>
    </w:p>
    <w:p>
      <w:pPr>
        <w:jc w:val="both"/>
        <w:ind w:firstLine="757"/>
        <w:spacing w:after="0" w:line="241"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THE INVESTORS AND THE COMPANY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22"/>
          <w:szCs w:val="22"/>
          <w:color w:val="auto"/>
        </w:rPr>
      </w:pPr>
    </w:p>
    <w:p>
      <w:pPr>
        <w:jc w:val="both"/>
        <w:ind w:firstLine="757"/>
        <w:spacing w:after="0" w:line="243" w:lineRule="auto"/>
        <w:tabs>
          <w:tab w:leader="none" w:pos="118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JOINTLY AND SEVERALLY WAIVES ANY AND ALL RIGHT TO TRIAL BY JURY IN ANY ACTION OR PROCEEDING RELATING TO THIS AGREEMENT OR ANY OTHER DOCUMENT DELIVERED HEREUNDER OR IN CONNECTION HEREWITH, OR ANY TRANSACTION ARISING FROM OR CONNECTED TO ANY OF THE FOREGOING. EACH OF THE PARTIES REPRESENTS THAT THIS WAIVER IS KNOWINGLY, WILLINGLY, AND VOLUNTARILY GIVEN.</w:t>
      </w:r>
    </w:p>
    <w:p>
      <w:pPr>
        <w:spacing w:after="0" w:line="1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shall for any reason be held to be invalid, illegal or unenforceable in any situation in any jurisdiction, then, to the extent that the economic and legal substance of the transactions contemplated hereby is not affected in a manner that is materially adverse to any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Each of the parties acknowledges and agrees that the other parties would be damaged irreparably in the event any of the provisions of this Agreement are not performed in accordance with their specific terms or otherwise are breached or violated. Accordingly, each of the parties agrees that, without posting bond or other undertaking, the other parties will be entitled to seek an injunction or injunctions to prevent breaches or violations of the provisions of this Agreement and to seek to 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7" w:name="page98"/>
    <w:bookmarkEnd w:id="97"/>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and by the parties hereto in separate counterparts, each of which when so executed shall be deemed to be an original and all of which taken together shall constitute one and the same agreement. The words “execution”, “signed” and “signature” and words of like import in this Agreement or in any other certificate, agreement or document related to this Agreement (to the extent permissible under governing documents) shall include images of manually executed signatures transmitted by facsimile or other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Electronic Signatures in Global and National Commerce Act, the New York State Electronic Signatures and Records Act and any other applicable law, including any state law based on the Uniform Electronic Transactions Act or the Uniform Commercial Code. The foregoing shall apply to each other Transaction Document mutatis mutandis.</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Notwithstanding anything to the contrary herein, the security interest granted to the Investors and their successors and assigns pursuant to this Agreement and the exercise of any right or remedy by the Investors and their respective successors and assigns hereunder are subject to the provisions of the Subordination Agreement.</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Section 9.14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The relationship between the Investors and the Company is solely that of a borrower and lender, and neither the Investors nor the Company has any fiduciary or other special relationship with the other party or any of its affiliates. This Agreement is not a partnership or similar agreement, and nothing contained herein shall be deemed to constitute the Investors and the Company as a partnership, an association, a joint venture or any other kind of entity or legal form for any purposes, including any Tax purposes. The Investors and the Company agree that they shall not take any inconsistent position with respect to such treatment in a filing with any Governmental Entity.</w:t>
      </w:r>
    </w:p>
    <w:p>
      <w:pPr>
        <w:spacing w:after="0" w:line="19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The rights and remedies of the parties under this Agreement are cumulative and not alternative. Neither the failure nor any delay by any party in exercising any right, power or privilege under this Agreement will operate as a waiver of such right, power or privilege, and no single or partial exercise of such right, power or privilege will preclude any other or further exercise of such right, power or privilege or the exercise of any other right, power or privilege. Unless specifically and expressly stated in this Agreement as exclusive, each remedy of the parties specified in this Agreement is not exclusive, and, subject to the terms of this Agreement, the parties shall be entitled to pursue any available legal or equitable remedy for breach of this Agreement or any provision 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8" w:name="page99"/>
    <w:bookmarkEnd w:id="98"/>
    <w:p>
      <w:pPr>
        <w:spacing w:after="0" w:line="24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and delivered by their respective representatives thereunto duly authorized as of the date first above written.</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1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0" w:lineRule="exact"/>
        <w:rPr>
          <w:sz w:val="20"/>
          <w:szCs w:val="20"/>
          <w:color w:val="auto"/>
        </w:rPr>
      </w:pPr>
    </w:p>
    <w:p>
      <w:pPr>
        <w:spacing w:after="0" w:line="2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0972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22"/>
          <w:szCs w:val="22"/>
          <w:color w:val="auto"/>
        </w:rPr>
        <w:t>Name: Terrie Curran</w:t>
      </w:r>
    </w:p>
    <w:p>
      <w:pPr>
        <w:ind w:left="4940"/>
        <w:spacing w:after="0" w:line="233" w:lineRule="auto"/>
        <w:rPr>
          <w:sz w:val="20"/>
          <w:szCs w:val="20"/>
          <w:color w:val="auto"/>
        </w:rPr>
      </w:pPr>
      <w:r>
        <w:rPr>
          <w:rFonts w:ascii="Times New Roman" w:cs="Times New Roman" w:eastAsia="Times New Roman" w:hAnsi="Times New Roman"/>
          <w:sz w:val="22"/>
          <w:szCs w:val="22"/>
          <w:color w:val="auto"/>
        </w:rPr>
        <w:t>Title:  President and</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315" w:right="1019" w:bottom="1440" w:gutter="0" w:footer="0" w:header="0"/>
        </w:sectPr>
      </w:pPr>
    </w:p>
    <w:bookmarkStart w:id="99" w:name="page100"/>
    <w:bookmarkEnd w:id="99"/>
    <w:p>
      <w:pPr>
        <w:ind w:left="338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NQ PROJECT PHARAOH, L.P.</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By: NQ POF V GP, Ltd., its general partner</w:t>
      </w:r>
    </w:p>
    <w:p>
      <w:pPr>
        <w:spacing w:after="0" w:line="200" w:lineRule="exact"/>
        <w:rPr>
          <w:sz w:val="20"/>
          <w:szCs w:val="20"/>
          <w:color w:val="auto"/>
        </w:rPr>
      </w:pPr>
    </w:p>
    <w:p>
      <w:pPr>
        <w:spacing w:after="0" w:line="26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John L.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-13970</wp:posOffset>
            </wp:positionV>
            <wp:extent cx="13716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22"/>
          <w:szCs w:val="22"/>
          <w:color w:val="auto"/>
        </w:rPr>
        <w:t>Name: John L. Bradley, Jr.</w:t>
      </w:r>
    </w:p>
    <w:p>
      <w:pPr>
        <w:jc w:val="center"/>
        <w:ind w:right="159"/>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sectPr>
      </w:pPr>
    </w:p>
    <w:bookmarkStart w:id="100" w:name="page101"/>
    <w:bookmarkEnd w:id="100"/>
    <w:p>
      <w:pPr>
        <w:ind w:left="338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SAGARD HEALTHCARE ROYALTY PARTNERS, LP</w:t>
      </w:r>
    </w:p>
    <w:p>
      <w:pPr>
        <w:spacing w:after="0" w:line="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Sagard Healthcare Royalty Partners GP LLC, its general partner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Jason Sneah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-13970</wp:posOffset>
            </wp:positionV>
            <wp:extent cx="10972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22"/>
          <w:szCs w:val="22"/>
          <w:color w:val="auto"/>
        </w:rPr>
        <w:t>Name: Jason Sneah</w:t>
      </w:r>
    </w:p>
    <w:p>
      <w:pPr>
        <w:ind w:left="3820"/>
        <w:spacing w:after="0"/>
        <w:rPr>
          <w:sz w:val="20"/>
          <w:szCs w:val="20"/>
          <w:color w:val="auto"/>
        </w:rPr>
      </w:pPr>
      <w:r>
        <w:rPr>
          <w:rFonts w:ascii="Times New Roman" w:cs="Times New Roman" w:eastAsia="Times New Roman" w:hAnsi="Times New Roman"/>
          <w:sz w:val="22"/>
          <w:szCs w:val="22"/>
          <w:color w:val="auto"/>
        </w:rPr>
        <w:t>Title: Manager</w:t>
      </w:r>
    </w:p>
    <w:p>
      <w:pPr>
        <w:spacing w:after="0" w:line="19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Adam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-13970</wp:posOffset>
            </wp:positionV>
            <wp:extent cx="10972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22"/>
          <w:szCs w:val="22"/>
          <w:color w:val="auto"/>
        </w:rPr>
        <w:t>Name: Adam Vigna</w:t>
      </w:r>
    </w:p>
    <w:p>
      <w:pPr>
        <w:ind w:left="3820"/>
        <w:spacing w:after="0"/>
        <w:rPr>
          <w:sz w:val="20"/>
          <w:szCs w:val="20"/>
          <w:color w:val="auto"/>
        </w:rPr>
      </w:pPr>
      <w:r>
        <w:rPr>
          <w:rFonts w:ascii="Times New Roman" w:cs="Times New Roman" w:eastAsia="Times New Roman" w:hAnsi="Times New Roman"/>
          <w:sz w:val="22"/>
          <w:szCs w:val="22"/>
          <w:color w:val="auto"/>
        </w:rPr>
        <w:t>Title: Chief Investment Officer</w:t>
      </w:r>
    </w:p>
    <w:p>
      <w:pPr>
        <w:spacing w:after="0" w:line="196" w:lineRule="exact"/>
        <w:rPr>
          <w:sz w:val="20"/>
          <w:szCs w:val="20"/>
          <w:color w:val="auto"/>
        </w:rPr>
      </w:pPr>
    </w:p>
    <w:p>
      <w:pPr>
        <w:ind w:left="3380"/>
        <w:spacing w:after="0" w:line="258" w:lineRule="auto"/>
        <w:rPr>
          <w:sz w:val="20"/>
          <w:szCs w:val="20"/>
          <w:color w:val="auto"/>
        </w:rPr>
      </w:pPr>
      <w:r>
        <w:rPr>
          <w:rFonts w:ascii="Times New Roman" w:cs="Times New Roman" w:eastAsia="Times New Roman" w:hAnsi="Times New Roman"/>
          <w:sz w:val="22"/>
          <w:szCs w:val="22"/>
          <w:color w:val="auto"/>
        </w:rPr>
        <w:t>SAGARD HEALTHCARE PARTNERS CO-INVEST DESIGNATED ACTIVITY COMPANY</w:t>
      </w:r>
    </w:p>
    <w:p>
      <w:pPr>
        <w:spacing w:after="0" w:line="200" w:lineRule="exact"/>
        <w:rPr>
          <w:sz w:val="20"/>
          <w:szCs w:val="20"/>
          <w:color w:val="auto"/>
        </w:rPr>
      </w:pPr>
    </w:p>
    <w:p>
      <w:pPr>
        <w:spacing w:after="0" w:line="24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Kate Macken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-13970</wp:posOffset>
            </wp:positionV>
            <wp:extent cx="10972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22"/>
          <w:szCs w:val="22"/>
          <w:color w:val="auto"/>
        </w:rPr>
        <w:t>Name: Kate Macken</w:t>
      </w:r>
    </w:p>
    <w:p>
      <w:pPr>
        <w:ind w:left="3820"/>
        <w:spacing w:after="0"/>
        <w:rPr>
          <w:sz w:val="20"/>
          <w:szCs w:val="20"/>
          <w:color w:val="auto"/>
        </w:rPr>
      </w:pPr>
      <w:r>
        <w:rPr>
          <w:rFonts w:ascii="Times New Roman" w:cs="Times New Roman" w:eastAsia="Times New Roman" w:hAnsi="Times New Roman"/>
          <w:sz w:val="22"/>
          <w:szCs w:val="22"/>
          <w:color w:val="auto"/>
        </w:rPr>
        <w:t>Title: Director</w:t>
      </w:r>
    </w:p>
    <w:p>
      <w:pPr>
        <w:spacing w:after="0" w:line="18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Martensson</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 Lisa Martensson</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440" w:top="311" w:right="999" w:bottom="1440" w:gutter="0" w:footer="0" w:header="0"/>
        </w:sectPr>
      </w:pPr>
    </w:p>
    <w:bookmarkStart w:id="101" w:name="page102"/>
    <w:bookmarkEnd w:id="101"/>
    <w:p>
      <w:pPr>
        <w:ind w:left="338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HERCULES CAPITAL, INC.</w:t>
      </w:r>
    </w:p>
    <w:p>
      <w:pPr>
        <w:spacing w:after="0" w:line="200" w:lineRule="exact"/>
        <w:rPr>
          <w:sz w:val="20"/>
          <w:szCs w:val="20"/>
          <w:color w:val="auto"/>
        </w:rPr>
      </w:pPr>
    </w:p>
    <w:p>
      <w:pPr>
        <w:spacing w:after="0" w:line="28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Seth Meyer</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 Seth Meyer</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18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HERCULES PRIVATE GLOBAL VENTURE GROWTH FUND I L.P.</w:t>
      </w:r>
    </w:p>
    <w:p>
      <w:pPr>
        <w:spacing w:after="0" w:line="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Hercules Adviser LLC, its Investment Adviser</w:t>
      </w:r>
    </w:p>
    <w:p>
      <w:pPr>
        <w:spacing w:after="0" w:line="20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Seth Meyer</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 Seth Meyer</w:t>
      </w:r>
    </w:p>
    <w:p>
      <w:pPr>
        <w:spacing w:after="0" w:line="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440" w:top="311" w:right="899" w:bottom="1440" w:gutter="0" w:footer="0" w:header="0"/>
        </w:sectPr>
      </w:pPr>
    </w:p>
    <w:bookmarkStart w:id="102" w:name="page103"/>
    <w:bookmarkEnd w:id="102"/>
    <w:p>
      <w:pPr>
        <w:ind w:left="3380"/>
        <w:spacing w:after="0"/>
        <w:rPr>
          <w:sz w:val="20"/>
          <w:szCs w:val="20"/>
          <w:color w:val="auto"/>
        </w:rPr>
      </w:pPr>
      <w:r>
        <w:rPr>
          <w:rFonts w:ascii="Times New Roman" w:cs="Times New Roman" w:eastAsia="Times New Roman" w:hAnsi="Times New Roman"/>
          <w:sz w:val="22"/>
          <w:szCs w:val="22"/>
          <w:color w:val="auto"/>
        </w:rPr>
        <w:t>Exhibit A</w:t>
      </w:r>
    </w:p>
    <w:p>
      <w:pPr>
        <w:spacing w:after="0" w:line="2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Subordination Agreement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03" w:name="page104"/>
    <w:bookmarkEnd w:id="103"/>
    <w:p>
      <w:pPr>
        <w:ind w:left="3380"/>
        <w:spacing w:after="0"/>
        <w:rPr>
          <w:sz w:val="20"/>
          <w:szCs w:val="20"/>
          <w:color w:val="auto"/>
        </w:rPr>
      </w:pPr>
      <w:r>
        <w:rPr>
          <w:rFonts w:ascii="Times New Roman" w:cs="Times New Roman" w:eastAsia="Times New Roman" w:hAnsi="Times New Roman"/>
          <w:sz w:val="22"/>
          <w:szCs w:val="22"/>
          <w:color w:val="auto"/>
        </w:rPr>
        <w:t>Exhibit B</w:t>
      </w:r>
    </w:p>
    <w:p>
      <w:pPr>
        <w:spacing w:after="0" w:line="220"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color w:val="auto"/>
        </w:rPr>
        <w:t>Hercules Consent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2"/>
          <w:szCs w:val="22"/>
          <w:color w:val="auto"/>
        </w:rPr>
        <w:t>Schedule 1.1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Initial Investors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1"/>
          <w:szCs w:val="21"/>
          <w:color w:val="auto"/>
        </w:rPr>
        <w:t>Schedule 4.1(k)(i)(A)</w:t>
      </w:r>
    </w:p>
    <w:p>
      <w:pPr>
        <w:sectPr>
          <w:pgSz w:w="11900" w:h="16838" w:orient="portrait"/>
          <w:cols w:equalWidth="0" w:num="1">
            <w:col w:w="9019"/>
          </w:cols>
          <w:pgMar w:left="1440" w:top="315"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Patent Rights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1"/>
          <w:szCs w:val="21"/>
          <w:color w:val="auto"/>
        </w:rPr>
        <w:t>Schedule 4.1(l)</w:t>
      </w:r>
    </w:p>
    <w:p>
      <w:pPr>
        <w:sectPr>
          <w:pgSz w:w="11900" w:h="16838" w:orient="portrait"/>
          <w:cols w:equalWidth="0" w:num="1">
            <w:col w:w="9019"/>
          </w:cols>
          <w:pgMar w:left="1440" w:top="315"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Indebtedness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CONSENT AND FIRST AMENDMENT TO LOAN AND SECURITY AGREEMENT</w:t>
      </w:r>
    </w:p>
    <w:p>
      <w:pPr>
        <w:spacing w:after="0" w:line="20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THIS CONSENT AND FIRST AMENDMENT TO LOAN AND SECURITY AGREEMENT (this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May 3, 2022, is entered into by and among PHATHOM PHARMACEUTICALS,</w:t>
      </w:r>
    </w:p>
    <w:p>
      <w:pPr>
        <w:ind w:left="180"/>
        <w:spacing w:after="0"/>
        <w:rPr>
          <w:sz w:val="20"/>
          <w:szCs w:val="20"/>
          <w:color w:val="auto"/>
        </w:rPr>
      </w:pPr>
      <w:r>
        <w:rPr>
          <w:rFonts w:ascii="Times New Roman" w:cs="Times New Roman" w:eastAsia="Times New Roman" w:hAnsi="Times New Roman"/>
          <w:sz w:val="19"/>
          <w:szCs w:val="19"/>
          <w:color w:val="auto"/>
        </w:rPr>
        <w:t>INC., a Delaware corporation, each of its Subsidiaries from time to time party to the Loan Agreement (as defined</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below) as borrower (individually or collectively, as the context may require,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several banks and</w:t>
      </w:r>
    </w:p>
    <w:p>
      <w:pPr>
        <w:ind w:left="180"/>
        <w:spacing w:after="0"/>
        <w:rPr>
          <w:sz w:val="20"/>
          <w:szCs w:val="20"/>
          <w:color w:val="auto"/>
        </w:rPr>
      </w:pPr>
      <w:r>
        <w:rPr>
          <w:rFonts w:ascii="Times New Roman" w:cs="Times New Roman" w:eastAsia="Times New Roman" w:hAnsi="Times New Roman"/>
          <w:sz w:val="19"/>
          <w:szCs w:val="19"/>
          <w:color w:val="auto"/>
        </w:rPr>
        <w:t>other financial institutions or entities from time to time parties to the Loan Agreement (collectively, referred to as</w:t>
      </w:r>
    </w:p>
    <w:p>
      <w:pPr>
        <w:ind w:left="180"/>
        <w:spacing w:after="0" w:line="236"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SAGARD HEALTHCARE ROYALTY PARTNERS, LP, a Cayman Islands exempted</w:t>
      </w:r>
    </w:p>
    <w:p>
      <w:pPr>
        <w:ind w:left="180"/>
        <w:spacing w:after="0"/>
        <w:rPr>
          <w:sz w:val="20"/>
          <w:szCs w:val="20"/>
          <w:color w:val="auto"/>
        </w:rPr>
      </w:pPr>
      <w:r>
        <w:rPr>
          <w:rFonts w:ascii="Times New Roman" w:cs="Times New Roman" w:eastAsia="Times New Roman" w:hAnsi="Times New Roman"/>
          <w:sz w:val="20"/>
          <w:szCs w:val="20"/>
          <w:color w:val="auto"/>
        </w:rPr>
        <w:t>limited partnership (the “</w:t>
      </w:r>
      <w:r>
        <w:rPr>
          <w:rFonts w:ascii="Times New Roman" w:cs="Times New Roman" w:eastAsia="Times New Roman" w:hAnsi="Times New Roman"/>
          <w:sz w:val="20"/>
          <w:szCs w:val="20"/>
          <w:u w:val="single" w:color="auto"/>
          <w:color w:val="auto"/>
        </w:rPr>
        <w:t>Incoming Lender</w:t>
      </w:r>
      <w:r>
        <w:rPr>
          <w:rFonts w:ascii="Times New Roman" w:cs="Times New Roman" w:eastAsia="Times New Roman" w:hAnsi="Times New Roman"/>
          <w:sz w:val="20"/>
          <w:szCs w:val="20"/>
          <w:color w:val="auto"/>
        </w:rPr>
        <w:t>”, and together with the Existing Lenders,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w:t>
      </w:r>
    </w:p>
    <w:p>
      <w:pPr>
        <w:ind w:left="180"/>
        <w:spacing w:after="0"/>
        <w:rPr>
          <w:sz w:val="20"/>
          <w:szCs w:val="20"/>
          <w:color w:val="auto"/>
        </w:rPr>
      </w:pPr>
      <w:r>
        <w:rPr>
          <w:rFonts w:ascii="Times New Roman" w:cs="Times New Roman" w:eastAsia="Times New Roman" w:hAnsi="Times New Roman"/>
          <w:sz w:val="19"/>
          <w:szCs w:val="19"/>
          <w:color w:val="auto"/>
        </w:rPr>
        <w:t>HERCULES CAPITAL, INC., a Maryland corporation, in its capacity as administrative agent and collateral agent</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for itself and the Lenders (together with its successors and assigns, in such capacity, the “Agent”).</w:t>
      </w:r>
    </w:p>
    <w:p>
      <w:pPr>
        <w:spacing w:after="0" w:line="275" w:lineRule="exact"/>
        <w:rPr>
          <w:sz w:val="20"/>
          <w:szCs w:val="20"/>
          <w:color w:val="auto"/>
        </w:rPr>
      </w:pPr>
    </w:p>
    <w:p>
      <w:pPr>
        <w:jc w:val="both"/>
        <w:ind w:left="180" w:right="20" w:firstLine="746"/>
        <w:spacing w:after="0" w:line="254" w:lineRule="auto"/>
        <w:tabs>
          <w:tab w:leader="none" w:pos="16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Existing Lenders and Agent are parties to that certain Loan and Security Agreement, dated as of September 17, 2021 (as amended, restated, supplemented or otherwise modified from time to time prior to the date of this Amendment, the “Loan Agreement”).</w:t>
      </w:r>
    </w:p>
    <w:p>
      <w:pPr>
        <w:spacing w:after="0" w:line="241" w:lineRule="exact"/>
        <w:rPr>
          <w:rFonts w:ascii="Times New Roman" w:cs="Times New Roman" w:eastAsia="Times New Roman" w:hAnsi="Times New Roman"/>
          <w:sz w:val="18"/>
          <w:szCs w:val="18"/>
          <w:color w:val="auto"/>
        </w:rPr>
      </w:pPr>
    </w:p>
    <w:p>
      <w:pPr>
        <w:jc w:val="both"/>
        <w:ind w:left="180" w:firstLine="746"/>
        <w:spacing w:after="0" w:line="239" w:lineRule="auto"/>
        <w:tabs>
          <w:tab w:leader="none" w:pos="16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has informed Agent and the Lenders that it shall enter into a Revenue Interest Financing Agreement dated as of May 3, 2022 with NQ Project Pharaoh, L.P., a Delaware limited partnership, Sagard Healthcare Royalty Partners, LP, a Cayman Islands exempted limited partnership, Sagard Healthcare Partners Co-Invest Designated Activity Company, a company incorporated in Ireland, Hercules Capital, Inc., a Maryland corporation, Hercules Private Global Venture Growth Fund I L.P., a Delaware limited partnership, and any other entity or entities that become party thereto (collectively, referred to as “</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xml:space="preserve">”), pursuant to which Investor will extend certain financing to Borrower secured by the Revenue Interest Collateral from time to time, and Borrower will owe certain royalty and other payments to Investor in connection therewith on a secured basis, each in accordance with and pursuant to the terms of such Revenue Interest Financing Agreement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Amendment (the “</w:t>
      </w:r>
      <w:r>
        <w:rPr>
          <w:rFonts w:ascii="Times New Roman" w:cs="Times New Roman" w:eastAsia="Times New Roman" w:hAnsi="Times New Roman"/>
          <w:sz w:val="20"/>
          <w:szCs w:val="20"/>
          <w:u w:val="single" w:color="auto"/>
          <w:color w:val="auto"/>
        </w:rPr>
        <w:t>RIF Agreement</w:t>
      </w:r>
      <w:r>
        <w:rPr>
          <w:rFonts w:ascii="Times New Roman" w:cs="Times New Roman" w:eastAsia="Times New Roman" w:hAnsi="Times New Roman"/>
          <w:sz w:val="20"/>
          <w:szCs w:val="20"/>
          <w:color w:val="auto"/>
        </w:rPr>
        <w:t>”, and together with the transactions contemplated therein as of the date of this Amendment, the “</w:t>
      </w:r>
      <w:r>
        <w:rPr>
          <w:rFonts w:ascii="Times New Roman" w:cs="Times New Roman" w:eastAsia="Times New Roman" w:hAnsi="Times New Roman"/>
          <w:sz w:val="20"/>
          <w:szCs w:val="20"/>
          <w:u w:val="single" w:color="auto"/>
          <w:color w:val="auto"/>
        </w:rPr>
        <w:t>RIFA Transaction</w:t>
      </w:r>
      <w:r>
        <w:rPr>
          <w:rFonts w:ascii="Times New Roman" w:cs="Times New Roman" w:eastAsia="Times New Roman" w:hAnsi="Times New Roman"/>
          <w:sz w:val="20"/>
          <w:szCs w:val="20"/>
          <w:color w:val="auto"/>
        </w:rPr>
        <w:t xml:space="preserve">”; provided, however, the RIF Agreement and the RIFA Transaction shall not include any agreement, transaction or other arrangement between Borrower and Investor that is not expressly set out, or contemplated by,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Amendment, including any amendment, restatement, supplementation, waiver or other modification thereto except to the extent permitted by the Loan Agreement).</w:t>
      </w:r>
    </w:p>
    <w:p>
      <w:pPr>
        <w:spacing w:after="0" w:line="196" w:lineRule="exact"/>
        <w:rPr>
          <w:rFonts w:ascii="Times New Roman" w:cs="Times New Roman" w:eastAsia="Times New Roman" w:hAnsi="Times New Roman"/>
          <w:sz w:val="18"/>
          <w:szCs w:val="18"/>
          <w:color w:val="auto"/>
        </w:rPr>
      </w:pPr>
    </w:p>
    <w:p>
      <w:pPr>
        <w:jc w:val="both"/>
        <w:ind w:left="180" w:firstLine="746"/>
        <w:spacing w:after="0" w:line="247" w:lineRule="auto"/>
        <w:tabs>
          <w:tab w:leader="none" w:pos="16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has requested that Agent and the Lenders consent to the RIFA Transaction and make certain other revisions to the Loan Agreement. Although Agent and the Lenders are under no obligation to do so, they have agreed to such requests, subject to the terms and conditions hereof.</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9"/>
          <w:szCs w:val="19"/>
          <w:b w:val="1"/>
          <w:bCs w:val="1"/>
          <w:color w:val="auto"/>
        </w:rPr>
        <w:t>Definitions; Interpretation.</w:t>
      </w:r>
    </w:p>
    <w:p>
      <w:pPr>
        <w:spacing w:after="0" w:line="227" w:lineRule="exact"/>
        <w:rPr>
          <w:sz w:val="20"/>
          <w:szCs w:val="20"/>
          <w:color w:val="auto"/>
        </w:rPr>
      </w:pPr>
    </w:p>
    <w:p>
      <w:pPr>
        <w:jc w:val="both"/>
        <w:ind w:left="180" w:right="20" w:firstLine="746"/>
        <w:spacing w:after="0" w:line="256" w:lineRule="auto"/>
        <w:tabs>
          <w:tab w:leader="none" w:pos="16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 All capitalized terms used in this Amendment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recitals hereof) and not otherwise defined herein shall have the meanings assigned to them in the Loan Agreement (as amended by this Amendment).</w:t>
      </w:r>
    </w:p>
    <w:p>
      <w:pPr>
        <w:spacing w:after="0" w:line="168" w:lineRule="exact"/>
        <w:rPr>
          <w:rFonts w:ascii="Times New Roman" w:cs="Times New Roman" w:eastAsia="Times New Roman" w:hAnsi="Times New Roman"/>
          <w:sz w:val="18"/>
          <w:szCs w:val="18"/>
          <w:color w:val="auto"/>
        </w:rPr>
      </w:pPr>
    </w:p>
    <w:p>
      <w:pPr>
        <w:ind w:left="180" w:right="20" w:firstLine="746"/>
        <w:spacing w:after="0" w:line="259" w:lineRule="auto"/>
        <w:tabs>
          <w:tab w:leader="none" w:pos="16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Loan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this Amendment and are incorporated herein by this reference.</w:t>
      </w:r>
    </w:p>
    <w:p>
      <w:pPr>
        <w:spacing w:after="0" w:line="1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9"/>
          <w:szCs w:val="19"/>
          <w:b w:val="1"/>
          <w:bCs w:val="1"/>
          <w:color w:val="auto"/>
        </w:rPr>
        <w:t>Consent.</w:t>
      </w:r>
    </w:p>
    <w:p>
      <w:pPr>
        <w:spacing w:after="0" w:line="218" w:lineRule="exact"/>
        <w:rPr>
          <w:sz w:val="20"/>
          <w:szCs w:val="20"/>
          <w:color w:val="auto"/>
        </w:rPr>
      </w:pPr>
    </w:p>
    <w:p>
      <w:pPr>
        <w:ind w:left="180" w:right="20" w:firstLine="746"/>
        <w:spacing w:after="0" w:line="269" w:lineRule="auto"/>
        <w:tabs>
          <w:tab w:leader="none" w:pos="180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terms of this Amendment and the RIF Subordination Agreement, and notwithstanding anything to the contrary in the Loan Agreement, Agent and the Lenders hereby consent to</w:t>
      </w:r>
    </w:p>
    <w:p>
      <w:pPr>
        <w:spacing w:after="0" w:line="15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320" w:right="1219" w:bottom="1440" w:gutter="0" w:footer="0" w:header="0"/>
        </w:sectPr>
      </w:pPr>
    </w:p>
    <w:bookmarkStart w:id="108" w:name="page109"/>
    <w:bookmarkEnd w:id="108"/>
    <w:p>
      <w:pPr>
        <w:ind w:left="180" w:right="540"/>
        <w:spacing w:after="0" w:line="255" w:lineRule="auto"/>
        <w:rPr>
          <w:sz w:val="20"/>
          <w:szCs w:val="20"/>
          <w:color w:val="auto"/>
        </w:rPr>
      </w:pPr>
      <w:r>
        <w:rPr>
          <w:rFonts w:ascii="Times New Roman" w:cs="Times New Roman" w:eastAsia="Times New Roman" w:hAnsi="Times New Roman"/>
          <w:sz w:val="20"/>
          <w:szCs w:val="20"/>
          <w:color w:val="auto"/>
        </w:rPr>
        <w:t>the RIFA Transaction and the Borrower performing its obligations thereunder and the Lenders authorize the Agent to enter into the RIF Subordination Agreement.</w:t>
      </w:r>
    </w:p>
    <w:p>
      <w:pPr>
        <w:spacing w:after="0" w:line="173" w:lineRule="exact"/>
        <w:rPr>
          <w:sz w:val="20"/>
          <w:szCs w:val="20"/>
          <w:color w:val="auto"/>
        </w:rPr>
      </w:pPr>
    </w:p>
    <w:p>
      <w:pPr>
        <w:jc w:val="both"/>
        <w:ind w:left="180" w:firstLine="746"/>
        <w:spacing w:after="0" w:line="242" w:lineRule="auto"/>
        <w:tabs>
          <w:tab w:leader="none" w:pos="180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consent set forth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is effective for the purposes set forth herein and shall be limited precisely as written and shall not be deemed to (a) be a consent to any amendment, waiver, forbearance or modification of any other term or condition of any Loan Document or any transaction other than the RIFA Transaction and as otherwise expressly contemplated by this Amendment; (b) prejudice any right or remedy which Agent or the Lenders may now have or may have in the future under or in connection with any Loan Document; or (c) limit or impair Agent’s or any Lender’s right to demand strict performance of all terms and covenants of the Loan Agreement, as amended hereby, as of any date.</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9"/>
          <w:szCs w:val="19"/>
          <w:b w:val="1"/>
          <w:bCs w:val="1"/>
          <w:color w:val="auto"/>
        </w:rPr>
        <w:t>Amendments to the Loan Agreement.</w:t>
      </w:r>
    </w:p>
    <w:p>
      <w:pPr>
        <w:spacing w:after="0" w:line="218" w:lineRule="exact"/>
        <w:rPr>
          <w:sz w:val="20"/>
          <w:szCs w:val="20"/>
          <w:color w:val="auto"/>
        </w:rPr>
      </w:pPr>
    </w:p>
    <w:p>
      <w:pPr>
        <w:ind w:left="180" w:right="20" w:firstLine="746"/>
        <w:spacing w:after="0" w:line="269" w:lineRule="auto"/>
        <w:tabs>
          <w:tab w:leader="none" w:pos="173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the Loan Agreement is hereby amended as follows:</w:t>
      </w:r>
    </w:p>
    <w:p>
      <w:pPr>
        <w:spacing w:after="0" w:line="159" w:lineRule="exact"/>
        <w:rPr>
          <w:rFonts w:ascii="Times New Roman" w:cs="Times New Roman" w:eastAsia="Times New Roman" w:hAnsi="Times New Roman"/>
          <w:sz w:val="20"/>
          <w:szCs w:val="20"/>
          <w:color w:val="auto"/>
        </w:rPr>
      </w:pPr>
    </w:p>
    <w:p>
      <w:pPr>
        <w:ind w:left="180" w:right="540" w:firstLine="1495"/>
        <w:spacing w:after="0" w:line="269" w:lineRule="auto"/>
        <w:tabs>
          <w:tab w:leader="none" w:pos="2359"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Definitions</w:t>
      </w:r>
      <w:r>
        <w:rPr>
          <w:rFonts w:ascii="Times New Roman" w:cs="Times New Roman" w:eastAsia="Times New Roman" w:hAnsi="Times New Roman"/>
          <w:sz w:val="20"/>
          <w:szCs w:val="20"/>
          <w:color w:val="auto"/>
        </w:rPr>
        <w:t>. The following definitions are added to Section 1.1 of the Loan Agreement in their proper alphabetical order:</w:t>
      </w:r>
    </w:p>
    <w:p>
      <w:pPr>
        <w:spacing w:after="0" w:line="146" w:lineRule="exact"/>
        <w:rPr>
          <w:sz w:val="20"/>
          <w:szCs w:val="20"/>
          <w:color w:val="auto"/>
        </w:rPr>
      </w:pPr>
    </w:p>
    <w:p>
      <w:pPr>
        <w:jc w:val="both"/>
        <w:ind w:left="168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means that certain Consent and First Amendment to Loan and Security Agreement, dated as of May 3, 2022, by and among the Borrower, Agent and the Lenders.</w:t>
      </w:r>
    </w:p>
    <w:p>
      <w:pPr>
        <w:spacing w:after="0" w:line="174" w:lineRule="exact"/>
        <w:rPr>
          <w:sz w:val="20"/>
          <w:szCs w:val="20"/>
          <w:color w:val="auto"/>
        </w:rPr>
      </w:pPr>
    </w:p>
    <w:p>
      <w:pPr>
        <w:jc w:val="both"/>
        <w:ind w:left="1680"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w:t>
      </w:r>
      <w:r>
        <w:rPr>
          <w:rFonts w:ascii="Times New Roman" w:cs="Times New Roman" w:eastAsia="Times New Roman" w:hAnsi="Times New Roman"/>
          <w:sz w:val="20"/>
          <w:szCs w:val="20"/>
          <w:color w:val="auto"/>
        </w:rPr>
        <w:t>” means (i) NQ Project Pharaoh, L.P., a Delaware limited partnership, (ii) Sagard Healthcare Royalty Partners, LP, a Cayman Islands exempted limited partnership,</w:t>
      </w:r>
    </w:p>
    <w:p>
      <w:pPr>
        <w:spacing w:after="0" w:line="2" w:lineRule="exact"/>
        <w:rPr>
          <w:sz w:val="20"/>
          <w:szCs w:val="20"/>
          <w:color w:val="auto"/>
        </w:rPr>
      </w:pPr>
    </w:p>
    <w:p>
      <w:pPr>
        <w:jc w:val="both"/>
        <w:ind w:left="1680" w:hanging="5"/>
        <w:spacing w:after="0" w:line="238" w:lineRule="auto"/>
        <w:tabs>
          <w:tab w:leader="none" w:pos="21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Sagard Healthcare Partners Co-Invest Designated Activity Company, a company incorporated in Ireland, (iv) Hercules Capital, Inc., a Maryland corporation, (v) Hercules Private Global Venture Growth Fund I L.P., a Delaware limited partnership, and (vi) any other entity or entities that become party to the RIF Agreement in accordance with Section 2.1(b)(ii), 2.1(c) or 9.4 of the RIF Agreement.</w:t>
      </w:r>
    </w:p>
    <w:p>
      <w:pPr>
        <w:spacing w:after="0" w:line="188" w:lineRule="exact"/>
        <w:rPr>
          <w:sz w:val="20"/>
          <w:szCs w:val="20"/>
          <w:color w:val="auto"/>
        </w:rPr>
      </w:pPr>
    </w:p>
    <w:p>
      <w:pPr>
        <w:jc w:val="both"/>
        <w:ind w:left="168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RIF Indebtedness</w:t>
      </w:r>
      <w:r>
        <w:rPr>
          <w:rFonts w:ascii="Times New Roman" w:cs="Times New Roman" w:eastAsia="Times New Roman" w:hAnsi="Times New Roman"/>
          <w:sz w:val="20"/>
          <w:szCs w:val="20"/>
          <w:color w:val="auto"/>
        </w:rPr>
        <w:t>” means Indebtedness of Borrower in favor of Investor that (a) is incurred in accordance with the RIF Agreement, (b) is in an aggregate investment amount not to exceed $300,000,000, (c) consists (in part) of a Royalty Payment for which the Royalty Rate (as defined in the RIF Agreement) is no greater than 10%, (d) includes the other payment obligations of Borrower set forth therein, and (e) is subject to the RIF Subordination Agreement.</w:t>
      </w:r>
    </w:p>
    <w:p>
      <w:pPr>
        <w:spacing w:after="0" w:line="188" w:lineRule="exact"/>
        <w:rPr>
          <w:sz w:val="20"/>
          <w:szCs w:val="20"/>
          <w:color w:val="auto"/>
        </w:rPr>
      </w:pPr>
    </w:p>
    <w:p>
      <w:pPr>
        <w:jc w:val="both"/>
        <w:ind w:left="168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Interest Collateral</w:t>
      </w:r>
      <w:r>
        <w:rPr>
          <w:rFonts w:ascii="Times New Roman" w:cs="Times New Roman" w:eastAsia="Times New Roman" w:hAnsi="Times New Roman"/>
          <w:sz w:val="20"/>
          <w:szCs w:val="20"/>
          <w:color w:val="auto"/>
        </w:rPr>
        <w:t>” has the meaning given to such term in Section 2.7(a) of the RIF Agreement.</w:t>
      </w:r>
    </w:p>
    <w:p>
      <w:pPr>
        <w:spacing w:after="0" w:line="146" w:lineRule="exact"/>
        <w:rPr>
          <w:sz w:val="20"/>
          <w:szCs w:val="20"/>
          <w:color w:val="auto"/>
        </w:rPr>
      </w:pPr>
    </w:p>
    <w:p>
      <w:pPr>
        <w:jc w:val="both"/>
        <w:ind w:left="1680" w:right="20"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RIF Agreement</w:t>
      </w:r>
      <w:r>
        <w:rPr>
          <w:rFonts w:ascii="Times New Roman" w:cs="Times New Roman" w:eastAsia="Times New Roman" w:hAnsi="Times New Roman"/>
          <w:sz w:val="20"/>
          <w:szCs w:val="20"/>
          <w:color w:val="auto"/>
        </w:rPr>
        <w:t>” means that certain Revenue Interest Financing Agreement, attached as Exhibit A to the First Amendment, by and among Borrower and Investor dated as of May 3, 2022; provided that the terms of the RIF Agreement may be amended or waived but only to the extent (a) Borrower provides the Agent and Lenders with not less than ten (10) Business Days’ written notice (or such shorter period as consented to by the Agent and the Lenders) and (b) Borrower has received the prior written consent of Agent and the Required Lenders if the amendment or waiver (i) is adverse to the Agent and the Lenders in any material respect (including by modifying the defined terms “Royalty Payments”, “Royalty Rate” and/or the security interests set forth in Section 2.7 therein) or</w:t>
      </w:r>
    </w:p>
    <w:p>
      <w:pPr>
        <w:spacing w:after="0" w:line="4" w:lineRule="exact"/>
        <w:rPr>
          <w:sz w:val="20"/>
          <w:szCs w:val="20"/>
          <w:color w:val="auto"/>
        </w:rPr>
      </w:pPr>
    </w:p>
    <w:p>
      <w:pPr>
        <w:ind w:left="2020" w:hanging="346"/>
        <w:spacing w:after="0"/>
        <w:tabs>
          <w:tab w:leader="none" w:pos="20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impairs the rights of the Agent and the Lenders under this Agreement.</w:t>
      </w:r>
    </w:p>
    <w:p>
      <w:pPr>
        <w:spacing w:after="0" w:line="184" w:lineRule="exact"/>
        <w:rPr>
          <w:rFonts w:ascii="Times New Roman" w:cs="Times New Roman" w:eastAsia="Times New Roman" w:hAnsi="Times New Roman"/>
          <w:sz w:val="20"/>
          <w:szCs w:val="20"/>
          <w:color w:val="auto"/>
        </w:rPr>
      </w:pPr>
    </w:p>
    <w:p>
      <w:pPr>
        <w:ind w:left="4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09" w:name="page110"/>
    <w:bookmarkEnd w:id="109"/>
    <w:p>
      <w:pPr>
        <w:ind w:left="1680"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RIF Collateral Account</w:t>
      </w:r>
      <w:r>
        <w:rPr>
          <w:rFonts w:ascii="Times New Roman" w:cs="Times New Roman" w:eastAsia="Times New Roman" w:hAnsi="Times New Roman"/>
          <w:sz w:val="20"/>
          <w:szCs w:val="20"/>
          <w:color w:val="auto"/>
        </w:rPr>
        <w:t>” means the deposit account(s) used exclusively to maintain the Revenue Interest Collateral in accordance with Section 2.7(b) of the RIF Agreement.</w:t>
      </w:r>
    </w:p>
    <w:p>
      <w:pPr>
        <w:spacing w:after="0" w:line="173" w:lineRule="exact"/>
        <w:rPr>
          <w:sz w:val="20"/>
          <w:szCs w:val="20"/>
          <w:color w:val="auto"/>
        </w:rPr>
      </w:pPr>
    </w:p>
    <w:p>
      <w:pPr>
        <w:ind w:left="168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RIF Subordination Agreement</w:t>
      </w:r>
      <w:r>
        <w:rPr>
          <w:rFonts w:ascii="Times New Roman" w:cs="Times New Roman" w:eastAsia="Times New Roman" w:hAnsi="Times New Roman"/>
          <w:sz w:val="20"/>
          <w:szCs w:val="20"/>
          <w:color w:val="auto"/>
        </w:rPr>
        <w:t>” means that certain Subordination Agreement by and among Borrower, Investor and Agent dated as of May 3, 2022.</w:t>
      </w:r>
    </w:p>
    <w:p>
      <w:pPr>
        <w:spacing w:after="0" w:line="159" w:lineRule="exact"/>
        <w:rPr>
          <w:sz w:val="20"/>
          <w:szCs w:val="20"/>
          <w:color w:val="auto"/>
        </w:rPr>
      </w:pPr>
    </w:p>
    <w:p>
      <w:pPr>
        <w:ind w:left="1680"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Payments</w:t>
      </w:r>
      <w:r>
        <w:rPr>
          <w:rFonts w:ascii="Times New Roman" w:cs="Times New Roman" w:eastAsia="Times New Roman" w:hAnsi="Times New Roman"/>
          <w:sz w:val="20"/>
          <w:szCs w:val="20"/>
          <w:color w:val="auto"/>
        </w:rPr>
        <w:t>” has the meaning given to such term in Section 1.1 of the RIF Agreement.</w:t>
      </w:r>
    </w:p>
    <w:p>
      <w:pPr>
        <w:spacing w:after="0" w:line="173" w:lineRule="exact"/>
        <w:rPr>
          <w:sz w:val="20"/>
          <w:szCs w:val="20"/>
          <w:color w:val="auto"/>
        </w:rPr>
      </w:pPr>
    </w:p>
    <w:p>
      <w:pPr>
        <w:ind w:left="180" w:firstLine="1495"/>
        <w:spacing w:after="0" w:line="269" w:lineRule="auto"/>
        <w:tabs>
          <w:tab w:leader="none" w:pos="23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Amended and Restated Definitions</w:t>
      </w:r>
      <w:r>
        <w:rPr>
          <w:rFonts w:ascii="Times New Roman" w:cs="Times New Roman" w:eastAsia="Times New Roman" w:hAnsi="Times New Roman"/>
          <w:sz w:val="20"/>
          <w:szCs w:val="20"/>
          <w:color w:val="auto"/>
        </w:rPr>
        <w:t>. The following definitions appearing in Section 1.1 of the Loan Agreement are hereby amended in their entirety and replaced with the following:</w:t>
      </w:r>
    </w:p>
    <w:p>
      <w:pPr>
        <w:spacing w:after="0" w:line="159" w:lineRule="exact"/>
        <w:rPr>
          <w:sz w:val="20"/>
          <w:szCs w:val="20"/>
          <w:color w:val="auto"/>
        </w:rPr>
      </w:pPr>
    </w:p>
    <w:p>
      <w:pPr>
        <w:jc w:val="both"/>
        <w:ind w:left="1680" w:firstLine="74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Account</w:t>
      </w:r>
      <w:r>
        <w:rPr>
          <w:rFonts w:ascii="Times New Roman" w:cs="Times New Roman" w:eastAsia="Times New Roman" w:hAnsi="Times New Roman"/>
          <w:sz w:val="19"/>
          <w:szCs w:val="19"/>
          <w:color w:val="auto"/>
        </w:rPr>
        <w:t>” means (a) prior to the termination of the RIF Agreement in accordance with Article 8 of the RIF Agreement, the RIF Collateral Account (and funds deposited therein or credited thereto), and (b) any of the following accounts which are designated as such in writing to Agent as of the Closing Date or, with respect to any account opened after the Closing Date, in the next Compliance Certificate delivered after such account is opened: (i) accounts used exclusively to maintain cash collateral subject to a Permitted Lien,</w:t>
      </w:r>
    </w:p>
    <w:p>
      <w:pPr>
        <w:spacing w:after="0" w:line="4" w:lineRule="exact"/>
        <w:rPr>
          <w:sz w:val="20"/>
          <w:szCs w:val="20"/>
          <w:color w:val="auto"/>
        </w:rPr>
      </w:pPr>
    </w:p>
    <w:p>
      <w:pPr>
        <w:jc w:val="both"/>
        <w:ind w:left="1680" w:right="20" w:hanging="5"/>
        <w:spacing w:after="0" w:line="234" w:lineRule="auto"/>
        <w:tabs>
          <w:tab w:leader="none" w:pos="199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payroll or benefits account, provided that the aggregate balance of all such accounts shall not exceed the amount of all payroll or related benefit payments required to be made in the two next payroll periods, (iii) any zero balance account, and</w:t>
      </w:r>
    </w:p>
    <w:p>
      <w:pPr>
        <w:spacing w:after="0" w:line="2" w:lineRule="exact"/>
        <w:rPr>
          <w:rFonts w:ascii="Times New Roman" w:cs="Times New Roman" w:eastAsia="Times New Roman" w:hAnsi="Times New Roman"/>
          <w:sz w:val="20"/>
          <w:szCs w:val="20"/>
          <w:color w:val="auto"/>
        </w:rPr>
      </w:pPr>
    </w:p>
    <w:p>
      <w:pPr>
        <w:ind w:left="1680" w:right="20" w:hanging="5"/>
        <w:spacing w:after="0" w:line="260" w:lineRule="auto"/>
        <w:tabs>
          <w:tab w:leader="none" w:pos="203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deposit accounts, so long as the aggregate amount in all such deposit accounts do not exceed $1,000,000 on any day.</w:t>
      </w:r>
    </w:p>
    <w:p>
      <w:pPr>
        <w:spacing w:after="0" w:line="168" w:lineRule="exact"/>
        <w:rPr>
          <w:sz w:val="20"/>
          <w:szCs w:val="20"/>
          <w:color w:val="auto"/>
        </w:rPr>
      </w:pPr>
    </w:p>
    <w:p>
      <w:pPr>
        <w:jc w:val="both"/>
        <w:ind w:left="1680" w:right="2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the promissory notes (if any), the ACH Authorization, the Account Control Agreements, any Joinder Agreements, all UCC financing statements naming Borrower as debtor and Agent as secured party, the Warrant, the Intellectual Property Security Agreement, the Guaranty (if any), the RIF Subordination Agreement and any other documents executed in connection with the Secured Obligations or the transactions contemplated hereby, as the same may from time to time be amended, modified, supplemented or restated.</w:t>
      </w:r>
    </w:p>
    <w:p>
      <w:pPr>
        <w:spacing w:after="0" w:line="17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97" w:lineRule="exact"/>
        <w:rPr>
          <w:sz w:val="20"/>
          <w:szCs w:val="20"/>
          <w:color w:val="auto"/>
        </w:rPr>
      </w:pPr>
    </w:p>
    <w:p>
      <w:pPr>
        <w:ind w:left="2340" w:right="20" w:hanging="665"/>
        <w:spacing w:after="0" w:line="269" w:lineRule="auto"/>
        <w:tabs>
          <w:tab w:leader="none" w:pos="23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Borrower in favor of any Lender or Agent arising under this Agreement or any other Loan Document;</w:t>
      </w:r>
    </w:p>
    <w:p>
      <w:pPr>
        <w:spacing w:after="0" w:line="145"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existing on the Closing Date which is disclosed in Schedule 1A;</w:t>
      </w:r>
    </w:p>
    <w:p>
      <w:pPr>
        <w:spacing w:after="0" w:line="215" w:lineRule="exact"/>
        <w:rPr>
          <w:rFonts w:ascii="Times New Roman" w:cs="Times New Roman" w:eastAsia="Times New Roman" w:hAnsi="Times New Roman"/>
          <w:sz w:val="20"/>
          <w:szCs w:val="20"/>
          <w:color w:val="auto"/>
        </w:rPr>
      </w:pPr>
    </w:p>
    <w:p>
      <w:pPr>
        <w:jc w:val="both"/>
        <w:ind w:left="2340" w:right="20" w:hanging="665"/>
        <w:spacing w:after="0" w:line="263" w:lineRule="auto"/>
        <w:tabs>
          <w:tab w:leader="none" w:pos="23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up to $500,000 outstanding at any time secured by a Lien described in clause (g) of the defined term “Permitted Liens”, provided that (x) such Indebtedness does not exceed the cost of the Equipment or software or other intellectual property financed with such Indebtedness, and (y) such amount may be increased by $50,000 for each vehicle assigned by the Borrower to field-based employees;</w:t>
      </w:r>
    </w:p>
    <w:p>
      <w:pPr>
        <w:spacing w:after="0" w:line="152" w:lineRule="exact"/>
        <w:rPr>
          <w:rFonts w:ascii="Times New Roman" w:cs="Times New Roman" w:eastAsia="Times New Roman" w:hAnsi="Times New Roman"/>
          <w:sz w:val="19"/>
          <w:szCs w:val="19"/>
          <w:color w:val="auto"/>
        </w:rPr>
      </w:pPr>
    </w:p>
    <w:p>
      <w:pPr>
        <w:jc w:val="both"/>
        <w:ind w:left="2420" w:right="380" w:hanging="745"/>
        <w:spacing w:after="0" w:line="274" w:lineRule="auto"/>
        <w:tabs>
          <w:tab w:leader="none" w:pos="242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Indebtedness to trade creditors incurred in the ordinary course of business and (ii) Indebtedness incurred in the ordinary course of business with corporate credit cards in an aggregate amount not to exceed (x) at all times prior to the Approval</w:t>
      </w:r>
    </w:p>
    <w:p>
      <w:pPr>
        <w:spacing w:after="0" w:line="14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0" w:name="page111"/>
    <w:bookmarkEnd w:id="110"/>
    <w:p>
      <w:pPr>
        <w:ind w:left="2420"/>
        <w:spacing w:after="0"/>
        <w:rPr>
          <w:sz w:val="20"/>
          <w:szCs w:val="20"/>
          <w:color w:val="auto"/>
        </w:rPr>
      </w:pPr>
      <w:r>
        <w:rPr>
          <w:rFonts w:ascii="Times New Roman" w:cs="Times New Roman" w:eastAsia="Times New Roman" w:hAnsi="Times New Roman"/>
          <w:sz w:val="19"/>
          <w:szCs w:val="19"/>
          <w:color w:val="auto"/>
        </w:rPr>
        <w:t>Milestone II Date, $2,000,000, and (y) at all times on an after the Approval Milestone</w:t>
      </w:r>
    </w:p>
    <w:p>
      <w:pPr>
        <w:spacing w:after="0" w:line="20" w:lineRule="exact"/>
        <w:rPr>
          <w:sz w:val="20"/>
          <w:szCs w:val="20"/>
          <w:color w:val="auto"/>
        </w:rPr>
      </w:pPr>
    </w:p>
    <w:p>
      <w:pPr>
        <w:ind w:left="2600" w:hanging="176"/>
        <w:spacing w:after="0"/>
        <w:tabs>
          <w:tab w:leader="none" w:pos="26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$5,000,000, in each case outstanding at any time;</w:t>
      </w:r>
    </w:p>
    <w:p>
      <w:pPr>
        <w:spacing w:after="0" w:line="193" w:lineRule="exact"/>
        <w:rPr>
          <w:rFonts w:ascii="Times New Roman" w:cs="Times New Roman" w:eastAsia="Times New Roman" w:hAnsi="Times New Roman"/>
          <w:sz w:val="20"/>
          <w:szCs w:val="20"/>
          <w:color w:val="auto"/>
        </w:rPr>
      </w:pPr>
    </w:p>
    <w:p>
      <w:pPr>
        <w:ind w:left="2340" w:right="20" w:hanging="665"/>
        <w:spacing w:after="0" w:line="269" w:lineRule="auto"/>
        <w:tabs>
          <w:tab w:leader="none" w:pos="23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that also constitutes a Permitted Investment or is secured by a Permitted Lien;</w:t>
      </w:r>
    </w:p>
    <w:p>
      <w:pPr>
        <w:spacing w:after="0" w:line="145"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Indebtedness;</w:t>
      </w:r>
    </w:p>
    <w:p>
      <w:pPr>
        <w:spacing w:after="0" w:line="215" w:lineRule="exact"/>
        <w:rPr>
          <w:rFonts w:ascii="Times New Roman" w:cs="Times New Roman" w:eastAsia="Times New Roman" w:hAnsi="Times New Roman"/>
          <w:sz w:val="20"/>
          <w:szCs w:val="20"/>
          <w:color w:val="auto"/>
        </w:rPr>
      </w:pPr>
    </w:p>
    <w:p>
      <w:pPr>
        <w:ind w:left="2340" w:right="20" w:hanging="665"/>
        <w:spacing w:after="0" w:line="250" w:lineRule="auto"/>
        <w:tabs>
          <w:tab w:leader="none" w:pos="23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obligations in connection with letters of credit that are secured by Cash and issued on behalf of Borrower or a Subsidiary in an amount not to exceed</w:t>
      </w:r>
    </w:p>
    <w:p>
      <w:pPr>
        <w:spacing w:after="0" w:line="1" w:lineRule="exact"/>
        <w:rPr>
          <w:rFonts w:ascii="Times New Roman" w:cs="Times New Roman" w:eastAsia="Times New Roman" w:hAnsi="Times New Roman"/>
          <w:sz w:val="20"/>
          <w:szCs w:val="20"/>
          <w:color w:val="auto"/>
        </w:rPr>
      </w:pPr>
    </w:p>
    <w:p>
      <w:pPr>
        <w:jc w:val="both"/>
        <w:ind w:left="242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at all times prior to the Approval Milestone II Date, $1,500,000, and (y) at all times on an after the Approval Milestone II Date, $2,500,000, in each case at any time outstanding;</w:t>
      </w:r>
    </w:p>
    <w:p>
      <w:pPr>
        <w:spacing w:after="0" w:line="173" w:lineRule="exact"/>
        <w:rPr>
          <w:rFonts w:ascii="Times New Roman" w:cs="Times New Roman" w:eastAsia="Times New Roman" w:hAnsi="Times New Roman"/>
          <w:sz w:val="20"/>
          <w:szCs w:val="20"/>
          <w:color w:val="auto"/>
        </w:rPr>
      </w:pPr>
    </w:p>
    <w:p>
      <w:pPr>
        <w:jc w:val="both"/>
        <w:ind w:left="2340" w:right="20" w:hanging="665"/>
        <w:spacing w:after="0" w:line="266" w:lineRule="auto"/>
        <w:tabs>
          <w:tab w:leader="none" w:pos="23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Indebtedness as long as each of the Subsidiary obligor and the Subsidiary obligee under such Indebtedness is a Subsidiary that has executed a Joinder Agreement, or other intercompany Indebtedness resulting from a Permitted Investment in accordance with clause (j) of the defined term “Permitted Investments”;</w:t>
      </w:r>
    </w:p>
    <w:p>
      <w:pPr>
        <w:spacing w:after="0" w:line="151" w:lineRule="exact"/>
        <w:rPr>
          <w:rFonts w:ascii="Times New Roman" w:cs="Times New Roman" w:eastAsia="Times New Roman" w:hAnsi="Times New Roman"/>
          <w:sz w:val="19"/>
          <w:szCs w:val="19"/>
          <w:color w:val="auto"/>
        </w:rPr>
      </w:pPr>
    </w:p>
    <w:p>
      <w:pPr>
        <w:ind w:left="2420" w:right="880" w:hanging="745"/>
        <w:spacing w:after="0" w:line="269" w:lineRule="auto"/>
        <w:tabs>
          <w:tab w:leader="none" w:pos="2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Convertible Debt in an aggregate principal amount not to exceed $400,000,000 at any one time outstanding;</w:t>
      </w:r>
    </w:p>
    <w:p>
      <w:pPr>
        <w:spacing w:after="0" w:line="159"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RIF Indebtedness;</w:t>
      </w:r>
    </w:p>
    <w:p>
      <w:pPr>
        <w:spacing w:after="0" w:line="215" w:lineRule="exact"/>
        <w:rPr>
          <w:rFonts w:ascii="Times New Roman" w:cs="Times New Roman" w:eastAsia="Times New Roman" w:hAnsi="Times New Roman"/>
          <w:sz w:val="20"/>
          <w:szCs w:val="20"/>
          <w:color w:val="auto"/>
        </w:rPr>
      </w:pPr>
    </w:p>
    <w:p>
      <w:pPr>
        <w:ind w:left="2340" w:right="20" w:hanging="665"/>
        <w:spacing w:after="0" w:line="269" w:lineRule="auto"/>
        <w:tabs>
          <w:tab w:leader="none" w:pos="23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unsecured Indebtedness in an amount not to exceed $1,000,000 at any time outstanding; and</w:t>
      </w:r>
    </w:p>
    <w:p>
      <w:pPr>
        <w:spacing w:after="0" w:line="145" w:lineRule="exact"/>
        <w:rPr>
          <w:rFonts w:ascii="Times New Roman" w:cs="Times New Roman" w:eastAsia="Times New Roman" w:hAnsi="Times New Roman"/>
          <w:sz w:val="20"/>
          <w:szCs w:val="20"/>
          <w:color w:val="auto"/>
        </w:rPr>
      </w:pPr>
    </w:p>
    <w:p>
      <w:pPr>
        <w:jc w:val="both"/>
        <w:ind w:left="2340" w:right="20" w:hanging="665"/>
        <w:spacing w:after="0" w:line="266" w:lineRule="auto"/>
        <w:tabs>
          <w:tab w:leader="none" w:pos="234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extensions, refinancings and renewals of any items of Permitted Indebtedness, provided that the principal amount is not increased or the terms modified to impose materially more burdensome terms upon Borrower or the applicable Subsidiary, as the case may be, and subject to any limitations on aggregate amount of such Indebtedness.</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83" w:lineRule="exact"/>
        <w:rPr>
          <w:sz w:val="20"/>
          <w:szCs w:val="20"/>
          <w:color w:val="auto"/>
        </w:rPr>
      </w:pPr>
    </w:p>
    <w:p>
      <w:pPr>
        <w:ind w:left="2420" w:hanging="745"/>
        <w:spacing w:after="0"/>
        <w:tabs>
          <w:tab w:leader="none" w:pos="24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Agent;</w:t>
      </w:r>
    </w:p>
    <w:p>
      <w:pPr>
        <w:spacing w:after="0" w:line="215"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which are disclosed in </w:t>
      </w:r>
      <w:r>
        <w:rPr>
          <w:rFonts w:ascii="Times New Roman" w:cs="Times New Roman" w:eastAsia="Times New Roman" w:hAnsi="Times New Roman"/>
          <w:sz w:val="20"/>
          <w:szCs w:val="20"/>
          <w:u w:val="single" w:color="auto"/>
          <w:color w:val="auto"/>
        </w:rPr>
        <w:t>Schedule 1C</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jc w:val="both"/>
        <w:ind w:left="2340" w:hanging="665"/>
        <w:spacing w:after="0" w:line="254" w:lineRule="auto"/>
        <w:tabs>
          <w:tab w:leader="none" w:pos="23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fees, assessments or other governmental charges or levies, either not yet delinquent or being contested in good faith by appropriate proceedings; provided, that Borrower maintains adequate reserves therefor in accordance with GAAP;</w:t>
      </w:r>
    </w:p>
    <w:p>
      <w:pPr>
        <w:spacing w:after="0" w:line="160" w:lineRule="exact"/>
        <w:rPr>
          <w:rFonts w:ascii="Times New Roman" w:cs="Times New Roman" w:eastAsia="Times New Roman" w:hAnsi="Times New Roman"/>
          <w:sz w:val="20"/>
          <w:szCs w:val="20"/>
          <w:color w:val="auto"/>
        </w:rPr>
      </w:pPr>
    </w:p>
    <w:p>
      <w:pPr>
        <w:jc w:val="both"/>
        <w:ind w:left="2340" w:right="20" w:hanging="665"/>
        <w:spacing w:after="0" w:line="249" w:lineRule="auto"/>
        <w:tabs>
          <w:tab w:leader="none" w:pos="23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claims or demands of materialmen, artisans, mechanics, carriers, warehousemen, landlords and other like Persons arising in the ordinary course of business and imposed without action of such parties; provided, that the payment thereof is not yet required;</w:t>
      </w:r>
    </w:p>
    <w:p>
      <w:pPr>
        <w:spacing w:after="0" w:line="17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1" w:name="page112"/>
    <w:bookmarkEnd w:id="111"/>
    <w:p>
      <w:pPr>
        <w:ind w:left="2340" w:right="20" w:hanging="665"/>
        <w:spacing w:after="0" w:line="255"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judgments, decrees or attachments in circumstances which do not constitute an Event of Default hereunder;</w:t>
      </w:r>
    </w:p>
    <w:p>
      <w:pPr>
        <w:spacing w:after="0" w:line="172" w:lineRule="exact"/>
        <w:rPr>
          <w:rFonts w:ascii="Times New Roman" w:cs="Times New Roman" w:eastAsia="Times New Roman" w:hAnsi="Times New Roman"/>
          <w:sz w:val="20"/>
          <w:szCs w:val="20"/>
          <w:color w:val="auto"/>
        </w:rPr>
      </w:pPr>
    </w:p>
    <w:p>
      <w:pPr>
        <w:jc w:val="both"/>
        <w:ind w:left="2340" w:hanging="665"/>
        <w:spacing w:after="0" w:line="241"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91" w:lineRule="exact"/>
        <w:rPr>
          <w:rFonts w:ascii="Times New Roman" w:cs="Times New Roman" w:eastAsia="Times New Roman" w:hAnsi="Times New Roman"/>
          <w:sz w:val="20"/>
          <w:szCs w:val="20"/>
          <w:color w:val="auto"/>
        </w:rPr>
      </w:pPr>
    </w:p>
    <w:p>
      <w:pPr>
        <w:jc w:val="both"/>
        <w:ind w:left="2340" w:right="20" w:hanging="665"/>
        <w:spacing w:after="0" w:line="254"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Equipment or software or other intellectual property constituting purchase money Liens and Liens in connection with capital leases securing Indebtedness permitted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“Permitted Indebtedness”;</w:t>
      </w:r>
    </w:p>
    <w:p>
      <w:pPr>
        <w:spacing w:after="0" w:line="255"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connection with Subordinated Indebtedness;</w:t>
      </w:r>
    </w:p>
    <w:p>
      <w:pPr>
        <w:spacing w:after="0" w:line="202" w:lineRule="exact"/>
        <w:rPr>
          <w:rFonts w:ascii="Times New Roman" w:cs="Times New Roman" w:eastAsia="Times New Roman" w:hAnsi="Times New Roman"/>
          <w:sz w:val="20"/>
          <w:szCs w:val="20"/>
          <w:color w:val="auto"/>
        </w:rPr>
      </w:pPr>
    </w:p>
    <w:p>
      <w:pPr>
        <w:jc w:val="both"/>
        <w:ind w:left="2340" w:right="20" w:hanging="665"/>
        <w:spacing w:after="0" w:line="254"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leasehold interests in leases or subleases and licenses (other than with respect to Intellectual Property) granted in the ordinary course of business and not interfering in any material respect with the business of the licensor;</w:t>
      </w:r>
    </w:p>
    <w:p>
      <w:pPr>
        <w:spacing w:after="0" w:line="174" w:lineRule="exact"/>
        <w:rPr>
          <w:rFonts w:ascii="Times New Roman" w:cs="Times New Roman" w:eastAsia="Times New Roman" w:hAnsi="Times New Roman"/>
          <w:sz w:val="20"/>
          <w:szCs w:val="20"/>
          <w:color w:val="auto"/>
        </w:rPr>
      </w:pPr>
    </w:p>
    <w:p>
      <w:pPr>
        <w:jc w:val="both"/>
        <w:ind w:left="2340" w:right="20" w:hanging="665"/>
        <w:spacing w:after="0" w:line="254"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 duties that are promptly paid on or before the date they become due;</w:t>
      </w:r>
    </w:p>
    <w:p>
      <w:pPr>
        <w:spacing w:after="0" w:line="160" w:lineRule="exact"/>
        <w:rPr>
          <w:rFonts w:ascii="Times New Roman" w:cs="Times New Roman" w:eastAsia="Times New Roman" w:hAnsi="Times New Roman"/>
          <w:sz w:val="20"/>
          <w:szCs w:val="20"/>
          <w:color w:val="auto"/>
        </w:rPr>
      </w:pPr>
    </w:p>
    <w:p>
      <w:pPr>
        <w:jc w:val="both"/>
        <w:ind w:left="2340" w:right="20" w:hanging="665"/>
        <w:spacing w:after="0" w:line="254"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60" w:lineRule="exact"/>
        <w:rPr>
          <w:rFonts w:ascii="Times New Roman" w:cs="Times New Roman" w:eastAsia="Times New Roman" w:hAnsi="Times New Roman"/>
          <w:sz w:val="20"/>
          <w:szCs w:val="20"/>
          <w:color w:val="auto"/>
        </w:rPr>
      </w:pPr>
    </w:p>
    <w:p>
      <w:pPr>
        <w:jc w:val="both"/>
        <w:ind w:left="2340" w:hanging="665"/>
        <w:spacing w:after="0" w:line="254"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and common law rights of set-off and other similar rights as to deposits of cash and securities in favor of banks, other depository institutions and brokerage firms or securities intermediaries to cover fees, similar expenses and charges;</w:t>
      </w:r>
    </w:p>
    <w:p>
      <w:pPr>
        <w:spacing w:after="0" w:line="160" w:lineRule="exact"/>
        <w:rPr>
          <w:rFonts w:ascii="Times New Roman" w:cs="Times New Roman" w:eastAsia="Times New Roman" w:hAnsi="Times New Roman"/>
          <w:sz w:val="20"/>
          <w:szCs w:val="20"/>
          <w:color w:val="auto"/>
        </w:rPr>
      </w:pPr>
    </w:p>
    <w:p>
      <w:pPr>
        <w:jc w:val="both"/>
        <w:ind w:left="2340" w:hanging="665"/>
        <w:spacing w:after="0" w:line="254"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servitudes, zoning restrictions, rights-of-way and similar encumbrances on real property imposed by law or arising in the ordinary course of business so long as they do not materially impair the value or marketability of the related property;</w:t>
      </w:r>
    </w:p>
    <w:p>
      <w:pPr>
        <w:spacing w:after="0" w:line="174" w:lineRule="exact"/>
        <w:rPr>
          <w:rFonts w:ascii="Times New Roman" w:cs="Times New Roman" w:eastAsia="Times New Roman" w:hAnsi="Times New Roman"/>
          <w:sz w:val="20"/>
          <w:szCs w:val="20"/>
          <w:color w:val="auto"/>
        </w:rPr>
      </w:pPr>
    </w:p>
    <w:p>
      <w:pPr>
        <w:ind w:left="2340" w:right="20" w:hanging="665"/>
        <w:spacing w:after="0" w:line="269"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and other arrangements for the use of Intellectual Property permitted hereunder;</w:t>
      </w:r>
    </w:p>
    <w:p>
      <w:pPr>
        <w:spacing w:after="0" w:line="145" w:lineRule="exact"/>
        <w:rPr>
          <w:rFonts w:ascii="Times New Roman" w:cs="Times New Roman" w:eastAsia="Times New Roman" w:hAnsi="Times New Roman"/>
          <w:sz w:val="20"/>
          <w:szCs w:val="20"/>
          <w:color w:val="auto"/>
        </w:rPr>
      </w:pPr>
    </w:p>
    <w:p>
      <w:pPr>
        <w:jc w:val="both"/>
        <w:ind w:left="2340" w:hanging="665"/>
        <w:spacing w:after="0" w:line="249" w:lineRule="auto"/>
        <w:tabs>
          <w:tab w:leader="none" w:pos="23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on Cash securing obligations permitted under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of the definition of Permitted Indebtedness and (ii) security deposits in connection with real property leases, the combination of (i) and (ii) in an aggregate amount not to exceed $2,000,000 at any time;</w:t>
      </w:r>
    </w:p>
    <w:p>
      <w:pPr>
        <w:spacing w:after="0" w:line="179"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Revenue Interest Collateral; and</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2" w:name="page113"/>
    <w:bookmarkEnd w:id="112"/>
    <w:p>
      <w:pPr>
        <w:jc w:val="both"/>
        <w:ind w:left="2340" w:right="20" w:hanging="665"/>
        <w:spacing w:after="0" w:line="242" w:lineRule="auto"/>
        <w:tabs>
          <w:tab w:leader="none" w:pos="23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incurred in connection with the extension, renewal or refinancing of the Indebtedness secured by Liens of the type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7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Transfers</w:t>
      </w:r>
      <w:r>
        <w:rPr>
          <w:rFonts w:ascii="Times New Roman" w:cs="Times New Roman" w:eastAsia="Times New Roman" w:hAnsi="Times New Roman"/>
          <w:sz w:val="20"/>
          <w:szCs w:val="20"/>
          <w:color w:val="auto"/>
        </w:rPr>
        <w:t>” means:</w:t>
      </w:r>
    </w:p>
    <w:p>
      <w:pPr>
        <w:spacing w:after="0" w:line="283" w:lineRule="exact"/>
        <w:rPr>
          <w:sz w:val="20"/>
          <w:szCs w:val="20"/>
          <w:color w:val="auto"/>
        </w:rPr>
      </w:pPr>
    </w:p>
    <w:p>
      <w:pPr>
        <w:ind w:left="2420" w:hanging="745"/>
        <w:spacing w:after="0"/>
        <w:tabs>
          <w:tab w:leader="none" w:pos="24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Inventory in the ordinary course of business;</w:t>
      </w:r>
    </w:p>
    <w:p>
      <w:pPr>
        <w:spacing w:after="0" w:line="215" w:lineRule="exact"/>
        <w:rPr>
          <w:rFonts w:ascii="Times New Roman" w:cs="Times New Roman" w:eastAsia="Times New Roman" w:hAnsi="Times New Roman"/>
          <w:sz w:val="20"/>
          <w:szCs w:val="20"/>
          <w:color w:val="auto"/>
        </w:rPr>
      </w:pPr>
    </w:p>
    <w:p>
      <w:pPr>
        <w:jc w:val="both"/>
        <w:ind w:left="2340" w:right="20" w:hanging="665"/>
        <w:spacing w:after="0" w:line="243" w:lineRule="auto"/>
        <w:tabs>
          <w:tab w:leader="none" w:pos="2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and similar arrangements for the use of Intellectual Property in the ordinary course of business that could not result in a legal transfer of title of the licensed property that are non-exclusive or may be exclusive in respects other than territory or may be exclusive as to territory but only as to discreet geographical areas outside of the United States of America in the ordinary course;</w:t>
      </w:r>
    </w:p>
    <w:p>
      <w:pPr>
        <w:spacing w:after="0" w:line="185" w:lineRule="exact"/>
        <w:rPr>
          <w:rFonts w:ascii="Times New Roman" w:cs="Times New Roman" w:eastAsia="Times New Roman" w:hAnsi="Times New Roman"/>
          <w:sz w:val="20"/>
          <w:szCs w:val="20"/>
          <w:color w:val="auto"/>
        </w:rPr>
      </w:pPr>
    </w:p>
    <w:p>
      <w:pPr>
        <w:ind w:left="2340" w:right="20" w:hanging="665"/>
        <w:spacing w:after="0" w:line="269" w:lineRule="auto"/>
        <w:tabs>
          <w:tab w:leader="none" w:pos="2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worn-out, obsolete or surplus Equipment at fair market value in the ordinary course of business;</w:t>
      </w:r>
    </w:p>
    <w:p>
      <w:pPr>
        <w:spacing w:after="0" w:line="159"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Cash in the ordinary course of business or as otherwise permitted herein;</w:t>
      </w:r>
    </w:p>
    <w:p>
      <w:pPr>
        <w:spacing w:after="0" w:line="202" w:lineRule="exact"/>
        <w:rPr>
          <w:rFonts w:ascii="Times New Roman" w:cs="Times New Roman" w:eastAsia="Times New Roman" w:hAnsi="Times New Roman"/>
          <w:sz w:val="20"/>
          <w:szCs w:val="20"/>
          <w:color w:val="auto"/>
        </w:rPr>
      </w:pPr>
    </w:p>
    <w:p>
      <w:pPr>
        <w:jc w:val="both"/>
        <w:ind w:left="2340" w:right="20" w:hanging="665"/>
        <w:spacing w:after="0" w:line="254" w:lineRule="auto"/>
        <w:tabs>
          <w:tab w:leader="none" w:pos="2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Cash to repay Permitted RIF Indebtedness or deposit into the RIF Collateral Account, in each case, in accordance with the terms of this Agreement and the RIF Agreement;</w:t>
      </w:r>
    </w:p>
    <w:p>
      <w:pPr>
        <w:spacing w:after="0" w:line="160" w:lineRule="exact"/>
        <w:rPr>
          <w:rFonts w:ascii="Times New Roman" w:cs="Times New Roman" w:eastAsia="Times New Roman" w:hAnsi="Times New Roman"/>
          <w:sz w:val="20"/>
          <w:szCs w:val="20"/>
          <w:color w:val="auto"/>
        </w:rPr>
      </w:pPr>
    </w:p>
    <w:p>
      <w:pPr>
        <w:ind w:left="2420" w:hanging="745"/>
        <w:spacing w:after="0"/>
        <w:tabs>
          <w:tab w:leader="none" w:pos="24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of stock or other shares in the ordinary course of business;</w:t>
      </w:r>
    </w:p>
    <w:p>
      <w:pPr>
        <w:spacing w:after="0" w:line="215" w:lineRule="exact"/>
        <w:rPr>
          <w:rFonts w:ascii="Times New Roman" w:cs="Times New Roman" w:eastAsia="Times New Roman" w:hAnsi="Times New Roman"/>
          <w:sz w:val="20"/>
          <w:szCs w:val="20"/>
          <w:color w:val="auto"/>
        </w:rPr>
      </w:pPr>
    </w:p>
    <w:p>
      <w:pPr>
        <w:ind w:left="2340" w:right="20" w:hanging="665"/>
        <w:spacing w:after="0" w:line="269" w:lineRule="auto"/>
        <w:tabs>
          <w:tab w:leader="none" w:pos="2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constituting the making of Permitted Investments, or the granting of Permitted Liens; and</w:t>
      </w:r>
    </w:p>
    <w:p>
      <w:pPr>
        <w:spacing w:after="0" w:line="159" w:lineRule="exact"/>
        <w:rPr>
          <w:rFonts w:ascii="Times New Roman" w:cs="Times New Roman" w:eastAsia="Times New Roman" w:hAnsi="Times New Roman"/>
          <w:sz w:val="20"/>
          <w:szCs w:val="20"/>
          <w:color w:val="auto"/>
        </w:rPr>
      </w:pPr>
    </w:p>
    <w:p>
      <w:pPr>
        <w:ind w:left="2340" w:right="20" w:hanging="665"/>
        <w:spacing w:after="0" w:line="255" w:lineRule="auto"/>
        <w:tabs>
          <w:tab w:leader="none" w:pos="2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transfers of assets having a fair market value of not more than $500,000 in the aggregate in any fiscal year.</w:t>
      </w:r>
    </w:p>
    <w:p>
      <w:pPr>
        <w:spacing w:after="0" w:line="173" w:lineRule="exact"/>
        <w:rPr>
          <w:sz w:val="20"/>
          <w:szCs w:val="20"/>
          <w:color w:val="auto"/>
        </w:rPr>
      </w:pPr>
    </w:p>
    <w:p>
      <w:pPr>
        <w:jc w:val="both"/>
        <w:ind w:left="1680" w:right="2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w:t>
      </w:r>
      <w:r>
        <w:rPr>
          <w:rFonts w:ascii="Times New Roman" w:cs="Times New Roman" w:eastAsia="Times New Roman" w:hAnsi="Times New Roman"/>
          <w:sz w:val="20"/>
          <w:szCs w:val="20"/>
          <w:color w:val="auto"/>
        </w:rPr>
        <w:t>” means an amount equal to (a) the amount of Borrower’s Cash held in accounts subject to an Account Control Agreement in favor of Agent, minus (b) the Qualified Cash A/P Amount, and, for the avoidance of doubt, excludes any Cash required to be deposited in or credited to the RIF Collateral Account in accordance with Section 2.7(b) of the RIF Agreement.</w:t>
      </w:r>
    </w:p>
    <w:p>
      <w:pPr>
        <w:spacing w:after="0" w:line="171" w:lineRule="exact"/>
        <w:rPr>
          <w:sz w:val="20"/>
          <w:szCs w:val="20"/>
          <w:color w:val="auto"/>
        </w:rPr>
      </w:pPr>
    </w:p>
    <w:p>
      <w:pPr>
        <w:jc w:val="both"/>
        <w:ind w:left="1680"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Indebtedness subordinated to the Secured Obligations (excluding all Indebtedness owing under the RIF Agreement), in amounts and on terms and conditions satisfactory to Agent in its reasonable discretion and subject to a subordination agreement in form and substance satisfactory to Agent in its reasonable discretion.</w:t>
      </w:r>
    </w:p>
    <w:p>
      <w:pPr>
        <w:spacing w:after="0" w:line="185" w:lineRule="exact"/>
        <w:rPr>
          <w:sz w:val="20"/>
          <w:szCs w:val="20"/>
          <w:color w:val="auto"/>
        </w:rPr>
      </w:pPr>
    </w:p>
    <w:p>
      <w:pPr>
        <w:ind w:left="180" w:right="460" w:firstLine="1495"/>
        <w:spacing w:after="0" w:line="255" w:lineRule="auto"/>
        <w:tabs>
          <w:tab w:leader="none" w:pos="23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Excluded Collateral</w:t>
      </w:r>
      <w:r>
        <w:rPr>
          <w:rFonts w:ascii="Times New Roman" w:cs="Times New Roman" w:eastAsia="Times New Roman" w:hAnsi="Times New Roman"/>
          <w:sz w:val="20"/>
          <w:szCs w:val="20"/>
          <w:color w:val="auto"/>
        </w:rPr>
        <w:t>. Section 3.2 of the Loan Agreement is hereby amended in its entirety and replaced with the following:</w:t>
      </w:r>
    </w:p>
    <w:p>
      <w:pPr>
        <w:spacing w:after="0" w:line="173" w:lineRule="exact"/>
        <w:rPr>
          <w:sz w:val="20"/>
          <w:szCs w:val="20"/>
          <w:color w:val="auto"/>
        </w:rPr>
      </w:pPr>
    </w:p>
    <w:p>
      <w:pPr>
        <w:ind w:left="1680" w:right="1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Excluded Collateral</w:t>
      </w:r>
      <w:r>
        <w:rPr>
          <w:rFonts w:ascii="Times New Roman" w:cs="Times New Roman" w:eastAsia="Times New Roman" w:hAnsi="Times New Roman"/>
          <w:sz w:val="20"/>
          <w:szCs w:val="20"/>
          <w:color w:val="auto"/>
        </w:rPr>
        <w:t xml:space="preserve">. Notwithstanding the broad grant of the security interest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above, the Collateral shall not include (a) more than 65%</w:t>
      </w:r>
    </w:p>
    <w:p>
      <w:pPr>
        <w:spacing w:after="0" w:line="15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3" w:name="page114"/>
    <w:bookmarkEnd w:id="113"/>
    <w:p>
      <w:pPr>
        <w:ind w:left="1680"/>
        <w:spacing w:after="0"/>
        <w:rPr>
          <w:sz w:val="20"/>
          <w:szCs w:val="20"/>
          <w:color w:val="auto"/>
        </w:rPr>
      </w:pPr>
      <w:r>
        <w:rPr>
          <w:rFonts w:ascii="Times New Roman" w:cs="Times New Roman" w:eastAsia="Times New Roman" w:hAnsi="Times New Roman"/>
          <w:sz w:val="19"/>
          <w:szCs w:val="19"/>
          <w:color w:val="auto"/>
        </w:rPr>
        <w:t>of the presently existing and hereafter arising issued and outstanding Equity Interests owned by</w:t>
      </w:r>
    </w:p>
    <w:p>
      <w:pPr>
        <w:spacing w:after="0" w:line="1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Borrower of any Foreign Subsidiary or Foreign Subsidiary Holding Company which Equity</w:t>
      </w:r>
    </w:p>
    <w:p>
      <w:pPr>
        <w:ind w:left="1680"/>
        <w:spacing w:after="0"/>
        <w:rPr>
          <w:sz w:val="20"/>
          <w:szCs w:val="20"/>
          <w:color w:val="auto"/>
        </w:rPr>
      </w:pPr>
      <w:r>
        <w:rPr>
          <w:rFonts w:ascii="Times New Roman" w:cs="Times New Roman" w:eastAsia="Times New Roman" w:hAnsi="Times New Roman"/>
          <w:sz w:val="20"/>
          <w:szCs w:val="20"/>
          <w:color w:val="auto"/>
        </w:rPr>
        <w:t>Interests entitle the holder thereof to vote for directors or any other matter,</w:t>
      </w:r>
    </w:p>
    <w:p>
      <w:pPr>
        <w:ind w:left="1680"/>
        <w:spacing w:after="0"/>
        <w:rPr>
          <w:sz w:val="20"/>
          <w:szCs w:val="20"/>
          <w:color w:val="auto"/>
        </w:rPr>
      </w:pPr>
      <w:r>
        <w:rPr>
          <w:rFonts w:ascii="Times New Roman" w:cs="Times New Roman" w:eastAsia="Times New Roman" w:hAnsi="Times New Roman"/>
          <w:sz w:val="20"/>
          <w:szCs w:val="20"/>
          <w:color w:val="auto"/>
        </w:rPr>
        <w:t>(b)nonassignable licenses or contracts, including without limitation any licenses described in</w:t>
      </w:r>
    </w:p>
    <w:p>
      <w:pPr>
        <w:jc w:val="both"/>
        <w:ind w:left="1900"/>
        <w:spacing w:after="0" w:line="237" w:lineRule="auto"/>
        <w:rPr>
          <w:sz w:val="20"/>
          <w:szCs w:val="20"/>
          <w:color w:val="auto"/>
        </w:rPr>
      </w:pPr>
      <w:r>
        <w:rPr>
          <w:rFonts w:ascii="Times New Roman" w:cs="Times New Roman" w:eastAsia="Times New Roman" w:hAnsi="Times New Roman"/>
          <w:sz w:val="20"/>
          <w:szCs w:val="20"/>
          <w:color w:val="auto"/>
        </w:rPr>
        <w:t>clause (b) of the defined term “Permitted Transfers”, which by their terms require the consent of the licensor thereof or another party (but only to the extent such prohibition on transfer is enforceable under applicable law, including, without limitation, Sections 9406, 9407 and 9408 of the UCC), provided further, that upon the termination of such prohibition or such consent being provided with respect to any license or contract, such license or contract shall automatically be included in the Collateral, (c) property for which the granting of a security interest therein is contrary to applicable law, provided that upon the cessation of any such restriction or prohibition, such property shall automatically be included in the Collateral; (d) any Excluded Accounts; (e) any cash collateral deposit subject to a Permitted Lien hereunder, if the grant of a security interest with respect to such property pursuant to this Agreement would be prohibited by the agreement creating such Permitted Lien or would otherwise constitute a default thereunder or create a right of termination a party thereto (other than Borrower), provided that upon the termination and release of such cash collateral, such property shall automatically be included in the Collateral; (f) any lease, license or other agreement and any property subject thereto on the Closing Date or on the date of the acquisition of such property (other than any property acquired by a Loan Party subject to any such contract or other agreement to the extent such contract or other agreement was incurred in contemplation of such acquisition) to the extent that a grant of a security interest therein to secure the Secured Obligations would violate or invalidate such lease, license, contract or agreement or create a right of termination in favor of any other party thereto (other than the Borrower, any other Loan Party or any Subsidiary) (but (A) only to the extent such prohibition is enforceable under applicable law and (B) other than to the extent that any such term would be rendered ineffective pursuant to Sections 9-406, 9-408 or 9-409 (or any other Section) of Article 9 of the UCC); (g) any assets as to which the Agent in its reasonable discretion shall determine that the costs and burdens of obtaining or perfecting a security interest therein substantially outweigh the benefit to the Lenders of the security afforded thereby (including, without limitation, vehicles or other assets subject to a certificate of title); (h) any “intent to use” trademarks at all times prior to the first use thereof, whether by the actual use thereof in commerce, the recording of a statement of use with the United States Patent and Trademark Office or otherwise, provided, that upon submission and acceptance by the United States Patent and Trademark Office of an amendment to allege use of an intent-to-use trademark application pursuant to 15 U.S.C. Section 1060(a) (or any successor provision) such intent-to-use application shall constitute Collateral, (i) the Revenue Interest Collateral, and (j) any other assets as may be agreed by the Agent in writing in its sole discretion to be excluded from Collateral.</w:t>
      </w:r>
    </w:p>
    <w:p>
      <w:pPr>
        <w:spacing w:after="0" w:line="199" w:lineRule="exact"/>
        <w:rPr>
          <w:sz w:val="20"/>
          <w:szCs w:val="20"/>
          <w:color w:val="auto"/>
        </w:rPr>
      </w:pPr>
    </w:p>
    <w:p>
      <w:pPr>
        <w:ind w:left="180" w:firstLine="1495"/>
        <w:spacing w:after="0" w:line="269" w:lineRule="auto"/>
        <w:tabs>
          <w:tab w:leader="none" w:pos="23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Section 7.4 of the Loan Agreement is hereby amended in its entirety and replaced with the following:</w:t>
      </w:r>
    </w:p>
    <w:p>
      <w:pPr>
        <w:spacing w:after="0" w:line="159" w:lineRule="exact"/>
        <w:rPr>
          <w:sz w:val="20"/>
          <w:szCs w:val="20"/>
          <w:color w:val="auto"/>
        </w:rPr>
      </w:pPr>
    </w:p>
    <w:p>
      <w:pPr>
        <w:jc w:val="both"/>
        <w:ind w:left="1680" w:right="20"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7.4 Indebtedness</w:t>
      </w:r>
      <w:r>
        <w:rPr>
          <w:rFonts w:ascii="Times New Roman" w:cs="Times New Roman" w:eastAsia="Times New Roman" w:hAnsi="Times New Roman"/>
          <w:sz w:val="20"/>
          <w:szCs w:val="20"/>
          <w:color w:val="auto"/>
        </w:rPr>
        <w:t>. Borrower shall not create, incur, assume, guarantee or be or remain liable with respect to any Indebtedness, and shall not permit any Subsidiary to do so, other than Permitted Indebtedness, or prepay any Indebtedness or take any actions which impose on Borrower an obligation to prepay any Indebtedness, except (a) for the conversion of Indebtedness into equity securities and the payment of cash in lieu of fractional shares in connection with such conversion, (b) for purchase money Indebtedness pursuant to its then applicable payment schedule or with other purchase money</w:t>
      </w:r>
    </w:p>
    <w:p>
      <w:pPr>
        <w:spacing w:after="0" w:line="17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4" w:name="page115"/>
    <w:bookmarkEnd w:id="114"/>
    <w:p>
      <w:pPr>
        <w:jc w:val="both"/>
        <w:ind w:left="1680" w:right="20"/>
        <w:spacing w:after="0" w:line="241" w:lineRule="auto"/>
        <w:rPr>
          <w:sz w:val="20"/>
          <w:szCs w:val="20"/>
          <w:color w:val="auto"/>
        </w:rPr>
      </w:pPr>
      <w:r>
        <w:rPr>
          <w:rFonts w:ascii="Times New Roman" w:cs="Times New Roman" w:eastAsia="Times New Roman" w:hAnsi="Times New Roman"/>
          <w:sz w:val="20"/>
          <w:szCs w:val="20"/>
          <w:color w:val="auto"/>
        </w:rPr>
        <w:t>Indebtedness permitted hereunder, (c) for prepayment (i) by any Loan Party or Subsidiary of intercompany Indebtedness owed to Borrower, or (ii) by any Subsidiary that is not a Loan Party of intercompany Indebtedness owed by such Subsidiary to another Subsidiary that is not a Loan Party, or (d) as may be permitted under any Subordination Agreement,</w:t>
      </w:r>
    </w:p>
    <w:p>
      <w:pPr>
        <w:spacing w:after="0" w:line="3" w:lineRule="exact"/>
        <w:rPr>
          <w:sz w:val="20"/>
          <w:szCs w:val="20"/>
          <w:color w:val="auto"/>
        </w:rPr>
      </w:pPr>
    </w:p>
    <w:p>
      <w:pPr>
        <w:jc w:val="both"/>
        <w:ind w:left="1680" w:right="20" w:hanging="5"/>
        <w:spacing w:after="0" w:line="242" w:lineRule="auto"/>
        <w:tabs>
          <w:tab w:leader="none" w:pos="202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otherwise permitted hereunder or approved in writing by Agent, (f) Permitted Indebtedness with the proceeds of other Permitted Indebtedness, and (g) in compliance with Section 7.23.</w:t>
      </w:r>
    </w:p>
    <w:p>
      <w:pPr>
        <w:spacing w:after="0" w:line="173" w:lineRule="exact"/>
        <w:rPr>
          <w:sz w:val="20"/>
          <w:szCs w:val="20"/>
          <w:color w:val="auto"/>
        </w:rPr>
      </w:pPr>
    </w:p>
    <w:p>
      <w:pPr>
        <w:jc w:val="both"/>
        <w:ind w:left="1680"/>
        <w:spacing w:after="0" w:line="23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Debt upon satisfaction of a condition related to the stock price of Borrower’s common stock), settlement or early termination or cancellation of (whether in whole or in part and including by netting or set- off) (in each case, whether in cash, common stock of Borrower or, following a merger event or other change of the common stock of Borrower, other securities or property), or the satisfaction of any condition that would permit or require any of the foregoing, any Permitted Convertible Debt shall not constitute a prepayment of Indebtedness by Borrower for the purposes of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provided that principal payments in cash (other than cash in lieu of fractional shares) shall only be allowed with respect to any repurchase in connection with the redemption of Permitted Convertible Debt upon satisfaction of a condition related to the stock price of Borrower’s common stock if the Redemption Conditions are satisfied in respect of such redemption and at all times after such redemption.</w:t>
      </w:r>
    </w:p>
    <w:p>
      <w:pPr>
        <w:spacing w:after="0" w:line="196" w:lineRule="exact"/>
        <w:rPr>
          <w:sz w:val="20"/>
          <w:szCs w:val="20"/>
          <w:color w:val="auto"/>
        </w:rPr>
      </w:pPr>
    </w:p>
    <w:p>
      <w:pPr>
        <w:ind w:left="180" w:right="260" w:firstLine="1495"/>
        <w:spacing w:after="0" w:line="269" w:lineRule="auto"/>
        <w:tabs>
          <w:tab w:leader="none" w:pos="23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Section 7.5 of the Loan Agreement is hereby amended in its entirety and replaced with the following:</w:t>
      </w:r>
    </w:p>
    <w:p>
      <w:pPr>
        <w:spacing w:after="0" w:line="159" w:lineRule="exact"/>
        <w:rPr>
          <w:sz w:val="20"/>
          <w:szCs w:val="20"/>
          <w:color w:val="auto"/>
        </w:rPr>
      </w:pPr>
    </w:p>
    <w:p>
      <w:pPr>
        <w:jc w:val="both"/>
        <w:ind w:left="1680" w:firstLine="749"/>
        <w:spacing w:after="0" w:line="238" w:lineRule="auto"/>
        <w:rPr>
          <w:sz w:val="20"/>
          <w:szCs w:val="20"/>
          <w:color w:val="auto"/>
        </w:rPr>
      </w:pPr>
      <w:r>
        <w:rPr>
          <w:rFonts w:ascii="Times New Roman" w:cs="Times New Roman" w:eastAsia="Times New Roman" w:hAnsi="Times New Roman"/>
          <w:sz w:val="20"/>
          <w:szCs w:val="20"/>
          <w:u w:val="single" w:color="auto"/>
          <w:color w:val="auto"/>
        </w:rPr>
        <w:t>7.5 Collateral</w:t>
      </w:r>
      <w:r>
        <w:rPr>
          <w:rFonts w:ascii="Times New Roman" w:cs="Times New Roman" w:eastAsia="Times New Roman" w:hAnsi="Times New Roman"/>
          <w:sz w:val="20"/>
          <w:szCs w:val="20"/>
          <w:color w:val="auto"/>
        </w:rPr>
        <w:t>. Borrower shall at all times keep the Collateral and all other property and assets used in Borrower’s business or in which Borrower now or hereafter holds any interest free and clear from Liens whatsoever (except for Permitted Liens), and shall give Agent prompt written notice of any legal process that is reasonably likely to result in damages, expenses or liabilities in excess of $1,000,000 affecting the Collateral, the Intellectual Property, such other property or assets, or any Liens thereon, provided however, that the Collateral and such other property and assets may be subject to Permitted Liens. Borrower shall not agree with any Person other than Agent or Lenders not to encumber its property other than in connection with Permitted Liens. Borrower shall not enter into or suffer to exist or become effective any agreement that prohibits or limits the ability of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w:t>
      </w:r>
    </w:p>
    <w:p>
      <w:pPr>
        <w:spacing w:after="0" w:line="5" w:lineRule="exact"/>
        <w:rPr>
          <w:sz w:val="20"/>
          <w:szCs w:val="20"/>
          <w:color w:val="auto"/>
        </w:rPr>
      </w:pPr>
    </w:p>
    <w:p>
      <w:pPr>
        <w:ind w:left="1680" w:right="20" w:hanging="5"/>
        <w:spacing w:after="0" w:line="252" w:lineRule="auto"/>
        <w:tabs>
          <w:tab w:leader="none" w:pos="199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restrictions on the assignment of leases, licenses and other agreements and (d)pursuant to the RIF Agreement. Borrower shall cause each of its Subsidiaries to protect and</w:t>
      </w:r>
    </w:p>
    <w:p>
      <w:pPr>
        <w:jc w:val="both"/>
        <w:ind w:left="1900" w:right="20"/>
        <w:spacing w:after="0" w:line="23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defend such Subsidiary’s title to its assets from and against all Persons claiming any interest adverse to such Subsidiary, and Borrower shall cause each of its Subsidiaries at all times to keep such Subsidiary’s property and assets free and clear from Liens whatsoever (except for Permitted Liens), and shall give Agent prompt written notice of any legal</w:t>
      </w:r>
    </w:p>
    <w:p>
      <w:pPr>
        <w:spacing w:after="0" w:line="1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5" w:name="page116"/>
    <w:bookmarkEnd w:id="115"/>
    <w:p>
      <w:pPr>
        <w:ind w:left="1680" w:right="600"/>
        <w:spacing w:after="0" w:line="255" w:lineRule="auto"/>
        <w:rPr>
          <w:sz w:val="20"/>
          <w:szCs w:val="20"/>
          <w:color w:val="auto"/>
        </w:rPr>
      </w:pPr>
      <w:r>
        <w:rPr>
          <w:rFonts w:ascii="Times New Roman" w:cs="Times New Roman" w:eastAsia="Times New Roman" w:hAnsi="Times New Roman"/>
          <w:sz w:val="20"/>
          <w:szCs w:val="20"/>
          <w:color w:val="auto"/>
        </w:rPr>
        <w:t>process that is reasonably likely to result in damages, expenses or liabilities in excess of $500,000.</w:t>
      </w:r>
    </w:p>
    <w:p>
      <w:pPr>
        <w:spacing w:after="0" w:line="173" w:lineRule="exact"/>
        <w:rPr>
          <w:sz w:val="20"/>
          <w:szCs w:val="20"/>
          <w:color w:val="auto"/>
        </w:rPr>
      </w:pPr>
    </w:p>
    <w:p>
      <w:pPr>
        <w:ind w:left="180" w:right="520" w:firstLine="1495"/>
        <w:spacing w:after="0" w:line="269" w:lineRule="auto"/>
        <w:tabs>
          <w:tab w:leader="none" w:pos="23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Deposit Accounts.</w:t>
      </w:r>
      <w:r>
        <w:rPr>
          <w:rFonts w:ascii="Times New Roman" w:cs="Times New Roman" w:eastAsia="Times New Roman" w:hAnsi="Times New Roman"/>
          <w:sz w:val="20"/>
          <w:szCs w:val="20"/>
          <w:color w:val="auto"/>
        </w:rPr>
        <w:t xml:space="preserve"> Section 7.12 of the Loan Agreement is hereby amended in its entirety and replaced with the following:</w:t>
      </w:r>
    </w:p>
    <w:p>
      <w:pPr>
        <w:spacing w:after="0" w:line="159" w:lineRule="exact"/>
        <w:rPr>
          <w:sz w:val="20"/>
          <w:szCs w:val="20"/>
          <w:color w:val="auto"/>
        </w:rPr>
      </w:pPr>
    </w:p>
    <w:p>
      <w:pPr>
        <w:jc w:val="both"/>
        <w:ind w:left="1680" w:firstLine="749"/>
        <w:spacing w:after="0" w:line="239"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Deposit Accounts</w:t>
      </w:r>
      <w:r>
        <w:rPr>
          <w:rFonts w:ascii="Times New Roman" w:cs="Times New Roman" w:eastAsia="Times New Roman" w:hAnsi="Times New Roman"/>
          <w:sz w:val="20"/>
          <w:szCs w:val="20"/>
          <w:color w:val="auto"/>
        </w:rPr>
        <w:t>. Other than Excluded Accounts, neither Borrower nor any Subsidiary (other than an Excluded Subsidiary) shall maintain any Deposit Accounts, or accounts holding Investment Property, except with respect to which Agent has an Account Control Agreement. Borrower shall at all times (a) maintain the RIF Collateral Account in accordance with the applicable terms of the RIF Agreement in all material respects, (b) ensure that any deposits into and withdrawals from the RIF Collateral Account are made for no purpose other than to comply with its requirements under Section 2.7 of the RIF Agreement in amounts not to exceed what is required under Article 2 of the RIF Agreement, and (c) ensure that each Compliance Certificate shall set out (i) the balance of the RIF Collateral Account as of the final day of the month ended immediately prior to the date of such Compliance Certificate, and (ii) a transaction report including all deposits into and withdrawals from the RIF Collateral Account, if any, for the month ended immediately prior to the date of such Compliance Certificate.</w:t>
      </w:r>
    </w:p>
    <w:p>
      <w:pPr>
        <w:spacing w:after="0" w:line="195" w:lineRule="exact"/>
        <w:rPr>
          <w:sz w:val="20"/>
          <w:szCs w:val="20"/>
          <w:color w:val="auto"/>
        </w:rPr>
      </w:pPr>
    </w:p>
    <w:p>
      <w:pPr>
        <w:ind w:left="180" w:right="200" w:firstLine="1495"/>
        <w:spacing w:after="0" w:line="269" w:lineRule="auto"/>
        <w:tabs>
          <w:tab w:leader="none" w:pos="23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RIF Agreement</w:t>
      </w:r>
      <w:r>
        <w:rPr>
          <w:rFonts w:ascii="Times New Roman" w:cs="Times New Roman" w:eastAsia="Times New Roman" w:hAnsi="Times New Roman"/>
          <w:sz w:val="20"/>
          <w:szCs w:val="20"/>
          <w:color w:val="auto"/>
        </w:rPr>
        <w:t>. The following new Section 7.23 is inserted in Section 7 of the Loan Agreement immediately following Section 7.22:</w:t>
      </w:r>
    </w:p>
    <w:p>
      <w:pPr>
        <w:spacing w:after="0" w:line="146" w:lineRule="exact"/>
        <w:rPr>
          <w:sz w:val="20"/>
          <w:szCs w:val="20"/>
          <w:color w:val="auto"/>
        </w:rPr>
      </w:pPr>
    </w:p>
    <w:p>
      <w:pPr>
        <w:jc w:val="both"/>
        <w:ind w:left="1680" w:firstLine="749"/>
        <w:spacing w:after="0" w:line="239" w:lineRule="auto"/>
        <w:rPr>
          <w:sz w:val="20"/>
          <w:szCs w:val="20"/>
          <w:color w:val="auto"/>
        </w:rPr>
      </w:pPr>
      <w:r>
        <w:rPr>
          <w:rFonts w:ascii="Times New Roman" w:cs="Times New Roman" w:eastAsia="Times New Roman" w:hAnsi="Times New Roman"/>
          <w:sz w:val="20"/>
          <w:szCs w:val="20"/>
          <w:color w:val="auto"/>
        </w:rPr>
        <w:t xml:space="preserve">7.23 </w:t>
      </w:r>
      <w:r>
        <w:rPr>
          <w:rFonts w:ascii="Times New Roman" w:cs="Times New Roman" w:eastAsia="Times New Roman" w:hAnsi="Times New Roman"/>
          <w:sz w:val="20"/>
          <w:szCs w:val="20"/>
          <w:u w:val="single" w:color="auto"/>
          <w:color w:val="auto"/>
        </w:rPr>
        <w:t>RIF Agreement</w:t>
      </w:r>
      <w:r>
        <w:rPr>
          <w:rFonts w:ascii="Times New Roman" w:cs="Times New Roman" w:eastAsia="Times New Roman" w:hAnsi="Times New Roman"/>
          <w:sz w:val="20"/>
          <w:szCs w:val="20"/>
          <w:color w:val="auto"/>
        </w:rPr>
        <w:t>. Borrower shall (a) not, without the consent of Agent, make any payment under the RIF Agreement other than (i) the Royalty Payments pursuant to Section 2.2 of the RIF Agreement, (ii) the True Up Payments (as defined in the RIF Agreement) pursuant to Section 2.3(a) and 2.3(b) of the RIF Agreement, (iii) costs and expenses pursuant to Section 9.3 of the RIF Agreement, and (iv) subject to the following proviso, other payments due to the Investors under the RIF Agreement (whether or not initially to the RIF Collateral Account); provided, however, that (a) Borrower may not, without the written consent of the Agent, make any payment under the RIF Agreement (x) if an Event of Default exists under the Loan Agreement immediately prior to such payment or would result immediately after giving effect to such payment, (y) constituting the payment of any Pre-Regulatory Milestone Change of Control Price or Post-Regulatory Milestone Change of Control Price or (z) pursuant to Section 2.3(c) of the RIF Agreement, in the case of each of clause (x), (y) or (z), until such time as the Secured Obligations (other than contingent indemnity obligations) are fully paid, and the Lenders have no commitment or obligation to lend any further funds to Borrower under this Agreement, and (b) give prompt written notice to the Agent of any amendment, modification, waiver or termination of the RIF Agreement.</w:t>
      </w:r>
    </w:p>
    <w:p>
      <w:pPr>
        <w:spacing w:after="0" w:line="197" w:lineRule="exact"/>
        <w:rPr>
          <w:sz w:val="20"/>
          <w:szCs w:val="20"/>
          <w:color w:val="auto"/>
        </w:rPr>
      </w:pPr>
    </w:p>
    <w:p>
      <w:pPr>
        <w:ind w:left="180" w:right="600" w:firstLine="1495"/>
        <w:spacing w:after="0" w:line="269" w:lineRule="auto"/>
        <w:tabs>
          <w:tab w:leader="none" w:pos="235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Other Obligations</w:t>
      </w:r>
      <w:r>
        <w:rPr>
          <w:rFonts w:ascii="Times New Roman" w:cs="Times New Roman" w:eastAsia="Times New Roman" w:hAnsi="Times New Roman"/>
          <w:sz w:val="20"/>
          <w:szCs w:val="20"/>
          <w:color w:val="auto"/>
        </w:rPr>
        <w:t>. Section 9.7 of the Loan Agreement is hereby amended in its entirety and replaced with the following:</w:t>
      </w:r>
    </w:p>
    <w:p>
      <w:pPr>
        <w:spacing w:after="0" w:line="15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Other Obligations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ind w:left="1900" w:right="720" w:hanging="219"/>
        <w:spacing w:after="0" w:line="255" w:lineRule="auto"/>
        <w:rPr>
          <w:sz w:val="20"/>
          <w:szCs w:val="20"/>
          <w:color w:val="auto"/>
        </w:rPr>
      </w:pPr>
      <w:r>
        <w:rPr>
          <w:rFonts w:ascii="Times New Roman" w:cs="Times New Roman" w:eastAsia="Times New Roman" w:hAnsi="Times New Roman"/>
          <w:sz w:val="20"/>
          <w:szCs w:val="20"/>
          <w:color w:val="auto"/>
        </w:rPr>
        <w:t>(a)The occurrence of any default under any agreement or obligation of any Loan Party involving any Indebtedness in excess of $2,000,000;</w:t>
      </w:r>
    </w:p>
    <w:p>
      <w:pPr>
        <w:spacing w:after="0" w:line="1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20"/>
          <w:szCs w:val="20"/>
          <w:color w:val="auto"/>
        </w:rPr>
        <w:t>(b)Any early payment is required or unwinding or termination occurs with respect to any</w:t>
      </w:r>
    </w:p>
    <w:p>
      <w:pPr>
        <w:spacing w:after="0" w:line="22" w:lineRule="exact"/>
        <w:rPr>
          <w:sz w:val="20"/>
          <w:szCs w:val="20"/>
          <w:color w:val="auto"/>
        </w:rPr>
      </w:pPr>
    </w:p>
    <w:p>
      <w:pPr>
        <w:jc w:val="center"/>
        <w:ind w:right="-1179"/>
        <w:spacing w:after="0"/>
        <w:rPr>
          <w:sz w:val="20"/>
          <w:szCs w:val="20"/>
          <w:color w:val="auto"/>
        </w:rPr>
      </w:pPr>
      <w:r>
        <w:rPr>
          <w:rFonts w:ascii="Times New Roman" w:cs="Times New Roman" w:eastAsia="Times New Roman" w:hAnsi="Times New Roman"/>
          <w:sz w:val="20"/>
          <w:szCs w:val="20"/>
          <w:color w:val="auto"/>
        </w:rPr>
        <w:t>Warrant, Permitted Bond Hedge Transaction and Permitted Warrant Transaction, or</w:t>
      </w:r>
    </w:p>
    <w:p>
      <w:pPr>
        <w:spacing w:after="0" w:line="1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6" w:name="page117"/>
    <w:bookmarkEnd w:id="116"/>
    <w:p>
      <w:pPr>
        <w:ind w:left="1680" w:right="100"/>
        <w:spacing w:after="0" w:line="243" w:lineRule="auto"/>
        <w:rPr>
          <w:sz w:val="20"/>
          <w:szCs w:val="20"/>
          <w:color w:val="auto"/>
        </w:rPr>
      </w:pPr>
      <w:r>
        <w:rPr>
          <w:rFonts w:ascii="Times New Roman" w:cs="Times New Roman" w:eastAsia="Times New Roman" w:hAnsi="Times New Roman"/>
          <w:sz w:val="20"/>
          <w:szCs w:val="20"/>
          <w:color w:val="auto"/>
        </w:rPr>
        <w:t>any condition giving rise to the foregoing is met, in each case, with respect to which Borrower or its Affiliates is the “defaulting party” under the terms of such Warrant,</w:t>
      </w:r>
    </w:p>
    <w:p>
      <w:pPr>
        <w:spacing w:after="0" w:line="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Permitted Bond Hedge Transaction or Permitted Warrant Transaction; or</w:t>
      </w:r>
    </w:p>
    <w:p>
      <w:pPr>
        <w:spacing w:after="0" w:line="194" w:lineRule="exact"/>
        <w:rPr>
          <w:sz w:val="20"/>
          <w:szCs w:val="20"/>
          <w:color w:val="auto"/>
        </w:rPr>
      </w:pPr>
    </w:p>
    <w:p>
      <w:pPr>
        <w:ind w:left="2420" w:hanging="745"/>
        <w:spacing w:after="0"/>
        <w:tabs>
          <w:tab w:leader="none" w:pos="24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of Default” (as defined in the RIF Agreement).</w:t>
      </w:r>
    </w:p>
    <w:p>
      <w:pPr>
        <w:spacing w:after="0" w:line="297" w:lineRule="exact"/>
        <w:rPr>
          <w:sz w:val="20"/>
          <w:szCs w:val="20"/>
          <w:color w:val="auto"/>
        </w:rPr>
      </w:pPr>
    </w:p>
    <w:p>
      <w:pPr>
        <w:ind w:left="2420" w:hanging="745"/>
        <w:spacing w:after="0"/>
        <w:tabs>
          <w:tab w:leader="none" w:pos="24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to the Loan Agreement is hereby replaced with </w:t>
      </w:r>
      <w:r>
        <w:rPr>
          <w:rFonts w:ascii="Times New Roman" w:cs="Times New Roman" w:eastAsia="Times New Roman" w:hAnsi="Times New Roman"/>
          <w:sz w:val="20"/>
          <w:szCs w:val="20"/>
          <w:u w:val="single" w:color="auto"/>
          <w:color w:val="auto"/>
        </w:rPr>
        <w:t>Schedule 1.1(a)</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attached hereto:</w:t>
      </w:r>
    </w:p>
    <w:p>
      <w:pPr>
        <w:spacing w:after="0" w:line="271" w:lineRule="exact"/>
        <w:rPr>
          <w:sz w:val="20"/>
          <w:szCs w:val="20"/>
          <w:color w:val="auto"/>
        </w:rPr>
      </w:pPr>
    </w:p>
    <w:p>
      <w:pPr>
        <w:jc w:val="both"/>
        <w:ind w:left="180" w:firstLine="746"/>
        <w:spacing w:after="0" w:line="256" w:lineRule="auto"/>
        <w:tabs>
          <w:tab w:leader="none" w:pos="12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References Within Loan Agreement</w:t>
      </w:r>
      <w:r>
        <w:rPr>
          <w:rFonts w:ascii="Times New Roman" w:cs="Times New Roman" w:eastAsia="Times New Roman" w:hAnsi="Times New Roman"/>
          <w:sz w:val="20"/>
          <w:szCs w:val="20"/>
          <w:color w:val="auto"/>
        </w:rPr>
        <w:t>. Each reference in the Loan Agreement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words “hereof,” “herein,” “hereunder”, or words of like import, shall mean and be a reference to the Loan Agreement as amended by this Amendment. This Amendment shall be a Loan Document.</w:t>
      </w:r>
    </w:p>
    <w:p>
      <w:pPr>
        <w:spacing w:after="0" w:line="155" w:lineRule="exact"/>
        <w:rPr>
          <w:sz w:val="20"/>
          <w:szCs w:val="20"/>
          <w:color w:val="auto"/>
        </w:rPr>
      </w:pPr>
    </w:p>
    <w:p>
      <w:pPr>
        <w:jc w:val="both"/>
        <w:ind w:left="180" w:right="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9"/>
          <w:szCs w:val="19"/>
          <w:b w:val="1"/>
          <w:bCs w:val="1"/>
          <w:color w:val="auto"/>
        </w:rPr>
        <w:t>Conditions of Effectiveness</w:t>
      </w:r>
      <w:r>
        <w:rPr>
          <w:rFonts w:ascii="Times New Roman" w:cs="Times New Roman" w:eastAsia="Times New Roman" w:hAnsi="Times New Roman"/>
          <w:sz w:val="19"/>
          <w:szCs w:val="19"/>
          <w:color w:val="auto"/>
        </w:rPr>
        <w:t>. The effectiveness of this Amendment (the “</w:t>
      </w:r>
      <w:r>
        <w:rPr>
          <w:rFonts w:ascii="Times New Roman" w:cs="Times New Roman" w:eastAsia="Times New Roman" w:hAnsi="Times New Roman"/>
          <w:sz w:val="19"/>
          <w:szCs w:val="19"/>
          <w:u w:val="single" w:color="auto"/>
          <w:color w:val="auto"/>
        </w:rPr>
        <w:t>First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shall be subject to Agent’s receipt of the following documents, in form and substance satisfactory to Agent, or, as applicable, the following conditions being met:</w:t>
      </w:r>
    </w:p>
    <w:p>
      <w:pPr>
        <w:spacing w:after="0" w:line="155" w:lineRule="exact"/>
        <w:rPr>
          <w:sz w:val="20"/>
          <w:szCs w:val="20"/>
          <w:color w:val="auto"/>
        </w:rPr>
      </w:pPr>
    </w:p>
    <w:p>
      <w:pPr>
        <w:ind w:left="1680" w:hanging="754"/>
        <w:spacing w:after="0"/>
        <w:tabs>
          <w:tab w:leader="none" w:pos="1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executed by Agent, each Lender and Borrower;</w:t>
      </w:r>
    </w:p>
    <w:p>
      <w:pPr>
        <w:spacing w:after="0" w:line="202" w:lineRule="exact"/>
        <w:rPr>
          <w:rFonts w:ascii="Times New Roman" w:cs="Times New Roman" w:eastAsia="Times New Roman" w:hAnsi="Times New Roman"/>
          <w:sz w:val="18"/>
          <w:szCs w:val="18"/>
          <w:color w:val="auto"/>
        </w:rPr>
      </w:pPr>
    </w:p>
    <w:p>
      <w:pPr>
        <w:ind w:left="1720" w:hanging="794"/>
        <w:spacing w:after="0"/>
        <w:tabs>
          <w:tab w:leader="none" w:pos="1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duly executed signatures to a Warrant issued by Phathom Pharmaceuticals, Inc. in favor of</w:t>
      </w:r>
    </w:p>
    <w:p>
      <w:pPr>
        <w:spacing w:after="0" w:line="2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Incoming Lender;</w:t>
      </w:r>
    </w:p>
    <w:p>
      <w:pPr>
        <w:spacing w:after="0" w:line="193" w:lineRule="exact"/>
        <w:rPr>
          <w:rFonts w:ascii="Times New Roman" w:cs="Times New Roman" w:eastAsia="Times New Roman" w:hAnsi="Times New Roman"/>
          <w:sz w:val="18"/>
          <w:szCs w:val="18"/>
          <w:color w:val="auto"/>
        </w:rPr>
      </w:pPr>
    </w:p>
    <w:p>
      <w:pPr>
        <w:ind w:left="180" w:right="20" w:firstLine="746"/>
        <w:spacing w:after="0" w:line="269" w:lineRule="auto"/>
        <w:tabs>
          <w:tab w:leader="none" w:pos="17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duly executed signatures to a Warrant issued by Phathom Pharmaceuticals, Inc. in favor of Hercules Private Credit Fund 1 L.P.;</w:t>
      </w:r>
    </w:p>
    <w:p>
      <w:pPr>
        <w:spacing w:after="0" w:line="159" w:lineRule="exact"/>
        <w:rPr>
          <w:rFonts w:ascii="Times New Roman" w:cs="Times New Roman" w:eastAsia="Times New Roman" w:hAnsi="Times New Roman"/>
          <w:sz w:val="18"/>
          <w:szCs w:val="18"/>
          <w:color w:val="auto"/>
        </w:rPr>
      </w:pPr>
    </w:p>
    <w:p>
      <w:pPr>
        <w:jc w:val="both"/>
        <w:ind w:left="180" w:right="20" w:firstLine="746"/>
        <w:spacing w:after="0" w:line="247" w:lineRule="auto"/>
        <w:tabs>
          <w:tab w:leader="none" w:pos="17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shall have paid (i) all invoiced costs and expenses then due in accordance with Section 8(d), and (ii) all other fees, costs and expenses, if any, due and payable as of the date hereof under the Loan Agreement; and</w:t>
      </w:r>
    </w:p>
    <w:p>
      <w:pPr>
        <w:spacing w:after="0" w:line="167" w:lineRule="exact"/>
        <w:rPr>
          <w:rFonts w:ascii="Times New Roman" w:cs="Times New Roman" w:eastAsia="Times New Roman" w:hAnsi="Times New Roman"/>
          <w:sz w:val="18"/>
          <w:szCs w:val="18"/>
          <w:color w:val="auto"/>
        </w:rPr>
      </w:pPr>
    </w:p>
    <w:p>
      <w:pPr>
        <w:ind w:left="180" w:right="20" w:firstLine="746"/>
        <w:spacing w:after="0" w:line="269" w:lineRule="auto"/>
        <w:tabs>
          <w:tab w:leader="none" w:pos="17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the First Amendment Effective Date, immediately after giving effect to the amendment of the Loan Agreement contemplated hereby:</w:t>
      </w:r>
    </w:p>
    <w:p>
      <w:pPr>
        <w:spacing w:after="0" w:line="159" w:lineRule="exact"/>
        <w:rPr>
          <w:rFonts w:ascii="Times New Roman" w:cs="Times New Roman" w:eastAsia="Times New Roman" w:hAnsi="Times New Roman"/>
          <w:sz w:val="18"/>
          <w:szCs w:val="18"/>
          <w:color w:val="auto"/>
        </w:rPr>
      </w:pPr>
    </w:p>
    <w:p>
      <w:pPr>
        <w:ind w:left="180" w:right="100" w:firstLine="1495"/>
        <w:spacing w:after="0" w:line="269" w:lineRule="auto"/>
        <w:tabs>
          <w:tab w:leader="none" w:pos="235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representations and warranties contained in Section 5 shall be true and correct on and as of the First Amendment Effective Date as though made on and as of such date; and</w:t>
      </w:r>
    </w:p>
    <w:p>
      <w:pPr>
        <w:spacing w:after="0" w:line="159" w:lineRule="exact"/>
        <w:rPr>
          <w:rFonts w:ascii="Times New Roman" w:cs="Times New Roman" w:eastAsia="Times New Roman" w:hAnsi="Times New Roman"/>
          <w:sz w:val="18"/>
          <w:szCs w:val="18"/>
          <w:color w:val="auto"/>
        </w:rPr>
      </w:pPr>
    </w:p>
    <w:p>
      <w:pPr>
        <w:ind w:left="2360" w:hanging="685"/>
        <w:spacing w:after="0"/>
        <w:tabs>
          <w:tab w:leader="none" w:pos="23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exist no Events of Default or events that with the passage of time would result</w:t>
      </w:r>
    </w:p>
    <w:p>
      <w:pPr>
        <w:spacing w:after="0" w:line="2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an Event of Default.</w:t>
      </w:r>
    </w:p>
    <w:p>
      <w:pPr>
        <w:spacing w:after="0" w:line="176" w:lineRule="exact"/>
        <w:rPr>
          <w:sz w:val="20"/>
          <w:szCs w:val="20"/>
          <w:color w:val="auto"/>
        </w:rPr>
      </w:pPr>
    </w:p>
    <w:p>
      <w:pPr>
        <w:jc w:val="both"/>
        <w:ind w:left="180"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9"/>
          <w:szCs w:val="19"/>
          <w:b w:val="1"/>
          <w:bCs w:val="1"/>
          <w:color w:val="auto"/>
        </w:rPr>
        <w:t>Transfer of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Pursuant to Section 11.7 of the Loan Agreement: (a) Agent,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capacity as a Lender, has (i) prior to the date hereof, transferred certain Term Commitments to Hercules Private Credit Fund 1 L.P. and (ii) on the date hereof shall transfer certain Term Commitments to the Incoming Lender, in each case, the same which are reflected on Schedule 1.1(a), and (b) the Incoming Lender hereby confirms that, on and with effect from the date hereof, it will assume the rights and obligations as a “Lender” under the Loan Documents. No transfer fee shall be payable in respect of this Section. Each Existing Lender agrees that Agent will distribute to each Existing Lender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amount of any fees payable in respect of the Term Commitments set out opposite its name in Schedule 1.1 for the period from when such fee began to accrue until the date hereof. Incoming Lender agrees to the terms and conditions set forth on </w:t>
      </w:r>
      <w:r>
        <w:rPr>
          <w:rFonts w:ascii="Times New Roman" w:cs="Times New Roman" w:eastAsia="Times New Roman" w:hAnsi="Times New Roman"/>
          <w:sz w:val="19"/>
          <w:szCs w:val="19"/>
          <w:u w:val="single" w:color="auto"/>
          <w:color w:val="auto"/>
        </w:rPr>
        <w:t>Addendum 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Addendum 3</w:t>
      </w:r>
      <w:r>
        <w:rPr>
          <w:rFonts w:ascii="Times New Roman" w:cs="Times New Roman" w:eastAsia="Times New Roman" w:hAnsi="Times New Roman"/>
          <w:sz w:val="19"/>
          <w:szCs w:val="19"/>
          <w:color w:val="auto"/>
        </w:rPr>
        <w:t xml:space="preserve"> of the Loan Agreement.</w:t>
      </w:r>
    </w:p>
    <w:p>
      <w:pPr>
        <w:spacing w:after="0" w:line="39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7" w:name="page118"/>
    <w:bookmarkEnd w:id="117"/>
    <w:p>
      <w:pPr>
        <w:jc w:val="both"/>
        <w:ind w:left="18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To induce Agent and Lenders to enter into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Borrower hereby confirms, as of the date hereof, (a) that the representations and warranties made by it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w:t>
      </w:r>
      <w:r>
        <w:rPr>
          <w:rFonts w:ascii="Times New Roman" w:cs="Times New Roman" w:eastAsia="Times New Roman" w:hAnsi="Times New Roman"/>
          <w:sz w:val="19"/>
          <w:szCs w:val="19"/>
          <w:color w:val="auto"/>
        </w:rPr>
        <w:t xml:space="preserve"> of the Loan Agreement and in the other Loan Documents are true and correct in all material respects;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materiality qualifier shall not be applicable to any representations and warranties that already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are qualified or modified by materiality in the text thereof;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to the extent such representations and warranties by their terms expressly relate only to a prior date such representations and warranties shall be true and correct as of such prior date, and (a) that no Event of Default has occurred and is continuing; (b) that there has not been and there does not exist a Material Adverse Effect; (c) Lenders have and shall continue to have valid, enforceable and perfected first-priority liens, subject only to Permitted Liens, on and security interests in the Collateral and all other collateral heretofore granted by Borrower to Lenders (subject to the release of the security interest in and lien on the Revenue Interest Collateral in Section 7 of this Amendment below), pursuant to the Loan Documents or otherwise granted to or held by Lenders;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each reference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of the Loan Agreement to “this Agreement,” and the words “hereof”, “herein”, “hereunder”, or words of like import in such Section, shall mean and be a reference to the Loan Agreement as amended by this Amendment.</w:t>
      </w:r>
    </w:p>
    <w:p>
      <w:pPr>
        <w:spacing w:after="0" w:line="200" w:lineRule="exact"/>
        <w:rPr>
          <w:sz w:val="20"/>
          <w:szCs w:val="20"/>
          <w:color w:val="auto"/>
        </w:rPr>
      </w:pPr>
    </w:p>
    <w:p>
      <w:pPr>
        <w:spacing w:after="0" w:line="213"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9"/>
          <w:szCs w:val="19"/>
          <w:b w:val="1"/>
          <w:bCs w:val="1"/>
          <w:color w:val="auto"/>
        </w:rPr>
        <w:t>Release of Security Interests in Revenue Interest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Notwithstanding anything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contrary contained herein or otherwise, effective immediately upon the entry into the RIF Agreement, without further action on the part of the parties hereto all security interests and other liens of every type at any time granted to or held by the Agent for the benefit of the Lenders with respect to the Revenue Interest Collateral as security for the obligations under the Loan Agreement and any other Loan Documents shall be automatically terminated and automatically released without further action by any Lender or the Agent. In furtherance of the foregoing, the Agent and the Lenders, as applicable, agree to execute and deliver to the Borrower any and all documents, certificates, agreements or filings necessary to evidence the release of the Agent’s security interests in the Revenue Interest Collateral (such documents and filings to be prepared by the Borrower at Borrower’s sole expense), including the filing of any UCC-3 amendments to financing statements solely related to the release of the Revenue Interest Collateral.</w:t>
      </w:r>
    </w:p>
    <w:p>
      <w:pPr>
        <w:spacing w:after="0" w:line="392"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consideration of the agreements of Agent and each Lender contained herein and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good and valuable 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and individually as a “</w:t>
      </w:r>
      <w:r>
        <w:rPr>
          <w:rFonts w:ascii="Times New Roman" w:cs="Times New Roman" w:eastAsia="Times New Roman" w:hAnsi="Times New Roman"/>
          <w:sz w:val="19"/>
          <w:szCs w:val="19"/>
          <w:b w:val="1"/>
          <w:bCs w:val="1"/>
          <w:color w:val="auto"/>
        </w:rPr>
        <w:t>Releasee</w:t>
      </w:r>
      <w:r>
        <w:rPr>
          <w:rFonts w:ascii="Times New Roman" w:cs="Times New Roman" w:eastAsia="Times New Roman" w:hAnsi="Times New Roman"/>
          <w:sz w:val="19"/>
          <w:szCs w:val="19"/>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w:t>
      </w:r>
    </w:p>
    <w:p>
      <w:pPr>
        <w:spacing w:after="0" w:line="18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396" w:right="1219" w:bottom="1440" w:gutter="0" w:footer="0" w:header="0"/>
        </w:sectPr>
      </w:pPr>
    </w:p>
    <w:bookmarkStart w:id="118" w:name="page119"/>
    <w:bookmarkEnd w:id="118"/>
    <w:p>
      <w:pPr>
        <w:jc w:val="both"/>
        <w:ind w:left="180" w:right="20"/>
        <w:spacing w:after="0" w:line="256" w:lineRule="auto"/>
        <w:rPr>
          <w:sz w:val="20"/>
          <w:szCs w:val="20"/>
          <w:color w:val="auto"/>
        </w:rPr>
      </w:pPr>
      <w:r>
        <w:rPr>
          <w:rFonts w:ascii="Times New Roman" w:cs="Times New Roman" w:eastAsia="Times New Roman" w:hAnsi="Times New Roman"/>
          <w:sz w:val="19"/>
          <w:szCs w:val="19"/>
          <w:color w:val="auto"/>
        </w:rPr>
        <w:t>or prior to the day and date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9"/>
          <w:szCs w:val="19"/>
          <w:b w:val="1"/>
          <w:bCs w:val="1"/>
          <w:color w:val="auto"/>
        </w:rPr>
        <w:t>Miscellaneous.</w:t>
      </w:r>
    </w:p>
    <w:p>
      <w:pPr>
        <w:spacing w:after="0" w:line="227" w:lineRule="exact"/>
        <w:rPr>
          <w:sz w:val="20"/>
          <w:szCs w:val="20"/>
          <w:color w:val="auto"/>
        </w:rPr>
      </w:pPr>
    </w:p>
    <w:p>
      <w:pPr>
        <w:ind w:left="1680" w:hanging="754"/>
        <w:spacing w:after="0"/>
        <w:tabs>
          <w:tab w:leader="none" w:pos="1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Loan Documents Otherwise Not Affected; Reaffirmation; No Novation</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18"/>
          <w:szCs w:val="18"/>
          <w:color w:val="auto"/>
        </w:rPr>
      </w:pPr>
    </w:p>
    <w:p>
      <w:pPr>
        <w:jc w:val="both"/>
        <w:ind w:left="180" w:firstLine="1495"/>
        <w:spacing w:after="0" w:line="246" w:lineRule="auto"/>
        <w:tabs>
          <w:tab w:leader="none" w:pos="235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1" w:lineRule="exact"/>
        <w:rPr>
          <w:rFonts w:ascii="Times New Roman" w:cs="Times New Roman" w:eastAsia="Times New Roman" w:hAnsi="Times New Roman"/>
          <w:sz w:val="18"/>
          <w:szCs w:val="18"/>
          <w:color w:val="auto"/>
        </w:rPr>
      </w:pPr>
    </w:p>
    <w:p>
      <w:pPr>
        <w:jc w:val="both"/>
        <w:ind w:left="180" w:firstLine="1495"/>
        <w:spacing w:after="0" w:line="239" w:lineRule="auto"/>
        <w:tabs>
          <w:tab w:leader="none" w:pos="235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release of the security interest in and lien on the Revenue Interest Collateral in Section 7 of this Amendment above, Borrower hereby expressly (1) reaffirms, ratifies and confirms its Secured Obligations under the Loan Agreement and the other Loan Documents, (2) reaffirms, ratifies and confirms the grant of security under Section 3 of the Loan Agreement, (3) reaffirms that such grant of security in the Collateral secures all Secured Obligations under the Loan Agreement, including without limitation any Term Loan Advances funded on or after the First Amendment Effective Date, as of the date hereof, and with effect from (and including) the First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94" w:lineRule="exact"/>
        <w:rPr>
          <w:rFonts w:ascii="Times New Roman" w:cs="Times New Roman" w:eastAsia="Times New Roman" w:hAnsi="Times New Roman"/>
          <w:sz w:val="18"/>
          <w:szCs w:val="18"/>
          <w:color w:val="auto"/>
        </w:rPr>
      </w:pPr>
    </w:p>
    <w:p>
      <w:pPr>
        <w:jc w:val="both"/>
        <w:ind w:left="180" w:firstLine="1495"/>
        <w:spacing w:after="0" w:line="242" w:lineRule="auto"/>
        <w:tabs>
          <w:tab w:leader="none" w:pos="235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4" w:lineRule="exact"/>
        <w:rPr>
          <w:rFonts w:ascii="Times New Roman" w:cs="Times New Roman" w:eastAsia="Times New Roman" w:hAnsi="Times New Roman"/>
          <w:sz w:val="18"/>
          <w:szCs w:val="18"/>
          <w:color w:val="auto"/>
        </w:rPr>
      </w:pPr>
    </w:p>
    <w:p>
      <w:pPr>
        <w:jc w:val="both"/>
        <w:ind w:left="180" w:firstLine="746"/>
        <w:spacing w:after="0" w:line="244" w:lineRule="auto"/>
        <w:tabs>
          <w:tab w:leader="none" w:pos="17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each Lender that has signed this Amendment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spacing w:after="0" w:line="180" w:lineRule="exact"/>
        <w:rPr>
          <w:rFonts w:ascii="Times New Roman" w:cs="Times New Roman" w:eastAsia="Times New Roman" w:hAnsi="Times New Roman"/>
          <w:sz w:val="18"/>
          <w:szCs w:val="18"/>
          <w:color w:val="auto"/>
        </w:rPr>
      </w:pPr>
    </w:p>
    <w:p>
      <w:pPr>
        <w:jc w:val="both"/>
        <w:ind w:left="180" w:firstLine="746"/>
        <w:spacing w:after="0" w:line="250" w:lineRule="auto"/>
        <w:tabs>
          <w:tab w:leader="none" w:pos="173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Lenders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is executing this Amendment on the basis of its own investigation and for its own reasons without reliance upon any agreement, representation, understanding or communication by or on behalf of any other Person.</w:t>
      </w:r>
    </w:p>
    <w:p>
      <w:pPr>
        <w:spacing w:after="0" w:line="17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210185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400" w:right="1219" w:bottom="1440" w:gutter="0" w:footer="0" w:header="0"/>
        </w:sectPr>
      </w:pPr>
    </w:p>
    <w:bookmarkStart w:id="119" w:name="page120"/>
    <w:bookmarkEnd w:id="119"/>
    <w:p>
      <w:pPr>
        <w:jc w:val="both"/>
        <w:ind w:left="180" w:firstLine="746"/>
        <w:spacing w:after="0" w:line="244" w:lineRule="auto"/>
        <w:tabs>
          <w:tab w:leader="none" w:pos="173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out-of-pocket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costs and expenses of Agent and each Lender party hereto, and the fees and disbursements of counsel to Agent and each Lender party hereto (including allocated costs of internal counsel) in connection with the negotiation, preparation, execution and delivery of this Amendment and any other documents to be delivered in connection herewith on the date hereof.</w:t>
      </w:r>
    </w:p>
    <w:p>
      <w:pPr>
        <w:spacing w:after="0" w:line="180" w:lineRule="exact"/>
        <w:rPr>
          <w:rFonts w:ascii="Times New Roman" w:cs="Times New Roman" w:eastAsia="Times New Roman" w:hAnsi="Times New Roman"/>
          <w:sz w:val="18"/>
          <w:szCs w:val="18"/>
          <w:color w:val="auto"/>
        </w:rPr>
      </w:pPr>
    </w:p>
    <w:p>
      <w:pPr>
        <w:ind w:left="180" w:right="20" w:firstLine="746"/>
        <w:spacing w:after="0" w:line="273" w:lineRule="auto"/>
        <w:tabs>
          <w:tab w:leader="none" w:pos="17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Amendment binds and is for the benefit of the successors and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assigns of each party.</w:t>
      </w:r>
    </w:p>
    <w:p>
      <w:pPr>
        <w:spacing w:after="0" w:line="138" w:lineRule="exact"/>
        <w:rPr>
          <w:rFonts w:ascii="Times New Roman" w:cs="Times New Roman" w:eastAsia="Times New Roman" w:hAnsi="Times New Roman"/>
          <w:sz w:val="18"/>
          <w:szCs w:val="18"/>
          <w:color w:val="auto"/>
        </w:rPr>
      </w:pPr>
    </w:p>
    <w:p>
      <w:pPr>
        <w:jc w:val="both"/>
        <w:ind w:left="180" w:right="20" w:firstLine="746"/>
        <w:spacing w:after="0" w:line="250" w:lineRule="auto"/>
        <w:tabs>
          <w:tab w:leader="none" w:pos="17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AND THE OTHER LOAN DOCUMENTS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GOVERNED BY, AND CONSTRUED AND ENFORCED IN ACCORDANCE WITH, THE LAWS OF THE STATE OF CALIFORNIA, EXCLUDING CONFLICT OF LAWS PRINCIPLES THAT WOULD CAUSE THE APPLICATION OF LAWS OF ANY OTHER JURISDICTION.</w:t>
      </w:r>
    </w:p>
    <w:p>
      <w:pPr>
        <w:spacing w:after="0" w:line="175" w:lineRule="exact"/>
        <w:rPr>
          <w:rFonts w:ascii="Times New Roman" w:cs="Times New Roman" w:eastAsia="Times New Roman" w:hAnsi="Times New Roman"/>
          <w:sz w:val="18"/>
          <w:szCs w:val="18"/>
          <w:color w:val="auto"/>
        </w:rPr>
      </w:pPr>
    </w:p>
    <w:p>
      <w:pPr>
        <w:jc w:val="both"/>
        <w:ind w:left="180" w:right="20" w:firstLine="746"/>
        <w:spacing w:after="0" w:line="244" w:lineRule="auto"/>
        <w:tabs>
          <w:tab w:leader="none" w:pos="17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Amendment and the Loan Documents represent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67" w:lineRule="exact"/>
        <w:rPr>
          <w:rFonts w:ascii="Times New Roman" w:cs="Times New Roman" w:eastAsia="Times New Roman" w:hAnsi="Times New Roman"/>
          <w:sz w:val="18"/>
          <w:szCs w:val="18"/>
          <w:color w:val="auto"/>
        </w:rPr>
      </w:pPr>
    </w:p>
    <w:p>
      <w:pPr>
        <w:ind w:left="180" w:right="20" w:firstLine="746"/>
        <w:spacing w:after="0" w:line="273" w:lineRule="auto"/>
        <w:tabs>
          <w:tab w:leader="none" w:pos="17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Amendment is severable from every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in determining the enforceability of any provision.</w:t>
      </w:r>
    </w:p>
    <w:p>
      <w:pPr>
        <w:spacing w:after="0" w:line="151" w:lineRule="exact"/>
        <w:rPr>
          <w:rFonts w:ascii="Times New Roman" w:cs="Times New Roman" w:eastAsia="Times New Roman" w:hAnsi="Times New Roman"/>
          <w:sz w:val="18"/>
          <w:szCs w:val="18"/>
          <w:color w:val="auto"/>
        </w:rPr>
      </w:pPr>
    </w:p>
    <w:p>
      <w:pPr>
        <w:jc w:val="both"/>
        <w:ind w:left="180" w:firstLine="746"/>
        <w:spacing w:after="0" w:line="244" w:lineRule="auto"/>
        <w:tabs>
          <w:tab w:leader="none" w:pos="17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any number of counterparts and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0" w:lineRule="exact"/>
        <w:rPr>
          <w:rFonts w:ascii="Times New Roman" w:cs="Times New Roman" w:eastAsia="Times New Roman" w:hAnsi="Times New Roman"/>
          <w:sz w:val="18"/>
          <w:szCs w:val="18"/>
          <w:color w:val="auto"/>
        </w:rPr>
      </w:pPr>
    </w:p>
    <w:p>
      <w:pPr>
        <w:jc w:val="both"/>
        <w:ind w:left="180" w:firstLine="746"/>
        <w:spacing w:after="0" w:line="241" w:lineRule="auto"/>
        <w:tabs>
          <w:tab w:leader="none" w:pos="17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201930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440" w:top="396" w:right="1219" w:bottom="1440" w:gutter="0" w:footer="0" w:header="0"/>
        </w:sectPr>
      </w:pPr>
    </w:p>
    <w:bookmarkStart w:id="120" w:name="page121"/>
    <w:bookmarkEnd w:id="120"/>
    <w:p>
      <w:pPr>
        <w:ind w:left="1180"/>
        <w:spacing w:after="0"/>
        <w:rPr>
          <w:sz w:val="20"/>
          <w:szCs w:val="20"/>
          <w:color w:val="auto"/>
        </w:rPr>
      </w:pPr>
      <w:r>
        <w:rPr>
          <w:rFonts w:ascii="Times New Roman" w:cs="Times New Roman" w:eastAsia="Times New Roman" w:hAnsi="Times New Roman"/>
          <w:sz w:val="18"/>
          <w:szCs w:val="18"/>
          <w:color w:val="2A2A2A"/>
        </w:rPr>
        <w:t xml:space="preserve">IN WITNESS </w:t>
      </w:r>
      <w:r>
        <w:rPr>
          <w:rFonts w:ascii="Times New Roman" w:cs="Times New Roman" w:eastAsia="Times New Roman" w:hAnsi="Times New Roman"/>
          <w:sz w:val="18"/>
          <w:szCs w:val="18"/>
          <w:color w:val="181818"/>
        </w:rPr>
        <w:t>WH</w:t>
      </w:r>
      <w:r>
        <w:rPr>
          <w:rFonts w:ascii="Times New Roman" w:cs="Times New Roman" w:eastAsia="Times New Roman" w:hAnsi="Times New Roman"/>
          <w:sz w:val="18"/>
          <w:szCs w:val="18"/>
          <w:color w:val="3A383B"/>
        </w:rPr>
        <w:t>EREOF,</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181818"/>
        </w:rPr>
        <w:t>the</w:t>
      </w:r>
      <w:r>
        <w:rPr>
          <w:rFonts w:ascii="Times New Roman" w:cs="Times New Roman" w:eastAsia="Times New Roman" w:hAnsi="Times New Roman"/>
          <w:sz w:val="18"/>
          <w:szCs w:val="18"/>
          <w:color w:val="2A2A2A"/>
        </w:rPr>
        <w:t xml:space="preserve"> parties </w:t>
      </w:r>
      <w:r>
        <w:rPr>
          <w:rFonts w:ascii="Times New Roman" w:cs="Times New Roman" w:eastAsia="Times New Roman" w:hAnsi="Times New Roman"/>
          <w:sz w:val="18"/>
          <w:szCs w:val="18"/>
          <w:color w:val="181818"/>
        </w:rPr>
        <w:t>hereto hav</w:t>
      </w:r>
      <w:r>
        <w:rPr>
          <w:rFonts w:ascii="Times New Roman" w:cs="Times New Roman" w:eastAsia="Times New Roman" w:hAnsi="Times New Roman"/>
          <w:sz w:val="18"/>
          <w:szCs w:val="18"/>
          <w:color w:val="3A383B"/>
        </w:rPr>
        <w:t>e</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181818"/>
        </w:rPr>
        <w:t>duly</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3A383B"/>
        </w:rPr>
        <w:t>exec</w:t>
      </w:r>
      <w:r>
        <w:rPr>
          <w:rFonts w:ascii="Times New Roman" w:cs="Times New Roman" w:eastAsia="Times New Roman" w:hAnsi="Times New Roman"/>
          <w:sz w:val="18"/>
          <w:szCs w:val="18"/>
          <w:color w:val="181818"/>
        </w:rPr>
        <w:t>ut</w:t>
      </w:r>
      <w:r>
        <w:rPr>
          <w:rFonts w:ascii="Times New Roman" w:cs="Times New Roman" w:eastAsia="Times New Roman" w:hAnsi="Times New Roman"/>
          <w:sz w:val="18"/>
          <w:szCs w:val="18"/>
          <w:color w:val="3A383B"/>
        </w:rPr>
        <w:t>e</w:t>
      </w:r>
      <w:r>
        <w:rPr>
          <w:rFonts w:ascii="Times New Roman" w:cs="Times New Roman" w:eastAsia="Times New Roman" w:hAnsi="Times New Roman"/>
          <w:sz w:val="18"/>
          <w:szCs w:val="18"/>
          <w:color w:val="181818"/>
        </w:rPr>
        <w:t>d</w:t>
      </w:r>
      <w:r>
        <w:rPr>
          <w:rFonts w:ascii="Times New Roman" w:cs="Times New Roman" w:eastAsia="Times New Roman" w:hAnsi="Times New Roman"/>
          <w:sz w:val="18"/>
          <w:szCs w:val="18"/>
          <w:color w:val="2A2A2A"/>
        </w:rPr>
        <w:t xml:space="preserve"> this Amendment, </w:t>
      </w:r>
      <w:r>
        <w:rPr>
          <w:rFonts w:ascii="Times New Roman" w:cs="Times New Roman" w:eastAsia="Times New Roman" w:hAnsi="Times New Roman"/>
          <w:sz w:val="18"/>
          <w:szCs w:val="18"/>
          <w:color w:val="181818"/>
        </w:rPr>
        <w:t>a</w:t>
      </w:r>
      <w:r>
        <w:rPr>
          <w:rFonts w:ascii="Times New Roman" w:cs="Times New Roman" w:eastAsia="Times New Roman" w:hAnsi="Times New Roman"/>
          <w:sz w:val="18"/>
          <w:szCs w:val="18"/>
          <w:color w:val="3A383B"/>
        </w:rPr>
        <w:t>s</w:t>
      </w:r>
      <w:r>
        <w:rPr>
          <w:rFonts w:ascii="Times New Roman" w:cs="Times New Roman" w:eastAsia="Times New Roman" w:hAnsi="Times New Roman"/>
          <w:sz w:val="18"/>
          <w:szCs w:val="18"/>
          <w:color w:val="2A2A2A"/>
        </w:rPr>
        <w:t xml:space="preserve"> of the date </w:t>
      </w:r>
      <w:r>
        <w:rPr>
          <w:rFonts w:ascii="Times New Roman" w:cs="Times New Roman" w:eastAsia="Times New Roman" w:hAnsi="Times New Roman"/>
          <w:sz w:val="18"/>
          <w:szCs w:val="18"/>
          <w:color w:val="181818"/>
        </w:rPr>
        <w:t>fir</w:t>
      </w:r>
      <w:r>
        <w:rPr>
          <w:rFonts w:ascii="Times New Roman" w:cs="Times New Roman" w:eastAsia="Times New Roman" w:hAnsi="Times New Roman"/>
          <w:sz w:val="18"/>
          <w:szCs w:val="18"/>
          <w:color w:val="3A383B"/>
        </w:rPr>
        <w:t>s</w:t>
      </w:r>
      <w:r>
        <w:rPr>
          <w:rFonts w:ascii="Times New Roman" w:cs="Times New Roman" w:eastAsia="Times New Roman" w:hAnsi="Times New Roman"/>
          <w:sz w:val="18"/>
          <w:szCs w:val="18"/>
          <w:color w:val="181818"/>
        </w:rPr>
        <w:t>t</w:t>
      </w:r>
      <w:r>
        <w:rPr>
          <w:rFonts w:ascii="Times New Roman" w:cs="Times New Roman" w:eastAsia="Times New Roman" w:hAnsi="Times New Roman"/>
          <w:sz w:val="18"/>
          <w:szCs w:val="18"/>
          <w:color w:val="2A2A2A"/>
        </w:rPr>
        <w:t xml:space="preserve"> above</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A2A2A"/>
        </w:rPr>
        <w:t>written.</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2A2A2A"/>
        </w:rPr>
        <w:t>BORROWER:</w:t>
      </w:r>
    </w:p>
    <w:p>
      <w:pPr>
        <w:spacing w:after="0" w:line="2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3A383B"/>
        </w:rPr>
        <w:t>PHATHOM PHARMACEUTICALS</w:t>
      </w:r>
      <w:r>
        <w:rPr>
          <w:rFonts w:ascii="Times New Roman" w:cs="Times New Roman" w:eastAsia="Times New Roman" w:hAnsi="Times New Roman"/>
          <w:sz w:val="18"/>
          <w:szCs w:val="18"/>
          <w:b w:val="1"/>
          <w:bCs w:val="1"/>
          <w:color w:val="181818"/>
        </w:rPr>
        <w:t>,</w:t>
      </w:r>
      <w:r>
        <w:rPr>
          <w:rFonts w:ascii="Times New Roman" w:cs="Times New Roman" w:eastAsia="Times New Roman" w:hAnsi="Times New Roman"/>
          <w:sz w:val="18"/>
          <w:szCs w:val="18"/>
          <w:b w:val="1"/>
          <w:bCs w:val="1"/>
          <w:color w:val="3A383B"/>
        </w:rPr>
        <w:t xml:space="preserve"> INC.</w:t>
      </w:r>
    </w:p>
    <w:p>
      <w:pPr>
        <w:spacing w:after="0" w:line="200" w:lineRule="exact"/>
        <w:rPr>
          <w:sz w:val="20"/>
          <w:szCs w:val="20"/>
          <w:color w:val="auto"/>
        </w:rPr>
      </w:pPr>
    </w:p>
    <w:p>
      <w:pPr>
        <w:spacing w:after="0" w:line="214" w:lineRule="exact"/>
        <w:rPr>
          <w:sz w:val="20"/>
          <w:szCs w:val="20"/>
          <w:color w:val="auto"/>
        </w:rPr>
      </w:pPr>
    </w:p>
    <w:p>
      <w:pPr>
        <w:ind w:left="5500"/>
        <w:spacing w:after="0"/>
        <w:tabs>
          <w:tab w:leader="none" w:pos="6680" w:val="left"/>
        </w:tabs>
        <w:rPr>
          <w:sz w:val="20"/>
          <w:szCs w:val="20"/>
          <w:color w:val="auto"/>
        </w:rPr>
      </w:pPr>
      <w:r>
        <w:rPr>
          <w:rFonts w:ascii="Times New Roman" w:cs="Times New Roman" w:eastAsia="Times New Roman" w:hAnsi="Times New Roman"/>
          <w:sz w:val="20"/>
          <w:szCs w:val="20"/>
          <w:color w:val="2A2A2A"/>
        </w:rPr>
        <w:t>Signature:</w:t>
      </w:r>
      <w:r>
        <w:rPr>
          <w:sz w:val="20"/>
          <w:szCs w:val="20"/>
          <w:color w:val="auto"/>
        </w:rPr>
        <w:tab/>
      </w:r>
      <w:r>
        <w:rPr>
          <w:rFonts w:ascii="Times New Roman" w:cs="Times New Roman" w:eastAsia="Times New Roman" w:hAnsi="Times New Roman"/>
          <w:sz w:val="20"/>
          <w:szCs w:val="20"/>
          <w:u w:val="single" w:color="auto"/>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-10795</wp:posOffset>
            </wp:positionV>
            <wp:extent cx="1765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17653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2A2A2A"/>
        </w:rPr>
        <w:t xml:space="preserve">Print </w:t>
      </w:r>
      <w:r>
        <w:rPr>
          <w:rFonts w:ascii="Times New Roman" w:cs="Times New Roman" w:eastAsia="Times New Roman" w:hAnsi="Times New Roman"/>
          <w:sz w:val="20"/>
          <w:szCs w:val="20"/>
          <w:color w:val="3A383B"/>
        </w:rPr>
        <w:t>Na</w:t>
      </w:r>
      <w:r>
        <w:rPr>
          <w:rFonts w:ascii="Times New Roman" w:cs="Times New Roman" w:eastAsia="Times New Roman" w:hAnsi="Times New Roman"/>
          <w:sz w:val="20"/>
          <w:szCs w:val="20"/>
          <w:color w:val="181818"/>
        </w:rPr>
        <w:t>me: Terrie Curran</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2A2A2A"/>
        </w:rPr>
        <w:t xml:space="preserve">Title: President and </w:t>
      </w:r>
      <w:r>
        <w:rPr>
          <w:rFonts w:ascii="Times New Roman" w:cs="Times New Roman" w:eastAsia="Times New Roman" w:hAnsi="Times New Roman"/>
          <w:sz w:val="19"/>
          <w:szCs w:val="19"/>
          <w:color w:val="3A383B"/>
        </w:rPr>
        <w:t>C</w:t>
      </w:r>
      <w:r>
        <w:rPr>
          <w:rFonts w:ascii="Times New Roman" w:cs="Times New Roman" w:eastAsia="Times New Roman" w:hAnsi="Times New Roman"/>
          <w:sz w:val="19"/>
          <w:szCs w:val="19"/>
          <w:color w:val="181818"/>
        </w:rPr>
        <w:t>hi</w:t>
      </w:r>
      <w:r>
        <w:rPr>
          <w:rFonts w:ascii="Times New Roman" w:cs="Times New Roman" w:eastAsia="Times New Roman" w:hAnsi="Times New Roman"/>
          <w:sz w:val="19"/>
          <w:szCs w:val="19"/>
          <w:color w:val="3A383B"/>
        </w:rPr>
        <w:t>ef E</w:t>
      </w:r>
      <w:r>
        <w:rPr>
          <w:rFonts w:ascii="Times New Roman" w:cs="Times New Roman" w:eastAsia="Times New Roman" w:hAnsi="Times New Roman"/>
          <w:sz w:val="19"/>
          <w:szCs w:val="19"/>
          <w:color w:val="181818"/>
        </w:rPr>
        <w:t>xecutiv</w:t>
      </w:r>
      <w:r>
        <w:rPr>
          <w:rFonts w:ascii="Times New Roman" w:cs="Times New Roman" w:eastAsia="Times New Roman" w:hAnsi="Times New Roman"/>
          <w:sz w:val="19"/>
          <w:szCs w:val="19"/>
          <w:color w:val="3A383B"/>
        </w:rPr>
        <w:t>e</w:t>
      </w:r>
      <w:r>
        <w:rPr>
          <w:rFonts w:ascii="Times New Roman" w:cs="Times New Roman" w:eastAsia="Times New Roman" w:hAnsi="Times New Roman"/>
          <w:sz w:val="19"/>
          <w:szCs w:val="19"/>
          <w:color w:val="2A2A2A"/>
        </w:rPr>
        <w:t xml:space="preser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230505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21" w:name="page122"/>
    <w:bookmarkEnd w:id="121"/>
    <w:p>
      <w:pPr>
        <w:ind w:left="2720"/>
        <w:spacing w:after="0"/>
        <w:rPr>
          <w:sz w:val="20"/>
          <w:szCs w:val="20"/>
          <w:color w:val="auto"/>
        </w:rPr>
      </w:pPr>
      <w:r>
        <w:rPr>
          <w:rFonts w:ascii="Times New Roman" w:cs="Times New Roman" w:eastAsia="Times New Roman" w:hAnsi="Times New Roman"/>
          <w:sz w:val="17"/>
          <w:szCs w:val="17"/>
          <w:color w:val="181818"/>
        </w:rPr>
        <w:t>[SIGN</w:t>
      </w:r>
      <w:r>
        <w:rPr>
          <w:rFonts w:ascii="Times New Roman" w:cs="Times New Roman" w:eastAsia="Times New Roman" w:hAnsi="Times New Roman"/>
          <w:sz w:val="17"/>
          <w:szCs w:val="17"/>
          <w:color w:val="3A383B"/>
        </w:rPr>
        <w:t>AT</w:t>
      </w:r>
      <w:r>
        <w:rPr>
          <w:rFonts w:ascii="Times New Roman" w:cs="Times New Roman" w:eastAsia="Times New Roman" w:hAnsi="Times New Roman"/>
          <w:sz w:val="17"/>
          <w:szCs w:val="17"/>
          <w:color w:val="181818"/>
        </w:rPr>
        <w:t>U</w:t>
      </w:r>
      <w:r>
        <w:rPr>
          <w:rFonts w:ascii="Times New Roman" w:cs="Times New Roman" w:eastAsia="Times New Roman" w:hAnsi="Times New Roman"/>
          <w:sz w:val="17"/>
          <w:szCs w:val="17"/>
          <w:color w:val="3A383B"/>
        </w:rPr>
        <w:t>RES</w:t>
      </w:r>
      <w:r>
        <w:rPr>
          <w:rFonts w:ascii="Times New Roman" w:cs="Times New Roman" w:eastAsia="Times New Roman" w:hAnsi="Times New Roman"/>
          <w:sz w:val="17"/>
          <w:szCs w:val="17"/>
          <w:color w:val="181818"/>
        </w:rPr>
        <w:t xml:space="preserve"> </w:t>
      </w:r>
      <w:r>
        <w:rPr>
          <w:rFonts w:ascii="Times New Roman" w:cs="Times New Roman" w:eastAsia="Times New Roman" w:hAnsi="Times New Roman"/>
          <w:sz w:val="17"/>
          <w:szCs w:val="17"/>
          <w:color w:val="2A2A2A"/>
        </w:rPr>
        <w:t>CONTlNUE</w:t>
      </w:r>
      <w:r>
        <w:rPr>
          <w:rFonts w:ascii="Times New Roman" w:cs="Times New Roman" w:eastAsia="Times New Roman" w:hAnsi="Times New Roman"/>
          <w:sz w:val="17"/>
          <w:szCs w:val="17"/>
          <w:color w:val="181818"/>
        </w:rPr>
        <w:t xml:space="preserve"> </w:t>
      </w:r>
      <w:r>
        <w:rPr>
          <w:rFonts w:ascii="Times New Roman" w:cs="Times New Roman" w:eastAsia="Times New Roman" w:hAnsi="Times New Roman"/>
          <w:sz w:val="17"/>
          <w:szCs w:val="17"/>
          <w:color w:val="3A383B"/>
        </w:rPr>
        <w:t>ON</w:t>
      </w:r>
      <w:r>
        <w:rPr>
          <w:rFonts w:ascii="Times New Roman" w:cs="Times New Roman" w:eastAsia="Times New Roman" w:hAnsi="Times New Roman"/>
          <w:sz w:val="17"/>
          <w:szCs w:val="17"/>
          <w:color w:val="181818"/>
        </w:rPr>
        <w:t xml:space="preserve"> </w:t>
      </w:r>
      <w:r>
        <w:rPr>
          <w:rFonts w:ascii="Times New Roman" w:cs="Times New Roman" w:eastAsia="Times New Roman" w:hAnsi="Times New Roman"/>
          <w:sz w:val="17"/>
          <w:szCs w:val="17"/>
          <w:color w:val="2A2A2A"/>
        </w:rPr>
        <w:t>THE</w:t>
      </w:r>
      <w:r>
        <w:rPr>
          <w:rFonts w:ascii="Times New Roman" w:cs="Times New Roman" w:eastAsia="Times New Roman" w:hAnsi="Times New Roman"/>
          <w:sz w:val="17"/>
          <w:szCs w:val="17"/>
          <w:color w:val="181818"/>
        </w:rPr>
        <w:t xml:space="preserve"> </w:t>
      </w:r>
      <w:r>
        <w:rPr>
          <w:rFonts w:ascii="Times New Roman" w:cs="Times New Roman" w:eastAsia="Times New Roman" w:hAnsi="Times New Roman"/>
          <w:sz w:val="17"/>
          <w:szCs w:val="17"/>
          <w:color w:val="3A383B"/>
        </w:rPr>
        <w:t>N</w:t>
      </w:r>
      <w:r>
        <w:rPr>
          <w:rFonts w:ascii="Times New Roman" w:cs="Times New Roman" w:eastAsia="Times New Roman" w:hAnsi="Times New Roman"/>
          <w:sz w:val="17"/>
          <w:szCs w:val="17"/>
          <w:color w:val="181818"/>
        </w:rPr>
        <w:t xml:space="preserve">EXT </w:t>
      </w:r>
      <w:r>
        <w:rPr>
          <w:rFonts w:ascii="Times New Roman" w:cs="Times New Roman" w:eastAsia="Times New Roman" w:hAnsi="Times New Roman"/>
          <w:sz w:val="17"/>
          <w:szCs w:val="17"/>
          <w:color w:val="2A2A2A"/>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217805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45" w:right="1440" w:bottom="1440" w:gutter="0" w:footer="0" w:header="0"/>
        </w:sectPr>
      </w:pPr>
    </w:p>
    <w:bookmarkStart w:id="122" w:name="page123"/>
    <w:bookmarkEnd w:id="122"/>
    <w:p>
      <w:pPr>
        <w:ind w:left="5420"/>
        <w:spacing w:after="0"/>
        <w:rPr>
          <w:sz w:val="20"/>
          <w:szCs w:val="20"/>
          <w:color w:val="auto"/>
        </w:rPr>
      </w:pPr>
      <w:r>
        <w:rPr>
          <w:rFonts w:ascii="Times New Roman" w:cs="Times New Roman" w:eastAsia="Times New Roman" w:hAnsi="Times New Roman"/>
          <w:sz w:val="20"/>
          <w:szCs w:val="20"/>
          <w:color w:val="auto"/>
        </w:rPr>
        <w:t>AGENT:</w:t>
      </w:r>
    </w:p>
    <w:p>
      <w:pPr>
        <w:spacing w:after="0" w:line="2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188"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260" w:type="dxa"/>
            <w:vAlign w:val="bottom"/>
          </w:tcPr>
          <w:p>
            <w:pPr>
              <w:spacing w:after="0"/>
              <w:rPr>
                <w:sz w:val="19"/>
                <w:szCs w:val="19"/>
                <w:color w:val="auto"/>
              </w:rPr>
            </w:pPr>
          </w:p>
        </w:tc>
      </w:tr>
      <w:tr>
        <w:trPr>
          <w:trHeight w:val="227"/>
        </w:trPr>
        <w:tc>
          <w:tcPr>
            <w:tcW w:w="11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Seth Meyer</w:t>
            </w:r>
          </w:p>
        </w:tc>
      </w:tr>
      <w:tr>
        <w:trPr>
          <w:trHeight w:val="25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7"/>
              </w:rPr>
              <w:t>Chief Financial Officer</w:t>
            </w:r>
          </w:p>
        </w:tc>
      </w:tr>
    </w:tbl>
    <w:p>
      <w:pPr>
        <w:spacing w:after="0" w:line="2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LENDERS:</w:t>
      </w:r>
    </w:p>
    <w:p>
      <w:pPr>
        <w:spacing w:after="0" w:line="2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188"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260" w:type="dxa"/>
            <w:vAlign w:val="bottom"/>
          </w:tcPr>
          <w:p>
            <w:pPr>
              <w:spacing w:after="0"/>
              <w:rPr>
                <w:sz w:val="19"/>
                <w:szCs w:val="19"/>
                <w:color w:val="auto"/>
              </w:rPr>
            </w:pPr>
          </w:p>
        </w:tc>
      </w:tr>
      <w:tr>
        <w:trPr>
          <w:trHeight w:val="227"/>
        </w:trPr>
        <w:tc>
          <w:tcPr>
            <w:tcW w:w="11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Seth Meyer</w:t>
            </w:r>
          </w:p>
        </w:tc>
      </w:tr>
      <w:tr>
        <w:trPr>
          <w:trHeight w:val="25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7"/>
              </w:rPr>
              <w:t>Chief Financial Officer</w:t>
            </w:r>
          </w:p>
        </w:tc>
      </w:tr>
    </w:tbl>
    <w:p>
      <w:pPr>
        <w:spacing w:after="0" w:line="1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HERCULES CAPITAL IV, L.P.</w:t>
      </w:r>
    </w:p>
    <w:p>
      <w:pPr>
        <w:spacing w:after="0" w:line="2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 Hercules Technology SBIC Management,</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LLC, its General Partner</w:t>
      </w:r>
    </w:p>
    <w:p>
      <w:pPr>
        <w:spacing w:after="0" w:line="18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 Hercules Capital, Inc., its Manager</w:t>
      </w:r>
    </w:p>
    <w:p>
      <w:pPr>
        <w:spacing w:after="0" w:line="184"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260" w:type="dxa"/>
            <w:vAlign w:val="bottom"/>
          </w:tcPr>
          <w:p>
            <w:pPr>
              <w:spacing w:after="0"/>
              <w:rPr>
                <w:sz w:val="19"/>
                <w:szCs w:val="19"/>
                <w:color w:val="auto"/>
              </w:rPr>
            </w:pPr>
          </w:p>
        </w:tc>
      </w:tr>
      <w:tr>
        <w:trPr>
          <w:trHeight w:val="227"/>
        </w:trPr>
        <w:tc>
          <w:tcPr>
            <w:tcW w:w="11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Seth Meyer</w:t>
            </w:r>
          </w:p>
        </w:tc>
      </w:tr>
      <w:tr>
        <w:trPr>
          <w:trHeight w:val="25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7"/>
              </w:rPr>
              <w:t>Chief Financial Officer</w:t>
            </w:r>
          </w:p>
        </w:tc>
      </w:tr>
    </w:tbl>
    <w:p>
      <w:pPr>
        <w:spacing w:after="0" w:line="3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HERCULES PRIVATE CREDIT FUND 1</w:t>
      </w:r>
    </w:p>
    <w:p>
      <w:pPr>
        <w:spacing w:after="0" w:line="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L.P.</w:t>
      </w:r>
    </w:p>
    <w:p>
      <w:pPr>
        <w:spacing w:after="0" w:line="1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 Hercules Adviser LLC, its Investment</w:t>
      </w:r>
    </w:p>
    <w:p>
      <w:pPr>
        <w:spacing w:after="0" w:line="2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Adviser</w:t>
      </w:r>
    </w:p>
    <w:p>
      <w:pPr>
        <w:spacing w:after="0" w:line="14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Seth Meyer</w:t>
      </w:r>
    </w:p>
    <w:p>
      <w:pPr>
        <w:spacing w:after="0" w:line="2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Print Name: Seth Meyer</w:t>
      </w:r>
    </w:p>
    <w:p>
      <w:pPr>
        <w:ind w:left="5420"/>
        <w:spacing w:after="0"/>
        <w:tabs>
          <w:tab w:leader="none" w:pos="6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31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HERCULES PRIVATE GLOBAL</w:t>
      </w:r>
    </w:p>
    <w:p>
      <w:pPr>
        <w:spacing w:after="0" w:line="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VENTURE GROWTH FUND I L.P.</w:t>
      </w:r>
    </w:p>
    <w:p>
      <w:pPr>
        <w:spacing w:after="0" w:line="1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By: Hercules Adviser LLC, its</w:t>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Investment Adviser</w:t>
      </w:r>
    </w:p>
    <w:p>
      <w:pPr>
        <w:spacing w:after="0" w:line="180" w:lineRule="exact"/>
        <w:rPr>
          <w:sz w:val="20"/>
          <w:szCs w:val="20"/>
          <w:color w:val="auto"/>
        </w:rPr>
      </w:pPr>
    </w:p>
    <w:p>
      <w:pPr>
        <w:ind w:left="5420"/>
        <w:spacing w:after="0"/>
        <w:tabs>
          <w:tab w:leader="none" w:pos="65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u w:val="single" w:color="auto"/>
          <w:color w:val="auto"/>
        </w:rPr>
        <w:t>/s/ Seth Meyer</w:t>
      </w:r>
    </w:p>
    <w:p>
      <w:pPr>
        <w:spacing w:after="0" w:line="202" w:lineRule="exact"/>
        <w:rPr>
          <w:sz w:val="20"/>
          <w:szCs w:val="20"/>
          <w:color w:val="auto"/>
        </w:rPr>
      </w:pPr>
    </w:p>
    <w:p>
      <w:pPr>
        <w:ind w:left="5420"/>
        <w:spacing w:after="0"/>
        <w:tabs>
          <w:tab w:leader="none" w:pos="658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Seth Meyer</w:t>
      </w:r>
    </w:p>
    <w:p>
      <w:pPr>
        <w:spacing w:after="0" w:line="22" w:lineRule="exact"/>
        <w:rPr>
          <w:sz w:val="20"/>
          <w:szCs w:val="20"/>
          <w:color w:val="auto"/>
        </w:rPr>
      </w:pPr>
    </w:p>
    <w:p>
      <w:pPr>
        <w:ind w:left="5420"/>
        <w:spacing w:after="0"/>
        <w:tabs>
          <w:tab w:leader="none" w:pos="6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193040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20"/>
          </w:cols>
          <w:pgMar w:left="1440" w:top="414" w:right="1339" w:bottom="1440" w:gutter="0" w:footer="0" w:header="0"/>
        </w:sectPr>
      </w:pPr>
    </w:p>
    <w:bookmarkStart w:id="123" w:name="page124"/>
    <w:bookmarkEnd w:id="123"/>
    <w:p>
      <w:pPr>
        <w:ind w:left="6540"/>
        <w:spacing w:after="0"/>
        <w:rPr>
          <w:sz w:val="20"/>
          <w:szCs w:val="20"/>
          <w:color w:val="auto"/>
        </w:rPr>
      </w:pPr>
      <w:r>
        <w:rPr>
          <w:rFonts w:ascii="Times New Roman" w:cs="Times New Roman" w:eastAsia="Times New Roman" w:hAnsi="Times New Roman"/>
          <w:sz w:val="20"/>
          <w:szCs w:val="20"/>
          <w:color w:val="231F20"/>
        </w:rPr>
        <w:t>INCOMING LENDER:</w:t>
      </w:r>
    </w:p>
    <w:p>
      <w:pPr>
        <w:spacing w:after="0" w:line="2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b w:val="1"/>
          <w:bCs w:val="1"/>
          <w:color w:val="231F20"/>
        </w:rPr>
        <w:t>SAGARD HEALTHCARE ROYALTY</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b w:val="1"/>
          <w:bCs w:val="1"/>
          <w:color w:val="231F20"/>
        </w:rPr>
        <w:t>PARTNERS, LP</w:t>
      </w:r>
    </w:p>
    <w:p>
      <w:pPr>
        <w:spacing w:after="0" w:line="18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231F20"/>
        </w:rPr>
        <w:t>By: Sagard Healthcare Royalty Partners</w:t>
      </w:r>
    </w:p>
    <w:p>
      <w:pPr>
        <w:spacing w:after="0" w:line="2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231F20"/>
        </w:rPr>
        <w:t>GP LLC, its general partner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ind w:left="6540"/>
              <w:spacing w:after="0"/>
              <w:rPr>
                <w:sz w:val="20"/>
                <w:szCs w:val="20"/>
                <w:color w:val="auto"/>
              </w:rPr>
            </w:pPr>
            <w:r>
              <w:rPr>
                <w:rFonts w:ascii="Times New Roman" w:cs="Times New Roman" w:eastAsia="Times New Roman" w:hAnsi="Times New Roman"/>
                <w:sz w:val="20"/>
                <w:szCs w:val="20"/>
                <w:color w:val="231F20"/>
              </w:rPr>
              <w:t>Signature:</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/s/ Jason Sneah</w:t>
            </w:r>
          </w:p>
        </w:tc>
        <w:tc>
          <w:tcPr>
            <w:tcW w:w="360" w:type="dxa"/>
            <w:vAlign w:val="bottom"/>
            <w:tcBorders>
              <w:bottom w:val="single" w:sz="8" w:color="231F20"/>
            </w:tcBorders>
            <w:gridSpan w:val="2"/>
          </w:tcPr>
          <w:p>
            <w:pPr>
              <w:spacing w:after="0"/>
              <w:rPr>
                <w:sz w:val="19"/>
                <w:szCs w:val="19"/>
                <w:color w:val="auto"/>
              </w:rPr>
            </w:pPr>
          </w:p>
        </w:tc>
        <w:tc>
          <w:tcPr>
            <w:tcW w:w="1940" w:type="dxa"/>
            <w:vAlign w:val="bottom"/>
          </w:tcPr>
          <w:p>
            <w:pPr>
              <w:spacing w:after="0"/>
              <w:rPr>
                <w:sz w:val="19"/>
                <w:szCs w:val="19"/>
                <w:color w:val="auto"/>
              </w:rPr>
            </w:pPr>
          </w:p>
        </w:tc>
      </w:tr>
      <w:tr>
        <w:trPr>
          <w:trHeight w:val="430"/>
        </w:trPr>
        <w:tc>
          <w:tcPr>
            <w:tcW w:w="7620" w:type="dxa"/>
            <w:vAlign w:val="bottom"/>
            <w:gridSpan w:val="2"/>
          </w:tcPr>
          <w:p>
            <w:pPr>
              <w:ind w:left="6540"/>
              <w:spacing w:after="0"/>
              <w:rPr>
                <w:sz w:val="20"/>
                <w:szCs w:val="20"/>
                <w:color w:val="auto"/>
              </w:rPr>
            </w:pPr>
            <w:r>
              <w:rPr>
                <w:rFonts w:ascii="Times New Roman" w:cs="Times New Roman" w:eastAsia="Times New Roman" w:hAnsi="Times New Roman"/>
                <w:sz w:val="20"/>
                <w:szCs w:val="20"/>
                <w:color w:val="231F20"/>
              </w:rPr>
              <w:t>Print Name:</w:t>
            </w:r>
          </w:p>
        </w:tc>
        <w:tc>
          <w:tcPr>
            <w:tcW w:w="36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231F20"/>
              </w:rPr>
              <w:t>Jason</w:t>
            </w:r>
          </w:p>
        </w:tc>
      </w:tr>
      <w:tr>
        <w:trPr>
          <w:trHeight w:val="258"/>
        </w:trPr>
        <w:tc>
          <w:tcPr>
            <w:tcW w:w="7620" w:type="dxa"/>
            <w:vAlign w:val="bottom"/>
            <w:gridSpan w:val="2"/>
          </w:tcPr>
          <w:p>
            <w:pPr>
              <w:ind w:left="6540"/>
              <w:spacing w:after="0"/>
              <w:rPr>
                <w:sz w:val="20"/>
                <w:szCs w:val="20"/>
                <w:color w:val="auto"/>
              </w:rPr>
            </w:pPr>
            <w:r>
              <w:rPr>
                <w:rFonts w:ascii="Times New Roman" w:cs="Times New Roman" w:eastAsia="Times New Roman" w:hAnsi="Times New Roman"/>
                <w:sz w:val="20"/>
                <w:szCs w:val="20"/>
                <w:color w:val="231F20"/>
              </w:rPr>
              <w:t>Sneah Title:</w:t>
            </w:r>
          </w:p>
        </w:tc>
        <w:tc>
          <w:tcPr>
            <w:tcW w:w="100" w:type="dxa"/>
            <w:vAlign w:val="bottom"/>
          </w:tcPr>
          <w:p>
            <w:pPr>
              <w:spacing w:after="0"/>
              <w:rPr>
                <w:sz w:val="22"/>
                <w:szCs w:val="22"/>
                <w:color w:val="auto"/>
              </w:rPr>
            </w:pPr>
          </w:p>
        </w:tc>
        <w:tc>
          <w:tcPr>
            <w:tcW w:w="35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231F20"/>
              </w:rPr>
              <w:t>Manager</w:t>
            </w:r>
          </w:p>
        </w:tc>
      </w:tr>
      <w:tr>
        <w:trPr>
          <w:trHeight w:val="601"/>
        </w:trPr>
        <w:tc>
          <w:tcPr>
            <w:tcW w:w="7620" w:type="dxa"/>
            <w:vAlign w:val="bottom"/>
            <w:gridSpan w:val="2"/>
          </w:tcPr>
          <w:p>
            <w:pPr>
              <w:ind w:left="6540"/>
              <w:spacing w:after="0"/>
              <w:rPr>
                <w:sz w:val="20"/>
                <w:szCs w:val="20"/>
                <w:color w:val="auto"/>
              </w:rPr>
            </w:pPr>
            <w:r>
              <w:rPr>
                <w:rFonts w:ascii="Times New Roman" w:cs="Times New Roman" w:eastAsia="Times New Roman" w:hAnsi="Times New Roman"/>
                <w:sz w:val="20"/>
                <w:szCs w:val="20"/>
                <w:color w:val="231F20"/>
              </w:rPr>
              <w:t>Signature:</w:t>
            </w:r>
          </w:p>
        </w:tc>
        <w:tc>
          <w:tcPr>
            <w:tcW w:w="100" w:type="dxa"/>
            <w:vAlign w:val="bottom"/>
          </w:tcPr>
          <w:p>
            <w:pPr>
              <w:spacing w:after="0"/>
              <w:rPr>
                <w:sz w:val="24"/>
                <w:szCs w:val="24"/>
                <w:color w:val="auto"/>
              </w:rPr>
            </w:pPr>
          </w:p>
        </w:tc>
        <w:tc>
          <w:tcPr>
            <w:tcW w:w="35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Adam Vigna</w:t>
            </w:r>
          </w:p>
        </w:tc>
      </w:tr>
      <w:tr>
        <w:trPr>
          <w:trHeight w:val="430"/>
        </w:trPr>
        <w:tc>
          <w:tcPr>
            <w:tcW w:w="7620" w:type="dxa"/>
            <w:vAlign w:val="bottom"/>
            <w:gridSpan w:val="2"/>
          </w:tcPr>
          <w:p>
            <w:pPr>
              <w:ind w:left="6540"/>
              <w:spacing w:after="0"/>
              <w:rPr>
                <w:sz w:val="20"/>
                <w:szCs w:val="20"/>
                <w:color w:val="auto"/>
              </w:rPr>
            </w:pPr>
            <w:r>
              <w:rPr>
                <w:rFonts w:ascii="Times New Roman" w:cs="Times New Roman" w:eastAsia="Times New Roman" w:hAnsi="Times New Roman"/>
                <w:sz w:val="20"/>
                <w:szCs w:val="20"/>
                <w:color w:val="231F20"/>
              </w:rPr>
              <w:t>Print Name:</w:t>
            </w: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231F20"/>
              </w:rPr>
              <w:t>Adam Vigna</w:t>
            </w:r>
          </w:p>
        </w:tc>
        <w:tc>
          <w:tcPr>
            <w:tcW w:w="2280" w:type="dxa"/>
            <w:vAlign w:val="bottom"/>
            <w:gridSpan w:val="2"/>
          </w:tcPr>
          <w:p>
            <w:pPr>
              <w:spacing w:after="0"/>
              <w:rPr>
                <w:sz w:val="24"/>
                <w:szCs w:val="24"/>
                <w:color w:val="auto"/>
              </w:rPr>
            </w:pPr>
          </w:p>
        </w:tc>
      </w:tr>
      <w:tr>
        <w:trPr>
          <w:trHeight w:val="258"/>
        </w:trPr>
        <w:tc>
          <w:tcPr>
            <w:tcW w:w="7140" w:type="dxa"/>
            <w:vAlign w:val="bottom"/>
          </w:tcPr>
          <w:p>
            <w:pPr>
              <w:ind w:left="6540"/>
              <w:spacing w:after="0"/>
              <w:rPr>
                <w:sz w:val="20"/>
                <w:szCs w:val="20"/>
                <w:color w:val="auto"/>
              </w:rPr>
            </w:pPr>
            <w:r>
              <w:rPr>
                <w:rFonts w:ascii="Times New Roman" w:cs="Times New Roman" w:eastAsia="Times New Roman" w:hAnsi="Times New Roman"/>
                <w:sz w:val="20"/>
                <w:szCs w:val="20"/>
                <w:color w:val="231F20"/>
              </w:rPr>
              <w:t>Title:</w:t>
            </w:r>
          </w:p>
        </w:tc>
        <w:tc>
          <w:tcPr>
            <w:tcW w:w="410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231F20"/>
              </w:rPr>
              <w:t>Chief Investment Officer</w:t>
            </w:r>
          </w:p>
        </w:tc>
      </w:tr>
      <w:tr>
        <w:trPr>
          <w:trHeight w:val="325"/>
        </w:trPr>
        <w:tc>
          <w:tcPr>
            <w:tcW w:w="7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b w:val="1"/>
          <w:bCs w:val="1"/>
          <w:color w:val="auto"/>
        </w:rPr>
        <w:t>AMENDED AND RESTATED NON-EMPLOYEE DIRECTOR COMPENSATION PROGRAM</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May 25, 2022)</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receive cash and equity compensation as set forth in this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This Program has been adopted under the Company’s 2019 Incentive Award Plan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shall be effective on the Effective Date.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who is entitled to receive such cash or equity compensation, unless such Non-Employee Director declines the receipt of such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Capitalized terms not otherwise defined herein shall have the meanings ascribed in the Equity Plan.</w:t>
      </w:r>
    </w:p>
    <w:p>
      <w:pPr>
        <w:spacing w:after="0" w:line="187" w:lineRule="exact"/>
        <w:rPr>
          <w:sz w:val="20"/>
          <w:szCs w:val="20"/>
          <w:color w:val="auto"/>
        </w:rPr>
      </w:pPr>
    </w:p>
    <w:p>
      <w:pPr>
        <w:ind w:left="1160" w:hanging="403"/>
        <w:spacing w:after="0"/>
        <w:tabs>
          <w:tab w:leader="none" w:pos="11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Retainers</w:t>
      </w:r>
      <w:r>
        <w:rPr>
          <w:rFonts w:ascii="Times New Roman" w:cs="Times New Roman" w:eastAsia="Times New Roman" w:hAnsi="Times New Roman"/>
          <w:sz w:val="19"/>
          <w:szCs w:val="19"/>
          <w:color w:val="auto"/>
        </w:rPr>
        <w:t>. Each Non-Employee Director shall receive an annual retainer of $50,000 for service on the Board.</w:t>
      </w:r>
    </w:p>
    <w:p>
      <w:pPr>
        <w:spacing w:after="0" w:line="227" w:lineRule="exact"/>
        <w:rPr>
          <w:rFonts w:ascii="Times New Roman" w:cs="Times New Roman" w:eastAsia="Times New Roman" w:hAnsi="Times New Roman"/>
          <w:sz w:val="19"/>
          <w:szCs w:val="19"/>
          <w:color w:val="auto"/>
        </w:rPr>
      </w:pPr>
    </w:p>
    <w:p>
      <w:pPr>
        <w:ind w:left="1900" w:hanging="395"/>
        <w:spacing w:after="0"/>
        <w:tabs>
          <w:tab w:leader="none" w:pos="19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each Non-Employee Director shall receive the following additional annual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retainers, as applicable:</w:t>
      </w:r>
    </w:p>
    <w:p>
      <w:pPr>
        <w:spacing w:after="0" w:line="180" w:lineRule="exact"/>
        <w:rPr>
          <w:rFonts w:ascii="Times New Roman" w:cs="Times New Roman" w:eastAsia="Times New Roman" w:hAnsi="Times New Roman"/>
          <w:sz w:val="20"/>
          <w:szCs w:val="20"/>
          <w:color w:val="auto"/>
        </w:rPr>
      </w:pPr>
    </w:p>
    <w:p>
      <w:pPr>
        <w:ind w:right="20" w:firstLine="2310"/>
        <w:spacing w:after="0" w:line="269" w:lineRule="auto"/>
        <w:tabs>
          <w:tab w:leader="none" w:pos="2655"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Chairperson of the Board</w:t>
      </w:r>
      <w:r>
        <w:rPr>
          <w:rFonts w:ascii="Times New Roman" w:cs="Times New Roman" w:eastAsia="Times New Roman" w:hAnsi="Times New Roman"/>
          <w:sz w:val="20"/>
          <w:szCs w:val="20"/>
          <w:color w:val="auto"/>
        </w:rPr>
        <w:t>. A Non-Employee Director serving as Chairperson of the Board shall receive an additional annual retainer of $40,000 for such service.</w:t>
      </w:r>
    </w:p>
    <w:p>
      <w:pPr>
        <w:spacing w:after="0" w:line="15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74" w:lineRule="exact"/>
        <w:rPr>
          <w:rFonts w:ascii="Times New Roman" w:cs="Times New Roman" w:eastAsia="Times New Roman" w:hAnsi="Times New Roman"/>
          <w:sz w:val="20"/>
          <w:szCs w:val="20"/>
          <w:color w:val="auto"/>
        </w:rPr>
      </w:pPr>
    </w:p>
    <w:p>
      <w:pPr>
        <w:jc w:val="both"/>
        <w:ind w:right="20" w:firstLine="2254"/>
        <w:spacing w:after="0" w:line="247" w:lineRule="auto"/>
        <w:tabs>
          <w:tab w:leader="none" w:pos="2696"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80"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55" w:val="left"/>
        </w:tabs>
        <w:numPr>
          <w:ilvl w:val="3"/>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179" w:lineRule="exact"/>
        <w:rPr>
          <w:rFonts w:ascii="Times New Roman" w:cs="Times New Roman" w:eastAsia="Times New Roman" w:hAnsi="Times New Roman"/>
          <w:sz w:val="20"/>
          <w:szCs w:val="20"/>
          <w:color w:val="auto"/>
        </w:rPr>
      </w:pPr>
    </w:p>
    <w:p>
      <w:pPr>
        <w:ind w:firstLine="1505"/>
        <w:spacing w:after="0" w:line="245" w:lineRule="auto"/>
        <w:tabs>
          <w:tab w:leader="none" w:pos="1893"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shall be earned on a quarterly basis based on a calendar quarter and shall be paid by the Company in arrears on</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5" w:name="page126"/>
    <w:bookmarkEnd w:id="125"/>
    <w:p>
      <w:pPr>
        <w:jc w:val="both"/>
        <w:spacing w:after="0" w:line="249" w:lineRule="auto"/>
        <w:rPr>
          <w:sz w:val="20"/>
          <w:szCs w:val="20"/>
          <w:color w:val="auto"/>
        </w:rPr>
      </w:pPr>
      <w:r>
        <w:rPr>
          <w:rFonts w:ascii="Times New Roman" w:cs="Times New Roman" w:eastAsia="Times New Roman" w:hAnsi="Times New Roman"/>
          <w:sz w:val="20"/>
          <w:szCs w:val="20"/>
          <w:color w:val="auto"/>
        </w:rPr>
        <w:t>a semi-annual basis not later than the forty-fifth day following the end of every other calendar quarter (i.e., August 15 and February 15).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66" w:lineRule="exact"/>
        <w:rPr>
          <w:sz w:val="20"/>
          <w:szCs w:val="20"/>
          <w:color w:val="auto"/>
        </w:rPr>
      </w:pPr>
    </w:p>
    <w:p>
      <w:pPr>
        <w:jc w:val="both"/>
        <w:ind w:firstLine="757"/>
        <w:spacing w:after="0" w:line="246" w:lineRule="auto"/>
        <w:tabs>
          <w:tab w:leader="none" w:pos="115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Non-Employee Directors shall be granted the equity awards described below. The awards described below shall be granted under and shall be subject to the terms and provisions of the Equity Plan, or any other applicable Company equity incentive plan then-maintained by the Company,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this Program already give effect to the forward stock split of the Company’s common stock to be effected by the Company in connection with its initial public offering.</w:t>
      </w:r>
    </w:p>
    <w:p>
      <w:pPr>
        <w:spacing w:after="0" w:line="172" w:lineRule="exact"/>
        <w:rPr>
          <w:rFonts w:ascii="Times New Roman" w:cs="Times New Roman" w:eastAsia="Times New Roman" w:hAnsi="Times New Roman"/>
          <w:sz w:val="20"/>
          <w:szCs w:val="20"/>
          <w:color w:val="auto"/>
        </w:rPr>
      </w:pPr>
    </w:p>
    <w:p>
      <w:pPr>
        <w:jc w:val="both"/>
        <w:ind w:firstLine="1153"/>
        <w:spacing w:after="0" w:line="254" w:lineRule="auto"/>
        <w:tabs>
          <w:tab w:leader="none" w:pos="155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Non-Employee Director who is initially elected or appointed to the Board after the Effective Date shall receive an option under the Equity Plan, or any other applicable Company equity incentive plan then-maintained by the Company, to purchase 30,000 shares of the Company’s common stock on the date of such initial election or appointment. The awards described in this Section 2(a) shall be referred to as “</w:t>
      </w:r>
      <w:r>
        <w:rPr>
          <w:rFonts w:ascii="Times New Roman" w:cs="Times New Roman" w:eastAsia="Times New Roman" w:hAnsi="Times New Roman"/>
          <w:sz w:val="20"/>
          <w:szCs w:val="20"/>
          <w:b w:val="1"/>
          <w:bCs w:val="1"/>
          <w:i w:val="1"/>
          <w:iCs w:val="1"/>
          <w:color w:val="auto"/>
        </w:rPr>
        <w:t>Initial Awards</w:t>
      </w:r>
      <w:r>
        <w:rPr>
          <w:rFonts w:ascii="Times New Roman" w:cs="Times New Roman" w:eastAsia="Times New Roman" w:hAnsi="Times New Roman"/>
          <w:sz w:val="20"/>
          <w:szCs w:val="20"/>
          <w:color w:val="auto"/>
        </w:rPr>
        <w:t>.” No Non-Employee Director shall be granted more than one Initial Award.</w:t>
      </w:r>
    </w:p>
    <w:p>
      <w:pPr>
        <w:spacing w:after="0" w:line="173" w:lineRule="exact"/>
        <w:rPr>
          <w:rFonts w:ascii="Times New Roman" w:cs="Times New Roman" w:eastAsia="Times New Roman" w:hAnsi="Times New Roman"/>
          <w:sz w:val="20"/>
          <w:szCs w:val="20"/>
          <w:color w:val="auto"/>
        </w:rPr>
      </w:pPr>
    </w:p>
    <w:p>
      <w:pPr>
        <w:jc w:val="both"/>
        <w:ind w:firstLine="1153"/>
        <w:spacing w:after="0" w:line="241" w:lineRule="auto"/>
        <w:tabs>
          <w:tab w:leader="none" w:pos="155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Awards</w:t>
      </w:r>
      <w:r>
        <w:rPr>
          <w:rFonts w:ascii="Times New Roman" w:cs="Times New Roman" w:eastAsia="Times New Roman" w:hAnsi="Times New Roman"/>
          <w:sz w:val="20"/>
          <w:szCs w:val="20"/>
          <w:color w:val="auto"/>
        </w:rPr>
        <w:t>. A Non-Employee Director who (i) is serving on the Board as of the date of any annual meeting of the Company’s stockholders after the Effective Date and has been serving as a Non-Employee Director for at least six months as of the date of such meeting, and (ii) will continue to serve as a Non-Employee Director immediately following such meeting, shall be automatically granted an option under the Equity Plan, or any other applicable Company equity incentive plan then-maintained by the Company, to purchase 15,000 of the Company’s common stock on the date of such annual meeting. The awards described in this Section 2(b) shall be referred to as “</w:t>
      </w:r>
      <w:r>
        <w:rPr>
          <w:rFonts w:ascii="Times New Roman" w:cs="Times New Roman" w:eastAsia="Times New Roman" w:hAnsi="Times New Roman"/>
          <w:sz w:val="20"/>
          <w:szCs w:val="20"/>
          <w:b w:val="1"/>
          <w:bCs w:val="1"/>
          <w:i w:val="1"/>
          <w:iCs w:val="1"/>
          <w:color w:val="auto"/>
        </w:rPr>
        <w:t>Subsequent Awards</w:t>
      </w:r>
      <w:r>
        <w:rPr>
          <w:rFonts w:ascii="Times New Roman" w:cs="Times New Roman" w:eastAsia="Times New Roman" w:hAnsi="Times New Roman"/>
          <w:sz w:val="20"/>
          <w:szCs w:val="20"/>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20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2(a) above, but to the extent that they are otherwise entitled, will receive, after termination from employment with the Company and any parent or subsidiary of the Company, Subsequent Awards as described in Section 2(b) above.</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Awards Granted to Non-Employee Directors</w:t>
      </w:r>
    </w:p>
    <w:p>
      <w:pPr>
        <w:spacing w:after="0" w:line="215" w:lineRule="exact"/>
        <w:rPr>
          <w:rFonts w:ascii="Times New Roman" w:cs="Times New Roman" w:eastAsia="Times New Roman" w:hAnsi="Times New Roman"/>
          <w:sz w:val="20"/>
          <w:szCs w:val="20"/>
          <w:color w:val="auto"/>
        </w:rPr>
      </w:pPr>
    </w:p>
    <w:p>
      <w:pPr>
        <w:ind w:right="20" w:firstLine="1548"/>
        <w:spacing w:after="0" w:line="269" w:lineRule="auto"/>
        <w:tabs>
          <w:tab w:leader="none" w:pos="1949"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per share exercise price of each option granted to a Non-Employee Director shall equal the Fair Market Value of a share of common stock on the date the option is granted.</w:t>
      </w:r>
    </w:p>
    <w:p>
      <w:pPr>
        <w:spacing w:after="0" w:line="159" w:lineRule="exact"/>
        <w:rPr>
          <w:rFonts w:ascii="Times New Roman" w:cs="Times New Roman" w:eastAsia="Times New Roman" w:hAnsi="Times New Roman"/>
          <w:sz w:val="20"/>
          <w:szCs w:val="20"/>
          <w:color w:val="auto"/>
        </w:rPr>
      </w:pPr>
    </w:p>
    <w:p>
      <w:pPr>
        <w:jc w:val="both"/>
        <w:ind w:firstLine="1548"/>
        <w:spacing w:after="0" w:line="244" w:lineRule="auto"/>
        <w:tabs>
          <w:tab w:leader="none" w:pos="1976" w:val="left"/>
        </w:tabs>
        <w:numPr>
          <w:ilvl w:val="3"/>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One-third of each Initial Award shall vest and become exercisable on the one (1)-year anniversary of the date of grant, and the remainder will vest in substantially equal quarterly installments over the twenty-four (24) months following the date of grant, subject to the Non-Employee Director continuing in service on the Board through each such vesting date. Each Subsequent Award shall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6" w:name="page127"/>
    <w:bookmarkEnd w:id="126"/>
    <w:p>
      <w:pPr>
        <w:jc w:val="both"/>
        <w:spacing w:after="0" w:line="242" w:lineRule="auto"/>
        <w:rPr>
          <w:sz w:val="20"/>
          <w:szCs w:val="20"/>
          <w:color w:val="auto"/>
        </w:rPr>
      </w:pPr>
      <w:r>
        <w:rPr>
          <w:rFonts w:ascii="Times New Roman" w:cs="Times New Roman" w:eastAsia="Times New Roman" w:hAnsi="Times New Roman"/>
          <w:sz w:val="20"/>
          <w:szCs w:val="20"/>
          <w:color w:val="auto"/>
        </w:rPr>
        <w:t>vest and/or become exercisable on the first to occur of (A) the first anniversary of the date of grant or (B) the next occurring annual meeting of the Company's stockholders, subject to the Non-Employee Director continuing in service on the Board through such vesting date. Unless the Board otherwise determines, no portion of an Initial Award or Subsequent Award which is unvested and/or exercisable at the time of a Non-Employee Director’s termination of service on the Board shall become vested and/or exercisable thereafter. Upon a Change in Control, all outstanding equity awards granted under the Equity Plan, and any other equity incentive plan maintained by the Company, that are held by a Non-Employee Director shall become fully vested and/or exercisable, irrespective of any other provisions of the Plan or any award agreement.</w:t>
      </w:r>
    </w:p>
    <w:p>
      <w:pPr>
        <w:spacing w:after="0" w:line="18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each stock option granted to a Non-Employee Director shall be ten (10) years from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the option is granted.</w:t>
      </w:r>
    </w:p>
    <w:p>
      <w:pPr>
        <w:spacing w:after="0" w:line="194" w:lineRule="exact"/>
        <w:rPr>
          <w:sz w:val="20"/>
          <w:szCs w:val="20"/>
          <w:color w:val="auto"/>
        </w:rPr>
      </w:pPr>
    </w:p>
    <w:p>
      <w:pPr>
        <w:jc w:val="both"/>
        <w:ind w:firstLine="757"/>
        <w:spacing w:after="0" w:line="254" w:lineRule="auto"/>
        <w:tabs>
          <w:tab w:leader="none" w:pos="1145"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60" w:lineRule="exact"/>
        <w:rPr>
          <w:rFonts w:ascii="Times New Roman" w:cs="Times New Roman" w:eastAsia="Times New Roman" w:hAnsi="Times New Roman"/>
          <w:sz w:val="20"/>
          <w:szCs w:val="20"/>
          <w:color w:val="auto"/>
        </w:rPr>
      </w:pPr>
    </w:p>
    <w:p>
      <w:pPr>
        <w:jc w:val="both"/>
        <w:ind w:firstLine="757"/>
        <w:spacing w:after="0" w:line="254" w:lineRule="auto"/>
        <w:tabs>
          <w:tab w:leader="none" w:pos="115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Reimbursements</w:t>
      </w:r>
      <w:r>
        <w:rPr>
          <w:rFonts w:ascii="Times New Roman" w:cs="Times New Roman" w:eastAsia="Times New Roman" w:hAnsi="Times New Roman"/>
          <w:sz w:val="20"/>
          <w:szCs w:val="20"/>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69"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TRANSITION AND SEPARATION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AND RELEASE OF CLAIMS</w:t>
      </w:r>
    </w:p>
    <w:p>
      <w:pPr>
        <w:spacing w:after="0" w:line="176" w:lineRule="exact"/>
        <w:rPr>
          <w:sz w:val="20"/>
          <w:szCs w:val="20"/>
          <w:color w:val="auto"/>
        </w:rPr>
      </w:pPr>
    </w:p>
    <w:p>
      <w:pPr>
        <w:jc w:val="both"/>
        <w:ind w:right="20" w:firstLine="396"/>
        <w:spacing w:after="0" w:line="273" w:lineRule="auto"/>
        <w:rPr>
          <w:sz w:val="20"/>
          <w:szCs w:val="20"/>
          <w:color w:val="auto"/>
        </w:rPr>
      </w:pPr>
      <w:r>
        <w:rPr>
          <w:rFonts w:ascii="Times New Roman" w:cs="Times New Roman" w:eastAsia="Times New Roman" w:hAnsi="Times New Roman"/>
          <w:sz w:val="20"/>
          <w:szCs w:val="20"/>
          <w:color w:val="auto"/>
        </w:rPr>
        <w:t xml:space="preserve">This Transition and Separation Agreement and Release of Claims (the “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by and among Anthony Guzzo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16"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Executive currently serves as the Chief Accounting Officer of the Company and has expressed an intention to voluntarily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resign his position with the Company;</w:t>
      </w:r>
    </w:p>
    <w:p>
      <w:pPr>
        <w:spacing w:after="0" w:line="138"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order to ensure a smooth transition of Executive’s duties, the Company desires for Executive to continue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Company through August 15, 2022 (such date, or any earlier date on which Executive’s employment terminates for any reason, “</w:t>
      </w:r>
      <w:r>
        <w:rPr>
          <w:rFonts w:ascii="Times New Roman" w:cs="Times New Roman" w:eastAsia="Times New Roman" w:hAnsi="Times New Roman"/>
          <w:sz w:val="20"/>
          <w:szCs w:val="20"/>
          <w:b w:val="1"/>
          <w:bCs w:val="1"/>
          <w:i w:val="1"/>
          <w:iCs w:val="1"/>
          <w:color w:val="auto"/>
        </w:rPr>
        <w:t>Separation Date</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recognition of Executive’s past services and contributions to the Company and agreement to continue his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ensure a smooth transition, the Company desires to provide Executive with the Separation Benefits (as defined below); and</w:t>
      </w:r>
    </w:p>
    <w:p>
      <w:pPr>
        <w:spacing w:after="0" w:line="138" w:lineRule="exact"/>
        <w:rPr>
          <w:sz w:val="20"/>
          <w:szCs w:val="20"/>
          <w:color w:val="auto"/>
        </w:rPr>
      </w:pPr>
    </w:p>
    <w:p>
      <w:pPr>
        <w:jc w:val="both"/>
        <w:ind w:right="20"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set forth in writing the terms and conditions governing Executive’s continued employment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eligibility to receive the Separation Benefits.</w:t>
      </w:r>
    </w:p>
    <w:p>
      <w:pPr>
        <w:spacing w:after="0" w:line="138" w:lineRule="exact"/>
        <w:rPr>
          <w:sz w:val="20"/>
          <w:szCs w:val="20"/>
          <w:color w:val="auto"/>
        </w:rPr>
      </w:pPr>
    </w:p>
    <w:p>
      <w:pPr>
        <w:ind w:right="360"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promises contained herein, the adequacy of which is hereby acknowledged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party, Executive and the Company hereby agree as follows: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16" w:lineRule="exact"/>
        <w:rPr>
          <w:sz w:val="20"/>
          <w:szCs w:val="20"/>
          <w:color w:val="auto"/>
        </w:rPr>
      </w:pPr>
    </w:p>
    <w:p>
      <w:pPr>
        <w:ind w:left="1220" w:hanging="463"/>
        <w:spacing w:after="0"/>
        <w:tabs>
          <w:tab w:leader="none" w:pos="12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shall be effective April 5, 2022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220" w:hanging="463"/>
        <w:spacing w:after="0"/>
        <w:tabs>
          <w:tab w:leader="none" w:pos="12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Period.</w:t>
      </w:r>
    </w:p>
    <w:p>
      <w:pPr>
        <w:spacing w:after="0" w:line="212" w:lineRule="exact"/>
        <w:rPr>
          <w:sz w:val="20"/>
          <w:szCs w:val="20"/>
          <w:color w:val="auto"/>
        </w:rPr>
      </w:pPr>
    </w:p>
    <w:p>
      <w:pPr>
        <w:jc w:val="both"/>
        <w:ind w:firstLine="757"/>
        <w:spacing w:after="0"/>
        <w:tabs>
          <w:tab w:leader="none" w:pos="125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period commencing on Effective Date and ending on the Separation Date (the “</w:t>
      </w:r>
      <w:r>
        <w:rPr>
          <w:rFonts w:ascii="Times New Roman" w:cs="Times New Roman" w:eastAsia="Times New Roman" w:hAnsi="Times New Roman"/>
          <w:sz w:val="20"/>
          <w:szCs w:val="20"/>
          <w:b w:val="1"/>
          <w:bCs w:val="1"/>
          <w:i w:val="1"/>
          <w:iCs w:val="1"/>
          <w:color w:val="auto"/>
        </w:rPr>
        <w:t>Employment Period</w:t>
      </w:r>
      <w:r>
        <w:rPr>
          <w:rFonts w:ascii="Times New Roman" w:cs="Times New Roman" w:eastAsia="Times New Roman" w:hAnsi="Times New Roman"/>
          <w:sz w:val="20"/>
          <w:szCs w:val="20"/>
          <w:color w:val="auto"/>
        </w:rPr>
        <w:t>”), Executive shall remain an employee of the Company and shall report to the Company’s Chief Financial and Business Officer and shall devote such portion of his business time and attention to his duties to the Company as is mutually agreed with the Company’s Chief Financial and Business Officer. During the Employment Period, Executive will continue to be paid the same base salary as in effect immediately prior to the execution of this Agreement and shall continue to be entitled to participate in all employee benefit plans in which Executive is currently participating (to the extent such benefits continue to be offered to other Company employees), in accordance with the terms of such plans, as they may be in effect from time to time. Except as provided in Section 3(b) below, Executive acknowledges that he will not be eligible for an annual bonus for 2022. Notwithstanding anything herein, Executive’s employment with the Company shall remain “at-will,” meaning that both Executive and the Company have the right to terminate Executive’s employment with the Company at any time, for Executive reason, with or without notice, subject to the terms of this Agreement. If Executive’s employment terminates for any reason, Executive shall not be entitled to any termination or severance payments or benefits other than as provided in this Agreement.</w:t>
      </w:r>
    </w:p>
    <w:p>
      <w:pPr>
        <w:spacing w:after="0" w:line="187" w:lineRule="exact"/>
        <w:rPr>
          <w:rFonts w:ascii="Times New Roman" w:cs="Times New Roman" w:eastAsia="Times New Roman" w:hAnsi="Times New Roman"/>
          <w:sz w:val="20"/>
          <w:szCs w:val="20"/>
          <w:color w:val="auto"/>
        </w:rPr>
      </w:pPr>
    </w:p>
    <w:p>
      <w:pPr>
        <w:ind w:firstLine="757"/>
        <w:spacing w:after="0" w:line="269" w:lineRule="auto"/>
        <w:tabs>
          <w:tab w:leader="none" w:pos="125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reimburse Executive for any and all reasonable and necessary business expenses incurred by Executive in connection with the performance of his job duties prior to the Separation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line="268" w:lineRule="auto"/>
        <w:rPr>
          <w:sz w:val="20"/>
          <w:szCs w:val="20"/>
          <w:color w:val="auto"/>
        </w:rPr>
      </w:pPr>
      <w:r>
        <w:rPr>
          <w:rFonts w:ascii="Times New Roman" w:cs="Times New Roman" w:eastAsia="Times New Roman" w:hAnsi="Times New Roman"/>
          <w:sz w:val="20"/>
          <w:szCs w:val="20"/>
          <w:color w:val="auto"/>
        </w:rPr>
        <w:t>Date in accordance with the Company’s policies, which expenses shall be submitted to the Company with supporting receipts and/or documentation no later than thirty (30) days after the Separation Date.</w:t>
      </w:r>
    </w:p>
    <w:p>
      <w:pPr>
        <w:spacing w:after="0" w:line="161" w:lineRule="exact"/>
        <w:rPr>
          <w:sz w:val="20"/>
          <w:szCs w:val="20"/>
          <w:color w:val="auto"/>
        </w:rPr>
      </w:pPr>
    </w:p>
    <w:p>
      <w:pPr>
        <w:jc w:val="both"/>
        <w:ind w:firstLine="757"/>
        <w:spacing w:after="0" w:line="242" w:lineRule="auto"/>
        <w:tabs>
          <w:tab w:leader="none" w:pos="125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3(d) below, Executive’s entitlement to health benefits from the Company, and eligibility to participate in the Company’s health benefit plans, shall cease on the last day of the calendar month during which the Separation Date occurs,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for himself and any covered dependents. Executive’s entitlement to other benefits from the Company, and eligibility to participate in the Company’s other benefit plans and programs, shall cease on the Separation Date.</w:t>
      </w:r>
    </w:p>
    <w:p>
      <w:pPr>
        <w:spacing w:after="0" w:line="188" w:lineRule="exact"/>
        <w:rPr>
          <w:sz w:val="20"/>
          <w:szCs w:val="20"/>
          <w:color w:val="auto"/>
        </w:rPr>
      </w:pPr>
    </w:p>
    <w:p>
      <w:pPr>
        <w:ind w:left="1220" w:hanging="463"/>
        <w:spacing w:after="0"/>
        <w:tabs>
          <w:tab w:leader="none" w:pos="12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Date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3" w:lineRule="auto"/>
        <w:tabs>
          <w:tab w:leader="none" w:pos="1259"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Separation Date will be the termination date of Executive’s employment with the Company for all purposes, including active participation in and coverage under all benefit plans and programs sponsored by or through the Company, except as provided in this Agreement. Executive hereby confirms his termination from all positions he holds with the Company effective as of the Separation Date. In accordance with applicable law, following the Separation Date, the Company will issue to Executive his final paycheck, reflecting his earned but unpaid base salary through the Separation Date.</w:t>
      </w:r>
    </w:p>
    <w:p>
      <w:pPr>
        <w:spacing w:after="0" w:line="185" w:lineRule="exact"/>
        <w:rPr>
          <w:rFonts w:ascii="Times New Roman" w:cs="Times New Roman" w:eastAsia="Times New Roman" w:hAnsi="Times New Roman"/>
          <w:sz w:val="20"/>
          <w:szCs w:val="20"/>
          <w:color w:val="auto"/>
        </w:rPr>
      </w:pPr>
    </w:p>
    <w:p>
      <w:pPr>
        <w:jc w:val="both"/>
        <w:ind w:firstLine="404"/>
        <w:spacing w:after="0" w:line="242" w:lineRule="auto"/>
        <w:tabs>
          <w:tab w:leader="none" w:pos="79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the Separation Date occurs as a result of (i) the expiration of the Employment Period on August 15, 2022, or (ii) any earlier termination of Executive’s employment by the Company, including as a result of Executive’s death or disability (other than due to (x) circumstances described as “Cause” definition under the Company’s 2019 Incentive Award Plan or (y) Executive’s material breach of Section 5 hereof (such termination pursuant to clauses (x) or (y), a “</w:t>
      </w:r>
      <w:r>
        <w:rPr>
          <w:rFonts w:ascii="Times New Roman" w:cs="Times New Roman" w:eastAsia="Times New Roman" w:hAnsi="Times New Roman"/>
          <w:sz w:val="20"/>
          <w:szCs w:val="20"/>
          <w:b w:val="1"/>
          <w:bCs w:val="1"/>
          <w:i w:val="1"/>
          <w:iCs w:val="1"/>
          <w:color w:val="auto"/>
        </w:rPr>
        <w:t>Cause Termination</w:t>
      </w:r>
      <w:r>
        <w:rPr>
          <w:rFonts w:ascii="Times New Roman" w:cs="Times New Roman" w:eastAsia="Times New Roman" w:hAnsi="Times New Roman"/>
          <w:sz w:val="20"/>
          <w:szCs w:val="20"/>
          <w:color w:val="auto"/>
        </w:rPr>
        <w:t>”), and other than as a result of Executive’s resignation, and subject to Executive’s continued compliance with Section 5, including Section 5(e) regarding the return of Company property, and the occurrence of the Release Effective Date (as defined below), in addition to the amounts set forth in Section 3(a), Executive shall be entitled to receive the following separation benefits (the “</w:t>
      </w:r>
      <w:r>
        <w:rPr>
          <w:rFonts w:ascii="Times New Roman" w:cs="Times New Roman" w:eastAsia="Times New Roman" w:hAnsi="Times New Roman"/>
          <w:sz w:val="20"/>
          <w:szCs w:val="20"/>
          <w:b w:val="1"/>
          <w:bCs w:val="1"/>
          <w:i w:val="1"/>
          <w:iCs w:val="1"/>
          <w:color w:val="auto"/>
        </w:rPr>
        <w:t>Separation Benefits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16"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Separation Date occurs prior to August 15, 2022, an amount equal to Executive’s base salary for the period commencing on the Separation Date through and including August 15, 2022, payable in a lump sum on the first regular Company payroll date following the Release Effective Date;</w:t>
      </w:r>
    </w:p>
    <w:p>
      <w:pPr>
        <w:spacing w:after="0" w:line="174" w:lineRule="exact"/>
        <w:rPr>
          <w:rFonts w:ascii="Times New Roman" w:cs="Times New Roman" w:eastAsia="Times New Roman" w:hAnsi="Times New Roman"/>
          <w:sz w:val="20"/>
          <w:szCs w:val="20"/>
          <w:color w:val="auto"/>
        </w:rPr>
      </w:pPr>
    </w:p>
    <w:p>
      <w:pPr>
        <w:jc w:val="both"/>
        <w:ind w:firstLine="2254"/>
        <w:spacing w:after="0" w:line="247" w:lineRule="auto"/>
        <w:tabs>
          <w:tab w:leader="none" w:pos="2516"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shall be entitled to payment of a pro-rated target bonus for 2022, reflecting the portion of 2022 that has elapsed prior to the Separation Date, payable in a lump sum on the first regular Company payroll date following the Release Effective Date;</w:t>
      </w:r>
    </w:p>
    <w:p>
      <w:pPr>
        <w:spacing w:after="0" w:line="176"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16"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holds stock options (the “</w:t>
      </w:r>
      <w:r>
        <w:rPr>
          <w:rFonts w:ascii="Times New Roman" w:cs="Times New Roman" w:eastAsia="Times New Roman" w:hAnsi="Times New Roman"/>
          <w:sz w:val="20"/>
          <w:szCs w:val="20"/>
          <w:b w:val="1"/>
          <w:bCs w:val="1"/>
          <w:i w:val="1"/>
          <w:iCs w:val="1"/>
          <w:color w:val="auto"/>
        </w:rPr>
        <w:t>Stock Options</w:t>
      </w:r>
      <w:r>
        <w:rPr>
          <w:rFonts w:ascii="Times New Roman" w:cs="Times New Roman" w:eastAsia="Times New Roman" w:hAnsi="Times New Roman"/>
          <w:sz w:val="20"/>
          <w:szCs w:val="20"/>
          <w:color w:val="auto"/>
        </w:rPr>
        <w:t>”) to purchase shares of the Company’s common stock issued to Executive by the Company pursuant to certain stock option agreements (the “</w:t>
      </w:r>
      <w:r>
        <w:rPr>
          <w:rFonts w:ascii="Times New Roman" w:cs="Times New Roman" w:eastAsia="Times New Roman" w:hAnsi="Times New Roman"/>
          <w:sz w:val="20"/>
          <w:szCs w:val="20"/>
          <w:b w:val="1"/>
          <w:bCs w:val="1"/>
          <w:i w:val="1"/>
          <w:iCs w:val="1"/>
          <w:color w:val="auto"/>
        </w:rPr>
        <w:t>Stock Option Agreements</w:t>
      </w:r>
      <w:r>
        <w:rPr>
          <w:rFonts w:ascii="Times New Roman" w:cs="Times New Roman" w:eastAsia="Times New Roman" w:hAnsi="Times New Roman"/>
          <w:sz w:val="20"/>
          <w:szCs w:val="20"/>
          <w:color w:val="auto"/>
        </w:rPr>
        <w:t>”). All of Executive’s vested Stock Options as of the Separation Date may be exercised by Executive until December 31, 2022. Executive hereby agrees and acknowledges that, notwithstanding any provisions in any other agreement between Executive and the Company to the contrary, including the Stock Option Agreements and the equity plan pursuant to which they were granted, on the Separation Date, any portion of the Stock Options and all other unvested equity awards (excluding performance share units (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held by Executive) held by Executive and outstanding as of the Separation Date shall be cancelled, surrendered and forfeited by Executive for no consideration immediately upon the Separation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ind w:firstLine="2254"/>
        <w:spacing w:after="0" w:line="249" w:lineRule="auto"/>
        <w:tabs>
          <w:tab w:leader="none" w:pos="251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holds PSUs issued to Executive by the Company pursuant to certain PSU award agreements (the “</w:t>
      </w:r>
      <w:r>
        <w:rPr>
          <w:rFonts w:ascii="Times New Roman" w:cs="Times New Roman" w:eastAsia="Times New Roman" w:hAnsi="Times New Roman"/>
          <w:sz w:val="20"/>
          <w:szCs w:val="20"/>
          <w:b w:val="1"/>
          <w:bCs w:val="1"/>
          <w:i w:val="1"/>
          <w:iCs w:val="1"/>
          <w:color w:val="auto"/>
        </w:rPr>
        <w:t>PSU Agreements</w:t>
      </w:r>
      <w:r>
        <w:rPr>
          <w:rFonts w:ascii="Times New Roman" w:cs="Times New Roman" w:eastAsia="Times New Roman" w:hAnsi="Times New Roman"/>
          <w:sz w:val="20"/>
          <w:szCs w:val="20"/>
          <w:color w:val="auto"/>
        </w:rPr>
        <w:t>”). Notwithstanding any provisions in any other agreement between Executive and the Company to the contrary, including the PSU Agreements and the equity plan pursuant to which the PSUs were granted, all of Executive’s PSUs as of the Separation Date will not be canceled and Executive will remain eligible to vest in such PSUs in accordance with their terms.</w:t>
      </w:r>
    </w:p>
    <w:p>
      <w:pPr>
        <w:spacing w:after="0" w:line="165" w:lineRule="exact"/>
        <w:rPr>
          <w:rFonts w:ascii="Times New Roman" w:cs="Times New Roman" w:eastAsia="Times New Roman" w:hAnsi="Times New Roman"/>
          <w:sz w:val="20"/>
          <w:szCs w:val="20"/>
          <w:color w:val="auto"/>
        </w:rPr>
      </w:pPr>
    </w:p>
    <w:p>
      <w:pPr>
        <w:jc w:val="both"/>
        <w:ind w:firstLine="2254"/>
        <w:spacing w:after="0" w:line="239" w:lineRule="auto"/>
        <w:tabs>
          <w:tab w:leader="none" w:pos="251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period beginning on the Separation Date and ending on April 30, 2023 (or, if earlier, (i) the date on which the applicable continuation period under COBRA expires, or (ii) the date on which Executive becomes eligible to receive the equivalent or increased healthcare coverage by means of subsequent employment or self- employment) (such period, the “</w:t>
      </w:r>
      <w:r>
        <w:rPr>
          <w:rFonts w:ascii="Times New Roman" w:cs="Times New Roman" w:eastAsia="Times New Roman" w:hAnsi="Times New Roman"/>
          <w:sz w:val="20"/>
          <w:szCs w:val="20"/>
          <w:b w:val="1"/>
          <w:bCs w:val="1"/>
          <w:i w:val="1"/>
          <w:iCs w:val="1"/>
          <w:color w:val="auto"/>
        </w:rPr>
        <w:t>COBRA Coverage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Period</w:t>
      </w:r>
      <w:r>
        <w:rPr>
          <w:rFonts w:ascii="Times New Roman" w:cs="Times New Roman" w:eastAsia="Times New Roman" w:hAnsi="Times New Roman"/>
          <w:sz w:val="20"/>
          <w:szCs w:val="20"/>
          <w:color w:val="auto"/>
        </w:rPr>
        <w:t>”), the Company shall pay for or reimburse Executive on a monthly basis for an amount equal to (x) the monthly premium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and/or Executive’s covered dependents, as applicable, are required to pay for continuation coverage pursuant to COBRA for Executive and/or Executive’s eligible dependents, as applicable, who were covered under the Company’s health plans as of the Separation Date (calculated by reference to the premium as of the Separation Date) less (y) the amount Executive would have had to pay to receive group health coverage for Executive and/or Executive’s covered dependents, as applicable, based on the cost sharing levels in effect on the Separation Date. If the Company cannot provide the foregoing benefits in a manner that is exempt from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or that is otherwise compliant with applicable law (including, without limitation, Section 2716 of the Public Health Service Act), instead of providing the payments or reimbursements as set forth above, the Company shall instead pay to Executive the foregoing monthly amount as a taxable monthly payment for the COBRA Coverage Period (or any remaining portion thereof). Executive shall be solely responsible for all matters relating to continuation of coverage pursuant to COBRA, including, without limitation, the election of such coverage and the timely payment of premiums. Executive shall notify the Company immediately if he becomes eligible to receive the equivalent or increased healthcare coverage by means of subsequent employment or self-employment.</w:t>
      </w:r>
    </w:p>
    <w:p>
      <w:pPr>
        <w:spacing w:after="0" w:line="196"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to Executive’s receipt of the foregoing Separation Benefits pursuant to this Section 2(d), Executive shall execute (but not prior to the Separation Date) and not revoke a general release of all claims in favor of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The date on which Executive’s Release becomes effective in accordance with its terms is referred to as the “</w:t>
      </w:r>
      <w:r>
        <w:rPr>
          <w:rFonts w:ascii="Times New Roman" w:cs="Times New Roman" w:eastAsia="Times New Roman" w:hAnsi="Times New Roman"/>
          <w:sz w:val="20"/>
          <w:szCs w:val="20"/>
          <w:b w:val="1"/>
          <w:bCs w:val="1"/>
          <w:i w:val="1"/>
          <w:iCs w:val="1"/>
          <w:color w:val="auto"/>
        </w:rPr>
        <w:t>Release Effective Date</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757"/>
        <w:spacing w:after="0" w:line="244" w:lineRule="auto"/>
        <w:tabs>
          <w:tab w:leader="none" w:pos="125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Separation Benefits shall be the exclusive severance benefits to which Executive is entitled, unless Executive has breached the provisions of this Agreement, in which case Section 5(e) shall apply. Executive understands that Executive will not be entitled to the Separation Benefits under this Agreement if the Release Effective Date does not occur on or before the date that is thirty (30) calendar days following the Separation Date, or in the event Executive breaches the terms of the PIIA or this Agreement. Executive acknowledges that, other than the compensation set forth in Section 2 above paid to him as provided therein and the Separation Benefits set forth in this Section 3, he has or will have received all wages, accrued but unused vacation or paid time off, and other benefits due him as a result of his employment or service with and termination from the Company.</w:t>
      </w:r>
    </w:p>
    <w:p>
      <w:pPr>
        <w:spacing w:after="0" w:line="186" w:lineRule="exact"/>
        <w:rPr>
          <w:sz w:val="20"/>
          <w:szCs w:val="20"/>
          <w:color w:val="auto"/>
        </w:rPr>
      </w:pPr>
    </w:p>
    <w:p>
      <w:pPr>
        <w:ind w:left="1500" w:hanging="743"/>
        <w:spacing w:after="0"/>
        <w:tabs>
          <w:tab w:leader="none" w:pos="15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9" w:lineRule="auto"/>
        <w:tabs>
          <w:tab w:leader="none" w:pos="125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not to sue, or otherwise file any claim against, the Company or its parent companies, subsidiaries or affiliates, and any of their respective successors, assigns, directors, officers, managers, employees, attorneys, insurers, or agents, each in their respective capacities as such (collectively, the “</w:t>
      </w:r>
      <w:r>
        <w:rPr>
          <w:rFonts w:ascii="Times New Roman" w:cs="Times New Roman" w:eastAsia="Times New Roman" w:hAnsi="Times New Roman"/>
          <w:sz w:val="20"/>
          <w:szCs w:val="20"/>
          <w:b w:val="1"/>
          <w:bCs w:val="1"/>
          <w:i w:val="1"/>
          <w:iCs w:val="1"/>
          <w:color w:val="auto"/>
        </w:rPr>
        <w:t>Company Parties</w:t>
      </w:r>
      <w:r>
        <w:rPr>
          <w:rFonts w:ascii="Times New Roman" w:cs="Times New Roman" w:eastAsia="Times New Roman" w:hAnsi="Times New Roman"/>
          <w:sz w:val="20"/>
          <w:szCs w:val="20"/>
          <w:color w:val="auto"/>
        </w:rPr>
        <w:t>”), for any reason whatsoever based on anything that has occurred at any time up to and including the execution date of this Agreement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firstLine="1505"/>
        <w:spacing w:after="0" w:line="238" w:lineRule="auto"/>
        <w:tabs>
          <w:tab w:leader="none" w:pos="189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behalf of Executive and his executors, administrators, heirs and assigns, Executive hereby releases and forever discharge the Company Parties,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Executive now has or may hereafter have against any of the Company Parties by reason of any matter, cause, or thing whatsoever from the beginning of time through and including the execution date of this Agreement, including, without limiting the generality of the foregoing: any Claims arising directly or indirectly out of, relating to, or in any other way involving in any manner whatsoever Executive’s employment by the Company or its affiliates or the separation thereof, including without limitation any and all Claims arising under federal, state, or local laws relating to employment; any Claims of any kind that may be brought in any court or administrative agency; any Claims arising under Title VII of the Civil Rights Act of 1964, the Civil Rights Act of 1991, the Equal Pay Act, the Civil Rights Act of 1866, Section 1981, 42 U.S.C. § 1981, the Family and Medical Leave Act of 1993, the Americans with Disabilities Act of 1990, the False Claims Act, the Employee Retirement Income Security Act, the Worker Adjustment and Retraining Notification Act, the Fair Labor Standards Act, the Sarbanes-Oxley Act of 2002, the National Labor Relations Act of 1935, the Uniformed Services Employment and Reemployment Rights Act of 1994, Fair Credit Reporting Act, New Jersey's Conscientious Employee Protection Act, the New Jersey Soldiers' and Sailors' Civil Relief Act, Millville Dallas Airmotive Plant Job Loss Notification Act, New Jersey Family Leave Act, New Jersey Law Against Discrimination, New Jersey Security and Financial Empowerment Act, New Jersey State Wage and Hour Law, New Jersey Paid Sick Leave Law, and New Jersey State Wage Payment Law, or any similar state law, each of the foregoing as may have been amended, and any other federal, state, or local statute, regulation, ordinance, constitution, or order concerning labor or employment, termination of labor or employment, wages and benefits, retaliation, leaves of absence, or any other term or condition of employment; Claims for breach of contract; Claims for unfair business practices;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94"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generality of the foregoing, Executive does not release any Claims that cannot be released as a matter of law including, without limitation, (A) Executive’s right to file for unemployment insurance benefits or any state disability insurance benefits pursuant to the terms of applicable state law; (B) Executive’s right to file claims for workers’ compensation insurance benefits under the terms of any worker’s compensation insurance policy or fund of the Company; (C)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(D) Executive’s right to communicate directly with the U.S. Securities and Exchange Commission, the U.S. Commodity Futures Trading Commission, the U.S. Department of Justice or similar agency, or to cooperate with or participate in any investigation by such agency; or (E) Executive’s right to make any disclosure that are protected under the whistleblower provisions of applicable law. For the avoidance of doubt, Executive does not need to notify or obtain the prior authorization of the Company to exercise any of the foregoing rights. Furthermore, Executive does not release hereby any rights that Executive may have relating to (x) indemnification by the Company or its affiliates under any indemnification agreement with the Company, the Company’s Bylaws or any applicable law or under any applicable insurance policy with respect to Executive’s liability as an employee of the Company; (y) Executive’s vested accrued benefits under the Company’s respective benefits and compensation plans; and (z) any Claims for breach of this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ind w:firstLine="757"/>
        <w:spacing w:after="0" w:line="249" w:lineRule="auto"/>
        <w:tabs>
          <w:tab w:leader="none" w:pos="125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that he is the sole owner of all Claims relating to his employment or service with the Company and/or with any predecessor of the Company and that he has not assigned or transferred any Claims relating to his employment or service to any other person or entity. Executive understands and agrees that the Agreement will not be construed at any time as an admission of liability or wrongdoing by either the Company or Executive.</w:t>
      </w:r>
    </w:p>
    <w:p>
      <w:pPr>
        <w:spacing w:after="0" w:line="165" w:lineRule="exact"/>
        <w:rPr>
          <w:sz w:val="20"/>
          <w:szCs w:val="20"/>
          <w:color w:val="auto"/>
        </w:rPr>
      </w:pPr>
    </w:p>
    <w:p>
      <w:pPr>
        <w:ind w:left="1500" w:hanging="743"/>
        <w:spacing w:after="0"/>
        <w:tabs>
          <w:tab w:leader="none" w:pos="150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54" w:lineRule="auto"/>
        <w:tabs>
          <w:tab w:leader="none" w:pos="12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hereby expressly reaffirms his obligations under the Company’s Proprietary Information and Inventions Assignment Agreement between Executive and the Company,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incorporated herein by reference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and agrees that such obligations shall survive the Separation Date.</w:t>
      </w:r>
    </w:p>
    <w:p>
      <w:pPr>
        <w:spacing w:after="0" w:line="174" w:lineRule="exact"/>
        <w:rPr>
          <w:rFonts w:ascii="Times New Roman" w:cs="Times New Roman" w:eastAsia="Times New Roman" w:hAnsi="Times New Roman"/>
          <w:sz w:val="20"/>
          <w:szCs w:val="20"/>
          <w:color w:val="auto"/>
        </w:rPr>
      </w:pPr>
    </w:p>
    <w:p>
      <w:pPr>
        <w:jc w:val="both"/>
        <w:ind w:firstLine="757"/>
        <w:spacing w:after="0" w:line="242" w:lineRule="auto"/>
        <w:tabs>
          <w:tab w:leader="none" w:pos="12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for one (1) year immediately following the Separation Date, Executive shall not interfere with the business of the Company by (i) soliciting or attempting to solicit any employee or consultant of the Company to terminate such employee’s or consultant’s employment or service in order to become an employee, consultant or independent contractor to or for any other person or entity or (ii) soliciting or attempting to solicit any vendor, supplier, customer or other person or entity either directly or indirectly, to direct his, her or its purchase of the Company’s products and/or services to any person, firm, corporation, institution or other entity in competition with the business of the Company.</w:t>
      </w:r>
    </w:p>
    <w:p>
      <w:pPr>
        <w:spacing w:after="0" w:line="188" w:lineRule="exact"/>
        <w:rPr>
          <w:rFonts w:ascii="Times New Roman" w:cs="Times New Roman" w:eastAsia="Times New Roman" w:hAnsi="Times New Roman"/>
          <w:sz w:val="20"/>
          <w:szCs w:val="20"/>
          <w:color w:val="auto"/>
        </w:rPr>
      </w:pPr>
    </w:p>
    <w:p>
      <w:pPr>
        <w:jc w:val="both"/>
        <w:ind w:firstLine="757"/>
        <w:spacing w:after="0" w:line="243" w:lineRule="auto"/>
        <w:tabs>
          <w:tab w:leader="none" w:pos="12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that Executive will not make any negative or disparaging statements or comments about Company, its employees, officers, directors, shareholders, vendors, products or services, business, technologies, market position or performance. The Company agrees that it shall not, and shall cause its directors and executive officers not to, make any negative or disparaging statements or comments about Executive. Nothing in this Section 5(c) will prohibit Executive or the Company from providing truthful information in response to a subpoena or other legal process.</w:t>
      </w:r>
    </w:p>
    <w:p>
      <w:pPr>
        <w:spacing w:after="0" w:line="185" w:lineRule="exact"/>
        <w:rPr>
          <w:rFonts w:ascii="Times New Roman" w:cs="Times New Roman" w:eastAsia="Times New Roman" w:hAnsi="Times New Roman"/>
          <w:sz w:val="20"/>
          <w:szCs w:val="20"/>
          <w:color w:val="auto"/>
        </w:rPr>
      </w:pPr>
    </w:p>
    <w:p>
      <w:pPr>
        <w:jc w:val="both"/>
        <w:ind w:firstLine="757"/>
        <w:spacing w:after="0" w:line="241" w:lineRule="auto"/>
        <w:tabs>
          <w:tab w:leader="none" w:pos="12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Executive represents and warrants that, upon the Separation Date, he will return to the Company all Company documents (and all copies thereof) and other Company property that Executive has or had in his possession at any time, including but not limited to Company files, notes, drawings, records, business plans and forecasts, financial information, specification, computer-recorded information, tangible property (including, but not limited to, computers, laptops, pagers, etc.), credit cards, entry cards, identification badges and keys and any materials of any kind which contain or embody any proprietary or confidential information of Company (and all reproductions thereof). Executive understands that he is bound by any and all confidential/proprietary/trade secret information, non-disclosure and inventions assignment agreement(s) signed by Executive in connection with his employment with Company, including the PIIA, pursuant to the terms of such agreement(s). Executive's compliance with this Section 5(d) shall be a condition to his receipt of the Separation Benefits.</w:t>
      </w:r>
    </w:p>
    <w:p>
      <w:pPr>
        <w:spacing w:after="0" w:line="189" w:lineRule="exact"/>
        <w:rPr>
          <w:rFonts w:ascii="Times New Roman" w:cs="Times New Roman" w:eastAsia="Times New Roman" w:hAnsi="Times New Roman"/>
          <w:sz w:val="20"/>
          <w:szCs w:val="20"/>
          <w:color w:val="auto"/>
        </w:rPr>
      </w:pPr>
    </w:p>
    <w:p>
      <w:pPr>
        <w:ind w:right="20" w:firstLine="757"/>
        <w:spacing w:after="0" w:line="255" w:lineRule="auto"/>
        <w:tabs>
          <w:tab w:leader="none" w:pos="12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all other rights and remedies available to the Company under law or in equity, the Company shall be entitled to withhold all Separation Benefits from Executive in the event of his breach of this Section 5.</w:t>
      </w:r>
    </w:p>
    <w:p>
      <w:pPr>
        <w:spacing w:after="0" w:line="172" w:lineRule="exact"/>
        <w:rPr>
          <w:rFonts w:ascii="Times New Roman" w:cs="Times New Roman" w:eastAsia="Times New Roman" w:hAnsi="Times New Roman"/>
          <w:sz w:val="20"/>
          <w:szCs w:val="20"/>
          <w:color w:val="auto"/>
        </w:rPr>
      </w:pPr>
    </w:p>
    <w:p>
      <w:pPr>
        <w:jc w:val="both"/>
        <w:ind w:firstLine="757"/>
        <w:spacing w:after="0" w:line="245" w:lineRule="auto"/>
        <w:tabs>
          <w:tab w:leader="none" w:pos="12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construed to prohibit Executive from communicating directly with, cooperating with, or providing information to, any government regulator, including, but not limited to, the U.S. Securities and Exchange Commission, the U.S. Commodity Futures Trading Commission, or the U.S. Department of Justice. Executive acknowledges that the Company has provided Executive with the following notice of immunity rights in compliance with the requirements of the Defend Trade Secrets Act: (i) Executive shall not be held criminally or civilly liable under any Federal or State trade secret law for the disclosure of proprietary information that is made in confidence to a Federal, State, or local government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both"/>
        <w:spacing w:after="0" w:line="242" w:lineRule="auto"/>
        <w:rPr>
          <w:sz w:val="20"/>
          <w:szCs w:val="20"/>
          <w:color w:val="auto"/>
        </w:rPr>
      </w:pPr>
      <w:r>
        <w:rPr>
          <w:rFonts w:ascii="Times New Roman" w:cs="Times New Roman" w:eastAsia="Times New Roman" w:hAnsi="Times New Roman"/>
          <w:sz w:val="20"/>
          <w:szCs w:val="20"/>
          <w:color w:val="auto"/>
        </w:rPr>
        <w:t>official or to an attorney solely for the purpose of reporting or investigating a suspected violation of law, (ii) Executive shall not be held criminally or civilly liable under any Federal or State trade secret law for the disclosure of proprietary information that is made in a complaint or other document filed in a lawsuit or other proceeding, if such filing is made under seal, and (iii) if Executive files a lawsuit for retaliation by the Company for reporting a suspected violation of law, Executive may disclose the proprietary information to Executive’s attorney and use the proprietary information in the court proceeding, if Executive files any document containing the proprietary information under seal, and does not disclose the proprietary information, except pursuant to court order.</w:t>
      </w:r>
    </w:p>
    <w:p>
      <w:pPr>
        <w:spacing w:after="0" w:line="183" w:lineRule="exact"/>
        <w:rPr>
          <w:sz w:val="20"/>
          <w:szCs w:val="20"/>
          <w:color w:val="auto"/>
        </w:rPr>
      </w:pPr>
    </w:p>
    <w:p>
      <w:pPr>
        <w:ind w:right="20" w:firstLine="757"/>
        <w:spacing w:after="0" w:line="273" w:lineRule="auto"/>
        <w:tabs>
          <w:tab w:leader="none" w:pos="1259"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5, the term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not only the Company, but also as any company, partnership or entity which, directly or indirectly, controls, is controlled by or is under common control with such entities.</w:t>
      </w:r>
    </w:p>
    <w:p>
      <w:pPr>
        <w:spacing w:after="0" w:line="156" w:lineRule="exact"/>
        <w:rPr>
          <w:sz w:val="20"/>
          <w:szCs w:val="20"/>
          <w:color w:val="auto"/>
        </w:rPr>
      </w:pPr>
    </w:p>
    <w:p>
      <w:pPr>
        <w:jc w:val="both"/>
        <w:ind w:firstLine="757"/>
        <w:spacing w:after="0" w:line="239" w:lineRule="auto"/>
        <w:tabs>
          <w:tab w:leader="none" w:pos="121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As a condition of his receipt of the Separation Benefits, Executive agrees that, upon reasonable notice and without the necessity of Company obtaining a subpoena or court order, he will provide reasonable cooperation to Company in connection with any suit, action or proceeding (or any appeal from any suit, action or proceeding), or the decision to commence on behalf of the Company any suit, action or proceeding, any investigation and/or any defense of any claims asserted against the Company or any of the Company’s current or former directors, officers, employees, partners, stockholders, agents or representatives of any of the foregoing, and any ongoing or future investigation or dispute or claim of any kind involving the Company that relates to events occurring during his employment as to which he may have relevant information and any other matter for which he was responsible or had knowledge of through the Separation Date. Such cooperation may include, but will not be limited to, providing background information within Executive’s knowledge; aiding in the drafting of declarations; executing declarations or similar documents; testifying or otherwise appearing at investigation interviews, depositions, arbitrations or court hearings; and preparing for the above-described or similar activities. Upon the reasonable request of Company, Executive agrees to cooperate with the transition of his job responsibilities following the Separation Date and cooperate in providing information on matters on which he was involved while an employee. If cooperation from Executive exceeds twenty (20) hours the Company shall compensate Executive at a reasonable fair market value rate for his time.</w:t>
      </w:r>
    </w:p>
    <w:p>
      <w:pPr>
        <w:spacing w:after="0" w:line="195" w:lineRule="exact"/>
        <w:rPr>
          <w:rFonts w:ascii="Times New Roman" w:cs="Times New Roman" w:eastAsia="Times New Roman" w:hAnsi="Times New Roman"/>
          <w:sz w:val="20"/>
          <w:szCs w:val="20"/>
          <w:color w:val="auto"/>
        </w:rPr>
      </w:pPr>
    </w:p>
    <w:p>
      <w:pPr>
        <w:ind w:left="1220" w:hanging="463"/>
        <w:spacing w:after="0"/>
        <w:tabs>
          <w:tab w:leader="none" w:pos="12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2" w:lineRule="auto"/>
        <w:tabs>
          <w:tab w:leader="none" w:pos="125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this Agreement shall be interpreted in accordance with Section 409A of the Code and Department of Treasury regulations and other interpretive guidance issued thereunder. 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For purposes of Section 409A of the Code, any right to a series of installment payments under this Agreement shall be treated as a right to a series of separate payments.</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25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the Separation Date will constitute the date of Executive’s “separation from service” (as defined in Treasury Regulation Section 1.409A-1(h)) (“Separation from Service”).</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25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is a “specified employee” (as defined in Section 409A of the Code), as determined by the Company in accordance with Section 409A of the Code, on the Separation Date, to the extent that the payments or benefits under this Agreement are “non-qualified deferred compensation” subject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spacing w:after="0" w:line="243" w:lineRule="auto"/>
        <w:rPr>
          <w:sz w:val="20"/>
          <w:szCs w:val="20"/>
          <w:color w:val="auto"/>
        </w:rPr>
      </w:pPr>
      <w:r>
        <w:rPr>
          <w:rFonts w:ascii="Times New Roman" w:cs="Times New Roman" w:eastAsia="Times New Roman" w:hAnsi="Times New Roman"/>
          <w:sz w:val="20"/>
          <w:szCs w:val="20"/>
          <w:color w:val="auto"/>
        </w:rPr>
        <w:t>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8(c) shall be paid or distributed to Executive in a lump sum on the earlier of (i) the date that is six (6) months and one day following Executive’s Separation from Service, (ii) the date of Executive’s death, or (iii) the earliest date as is permitted under Section 409A of the Code. Any remaining payments due under this Agreement shall be paid as otherwise provided herein.</w:t>
      </w:r>
    </w:p>
    <w:p>
      <w:pPr>
        <w:spacing w:after="0" w:line="185" w:lineRule="exact"/>
        <w:rPr>
          <w:sz w:val="20"/>
          <w:szCs w:val="20"/>
          <w:color w:val="auto"/>
        </w:rPr>
      </w:pPr>
    </w:p>
    <w:p>
      <w:pPr>
        <w:jc w:val="both"/>
        <w:ind w:firstLine="757"/>
        <w:spacing w:after="0" w:line="246" w:lineRule="auto"/>
        <w:tabs>
          <w:tab w:leader="none" w:pos="125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reimbursement of expenses or in-kind benefits payable under this Agreement shall be made in accordance with Treasury Regulation Section 1.409A-3(i)(1)(iv) and shall be paid on or before the last day of Executive’s taxable year following the taxable year in which Executive incurred the expenses. The amount of expenses reimbursed or in-kind benefits payable in one year shall not affect the amount eligible for reimbursement or in-kind benefits payable in any other taxable year of Executive’s, and Executive’s right to reimbursement for such amounts shall not be subject to liquidation or exchange for any other benefit.</w:t>
      </w:r>
    </w:p>
    <w:p>
      <w:pPr>
        <w:spacing w:after="0" w:line="171" w:lineRule="exact"/>
        <w:rPr>
          <w:sz w:val="20"/>
          <w:szCs w:val="20"/>
          <w:color w:val="auto"/>
        </w:rPr>
      </w:pPr>
    </w:p>
    <w:p>
      <w:pPr>
        <w:jc w:val="both"/>
        <w:ind w:firstLine="757"/>
        <w:spacing w:after="0" w:line="239" w:lineRule="auto"/>
        <w:tabs>
          <w:tab w:leader="none" w:pos="12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 and Venue</w:t>
      </w:r>
      <w:r>
        <w:rPr>
          <w:rFonts w:ascii="Times New Roman" w:cs="Times New Roman" w:eastAsia="Times New Roman" w:hAnsi="Times New Roman"/>
          <w:sz w:val="20"/>
          <w:szCs w:val="20"/>
          <w:color w:val="auto"/>
        </w:rPr>
        <w:t>. Executive and the Company agree that any and all disputes, claims, and causes of action, in law or equity, in any way arising out of or relating to the terms of this Agreement, Executive’s employment relationship with the Company, or the termination of Executive’s employment with the Company, shall be resolved, to the fullest extent permitted by law, by final, binding and confidential arbitration in the State of New Jersey, conducted before a single neutral arbitrator selected and administered in accordance with the employment arbitration rules &amp; procedures or then applicable equivalent rules of JAMS (the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and the Federal Arbitration Act, 9 U.S.C. Sec. 1, et seq. A copy of the JAMS Rules may be found on the JAMS website at www.jamsadr.com and will be provided to Executive by the Company upon request. Judgment may be entered on the arbitrator’s award in any court having jurisdiction. Nothing in this Section 9 is intended to prevent either Executive or the Company from obtaining injunctive relief in court to prevent irreparable harm pending the conclusion of any such arbitration. For purposes of settling any dispute or controversy arising hereunder or for the purpose of entering any judgment upon an award rendered by the arbitrator, the Company and Executive hereby consent to the jurisdiction of any or all of the following courts: (i) the United States District Court for the District of New Jersey or (ii) any of the courts of the State of New Jersey. The Company and Executive hereby waive, to the fullest extent permitted by applicable law, any objection which it or he may now or hereafter have to such courts’ jurisdiction and any defense of inconvenient forum with respect to such courts. The Company and Executive hereby agree that a judgment upon an award rendered by the arbitrator may be enforced in other jurisdictions by suit on the judgment or in any other manner provided by law. This Section 9 shall not apply to any claims of violation of any federal or state employment discrimination laws. BY AGREEING TO THIS ARBITRATION PROCEDURE, EXECUTIVE AND THE COMPANY WAIVE THE RIGHT TO RESOLVE ANY SUCH DISPUTE, CLAIM OR DEMAND THROUGH A TRIAL BY JURY OR JUDGE OR BY ADMINISTRATIVE PROCEEDING IN ANY JURISDICTION.</w:t>
      </w:r>
    </w:p>
    <w:p>
      <w:pPr>
        <w:spacing w:after="0" w:line="197" w:lineRule="exact"/>
        <w:rPr>
          <w:rFonts w:ascii="Times New Roman" w:cs="Times New Roman" w:eastAsia="Times New Roman" w:hAnsi="Times New Roman"/>
          <w:sz w:val="20"/>
          <w:szCs w:val="20"/>
          <w:color w:val="auto"/>
        </w:rPr>
      </w:pPr>
    </w:p>
    <w:p>
      <w:pPr>
        <w:jc w:val="both"/>
        <w:ind w:firstLine="757"/>
        <w:spacing w:after="0" w:line="242" w:lineRule="auto"/>
        <w:tabs>
          <w:tab w:leader="none" w:pos="121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required or permitted to be given under this Agreement shall be in writing and shall be deemed to have been duly given when delivered personally or one (1) business day after being sent by a nationally recognized overnight delivery service, charges prepaid. Notices also may be given electronically via PDF and shall be effective on the date transmitted if confirmed within forty-eight (48) hours thereafter by a signed original sent in the manner provided in the preceding sentence. Notice to Executive shall be sent to his most recent residence and personal email address on file with the Company. Notice to the Company shall be sent to its physical address set forth on the first page hereto and addressed to the Chief Administrative Officer at the email address provided by the Company for such person.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ind w:firstLine="757"/>
        <w:spacing w:after="0" w:line="241"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PIIA, the Stock Option Agreements and the PSU Agreements constitute the entire agreement and understanding between the parties as to the subject matter herein and supersede all prior or contemporaneous agreements whether written or oral including, without limitation, Executive’s offer letter dated March 1, 2020, which is expressly terminated and superseded. The invalidity or unenforceability of any provision or provisions of this Agreement will not affect the validity or enforceability of any other provision hereof, which will remain in full force and effect. The terms in this Agreement may only be modified in writing and signed by Executive and an authorized officer of the Company. In the event of any conflict between any of the terms in this Agreement and the terms of any other agreement between Executive and the Company, the terms of this Agreement will control.</w:t>
      </w:r>
    </w:p>
    <w:p>
      <w:pPr>
        <w:spacing w:after="0" w:line="191" w:lineRule="exact"/>
        <w:rPr>
          <w:rFonts w:ascii="Times New Roman" w:cs="Times New Roman" w:eastAsia="Times New Roman" w:hAnsi="Times New Roman"/>
          <w:sz w:val="20"/>
          <w:szCs w:val="20"/>
          <w:color w:val="auto"/>
        </w:rPr>
      </w:pPr>
    </w:p>
    <w:p>
      <w:pPr>
        <w:jc w:val="both"/>
        <w:ind w:firstLine="757"/>
        <w:spacing w:after="0" w:line="242"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the Agreement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Executive acknowledges that he has obtained sufficient information to intelligently exercise his own judgment regarding the terms of the Agreement before executing the Agreement.</w:t>
      </w:r>
    </w:p>
    <w:p>
      <w:pPr>
        <w:spacing w:after="0" w:line="188" w:lineRule="exact"/>
        <w:rPr>
          <w:rFonts w:ascii="Times New Roman" w:cs="Times New Roman" w:eastAsia="Times New Roman" w:hAnsi="Times New Roman"/>
          <w:sz w:val="20"/>
          <w:szCs w:val="20"/>
          <w:color w:val="auto"/>
        </w:rPr>
      </w:pPr>
    </w:p>
    <w:p>
      <w:pPr>
        <w:jc w:val="both"/>
        <w:ind w:firstLine="757"/>
        <w:spacing w:after="0" w:line="254"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will be governed by and construed in accordance with the laws of the United States of America and the State of New Jersey applicable to contracts made and to be performed wholly within such State, and without regard to the conflicts of laws principles thereof.</w:t>
      </w:r>
    </w:p>
    <w:p>
      <w:pPr>
        <w:spacing w:after="0" w:line="160" w:lineRule="exact"/>
        <w:rPr>
          <w:rFonts w:ascii="Times New Roman" w:cs="Times New Roman" w:eastAsia="Times New Roman" w:hAnsi="Times New Roman"/>
          <w:sz w:val="20"/>
          <w:szCs w:val="20"/>
          <w:color w:val="auto"/>
        </w:rPr>
      </w:pPr>
    </w:p>
    <w:p>
      <w:pPr>
        <w:jc w:val="both"/>
        <w:ind w:firstLine="757"/>
        <w:spacing w:after="0" w:line="244"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Interest</w:t>
      </w:r>
      <w:r>
        <w:rPr>
          <w:rFonts w:ascii="Times New Roman" w:cs="Times New Roman" w:eastAsia="Times New Roman" w:hAnsi="Times New Roman"/>
          <w:sz w:val="20"/>
          <w:szCs w:val="20"/>
          <w:color w:val="auto"/>
        </w:rPr>
        <w:t>. None of the rights of Executive to receive any form of compensation payable pursuant to this Agreement shall be assignable or transferable except through a testamentary disposition or by the laws of descent and distribution upon the death of Executive. Any attempted assignment, transfer, conveyance, or other disposition (other than as aforesaid) of any interest in the rights of Executive to receive any form of compensation to be made by the Company pursuant to this Agreement shall be void.</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language in all parts of this Agreement shall in all cases be construed simply, according to its fair meaning, and not strictly for or against any of the parties hereto. Without limitation, there shall be no presumption against any party on the ground that such party was responsible for drafting this Agreement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Other Deductions</w:t>
      </w:r>
      <w:r>
        <w:rPr>
          <w:rFonts w:ascii="Times New Roman" w:cs="Times New Roman" w:eastAsia="Times New Roman" w:hAnsi="Times New Roman"/>
          <w:sz w:val="20"/>
          <w:szCs w:val="20"/>
          <w:color w:val="auto"/>
        </w:rPr>
        <w:t>. All compensation payable to Executive hereunder shall be subject to such deductions as the Company is from time to time required to make pursuant to law, governmental regulation or order.</w:t>
      </w:r>
    </w:p>
    <w:p>
      <w:pPr>
        <w:spacing w:after="0" w:line="145" w:lineRule="exact"/>
        <w:rPr>
          <w:rFonts w:ascii="Times New Roman" w:cs="Times New Roman" w:eastAsia="Times New Roman" w:hAnsi="Times New Roman"/>
          <w:sz w:val="20"/>
          <w:szCs w:val="20"/>
          <w:color w:val="auto"/>
        </w:rPr>
      </w:pPr>
    </w:p>
    <w:p>
      <w:pPr>
        <w:jc w:val="both"/>
        <w:ind w:firstLine="757"/>
        <w:spacing w:after="0" w:line="242"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w:t>
      </w:r>
      <w:r>
        <w:rPr>
          <w:rFonts w:ascii="Times New Roman" w:cs="Times New Roman" w:eastAsia="Times New Roman" w:hAnsi="Times New Roman"/>
          <w:sz w:val="20"/>
          <w:szCs w:val="20"/>
          <w:color w:val="auto"/>
        </w:rPr>
        <w:t>. Executive represents and agrees that, prior to signing this Agreement, Executive has had the opportunity to discuss the terms of this Agreement with legal counsel of his choosing. Executive further represents and agrees that he is entering into this Agreement knowingly and voluntarily. Executive affirms that no promise was made to cause him to enter into this Agreement, other than what is promised in this Agreement. Executive further confirms that he has not relied upon any other statement or representation by anyone other than what is in this Agreement as a basis for his agreement. Executive acknowledges and agrees that neither the Company nor the Company’s counsel has provided any legal or tax advice to Executive and that Executive is free to, and is hereby advised to, consult with a legal or tax advisor of his choosing.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ind w:firstLine="757"/>
        <w:spacing w:after="0" w:line="253" w:lineRule="auto"/>
        <w:tabs>
          <w:tab w:leader="none" w:pos="121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all of which taken together shall constitute one instrument. Execution and delivery of this Agreement by facsimile or other electronic signature is legal, valid and binding for all purposes.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EXECUTIVE’S ACCEPTANCE OF AGREEMENT</w:t>
      </w:r>
    </w:p>
    <w:p>
      <w:pPr>
        <w:spacing w:after="0" w:line="20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20"/>
          <w:szCs w:val="20"/>
          <w:b w:val="1"/>
          <w:bCs w:val="1"/>
          <w:color w:val="auto"/>
        </w:rPr>
        <w:t>BEFORE SIGNING HIS NAME TO THIS AGREEMENT, EXECUTIVE STATES THE FOLLOWING: EXECUTIVE HAS READ THE AGREEMENT, HE UNDERSTANDS IT AND HE KNOWS THAT HE IS GIVING UP IMPORTANT RIGHTS. HE HAS OBTAINED SUFFICIENT INFORMATION TO INTELLIGENTLY EXERCISE HIS OWN JUDGMENT. HE HAS BEEN ADVISED THAT HE SHOULD CONSULT WITH AN ATTORNEY BEFORE SIGNING IT, AND HE HAS SIGNED THE AGREEMENT KNOWINGLY AND VOLUNTARILY.</w:t>
      </w:r>
    </w:p>
    <w:p>
      <w:pPr>
        <w:spacing w:after="0" w:line="3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Executed this ____ day of _____,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Anthony Guzzo</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Agreed and Accepted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Joe Hand</w:t>
      </w:r>
    </w:p>
    <w:p>
      <w:pPr>
        <w:spacing w:after="0"/>
        <w:rPr>
          <w:sz w:val="20"/>
          <w:szCs w:val="20"/>
          <w:color w:val="auto"/>
        </w:rPr>
      </w:pPr>
      <w:r>
        <w:rPr>
          <w:rFonts w:ascii="Times New Roman" w:cs="Times New Roman" w:eastAsia="Times New Roman" w:hAnsi="Times New Roman"/>
          <w:sz w:val="20"/>
          <w:szCs w:val="20"/>
          <w:color w:val="auto"/>
        </w:rPr>
        <w:t>Title: Chief Administrative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9531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Proprietary Information and Inventions Assignment Agreement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78740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8" w:name="page139"/>
    <w:bookmarkEnd w:id="138"/>
    <w:p>
      <w:pPr>
        <w:ind w:left="522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Release of Claims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RELEASE OF CLAIMS</w:t>
      </w:r>
    </w:p>
    <w:p>
      <w:pPr>
        <w:spacing w:after="0" w:line="202" w:lineRule="exact"/>
        <w:rPr>
          <w:sz w:val="20"/>
          <w:szCs w:val="20"/>
          <w:color w:val="auto"/>
        </w:rPr>
      </w:pPr>
    </w:p>
    <w:p>
      <w:pPr>
        <w:ind w:left="400"/>
        <w:spacing w:after="0"/>
        <w:tabs>
          <w:tab w:leader="none" w:pos="6360" w:val="left"/>
          <w:tab w:leader="none" w:pos="7120" w:val="left"/>
        </w:tabs>
        <w:rPr>
          <w:sz w:val="20"/>
          <w:szCs w:val="20"/>
          <w:color w:val="auto"/>
        </w:rPr>
      </w:pPr>
      <w:r>
        <w:rPr>
          <w:rFonts w:ascii="Times New Roman" w:cs="Times New Roman" w:eastAsia="Times New Roman" w:hAnsi="Times New Roman"/>
          <w:sz w:val="20"/>
          <w:szCs w:val="20"/>
          <w:color w:val="auto"/>
        </w:rPr>
        <w:t>This General Release of Claims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is entered into as of this</w:t>
      </w:r>
      <w:r>
        <w:rPr>
          <w:sz w:val="20"/>
          <w:szCs w:val="20"/>
          <w:color w:val="auto"/>
        </w:rPr>
        <w:tab/>
      </w:r>
      <w:r>
        <w:rPr>
          <w:rFonts w:ascii="Times New Roman" w:cs="Times New Roman" w:eastAsia="Times New Roman" w:hAnsi="Times New Roman"/>
          <w:sz w:val="20"/>
          <w:szCs w:val="20"/>
          <w:color w:val="auto"/>
        </w:rPr>
        <w:t>day of</w:t>
      </w:r>
      <w:r>
        <w:rPr>
          <w:sz w:val="20"/>
          <w:szCs w:val="20"/>
          <w:color w:val="auto"/>
        </w:rPr>
        <w:tab/>
      </w:r>
      <w:r>
        <w:rPr>
          <w:rFonts w:ascii="Times New Roman" w:cs="Times New Roman" w:eastAsia="Times New Roman" w:hAnsi="Times New Roman"/>
          <w:sz w:val="19"/>
          <w:szCs w:val="19"/>
          <w:color w:val="auto"/>
        </w:rPr>
        <w:t>, 2022, between Anthony Guzzo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-8255</wp:posOffset>
            </wp:positionV>
            <wp:extent cx="314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314325" cy="8255"/>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-8255</wp:posOffset>
            </wp:positionV>
            <wp:extent cx="1581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1581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Phathom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Executive and the Company are parties to that certain Transition and Separation Agreement and Release of Claims dated as of _______, 2022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Parties agree that Executive is entitled to certain “Separation Benefits” under Section 3 of the Agreement, subject to Executive’s execution of this Release; and</w:t>
      </w:r>
    </w:p>
    <w:p>
      <w:pPr>
        <w:spacing w:after="0" w:line="146" w:lineRule="exact"/>
        <w:rPr>
          <w:sz w:val="20"/>
          <w:szCs w:val="20"/>
          <w:color w:val="auto"/>
        </w:rPr>
      </w:pPr>
    </w:p>
    <w:p>
      <w:pPr>
        <w:ind w:right="2800" w:firstLine="396"/>
        <w:spacing w:after="0" w:line="269" w:lineRule="auto"/>
        <w:rPr>
          <w:sz w:val="20"/>
          <w:szCs w:val="20"/>
          <w:color w:val="auto"/>
        </w:rPr>
      </w:pPr>
      <w:r>
        <w:rPr>
          <w:rFonts w:ascii="Times New Roman" w:cs="Times New Roman" w:eastAsia="Times New Roman" w:hAnsi="Times New Roman"/>
          <w:sz w:val="20"/>
          <w:szCs w:val="20"/>
          <w:color w:val="auto"/>
        </w:rPr>
        <w:t>WHEREAS, the Company and Executive now wish to fully and finally to resolve all matters between them.</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and subject to, the Separation Benefits payable to Executive pursuant to Section 3 of the Agreement, the adequacy of which is hereby acknowledged by Executive, and which Executive acknowledges that he would not otherwise be entitled to receive, Executive and the Company hereby agree as follows:</w:t>
      </w:r>
    </w:p>
    <w:p>
      <w:pPr>
        <w:spacing w:after="0" w:line="161" w:lineRule="exact"/>
        <w:rPr>
          <w:sz w:val="20"/>
          <w:szCs w:val="20"/>
          <w:color w:val="auto"/>
        </w:rPr>
      </w:pPr>
    </w:p>
    <w:p>
      <w:pPr>
        <w:ind w:left="800" w:hanging="396"/>
        <w:spacing w:after="0"/>
        <w:tabs>
          <w:tab w:leader="none" w:pos="80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757"/>
        <w:spacing w:after="0" w:line="249" w:lineRule="auto"/>
        <w:tabs>
          <w:tab w:leader="none" w:pos="1259"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agrees not to sue, or otherwise file any claim against, the Company or its parent companies, subsidiaries or affiliates, and any of their respective successors, assigns, directors, officers, managers, employees, attorneys, insurers, or agents, each in their respective capacities as such (collectively, the “</w:t>
      </w:r>
      <w:r>
        <w:rPr>
          <w:rFonts w:ascii="Times New Roman" w:cs="Times New Roman" w:eastAsia="Times New Roman" w:hAnsi="Times New Roman"/>
          <w:sz w:val="20"/>
          <w:szCs w:val="20"/>
          <w:b w:val="1"/>
          <w:bCs w:val="1"/>
          <w:i w:val="1"/>
          <w:iCs w:val="1"/>
          <w:color w:val="auto"/>
        </w:rPr>
        <w:t>Company Parties</w:t>
      </w:r>
      <w:r>
        <w:rPr>
          <w:rFonts w:ascii="Times New Roman" w:cs="Times New Roman" w:eastAsia="Times New Roman" w:hAnsi="Times New Roman"/>
          <w:sz w:val="20"/>
          <w:szCs w:val="20"/>
          <w:color w:val="auto"/>
        </w:rPr>
        <w:t>”), for any reason whatsoever based on anything that has occurred at any time up to and including the execution date of this Release as follows:</w:t>
      </w:r>
    </w:p>
    <w:p>
      <w:pPr>
        <w:spacing w:after="0" w:line="179" w:lineRule="exact"/>
        <w:rPr>
          <w:rFonts w:ascii="Times New Roman" w:cs="Times New Roman" w:eastAsia="Times New Roman" w:hAnsi="Times New Roman"/>
          <w:sz w:val="20"/>
          <w:szCs w:val="20"/>
          <w:color w:val="auto"/>
        </w:rPr>
      </w:pPr>
    </w:p>
    <w:p>
      <w:pPr>
        <w:jc w:val="both"/>
        <w:ind w:firstLine="1505"/>
        <w:spacing w:after="0" w:line="239" w:lineRule="auto"/>
        <w:tabs>
          <w:tab w:leader="none" w:pos="1893"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behalf of Executive and his executors, administrators, heirs and assigns, Executive hereby releases and forever discharge the Company Parties,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which Executive now has or may hereafter have against any of the Company Parties by reason of any matter, cause, or thing whatsoever from the beginning of time through and including the execution date of this Release, including, without limiting the generality of the foregoing: any Claims arising directly or indirectly out of, relating to, or in any other way involving in any manner whatsoever Executive’s employment by the Company or its affiliates or the separation thereof, including without limitation any and all Claims arising under federal, state, or local laws relating to employment; any Claims of any kind that may be brought in any court or administrative agency; any Claims arising under the Age Discrimination in Employment Act, the Older Workers Benefits Protection Act, Title VII of the Civil Rights Act of 1964, the Civil Rights Act of 1991, the Equal Pay Act, the Civil Rights Act of 1866, Section 1981, 42 U.S.C. § 1981, the Family and Medical Leave Act of 1993, the Americans with Disabilities Act of 1990, the False Claims Act, the Employee Retirement Income Security Act, the Worker Adjustment and Retraining Notification Act, the Fair Labor Standards Act, the Sarbanes-Oxley Act of 2002, the National Labor Relations Act of 1935, the Uniformed Services Employment and Reemployment Rights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jc w:val="both"/>
        <w:spacing w:after="0" w:line="241" w:lineRule="auto"/>
        <w:rPr>
          <w:sz w:val="20"/>
          <w:szCs w:val="20"/>
          <w:color w:val="auto"/>
        </w:rPr>
      </w:pPr>
      <w:r>
        <w:rPr>
          <w:rFonts w:ascii="Times New Roman" w:cs="Times New Roman" w:eastAsia="Times New Roman" w:hAnsi="Times New Roman"/>
          <w:sz w:val="20"/>
          <w:szCs w:val="20"/>
          <w:color w:val="auto"/>
        </w:rPr>
        <w:t>Act of 1994, Fair Credit Reporting Act, New Jersey's Conscientious Employee Protection Act, the New Jersey Soldiers' and Sailors' Civil Relief Act, Millville Dallas Airmotive Plant Job Loss Notification Act, New Jersey Family Leave Act, New Jersey Law Against Discrimination, New Jersey Security and Financial Empowerment Act, New Jersey State Wage and Hour Law, New Jersey Paid Sick Leave Law, and New Jersey State Wage Payment Law, or any similar state law, each of the foregoing as may have been amended, and any other federal, state, or local statute, regulation, ordinance, constitution, or order concerning labor or employment, termination of labor or employment, wages and benefits, retaliation, leaves of absence, or any other term or condition of employment; Claims for breach of contract; Claims for unfair business practices;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74" w:lineRule="exact"/>
        <w:rPr>
          <w:sz w:val="20"/>
          <w:szCs w:val="20"/>
          <w:color w:val="auto"/>
        </w:rPr>
      </w:pPr>
    </w:p>
    <w:p>
      <w:pPr>
        <w:jc w:val="both"/>
        <w:ind w:firstLine="1505"/>
        <w:spacing w:after="0" w:line="253" w:lineRule="auto"/>
        <w:tabs>
          <w:tab w:leader="none" w:pos="1893" w:val="left"/>
        </w:tabs>
        <w:numPr>
          <w:ilvl w:val="2"/>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generality of the foregoing, Executive does not release any Claims that cannot be released as a matter of law including, without limitation, (A) Executive’s right to file for unemployment insurance benefits or any state disability insurance benefits pursuant to the terms of applicable state law; (B) Executive’s right to file claims for workers’ compensation insurance benefits under the terms of any worker’s compensation insurance policy or fund of the Company; (C) Executive’s right to file a charge of discrimination, harassment, interference with leave rights, failure to accommodate, or retaliation with the Equal Employment Opportunity Commission or any other federal, state or local government agency, or to cooperate with or participate in any investigation conducted by such agency; provided, however, that Executive hereby releases Executive’s right to receive damages in any such proceeding brought by Executive or on Executive’s behalf; (D) Executive’s right to communicate directly with the U.S. Securities and Exchange Commission, the U.S. Commodity Futures Trading Commission, the U.S. Department of Justice or similar agency, or to cooperate with or participate in any investigation by such agency; or (E) Executive’s right to make any disclosure that are protected under the whistleblower provisions of applicable law. For the avoidance of doubt, Executive does not need to notify or obtain the prior authorization of the Company to exercise any of the foregoing rights. Furthermore, Executive does not release hereby any rights that Executive may have relating to (x) indemnification by the Company or its affiliates under any indemnification agreement with the Company, the Company’s Bylaws or any applicable law or under any applicable insurance policy with respect to Executive’s liability as an employee of the Company; (y) Executive’s vested accrued benefits under the Company’s respective benefits and compensation plans; and (z) any Claims for breach of this Release.</w:t>
      </w:r>
    </w:p>
    <w:p>
      <w:pPr>
        <w:spacing w:after="0" w:line="176" w:lineRule="exact"/>
        <w:rPr>
          <w:rFonts w:ascii="Times New Roman" w:cs="Times New Roman" w:eastAsia="Times New Roman" w:hAnsi="Times New Roman"/>
          <w:sz w:val="19"/>
          <w:szCs w:val="19"/>
          <w:color w:val="auto"/>
        </w:rPr>
      </w:pPr>
    </w:p>
    <w:p>
      <w:pPr>
        <w:jc w:val="both"/>
        <w:ind w:firstLine="404"/>
        <w:spacing w:after="0" w:line="254" w:lineRule="auto"/>
        <w:tabs>
          <w:tab w:leader="none" w:pos="791"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that he has had at least twenty-one (21) calendar days in which to consider whether to execute the Release, no one hurried Executive into executing the Release during that period and no one coerced Executive into executing the Release. Executive understands that the Company’s obligations under the Release will not become effective or enforceable until the eighth (8th) calendar day after the date Executive signs the Release provided that Executive has timely delivered it to the Company, and that in the seven</w:t>
      </w:r>
    </w:p>
    <w:p>
      <w:pPr>
        <w:spacing w:after="0" w:line="1"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 period following the date Executive delivers a signed copy of the Release to the Company, Executive understands that Executive may</w:t>
      </w:r>
    </w:p>
    <w:p>
      <w:pPr>
        <w:spacing w:after="0" w:line="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revoke his acceptance of the Release. Executive understands that the Separation Benefits will become available to him at such time after the Effective Date as provided in this Release. Executive further understands that the offer of the Separation Benefits and this Release will expire in the event the Effective Date has not occurred on or before the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calendar day after the Separation Date.</w:t>
      </w:r>
    </w:p>
    <w:p>
      <w:pPr>
        <w:spacing w:after="0" w:line="83" w:lineRule="exact"/>
        <w:rPr>
          <w:sz w:val="20"/>
          <w:szCs w:val="20"/>
          <w:color w:val="auto"/>
        </w:rPr>
      </w:pPr>
    </w:p>
    <w:p>
      <w:pPr>
        <w:jc w:val="both"/>
        <w:ind w:firstLine="757"/>
        <w:spacing w:after="0" w:line="254" w:lineRule="auto"/>
        <w:tabs>
          <w:tab w:leader="none" w:pos="114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that he is the sole owner of all Claims relating to his employment or service with the Company and/or with any predecessor of the Company and that he has not assigned or transferred any Claims relating to his employment or service to any other person or entity.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line="268" w:lineRule="auto"/>
        <w:rPr>
          <w:sz w:val="20"/>
          <w:szCs w:val="20"/>
          <w:color w:val="auto"/>
        </w:rPr>
      </w:pPr>
      <w:r>
        <w:rPr>
          <w:rFonts w:ascii="Times New Roman" w:cs="Times New Roman" w:eastAsia="Times New Roman" w:hAnsi="Times New Roman"/>
          <w:sz w:val="20"/>
          <w:szCs w:val="20"/>
          <w:color w:val="auto"/>
        </w:rPr>
        <w:t>Executive understands and agrees that the Release will not be construed at any time as an admission of liability or wrongdoing by either the Company or Executive.</w:t>
      </w:r>
    </w:p>
    <w:p>
      <w:pPr>
        <w:spacing w:after="0" w:line="160" w:lineRule="exact"/>
        <w:rPr>
          <w:sz w:val="20"/>
          <w:szCs w:val="20"/>
          <w:color w:val="auto"/>
        </w:rPr>
      </w:pPr>
    </w:p>
    <w:p>
      <w:pPr>
        <w:jc w:val="both"/>
        <w:ind w:right="20" w:firstLine="757"/>
        <w:spacing w:after="0" w:line="247" w:lineRule="auto"/>
        <w:tabs>
          <w:tab w:leader="none" w:pos="11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 Executive hereby expressly reaffirms his obligations under the Proprietary Information and Inventions Agreement (the “</w:t>
      </w:r>
      <w:r>
        <w:rPr>
          <w:rFonts w:ascii="Times New Roman" w:cs="Times New Roman" w:eastAsia="Times New Roman" w:hAnsi="Times New Roman"/>
          <w:sz w:val="20"/>
          <w:szCs w:val="20"/>
          <w:b w:val="1"/>
          <w:bCs w:val="1"/>
          <w:i w:val="1"/>
          <w:iCs w:val="1"/>
          <w:color w:val="auto"/>
        </w:rPr>
        <w:t>PIIA</w:t>
      </w:r>
      <w:r>
        <w:rPr>
          <w:rFonts w:ascii="Times New Roman" w:cs="Times New Roman" w:eastAsia="Times New Roman" w:hAnsi="Times New Roman"/>
          <w:sz w:val="20"/>
          <w:szCs w:val="20"/>
          <w:color w:val="auto"/>
        </w:rPr>
        <w:t xml:space="preserve">”), a copy of which is attached to the Agreement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incorporated herein by reference, and his obligations under Section 5 of the Agreement, and agrees that such obligations shall survive the Separation Date.</w:t>
      </w:r>
    </w:p>
    <w:p>
      <w:pPr>
        <w:spacing w:after="0" w:line="18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w:t>
      </w:r>
      <w:r>
        <w:rPr>
          <w:rFonts w:ascii="Times New Roman" w:cs="Times New Roman" w:eastAsia="Times New Roman" w:hAnsi="Times New Roman"/>
          <w:sz w:val="20"/>
          <w:szCs w:val="20"/>
          <w:color w:val="auto"/>
        </w:rPr>
        <w:t>. Executive represents and warrants to the Company Parties that there has been no assignment or other transfer of any interest in any Claim that Executive may have against the Company Parties. Executive agrees to indemnify and hold harmless the Company Parties from any liability, claims, demands, damages, costs, expenses and attorneys’ fees incurred as a result of any such assignment or transfer from Executive.</w:t>
      </w:r>
    </w:p>
    <w:p>
      <w:pPr>
        <w:spacing w:after="0" w:line="166" w:lineRule="exact"/>
        <w:rPr>
          <w:rFonts w:ascii="Times New Roman" w:cs="Times New Roman" w:eastAsia="Times New Roman" w:hAnsi="Times New Roman"/>
          <w:sz w:val="20"/>
          <w:szCs w:val="20"/>
          <w:color w:val="auto"/>
        </w:rPr>
      </w:pPr>
    </w:p>
    <w:p>
      <w:pPr>
        <w:jc w:val="both"/>
        <w:ind w:firstLine="757"/>
        <w:spacing w:after="0" w:line="242" w:lineRule="auto"/>
        <w:tabs>
          <w:tab w:leader="none" w:pos="130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any provision of this Release be determined by an arbitrator, court of competent jurisdiction or government agency to be wholly or partially invalid or unenforceable, the legality, validity and enforceability of the remaining parts, terms or provisions are intended to remain in full force and effect. Specifically, should a court, arbitrator or agency conclude that a particular claim may not be released as a matter of law, it is the intention of the parties that the general release and the waiver of unknown claims above will otherwise remain effective to release any and all other claims. Executive acknowledges that he has obtained sufficient information to intelligently exercise his own judgment regarding the terms of this Release before executing this Release.</w:t>
      </w:r>
    </w:p>
    <w:p>
      <w:pPr>
        <w:spacing w:after="0" w:line="174" w:lineRule="exact"/>
        <w:rPr>
          <w:rFonts w:ascii="Times New Roman" w:cs="Times New Roman" w:eastAsia="Times New Roman" w:hAnsi="Times New Roman"/>
          <w:sz w:val="20"/>
          <w:szCs w:val="20"/>
          <w:color w:val="auto"/>
        </w:rPr>
      </w:pPr>
    </w:p>
    <w:p>
      <w:pPr>
        <w:jc w:val="both"/>
        <w:ind w:firstLine="757"/>
        <w:spacing w:after="0" w:line="246" w:lineRule="auto"/>
        <w:tabs>
          <w:tab w:leader="none" w:pos="130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Release, the PIIA, the Stock Option Agreements (as defined in the Agreement) and the PSU Agreements (as defined in the Agreement) constitute the entire agreement and understanding between the parties as to the subject matter herein and supersede all prior or contemporaneous agreements whether written or oral. The invalidity or unenforceability of any provision or provisions of this Release will not affect the validity or enforceability of any other provision hereof, which will remain in full force and effect. The terms in this Release may only be modified in writing and signed by Executive and an authorized officer of the Company.</w:t>
      </w:r>
    </w:p>
    <w:p>
      <w:pPr>
        <w:spacing w:after="0" w:line="171" w:lineRule="exact"/>
        <w:rPr>
          <w:rFonts w:ascii="Times New Roman" w:cs="Times New Roman" w:eastAsia="Times New Roman" w:hAnsi="Times New Roman"/>
          <w:sz w:val="20"/>
          <w:szCs w:val="20"/>
          <w:color w:val="auto"/>
        </w:rPr>
      </w:pPr>
    </w:p>
    <w:p>
      <w:pPr>
        <w:jc w:val="both"/>
        <w:ind w:firstLine="757"/>
        <w:spacing w:after="0" w:line="254" w:lineRule="auto"/>
        <w:tabs>
          <w:tab w:leader="none" w:pos="130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Release will be governed by and construed in accordance with the laws of the United States of America and the State of New Jersey applicable to contracts made and to be performed wholly within such State, and without regard to the conflicts of laws principles thereof.</w:t>
      </w:r>
    </w:p>
    <w:p>
      <w:pPr>
        <w:spacing w:after="0" w:line="160" w:lineRule="exact"/>
        <w:rPr>
          <w:rFonts w:ascii="Times New Roman" w:cs="Times New Roman" w:eastAsia="Times New Roman" w:hAnsi="Times New Roman"/>
          <w:sz w:val="20"/>
          <w:szCs w:val="20"/>
          <w:color w:val="auto"/>
        </w:rPr>
      </w:pPr>
    </w:p>
    <w:p>
      <w:pPr>
        <w:jc w:val="both"/>
        <w:ind w:firstLine="757"/>
        <w:spacing w:after="0" w:line="243" w:lineRule="auto"/>
        <w:tabs>
          <w:tab w:leader="none" w:pos="130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The language in all parts of this Release shall in all cases be construed simply, according to its fair meaning, and not strictly for or against any of the Parties hereto. Without limitation, there shall be no presumption against any party on the ground that such party was responsible for drafting this Release or any part thereof. Where the context so requires, the use of the masculine gender shall include the feminine and/or neuter genders and the singular shall include the plural, and vice versa, and the word “person” shall include any corporation, firm, partnership or other form of association.</w:t>
      </w:r>
    </w:p>
    <w:p>
      <w:pPr>
        <w:spacing w:after="0" w:line="172" w:lineRule="exact"/>
        <w:rPr>
          <w:rFonts w:ascii="Times New Roman" w:cs="Times New Roman" w:eastAsia="Times New Roman" w:hAnsi="Times New Roman"/>
          <w:sz w:val="20"/>
          <w:szCs w:val="20"/>
          <w:color w:val="auto"/>
        </w:rPr>
      </w:pPr>
    </w:p>
    <w:p>
      <w:pPr>
        <w:jc w:val="both"/>
        <w:ind w:firstLine="757"/>
        <w:spacing w:after="0" w:line="242" w:lineRule="auto"/>
        <w:tabs>
          <w:tab w:leader="none" w:pos="130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Knowing and Voluntary</w:t>
      </w:r>
      <w:r>
        <w:rPr>
          <w:rFonts w:ascii="Times New Roman" w:cs="Times New Roman" w:eastAsia="Times New Roman" w:hAnsi="Times New Roman"/>
          <w:sz w:val="20"/>
          <w:szCs w:val="20"/>
          <w:color w:val="auto"/>
        </w:rPr>
        <w:t>. Executive represents and agrees that, prior to signing this Release, Executive has had the opportunity to discuss the terms of this Release with legal counsel of his choosing. Executive further represents and agrees that he is entering into this Release knowingly and voluntarily. Executive affirms that no promise was made to cause him to enter into this Release, other than what is promised in this Release. Executive further confirms that he has not relied upon any other statement or representation by anyone other than what is in this Release as a basis for his agreement. Executive acknowledges and agrees that neither the Company nor the Company’s counsel has provided any legal or tax advice to Executive and that Executive is free to, and is hereby advised to, consult with a legal or tax advisor of his choosing.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ind w:left="-20" w:firstLine="757"/>
        <w:spacing w:after="0" w:line="269" w:lineRule="auto"/>
        <w:tabs>
          <w:tab w:leader="none" w:pos="128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Release may be executed in any number of counterparts, all of which taken together shall constitute one instrument. Execution and delivery of this Release by facsimile or other electronic signature is legal, valid and binding for all purposes.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EXECUTIVE’S ACCEPTANCE OF AGREEMENT</w:t>
      </w:r>
    </w:p>
    <w:p>
      <w:pPr>
        <w:spacing w:after="0" w:line="201"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20"/>
          <w:szCs w:val="20"/>
          <w:b w:val="1"/>
          <w:bCs w:val="1"/>
          <w:color w:val="auto"/>
        </w:rPr>
        <w:t>BEFORE SIGNING HIS NAME TO THIS RELEASE, EXECUTIVE STATES THE FOLLOWING: EXECUTIVE HAS READ THE RELEASE, HE UNDERSTANDS IT AND HE KNOWS THAT HE IS GIVING UP IMPORTANT RIGHTS. HE HAS OBTAINED SUFFICIENT INFORMATION TO INTELLIGENTLY EXERCISE HIS OWN JUDGMENT. HE HAS BEEN ADVISED THAT HE SHOULD CONSULT WITH AN ATTORNEY BEFORE SIGNING IT, AND HE HAS SIGNED THE RELEASE KNOWINGLY AND VOLUNTARILY.</w:t>
      </w:r>
    </w:p>
    <w:p>
      <w:pPr>
        <w:spacing w:after="0" w:line="37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Executed this 5th day of April, 2022.</w:t>
      </w:r>
    </w:p>
    <w:p>
      <w:pPr>
        <w:spacing w:after="0" w:line="2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/s/ Anthony Guzzo______________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-10795</wp:posOffset>
            </wp:positionV>
            <wp:extent cx="18599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Anthony Guzzo</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Agreed and Accepted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Joe Hand</w:t>
      </w:r>
      <w:r>
        <w:rPr>
          <w:rFonts w:ascii="Times New Roman" w:cs="Times New Roman" w:eastAsia="Times New Roman" w:hAnsi="Times New Roman"/>
          <w:sz w:val="20"/>
          <w:szCs w:val="20"/>
          <w:color w:val="auto"/>
        </w:rPr>
        <w:t>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Joe Hand</w:t>
      </w:r>
    </w:p>
    <w:p>
      <w:pPr>
        <w:spacing w:after="0"/>
        <w:rPr>
          <w:sz w:val="20"/>
          <w:szCs w:val="20"/>
          <w:color w:val="auto"/>
        </w:rPr>
      </w:pPr>
      <w:r>
        <w:rPr>
          <w:rFonts w:ascii="Times New Roman" w:cs="Times New Roman" w:eastAsia="Times New Roman" w:hAnsi="Times New Roman"/>
          <w:sz w:val="20"/>
          <w:szCs w:val="20"/>
          <w:color w:val="auto"/>
        </w:rPr>
        <w:t>Title: Chief Administrative Officer</w:t>
      </w:r>
    </w:p>
    <w:p>
      <w:pPr>
        <w:spacing w:after="0" w:line="2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5</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20"/>
          <w:szCs w:val="20"/>
          <w:color w:val="auto"/>
        </w:rPr>
        <w:t xml:space="preserve">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-53975</wp:posOffset>
            </wp:positionV>
            <wp:extent cx="14554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Terrie Curran, certify that:</w:t>
      </w:r>
    </w:p>
    <w:p>
      <w:pPr>
        <w:spacing w:after="0" w:line="225"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Phathom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3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(Paragraph omitted pursuant to SEC Release Nos. 33-8238/34-47986 and 33-8392/34-49313);</w:t>
      </w:r>
    </w:p>
    <w:p>
      <w:pPr>
        <w:spacing w:after="0" w:line="211" w:lineRule="exact"/>
        <w:rPr>
          <w:rFonts w:ascii="Times New Roman" w:cs="Times New Roman" w:eastAsia="Times New Roman" w:hAnsi="Times New Roman"/>
          <w:sz w:val="18"/>
          <w:szCs w:val="18"/>
          <w:color w:val="010000"/>
        </w:rPr>
      </w:pPr>
    </w:p>
    <w:p>
      <w:pPr>
        <w:jc w:val="both"/>
        <w:ind w:left="1020" w:right="480" w:hanging="503"/>
        <w:spacing w:after="0" w:line="282"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7"/>
          <w:szCs w:val="17"/>
          <w:color w:val="auto"/>
        </w:rPr>
        <w:t>/s/ Terrie Curran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Molly Henderson, certify that:</w:t>
      </w:r>
    </w:p>
    <w:p>
      <w:pPr>
        <w:spacing w:after="0" w:line="225"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Phathom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3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(Paragraph omitted pursuant to SEC Release Nos. 33-8238/34-47986 and 33-8392/34-49313);</w:t>
      </w:r>
    </w:p>
    <w:p>
      <w:pPr>
        <w:spacing w:after="0" w:line="211" w:lineRule="exact"/>
        <w:rPr>
          <w:rFonts w:ascii="Times New Roman" w:cs="Times New Roman" w:eastAsia="Times New Roman" w:hAnsi="Times New Roman"/>
          <w:sz w:val="18"/>
          <w:szCs w:val="18"/>
          <w:color w:val="010000"/>
        </w:rPr>
      </w:pPr>
    </w:p>
    <w:p>
      <w:pPr>
        <w:jc w:val="both"/>
        <w:ind w:left="1020" w:right="48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7"/>
          <w:szCs w:val="17"/>
          <w:color w:val="auto"/>
        </w:rPr>
        <w:t>/s/ Molly Henderson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-127635</wp:posOffset>
            </wp:positionV>
            <wp:extent cx="28460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1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5" w:name="page146"/>
    <w:bookmarkEnd w:id="14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ind w:right="80" w:firstLine="823"/>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June 30, 2022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204" w:lineRule="exact"/>
        <w:rPr>
          <w:sz w:val="20"/>
          <w:szCs w:val="20"/>
          <w:color w:val="auto"/>
        </w:rPr>
      </w:pPr>
    </w:p>
    <w:p>
      <w:pPr>
        <w:ind w:left="840" w:right="180" w:hanging="832"/>
        <w:spacing w:after="0" w:line="266" w:lineRule="auto"/>
        <w:tabs>
          <w:tab w:leader="none" w:pos="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89"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1700"/>
        <w:spacing w:after="0"/>
        <w:tabs>
          <w:tab w:leader="none" w:pos="570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24428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Terrie Curran</w:t>
      </w:r>
    </w:p>
    <w:p>
      <w:pPr>
        <w:ind w:left="5720"/>
        <w:spacing w:after="0" w:line="231" w:lineRule="auto"/>
        <w:rPr>
          <w:sz w:val="20"/>
          <w:szCs w:val="20"/>
          <w:color w:val="auto"/>
        </w:rPr>
      </w:pPr>
      <w:r>
        <w:rPr>
          <w:rFonts w:ascii="Times New Roman" w:cs="Times New Roman" w:eastAsia="Times New Roman" w:hAnsi="Times New Roman"/>
          <w:sz w:val="18"/>
          <w:szCs w:val="18"/>
          <w:color w:val="auto"/>
        </w:rPr>
        <w:t>Chief Executive Officer and President</w:t>
      </w: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6" w:name="page147"/>
    <w:bookmarkEnd w:id="146"/>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43" w:lineRule="exact"/>
        <w:rPr>
          <w:sz w:val="20"/>
          <w:szCs w:val="20"/>
          <w:color w:val="auto"/>
        </w:rPr>
      </w:pPr>
    </w:p>
    <w:p>
      <w:pPr>
        <w:ind w:right="80" w:firstLine="823"/>
        <w:spacing w:after="0" w:line="272" w:lineRule="auto"/>
        <w:rPr>
          <w:sz w:val="20"/>
          <w:szCs w:val="20"/>
          <w:color w:val="auto"/>
        </w:rPr>
      </w:pPr>
      <w:r>
        <w:rPr>
          <w:rFonts w:ascii="Times New Roman" w:cs="Times New Roman" w:eastAsia="Times New Roman" w:hAnsi="Times New Roman"/>
          <w:sz w:val="17"/>
          <w:szCs w:val="17"/>
          <w:color w:val="auto"/>
        </w:rPr>
        <w:t>In connection with the Quarterly Report on Form 10-Q of Phathom Pharmaceuticals, Inc. (the “Company”) for the quarter ended June 30, 2022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186" w:lineRule="exact"/>
        <w:rPr>
          <w:sz w:val="20"/>
          <w:szCs w:val="20"/>
          <w:color w:val="auto"/>
        </w:rPr>
      </w:pPr>
    </w:p>
    <w:p>
      <w:pPr>
        <w:ind w:left="840" w:right="180" w:hanging="832"/>
        <w:spacing w:after="0" w:line="266" w:lineRule="auto"/>
        <w:tabs>
          <w:tab w:leader="none" w:pos="8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89"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1380"/>
        <w:spacing w:after="0"/>
        <w:tabs>
          <w:tab w:leader="none" w:pos="5380" w:val="left"/>
        </w:tabs>
        <w:rPr>
          <w:sz w:val="20"/>
          <w:szCs w:val="20"/>
          <w:color w:val="auto"/>
        </w:rPr>
      </w:pPr>
      <w:r>
        <w:rPr>
          <w:rFonts w:ascii="Times New Roman" w:cs="Times New Roman" w:eastAsia="Times New Roman" w:hAnsi="Times New Roman"/>
          <w:sz w:val="18"/>
          <w:szCs w:val="18"/>
          <w:color w:val="auto"/>
        </w:rPr>
        <w:t>Date: August 2, 2022</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2854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Molly Henderson</w:t>
      </w:r>
    </w:p>
    <w:p>
      <w:pPr>
        <w:ind w:left="5400"/>
        <w:spacing w:after="0" w:line="231" w:lineRule="auto"/>
        <w:rPr>
          <w:sz w:val="20"/>
          <w:szCs w:val="20"/>
          <w:color w:val="auto"/>
        </w:rPr>
      </w:pPr>
      <w:r>
        <w:rPr>
          <w:rFonts w:ascii="Times New Roman" w:cs="Times New Roman" w:eastAsia="Times New Roman" w:hAnsi="Times New Roman"/>
          <w:sz w:val="18"/>
          <w:szCs w:val="18"/>
          <w:color w:val="auto"/>
        </w:rPr>
        <w:t>Chief Financial and Business Officer</w:t>
      </w:r>
    </w:p>
    <w:p>
      <w:pPr>
        <w:ind w:left="54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5"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upperLetter"/>
      <w:start w:val="3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lvl w:ilvl="1">
      <w:lvlJc w:val="left"/>
      <w:lvlText w:val="%2"/>
      <w:numFmt w:val="decimal"/>
      <w:start w:val="104"/>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lowerLetter"/>
      <w:start w:val="1"/>
    </w:lvl>
  </w:abstractNum>
  <w:abstractNum w:abstractNumId="12">
    <w:nsid w:val="613EFDC5"/>
    <w:multiLevelType w:val="hybridMultilevel"/>
    <w:lvl w:ilvl="0">
      <w:lvlJc w:val="left"/>
      <w:lvlText w:val="(%1)"/>
      <w:numFmt w:val="lowerLetter"/>
      <w:start w:val="3"/>
    </w:lvl>
  </w:abstractNum>
  <w:abstractNum w:abstractNumId="13">
    <w:nsid w:val="BF72B14"/>
    <w:multiLevelType w:val="hybridMultilevel"/>
    <w:lvl w:ilvl="0">
      <w:lvlJc w:val="left"/>
      <w:lvlText w:val="(%1)"/>
      <w:numFmt w:val="lowerLetter"/>
      <w:start w:val="1"/>
    </w:lvl>
    <w:lvl w:ilvl="1">
      <w:lvlJc w:val="left"/>
      <w:lvlText w:val="%2"/>
      <w:numFmt w:val="lowerLetter"/>
      <w:start w:val="1"/>
    </w:lvl>
  </w:abstractNum>
  <w:abstractNum w:abstractNumId="14">
    <w:nsid w:val="11447B73"/>
    <w:multiLevelType w:val="hybridMultilevel"/>
    <w:lvl w:ilvl="0">
      <w:lvlJc w:val="left"/>
      <w:lvlText w:val="(%1)"/>
      <w:numFmt w:val="lowerLetter"/>
      <w:start w:val="1"/>
    </w:lvl>
    <w:lvl w:ilvl="1">
      <w:lvlJc w:val="left"/>
      <w:lvlText w:val="%2"/>
      <w:numFmt w:val="lowerLetter"/>
      <w:start w:val="1"/>
    </w:lvl>
  </w:abstractNum>
  <w:abstractNum w:abstractNumId="15">
    <w:nsid w:val="42963E5A"/>
    <w:multiLevelType w:val="hybridMultilevel"/>
    <w:lvl w:ilvl="0">
      <w:lvlJc w:val="left"/>
      <w:lvlText w:val="%1"/>
      <w:numFmt w:val="upperLetter"/>
      <w:start w:val="1"/>
    </w:lvl>
    <w:lvl w:ilvl="1">
      <w:lvlJc w:val="left"/>
      <w:lvlText w:val="(%2)"/>
      <w:numFmt w:val="lowerLetter"/>
      <w:start w:val="1"/>
    </w:lvl>
  </w:abstractNum>
  <w:abstractNum w:abstractNumId="16">
    <w:nsid w:val="A0382C5"/>
    <w:multiLevelType w:val="hybridMultilevel"/>
    <w:lvl w:ilvl="0">
      <w:lvlJc w:val="left"/>
      <w:lvlText w:val="(%1)"/>
      <w:numFmt w:val="upperLetter"/>
      <w:start w:val="1"/>
    </w:lvl>
    <w:lvl w:ilvl="1">
      <w:lvlJc w:val="left"/>
      <w:lvlText w:val="%2"/>
      <w:numFmt w:val="lowerLetter"/>
      <w:start w:val="1"/>
    </w:lvl>
  </w:abstractNum>
  <w:abstractNum w:abstractNumId="17">
    <w:nsid w:val="8F2B15E"/>
    <w:multiLevelType w:val="hybridMultilevel"/>
    <w:lvl w:ilvl="0">
      <w:lvlJc w:val="left"/>
      <w:lvlText w:val="(%1)"/>
      <w:numFmt w:val="lowerLetter"/>
      <w:start w:val="1"/>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1"/>
    </w:lvl>
  </w:abstractNum>
  <w:abstractNum w:abstractNumId="20">
    <w:nsid w:val="68EB2F63"/>
    <w:multiLevelType w:val="hybridMultilevel"/>
    <w:lvl w:ilvl="0">
      <w:lvlJc w:val="left"/>
      <w:lvlText w:val="(%1)"/>
      <w:numFmt w:val="lowerLetter"/>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lowerLetter"/>
      <w:start w:val="1"/>
    </w:lvl>
  </w:abstractNum>
  <w:abstractNum w:abstractNumId="23">
    <w:nsid w:val="6A5EE64"/>
    <w:multiLevelType w:val="hybridMultilevel"/>
    <w:lvl w:ilvl="0">
      <w:lvlJc w:val="left"/>
      <w:lvlText w:val="(%1)"/>
      <w:numFmt w:val="lowerLetter"/>
      <w:start w:val="8"/>
    </w:lvl>
  </w:abstractNum>
  <w:abstractNum w:abstractNumId="24">
    <w:nsid w:val="14330624"/>
    <w:multiLevelType w:val="hybridMultilevel"/>
    <w:lvl w:ilvl="0">
      <w:lvlJc w:val="left"/>
      <w:lvlText w:val="(%1)"/>
      <w:numFmt w:val="lowerLetter"/>
      <w:start w:val="1"/>
    </w:lvl>
  </w:abstractNum>
  <w:abstractNum w:abstractNumId="25">
    <w:nsid w:val="7FFFCA11"/>
    <w:multiLevelType w:val="hybridMultilevel"/>
    <w:lvl w:ilvl="0">
      <w:lvlJc w:val="left"/>
      <w:lvlText w:val="(%1)"/>
      <w:numFmt w:val="lowerLetter"/>
      <w:start w:val="2"/>
    </w:lvl>
    <w:lvl w:ilvl="1">
      <w:lvlJc w:val="left"/>
      <w:lvlText w:val="(%2)"/>
      <w:numFmt w:val="lowerRoman"/>
      <w:start w:val="1"/>
    </w:lvl>
  </w:abstractNum>
  <w:abstractNum w:abstractNumId="26">
    <w:nsid w:val="1A27709E"/>
    <w:multiLevelType w:val="hybridMultilevel"/>
    <w:lvl w:ilvl="0">
      <w:lvlJc w:val="left"/>
      <w:lvlText w:val="(%1)"/>
      <w:numFmt w:val="lowerLetter"/>
      <w:start w:val="3"/>
    </w:lvl>
  </w:abstractNum>
  <w:abstractNum w:abstractNumId="27">
    <w:nsid w:val="71EA1109"/>
    <w:multiLevelType w:val="hybridMultilevel"/>
    <w:lvl w:ilvl="0">
      <w:lvlJc w:val="left"/>
      <w:lvlText w:val="(%1)"/>
      <w:numFmt w:val="lowerLetter"/>
      <w:start w:val="4"/>
    </w:lvl>
  </w:abstractNum>
  <w:abstractNum w:abstractNumId="28">
    <w:nsid w:val="100F59DC"/>
    <w:multiLevelType w:val="hybridMultilevel"/>
    <w:lvl w:ilvl="0">
      <w:lvlJc w:val="left"/>
      <w:lvlText w:val="(%1)"/>
      <w:numFmt w:val="lowerLetter"/>
      <w:start w:val="1"/>
    </w:lvl>
  </w:abstractNum>
  <w:abstractNum w:abstractNumId="29">
    <w:nsid w:val="7FB7E0AA"/>
    <w:multiLevelType w:val="hybridMultilevel"/>
    <w:lvl w:ilvl="0">
      <w:lvlJc w:val="left"/>
      <w:lvlText w:val="(%1)"/>
      <w:numFmt w:val="lowerRoman"/>
      <w:start w:val="1"/>
    </w:lvl>
  </w:abstractNum>
  <w:abstractNum w:abstractNumId="30">
    <w:nsid w:val="6EB5BD4"/>
    <w:multiLevelType w:val="hybridMultilevel"/>
    <w:lvl w:ilvl="0">
      <w:lvlJc w:val="left"/>
      <w:lvlText w:val="(%1)"/>
      <w:numFmt w:val="lowerLetter"/>
      <w:start w:val="1"/>
    </w:lvl>
  </w:abstractNum>
  <w:abstractNum w:abstractNumId="31">
    <w:nsid w:val="6F6DD9AC"/>
    <w:multiLevelType w:val="hybridMultilevel"/>
    <w:lvl w:ilvl="0">
      <w:lvlJc w:val="left"/>
      <w:lvlText w:val="(%1)"/>
      <w:numFmt w:val="lowerLetter"/>
      <w:start w:val="3"/>
    </w:lvl>
  </w:abstractNum>
  <w:abstractNum w:abstractNumId="32">
    <w:nsid w:val="94211F2"/>
    <w:multiLevelType w:val="hybridMultilevel"/>
    <w:lvl w:ilvl="0">
      <w:lvlJc w:val="left"/>
      <w:lvlText w:val="(%1)"/>
      <w:numFmt w:val="lowerLetter"/>
      <w:start w:val="1"/>
    </w:lvl>
  </w:abstractNum>
  <w:abstractNum w:abstractNumId="33">
    <w:nsid w:val="885E1B"/>
    <w:multiLevelType w:val="hybridMultilevel"/>
    <w:lvl w:ilvl="0">
      <w:lvlJc w:val="left"/>
      <w:lvlText w:val="(%1)"/>
      <w:numFmt w:val="lowerLetter"/>
      <w:start w:val="1"/>
    </w:lvl>
  </w:abstractNum>
  <w:abstractNum w:abstractNumId="34">
    <w:nsid w:val="76272110"/>
    <w:multiLevelType w:val="hybridMultilevel"/>
    <w:lvl w:ilvl="0">
      <w:lvlJc w:val="left"/>
      <w:lvlText w:val="%1"/>
      <w:numFmt w:val="lowerLetter"/>
      <w:start w:val="1"/>
    </w:lvl>
    <w:lvl w:ilvl="1">
      <w:lvlJc w:val="left"/>
      <w:lvlText w:val="(%2)"/>
      <w:numFmt w:val="lowerLetter"/>
      <w:start w:val="2"/>
    </w:lvl>
  </w:abstractNum>
  <w:abstractNum w:abstractNumId="35">
    <w:nsid w:val="4C04A8AF"/>
    <w:multiLevelType w:val="hybridMultilevel"/>
    <w:lvl w:ilvl="0">
      <w:lvlJc w:val="left"/>
      <w:lvlText w:val="(%1)"/>
      <w:numFmt w:val="lowerLetter"/>
      <w:start w:val="9"/>
    </w:lvl>
    <w:lvl w:ilvl="1">
      <w:lvlJc w:val="left"/>
      <w:lvlText w:val="%2"/>
      <w:numFmt w:val="lowerLetter"/>
      <w:start w:val="1"/>
    </w:lvl>
  </w:abstractNum>
  <w:abstractNum w:abstractNumId="36">
    <w:nsid w:val="1716703B"/>
    <w:multiLevelType w:val="hybridMultilevel"/>
    <w:lvl w:ilvl="0">
      <w:lvlJc w:val="left"/>
      <w:lvlText w:val="(%1)"/>
      <w:numFmt w:val="lowerLetter"/>
      <w:start w:val="1"/>
    </w:lvl>
  </w:abstractNum>
  <w:abstractNum w:abstractNumId="37">
    <w:nsid w:val="14E17E33"/>
    <w:multiLevelType w:val="hybridMultilevel"/>
    <w:lvl w:ilvl="0">
      <w:lvlJc w:val="left"/>
      <w:lvlText w:val="(%1)"/>
      <w:numFmt w:val="lowerLetter"/>
      <w:start w:val="6"/>
    </w:lvl>
  </w:abstractNum>
  <w:abstractNum w:abstractNumId="38">
    <w:nsid w:val="3222E7CD"/>
    <w:multiLevelType w:val="hybridMultilevel"/>
    <w:lvl w:ilvl="0">
      <w:lvlJc w:val="left"/>
      <w:lvlText w:val="(%1)"/>
      <w:numFmt w:val="lowerLetter"/>
      <w:start w:val="1"/>
    </w:lvl>
  </w:abstractNum>
  <w:abstractNum w:abstractNumId="39">
    <w:nsid w:val="74DE0EE3"/>
    <w:multiLevelType w:val="hybridMultilevel"/>
    <w:lvl w:ilvl="0">
      <w:lvlJc w:val="left"/>
      <w:lvlText w:val="(%1)"/>
      <w:numFmt w:val="lowerLetter"/>
      <w:start w:val="1"/>
    </w:lvl>
  </w:abstractNum>
  <w:abstractNum w:abstractNumId="40">
    <w:nsid w:val="68EBC550"/>
    <w:multiLevelType w:val="hybridMultilevel"/>
    <w:lvl w:ilvl="0">
      <w:lvlJc w:val="left"/>
      <w:lvlText w:val="(%1)"/>
      <w:numFmt w:val="lowerLetter"/>
      <w:start w:val="3"/>
    </w:lvl>
    <w:lvl w:ilvl="1">
      <w:lvlJc w:val="left"/>
      <w:lvlText w:val="(%2)"/>
      <w:numFmt w:val="lowerRoman"/>
      <w:start w:val="1"/>
    </w:lvl>
  </w:abstractNum>
  <w:abstractNum w:abstractNumId="41">
    <w:nsid w:val="2DF6D648"/>
    <w:multiLevelType w:val="hybridMultilevel"/>
    <w:lvl w:ilvl="0">
      <w:lvlJc w:val="left"/>
      <w:lvlText w:val="(%1)"/>
      <w:numFmt w:val="lowerRoman"/>
      <w:start w:val="3"/>
    </w:lvl>
  </w:abstractNum>
  <w:abstractNum w:abstractNumId="42">
    <w:nsid w:val="46B7D447"/>
    <w:multiLevelType w:val="hybridMultilevel"/>
    <w:lvl w:ilvl="0">
      <w:lvlJc w:val="left"/>
      <w:lvlText w:val="(%1)"/>
      <w:numFmt w:val="lowerLetter"/>
      <w:start w:val="8"/>
    </w:lvl>
  </w:abstractNum>
  <w:abstractNum w:abstractNumId="43">
    <w:nsid w:val="4A2AC315"/>
    <w:multiLevelType w:val="hybridMultilevel"/>
    <w:lvl w:ilvl="0">
      <w:lvlJc w:val="left"/>
      <w:lvlText w:val="(%1)"/>
      <w:numFmt w:val="lowerRoman"/>
      <w:start w:val="1"/>
    </w:lvl>
  </w:abstractNum>
  <w:abstractNum w:abstractNumId="44">
    <w:nsid w:val="39EE015C"/>
    <w:multiLevelType w:val="hybridMultilevel"/>
    <w:lvl w:ilvl="0">
      <w:lvlJc w:val="left"/>
      <w:lvlText w:val="(%1)"/>
      <w:numFmt w:val="lowerLetter"/>
      <w:start w:val="9"/>
    </w:lvl>
    <w:lvl w:ilvl="1">
      <w:lvlJc w:val="left"/>
      <w:lvlText w:val="(%2)"/>
      <w:numFmt w:val="lowerRoman"/>
      <w:start w:val="1"/>
    </w:lvl>
  </w:abstractNum>
  <w:abstractNum w:abstractNumId="45">
    <w:nsid w:val="57FC4FBB"/>
    <w:multiLevelType w:val="hybridMultilevel"/>
    <w:lvl w:ilvl="0">
      <w:lvlJc w:val="left"/>
      <w:lvlText w:val="%1"/>
      <w:numFmt w:val="lowerLetter"/>
      <w:start w:val="1"/>
    </w:lvl>
    <w:lvl w:ilvl="1">
      <w:lvlJc w:val="left"/>
      <w:lvlText w:val="(%2)"/>
      <w:numFmt w:val="lowerRoman"/>
      <w:start w:val="6"/>
    </w:lvl>
  </w:abstractNum>
  <w:abstractNum w:abstractNumId="46">
    <w:nsid w:val="CC1016F"/>
    <w:multiLevelType w:val="hybridMultilevel"/>
    <w:lvl w:ilvl="0">
      <w:lvlJc w:val="left"/>
      <w:lvlText w:val="(%1)"/>
      <w:numFmt w:val="lowerLetter"/>
      <w:start w:val="12"/>
    </w:lvl>
    <w:lvl w:ilvl="1">
      <w:lvlJc w:val="left"/>
      <w:lvlText w:val="%2"/>
      <w:numFmt w:val="lowerRoman"/>
      <w:start w:val="1"/>
    </w:lvl>
  </w:abstractNum>
  <w:abstractNum w:abstractNumId="47">
    <w:nsid w:val="43F18422"/>
    <w:multiLevelType w:val="hybridMultilevel"/>
    <w:lvl w:ilvl="0">
      <w:lvlJc w:val="left"/>
      <w:lvlText w:val="(%1)"/>
      <w:numFmt w:val="lowerLetter"/>
      <w:start w:val="19"/>
    </w:lvl>
  </w:abstractNum>
  <w:abstractNum w:abstractNumId="48">
    <w:nsid w:val="60EF0119"/>
    <w:multiLevelType w:val="hybridMultilevel"/>
    <w:lvl w:ilvl="0">
      <w:lvlJc w:val="left"/>
      <w:lvlText w:val="(%1)"/>
      <w:numFmt w:val="lowerLetter"/>
      <w:start w:val="1"/>
    </w:lvl>
  </w:abstractNum>
  <w:abstractNum w:abstractNumId="49">
    <w:nsid w:val="26F324BA"/>
    <w:multiLevelType w:val="hybridMultilevel"/>
    <w:lvl w:ilvl="0">
      <w:lvlJc w:val="left"/>
      <w:lvlText w:val="(%1)"/>
      <w:numFmt w:val="lowerLetter"/>
      <w:start w:val="6"/>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Letter"/>
      <w:start w:val="2"/>
    </w:lvl>
  </w:abstractNum>
  <w:abstractNum w:abstractNumId="52">
    <w:nsid w:val="7055A5F5"/>
    <w:multiLevelType w:val="hybridMultilevel"/>
    <w:lvl w:ilvl="0">
      <w:lvlJc w:val="left"/>
      <w:lvlText w:val="(%1)"/>
      <w:numFmt w:val="lowerLetter"/>
      <w:start w:val="1"/>
    </w:lvl>
  </w:abstractNum>
  <w:abstractNum w:abstractNumId="53">
    <w:nsid w:val="5FB8370B"/>
    <w:multiLevelType w:val="hybridMultilevel"/>
    <w:lvl w:ilvl="0">
      <w:lvlJc w:val="left"/>
      <w:lvlText w:val="%1"/>
      <w:numFmt w:val="lowerRoman"/>
      <w:start w:val="1"/>
    </w:lvl>
    <w:lvl w:ilvl="1">
      <w:lvlJc w:val="left"/>
      <w:lvlText w:val="(%2)"/>
      <w:numFmt w:val="lowerLetter"/>
      <w:start w:val="2"/>
    </w:lvl>
  </w:abstractNum>
  <w:abstractNum w:abstractNumId="54">
    <w:nsid w:val="50801EE1"/>
    <w:multiLevelType w:val="hybridMultilevel"/>
    <w:lvl w:ilvl="0">
      <w:lvlJc w:val="left"/>
      <w:lvlText w:val="(%1)"/>
      <w:numFmt w:val="lowerRoman"/>
      <w:start w:val="2"/>
    </w:lvl>
    <w:lvl w:ilvl="1">
      <w:lvlJc w:val="left"/>
      <w:lvlText w:val="%2"/>
      <w:numFmt w:val="lowerLetter"/>
      <w:start w:val="1"/>
    </w:lvl>
  </w:abstractNum>
  <w:abstractNum w:abstractNumId="55">
    <w:nsid w:val="488AC1A"/>
    <w:multiLevelType w:val="hybridMultilevel"/>
    <w:lvl w:ilvl="0">
      <w:lvlJc w:val="left"/>
      <w:lvlText w:val="(%1)"/>
      <w:numFmt w:val="lowerLetter"/>
      <w:start w:val="1"/>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Letter"/>
      <w:start w:val="2"/>
    </w:lvl>
  </w:abstractNum>
  <w:abstractNum w:abstractNumId="59">
    <w:nsid w:val="6FC75AF8"/>
    <w:multiLevelType w:val="hybridMultilevel"/>
    <w:lvl w:ilvl="0">
      <w:lvlJc w:val="left"/>
      <w:lvlText w:val="(%1)"/>
      <w:numFmt w:val="lowerLetter"/>
      <w:start w:val="4"/>
    </w:lvl>
    <w:lvl w:ilvl="1">
      <w:lvlJc w:val="left"/>
      <w:lvlText w:val="(%2)"/>
      <w:numFmt w:val="lowerRoman"/>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lowerLetter"/>
      <w:start w:val="1"/>
    </w:lvl>
    <w:lvl w:ilvl="1">
      <w:lvlJc w:val="left"/>
      <w:lvlText w:val="(%2)"/>
      <w:numFmt w:val="lowerLetter"/>
      <w:start w:val="1"/>
    </w:lvl>
  </w:abstractNum>
  <w:abstractNum w:abstractNumId="62">
    <w:nsid w:val="5F3534A4"/>
    <w:multiLevelType w:val="hybridMultilevel"/>
    <w:lvl w:ilvl="0">
      <w:lvlJc w:val="left"/>
      <w:lvlText w:val="(%1)"/>
      <w:numFmt w:val="lowerLetter"/>
      <w:start w:val="61"/>
    </w:lvl>
    <w:lvl w:ilvl="1">
      <w:lvlJc w:val="left"/>
      <w:lvlText w:val="(%2)"/>
      <w:numFmt w:val="lowerLetter"/>
      <w:start w:val="2"/>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1"/>
    </w:lvl>
    <w:lvl w:ilvl="1">
      <w:lvlJc w:val="left"/>
      <w:lvlText w:val="(%2)"/>
      <w:numFmt w:val="lowerRoman"/>
      <w:start w:val="1"/>
    </w:lvl>
  </w:abstractNum>
  <w:abstractNum w:abstractNumId="66">
    <w:nsid w:val="3FA62ACA"/>
    <w:multiLevelType w:val="hybridMultilevel"/>
    <w:lvl w:ilvl="0">
      <w:lvlJc w:val="left"/>
      <w:lvlText w:val="%1"/>
      <w:numFmt w:val="lowerLetter"/>
      <w:start w:val="1"/>
    </w:lvl>
    <w:lvl w:ilvl="1">
      <w:lvlJc w:val="left"/>
      <w:lvlText w:val="(%2)"/>
      <w:numFmt w:val="lowerRoman"/>
      <w:start w:val="8"/>
    </w:lvl>
  </w:abstractNum>
  <w:abstractNum w:abstractNumId="67">
    <w:nsid w:val="14FCE74E"/>
    <w:multiLevelType w:val="hybridMultilevel"/>
    <w:lvl w:ilvl="0">
      <w:lvlJc w:val="left"/>
      <w:lvlText w:val="(%1)"/>
      <w:numFmt w:val="lowerLetter"/>
      <w:start w:val="2"/>
    </w:lvl>
    <w:lvl w:ilvl="1">
      <w:lvlJc w:val="left"/>
      <w:lvlText w:val="%2"/>
      <w:numFmt w:val="lowerRoman"/>
      <w:start w:val="1"/>
    </w:lvl>
  </w:abstractNum>
  <w:abstractNum w:abstractNumId="68">
    <w:nsid w:val="6A3DD3E8"/>
    <w:multiLevelType w:val="hybridMultilevel"/>
    <w:lvl w:ilvl="0">
      <w:lvlJc w:val="left"/>
      <w:lvlText w:val="(%1)"/>
      <w:numFmt w:val="lowerRoman"/>
      <w:start w:val="10"/>
    </w:lvl>
  </w:abstractNum>
  <w:abstractNum w:abstractNumId="69">
    <w:nsid w:val="71C91298"/>
    <w:multiLevelType w:val="hybridMultilevel"/>
    <w:lvl w:ilvl="0">
      <w:lvlJc w:val="left"/>
      <w:lvlText w:val="(%1)"/>
      <w:numFmt w:val="lowerLetter"/>
      <w:start w:val="1"/>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lowerLetter"/>
      <w:start w:val="2"/>
    </w:lvl>
  </w:abstractNum>
  <w:abstractNum w:abstractNumId="72">
    <w:nsid w:val="1FBFE8E0"/>
    <w:multiLevelType w:val="hybridMultilevel"/>
    <w:lvl w:ilvl="0">
      <w:lvlJc w:val="left"/>
      <w:lvlText w:val="%1."/>
      <w:numFmt w:val="upperLetter"/>
      <w:start w:val="1"/>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Letter"/>
      <w:start w:val="1"/>
    </w:lvl>
  </w:abstractNum>
  <w:abstractNum w:abstractNumId="75">
    <w:nsid w:val="59ADEA3D"/>
    <w:multiLevelType w:val="hybridMultilevel"/>
    <w:lvl w:ilvl="0">
      <w:lvlJc w:val="left"/>
      <w:lvlText w:val="(%1)"/>
      <w:numFmt w:val="lowerLetter"/>
      <w:start w:val="2"/>
    </w:lvl>
  </w:abstractNum>
  <w:abstractNum w:abstractNumId="76">
    <w:nsid w:val="288F1A34"/>
    <w:multiLevelType w:val="hybridMultilevel"/>
    <w:lvl w:ilvl="0">
      <w:lvlJc w:val="left"/>
      <w:lvlText w:val="(%1)"/>
      <w:numFmt w:val="lowerLetter"/>
      <w:start w:val="1"/>
    </w:lvl>
    <w:lvl w:ilvl="1">
      <w:lvlJc w:val="left"/>
      <w:lvlText w:val="(%2)"/>
      <w:numFmt w:val="lowerLetter"/>
      <w:start w:val="9"/>
    </w:lvl>
  </w:abstractNum>
  <w:abstractNum w:abstractNumId="77">
    <w:nsid w:val="2A155DBC"/>
    <w:multiLevelType w:val="hybridMultilevel"/>
    <w:lvl w:ilvl="0">
      <w:lvlJc w:val="left"/>
      <w:lvlText w:val="(%1)"/>
      <w:numFmt w:val="lowerRoman"/>
      <w:start w:val="3"/>
    </w:lvl>
  </w:abstractNum>
  <w:abstractNum w:abstractNumId="78">
    <w:nsid w:val="1D9F6E5F"/>
    <w:multiLevelType w:val="hybridMultilevel"/>
    <w:lvl w:ilvl="0">
      <w:lvlJc w:val="left"/>
      <w:lvlText w:val="(%1)"/>
      <w:numFmt w:val="lowerRoman"/>
      <w:start w:val="2"/>
    </w:lvl>
  </w:abstractNum>
  <w:abstractNum w:abstractNumId="79">
    <w:nsid w:val="97E1B4E"/>
    <w:multiLevelType w:val="hybridMultilevel"/>
    <w:lvl w:ilvl="0">
      <w:lvlJc w:val="left"/>
      <w:lvlText w:val="(%1)"/>
      <w:numFmt w:val="lowerRoman"/>
      <w:start w:val="2"/>
    </w:lvl>
  </w:abstractNum>
  <w:abstractNum w:abstractNumId="80">
    <w:nsid w:val="51088277"/>
    <w:multiLevelType w:val="hybridMultilevel"/>
    <w:lvl w:ilvl="0">
      <w:lvlJc w:val="left"/>
      <w:lvlText w:val="(%1)"/>
      <w:numFmt w:val="lowerRoman"/>
      <w:start w:val="2"/>
    </w:lvl>
  </w:abstractNum>
  <w:abstractNum w:abstractNumId="81">
    <w:nsid w:val="1CA0C5FA"/>
    <w:multiLevelType w:val="hybridMultilevel"/>
    <w:lvl w:ilvl="0">
      <w:lvlJc w:val="left"/>
      <w:lvlText w:val="(%1)"/>
      <w:numFmt w:val="lowerRoman"/>
      <w:start w:val="4"/>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1"/>
    </w:lvl>
    <w:lvl w:ilvl="1">
      <w:lvlJc w:val="left"/>
      <w:lvlText w:val="%2"/>
      <w:numFmt w:val="upperLetter"/>
      <w:start w:val="35"/>
    </w:lvl>
  </w:abstractNum>
  <w:abstractNum w:abstractNumId="84">
    <w:nsid w:val="7C58FD05"/>
    <w:multiLevelType w:val="hybridMultilevel"/>
    <w:lvl w:ilvl="0">
      <w:lvlJc w:val="left"/>
      <w:lvlText w:val="(%1)"/>
      <w:numFmt w:val="lowerLetter"/>
      <w:start w:val="5"/>
    </w:lvl>
    <w:lvl w:ilvl="1">
      <w:lvlJc w:val="left"/>
      <w:lvlText w:val="%2"/>
      <w:numFmt w:val="upp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5"/>
    </w:lvl>
  </w:abstractNum>
  <w:abstractNum w:abstractNumId="87">
    <w:nsid w:val="5C10FE21"/>
    <w:multiLevelType w:val="hybridMultilevel"/>
    <w:lvl w:ilvl="0">
      <w:lvlJc w:val="left"/>
      <w:lvlText w:val="(%1)"/>
      <w:numFmt w:val="lowerLetter"/>
      <w:start w:val="17"/>
    </w:lvl>
  </w:abstractNum>
  <w:abstractNum w:abstractNumId="88">
    <w:nsid w:val="E7FFA2B"/>
    <w:multiLevelType w:val="hybridMultilevel"/>
    <w:lvl w:ilvl="0">
      <w:lvlJc w:val="left"/>
      <w:lvlText w:val="(%1)"/>
      <w:numFmt w:val="lowerLetter"/>
      <w:start w:val="1"/>
    </w:lvl>
  </w:abstractNum>
  <w:abstractNum w:abstractNumId="89">
    <w:nsid w:val="3C5991AA"/>
    <w:multiLevelType w:val="hybridMultilevel"/>
    <w:lvl w:ilvl="0">
      <w:lvlJc w:val="left"/>
      <w:lvlText w:val="(%1)"/>
      <w:numFmt w:val="lowerRoman"/>
      <w:start w:val="3"/>
    </w:lvl>
  </w:abstractNum>
  <w:abstractNum w:abstractNumId="90">
    <w:nsid w:val="4BD8591A"/>
    <w:multiLevelType w:val="hybridMultilevel"/>
    <w:lvl w:ilvl="0">
      <w:lvlJc w:val="left"/>
      <w:lvlText w:val="(%1)"/>
      <w:numFmt w:val="lowerRoman"/>
      <w:start w:val="4"/>
    </w:lvl>
  </w:abstractNum>
  <w:abstractNum w:abstractNumId="91">
    <w:nsid w:val="78DF6A55"/>
    <w:multiLevelType w:val="hybridMultilevel"/>
    <w:lvl w:ilvl="0">
      <w:lvlJc w:val="left"/>
      <w:lvlText w:val="(%1)"/>
      <w:numFmt w:val="lowerLetter"/>
      <w:start w:val="5"/>
    </w:lvl>
  </w:abstractNum>
  <w:abstractNum w:abstractNumId="92">
    <w:nsid w:val="39B7AAA2"/>
    <w:multiLevelType w:val="hybridMultilevel"/>
    <w:lvl w:ilvl="0">
      <w:lvlJc w:val="left"/>
      <w:lvlText w:val="(%1)"/>
      <w:numFmt w:val="lowerRoman"/>
      <w:start w:val="5"/>
    </w:lvl>
  </w:abstractNum>
  <w:abstractNum w:abstractNumId="93">
    <w:nsid w:val="2B0D8DBE"/>
    <w:multiLevelType w:val="hybridMultilevel"/>
    <w:lvl w:ilvl="0">
      <w:lvlJc w:val="left"/>
      <w:lvlText w:val="(%1)"/>
      <w:numFmt w:val="lowerLetter"/>
      <w:start w:val="3"/>
    </w:lvl>
  </w:abstractNum>
  <w:abstractNum w:abstractNumId="94">
    <w:nsid w:val="6C80EC70"/>
    <w:multiLevelType w:val="hybridMultilevel"/>
    <w:lvl w:ilvl="0">
      <w:lvlJc w:val="left"/>
      <w:lvlText w:val="(%1)"/>
      <w:numFmt w:val="lowerRoman"/>
      <w:start w:val="6"/>
    </w:lvl>
  </w:abstractNum>
  <w:abstractNum w:abstractNumId="95">
    <w:nsid w:val="379E21B5"/>
    <w:multiLevelType w:val="hybridMultilevel"/>
    <w:lvl w:ilvl="0">
      <w:lvlJc w:val="left"/>
      <w:lvlText w:val="(%1)"/>
      <w:numFmt w:val="lowerRoman"/>
      <w:start w:val="7"/>
    </w:lvl>
  </w:abstractNum>
  <w:abstractNum w:abstractNumId="96">
    <w:nsid w:val="69E373"/>
    <w:multiLevelType w:val="hybridMultilevel"/>
    <w:lvl w:ilvl="0">
      <w:lvlJc w:val="left"/>
      <w:lvlText w:val="(%1)"/>
      <w:numFmt w:val="lowerRoman"/>
      <w:start w:val="8"/>
    </w:lvl>
  </w:abstractNum>
  <w:abstractNum w:abstractNumId="97">
    <w:nsid w:val="2C27173B"/>
    <w:multiLevelType w:val="hybridMultilevel"/>
    <w:lvl w:ilvl="0">
      <w:lvlJc w:val="left"/>
      <w:lvlText w:val="(%1)"/>
      <w:numFmt w:val="lowerLetter"/>
      <w:start w:val="3"/>
    </w:lvl>
  </w:abstractNum>
  <w:abstractNum w:abstractNumId="98">
    <w:nsid w:val="4C9B0904"/>
    <w:multiLevelType w:val="hybridMultilevel"/>
    <w:lvl w:ilvl="0">
      <w:lvlJc w:val="left"/>
      <w:lvlText w:val="(%1)"/>
      <w:numFmt w:val="lowerRoman"/>
      <w:start w:val="9"/>
    </w:lvl>
  </w:abstractNum>
  <w:abstractNum w:abstractNumId="99">
    <w:nsid w:val="6AA7B75C"/>
    <w:multiLevelType w:val="hybridMultilevel"/>
    <w:lvl w:ilvl="0">
      <w:lvlJc w:val="left"/>
      <w:lvlText w:val="(%1)"/>
      <w:numFmt w:val="lowerLetter"/>
      <w:start w:val="2"/>
    </w:lvl>
  </w:abstractNum>
  <w:abstractNum w:abstractNumId="100">
    <w:nsid w:val="1DF029D3"/>
    <w:multiLevelType w:val="hybridMultilevel"/>
    <w:lvl w:ilvl="0">
      <w:lvlJc w:val="left"/>
      <w:lvlText w:val="(%1)"/>
      <w:numFmt w:val="lowerLetter"/>
      <w:start w:val="1"/>
    </w:lvl>
    <w:lvl w:ilvl="1">
      <w:lvlJc w:val="left"/>
      <w:lvlText w:val="(%2)"/>
      <w:numFmt w:val="lowerRoman"/>
      <w:start w:val="1"/>
    </w:lvl>
  </w:abstractNum>
  <w:abstractNum w:abstractNumId="101">
    <w:nsid w:val="5675FF36"/>
    <w:multiLevelType w:val="hybridMultilevel"/>
    <w:lvl w:ilvl="0">
      <w:lvlJc w:val="left"/>
      <w:lvlText w:val="(%1)"/>
      <w:numFmt w:val="lowerLetter"/>
      <w:start w:val="1"/>
    </w:lvl>
    <w:lvl w:ilvl="1">
      <w:lvlJc w:val="left"/>
      <w:lvlText w:val="(%2)"/>
      <w:numFmt w:val="lowerRoman"/>
      <w:start w:val="1"/>
    </w:lvl>
  </w:abstractNum>
  <w:abstractNum w:abstractNumId="102">
    <w:nsid w:val="3DD15094"/>
    <w:multiLevelType w:val="hybridMultilevel"/>
    <w:lvl w:ilvl="0">
      <w:lvlJc w:val="left"/>
      <w:lvlText w:val="(%1)"/>
      <w:numFmt w:val="lowerLetter"/>
      <w:start w:val="4"/>
    </w:lvl>
  </w:abstractNum>
  <w:abstractNum w:abstractNumId="103">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04">
    <w:nsid w:val="2708C9A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05">
    <w:nsid w:val="5B25ACE2"/>
    <w:multiLevelType w:val="hybridMultilevel"/>
    <w:lvl w:ilvl="0">
      <w:lvlJc w:val="left"/>
      <w:lvlText w:val="%1."/>
      <w:numFmt w:val="decimal"/>
      <w:start w:val="3"/>
    </w:lvl>
    <w:lvl w:ilvl="1">
      <w:lvlJc w:val="left"/>
      <w:lvlText w:val="*"/>
      <w:numFmt w:val="bullet"/>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lowerLetter"/>
      <w:start w:val="3"/>
    </w:lvl>
  </w:abstractNum>
  <w:abstractNum w:abstractNumId="109">
    <w:nsid w:val="34FD6B4F"/>
    <w:multiLevelType w:val="hybridMultilevel"/>
    <w:lvl w:ilvl="0">
      <w:lvlJc w:val="left"/>
      <w:lvlText w:val="%1."/>
      <w:numFmt w:val="decimal"/>
      <w:start w:val="3"/>
    </w:lvl>
  </w:abstractNum>
  <w:abstractNum w:abstractNumId="110">
    <w:nsid w:val="5915FF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1">
    <w:nsid w:val="56438D15"/>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12">
    <w:nsid w:val="519E3149"/>
    <w:multiLevelType w:val="hybridMultilevel"/>
    <w:lvl w:ilvl="0">
      <w:lvlJc w:val="left"/>
      <w:lvlText w:val="%1"/>
      <w:numFmt w:val="lowerLetter"/>
      <w:start w:val="1"/>
    </w:lvl>
    <w:lvl w:ilvl="1">
      <w:lvlJc w:val="left"/>
      <w:lvlText w:val="%2."/>
      <w:numFmt w:val="lowerRoman"/>
      <w:start w:val="4"/>
    </w:lvl>
  </w:abstractNum>
  <w:abstractNum w:abstractNumId="113">
    <w:nsid w:val="2C6E4AFD"/>
    <w:multiLevelType w:val="hybridMultilevel"/>
    <w:lvl w:ilvl="0">
      <w:lvlJc w:val="left"/>
      <w:lvlText w:val="(%1)"/>
      <w:numFmt w:val="lowerLetter"/>
      <w:start w:val="3"/>
    </w:lvl>
    <w:lvl w:ilvl="1">
      <w:lvlJc w:val="left"/>
      <w:lvlText w:val="%2"/>
      <w:numFmt w:val="lowerRoman"/>
      <w:start w:val="1"/>
    </w:lvl>
  </w:abstractNum>
  <w:abstractNum w:abstractNumId="114">
    <w:nsid w:val="17A1B582"/>
    <w:multiLevelType w:val="hybridMultilevel"/>
    <w:lvl w:ilvl="0">
      <w:lvlJc w:val="left"/>
      <w:lvlText w:val="(%1)"/>
      <w:numFmt w:val="lowerLetter"/>
      <w:start w:val="2"/>
    </w:lvl>
  </w:abstractNum>
  <w:abstractNum w:abstractNumId="115">
    <w:nsid w:val="4DF72E4E"/>
    <w:multiLevelType w:val="hybridMultilevel"/>
    <w:lvl w:ilvl="0">
      <w:lvlJc w:val="left"/>
      <w:lvlText w:val="%1."/>
      <w:numFmt w:val="decimal"/>
      <w:start w:val="4"/>
    </w:lvl>
  </w:abstractNum>
  <w:abstractNum w:abstractNumId="116">
    <w:nsid w:val="5046B5A9"/>
    <w:multiLevelType w:val="hybridMultilevel"/>
    <w:lvl w:ilvl="0">
      <w:lvlJc w:val="left"/>
      <w:lvlText w:val="(%1)"/>
      <w:numFmt w:val="lowerLetter"/>
      <w:start w:val="1"/>
    </w:lvl>
  </w:abstractNum>
  <w:abstractNum w:abstractNumId="117">
    <w:nsid w:val="5D888A08"/>
    <w:multiLevelType w:val="hybridMultilevel"/>
    <w:lvl w:ilvl="0">
      <w:lvlJc w:val="left"/>
      <w:lvlText w:val="(%1)"/>
      <w:numFmt w:val="lowerRoman"/>
      <w:start w:val="1"/>
    </w:lvl>
  </w:abstractNum>
  <w:abstractNum w:abstractNumId="118">
    <w:nsid w:val="2A082C70"/>
    <w:multiLevelType w:val="hybridMultilevel"/>
    <w:lvl w:ilvl="0">
      <w:lvlJc w:val="left"/>
      <w:lvlText w:val="(%1)"/>
      <w:numFmt w:val="lowerLetter"/>
      <w:start w:val="2"/>
    </w:lvl>
  </w:abstractNum>
  <w:abstractNum w:abstractNumId="119">
    <w:nsid w:val="5EC6AFD4"/>
    <w:multiLevelType w:val="hybridMultilevel"/>
    <w:lvl w:ilvl="0">
      <w:lvlJc w:val="left"/>
      <w:lvlText w:val="%1."/>
      <w:numFmt w:val="decimal"/>
      <w:start w:val="5"/>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lowerLetter"/>
      <w:start w:val="7"/>
    </w:lvl>
  </w:abstractNum>
  <w:abstractNum w:abstractNumId="122">
    <w:nsid w:val="57A61A29"/>
    <w:multiLevelType w:val="hybridMultilevel"/>
    <w:lvl w:ilvl="0">
      <w:lvlJc w:val="left"/>
      <w:lvlText w:val="%1."/>
      <w:numFmt w:val="decimal"/>
      <w:start w:val="6"/>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lowerLetter"/>
      <w:start w:val="4"/>
    </w:lvl>
  </w:abstractNum>
  <w:abstractNum w:abstractNumId="125">
    <w:nsid w:val="4427069A"/>
    <w:multiLevelType w:val="hybridMultilevel"/>
    <w:lvl w:ilvl="0">
      <w:lvlJc w:val="left"/>
      <w:lvlText w:val="%1."/>
      <w:numFmt w:val="decimal"/>
      <w:start w:val="8"/>
    </w:lvl>
  </w:abstractNum>
  <w:abstractNum w:abstractNumId="126">
    <w:nsid w:val="B37E80A"/>
    <w:multiLevelType w:val="hybridMultilevel"/>
    <w:lvl w:ilvl="0">
      <w:lvlJc w:val="left"/>
      <w:lvlText w:val="%1."/>
      <w:numFmt w:val="decimal"/>
      <w:start w:val="10"/>
    </w:lvl>
  </w:abstractNum>
  <w:abstractNum w:abstractNumId="127">
    <w:nsid w:val="2157F6BC"/>
    <w:multiLevelType w:val="hybridMultilevel"/>
    <w:lvl w:ilvl="0">
      <w:lvlJc w:val="left"/>
      <w:lvlText w:val="%1."/>
      <w:numFmt w:val="decimal"/>
      <w:start w:val="17"/>
    </w:lvl>
  </w:abstractNum>
  <w:abstractNum w:abstractNumId="128">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29">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0">
    <w:nsid w:val="BFFAE1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1">
    <w:nsid w:val="E3E47A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32">
    <w:nsid w:val="2E48F044"/>
    <w:multiLevelType w:val="hybridMultilevel"/>
    <w:lvl w:ilvl="0">
      <w:lvlJc w:val="left"/>
      <w:lvlText w:val="(%1)"/>
      <w:numFmt w:val="lowerLetter"/>
      <w:start w:val="3"/>
    </w:lvl>
  </w:abstractNum>
  <w:abstractNum w:abstractNumId="133">
    <w:nsid w:val="49D0FEAC"/>
    <w:multiLevelType w:val="hybridMultilevel"/>
    <w:lvl w:ilvl="0">
      <w:lvlJc w:val="left"/>
      <w:lvlText w:val="%1."/>
      <w:numFmt w:val="decimal"/>
      <w:start w:val="2"/>
    </w:lvl>
  </w:abstractNum>
  <w:abstractNum w:abstractNumId="134">
    <w:nsid w:val="4BEE5A5B"/>
    <w:multiLevelType w:val="hybridMultilevel"/>
    <w:lvl w:ilvl="0">
      <w:lvlJc w:val="left"/>
      <w:lvlText w:val="%1."/>
      <w:numFmt w:val="decimal"/>
      <w:start w:val="9"/>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156" Type="http://schemas.openxmlformats.org/officeDocument/2006/relationships/hyperlink" Target="https://www.sec.gov/Archives/edgar/data/1783183/000119312519277761/d795888dex31.htm" TargetMode="External"/><Relationship Id="rId157" Type="http://schemas.openxmlformats.org/officeDocument/2006/relationships/hyperlink" Target="https://www.sec.gov/Archives/edgar/data/0001783183/000119312520254563/d10693dex31.htm" TargetMode="External"/><Relationship Id="rId158" Type="http://schemas.openxmlformats.org/officeDocument/2006/relationships/hyperlink" Target="https://www.sec.gov/Archives/edgar/data/1783183/000119312519267053/d63338dex41.htm" TargetMode="External"/><Relationship Id="rId159" Type="http://schemas.openxmlformats.org/officeDocument/2006/relationships/hyperlink" Target="https://www.sec.gov/Archives/edgar/data/1783183/000119312519258922/d63338dex42.htm" TargetMode="External"/><Relationship Id="rId160" Type="http://schemas.openxmlformats.org/officeDocument/2006/relationships/hyperlink" Target="https://www.sec.gov/Archives/edgar/data/1783183/000119312519258922/d63338dex43.htm" TargetMode="External"/><Relationship Id="rId161" Type="http://schemas.openxmlformats.org/officeDocument/2006/relationships/hyperlink" Target="https://www.sec.gov/Archives/edgar/data/1783183/000119312519258922/d63338dex44.htm" TargetMode="External"/><Relationship Id="rId162" Type="http://schemas.openxmlformats.org/officeDocument/2006/relationships/hyperlink" Target="https://www.sec.gov/Archives/edgar/data/1783183/000119312519267053/d63338dex45.htm" TargetMode="External"/><Relationship Id="rId163" Type="http://schemas.openxmlformats.org/officeDocument/2006/relationships/hyperlink" Target="https://www.sec.gov/Archives/edgar/data/1783183/000095017022002536/phat-ex4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2022-08-02T07:20:26Z</dcterms:created>
  <dcterms:modified xsi:type="dcterms:W3CDTF">2022-08-02T07:20:26Z</dcterms:modified>
</cp:coreProperties>
</file>