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Narula Sanjeev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PHATHOM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CAMPUS DRIVE,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FLORHAM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Phathom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&amp; Bus.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933"/>
        <w:gridCol w:w="456"/>
        <w:gridCol w:w="671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6.78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underlying the restricted stock units that were surrendered by the reporting person to the Issuer in satisfaction of the Issuer's tax withholding obligation.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1,488 shares acquired under the Phathom Pharmaceuticals, Inc. employee stock purchase plan in July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Breedlove, Attorney-in-Fact for Sanjeev Narula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0590" TargetMode="External"/><Relationship Id="rId5" Type="http://schemas.openxmlformats.org/officeDocument/2006/relationships/hyperlink" Target="http://www.sec.gov/cgi-bin/browse-edgar?action=getcompany&amp;CIK=00017831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3425</Characters>
  <CharactersWithSpaces>3974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