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at-20240930.htm"/>
      <w:bookmarkStart w:id="1" w:name="ksphat20240930"/>
      <w:bookmarkEnd w:id="0"/>
      <w:bookmarkEnd w:id="1"/>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8" w:space="1" w:color="000000"/>
        </w:pBdr>
        <w:bidi w:val="0"/>
        <w:jc w:val="center"/>
        <w:rPr/>
      </w:pPr>
      <w:r>
        <w:rPr/>
        <w:t> </w:t>
      </w:r>
    </w:p>
    <w:p>
      <w:pPr>
        <w:pStyle w:val="TextBody"/>
        <w:bidi w:val="0"/>
        <w:spacing w:before="8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u w:val="single"/>
        </w:rPr>
        <w:t xml:space="preserve"> </w:t>
      </w:r>
      <w:r>
        <w:rPr>
          <w:rFonts w:ascii="Times New Roman" w:hAnsi="Times New Roman"/>
          <w:b/>
          <w:color w:val="000000"/>
          <w:sz w:val="20"/>
        </w:rPr>
        <w: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001-39094</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PHATHOM PHARMACEUTICALS,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82-4151574</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100 Campus Drive, Suite 102</w:t>
            </w:r>
          </w:p>
          <w:p>
            <w:pPr>
              <w:pStyle w:val="TableContents"/>
              <w:bidi w:val="0"/>
              <w:spacing w:before="0" w:after="283"/>
              <w:jc w:val="center"/>
              <w:rPr>
                <w:rFonts w:ascii="Times New Roman" w:hAnsi="Times New Roman"/>
                <w:sz w:val="20"/>
              </w:rPr>
            </w:pPr>
            <w:r>
              <w:rPr>
                <w:rFonts w:ascii="Times New Roman" w:hAnsi="Times New Roman"/>
                <w:b/>
                <w:color w:val="000000"/>
                <w:sz w:val="20"/>
              </w:rPr>
              <w:t>Florham Park, New Jersey</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07932</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(877) 742-8466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PHAT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460" w:type="dxa"/>
        <w:jc w:val="left"/>
        <w:tblInd w:w="0" w:type="dxa"/>
        <w:tblLayout w:type="fixed"/>
        <w:tblCellMar>
          <w:top w:w="28" w:type="dxa"/>
          <w:left w:w="28" w:type="dxa"/>
          <w:bottom w:w="28" w:type="dxa"/>
          <w:right w:w="28" w:type="dxa"/>
        </w:tblCellMar>
      </w:tblPr>
      <w:tblGrid>
        <w:gridCol w:w="2326"/>
        <w:gridCol w:w="316"/>
        <w:gridCol w:w="14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As of November 4, 2024, the registrant had 68,377,379 </w:t>
      </w:r>
      <w:r>
        <w:rPr>
          <w:rFonts w:ascii="Times New Roman" w:hAnsi="Times New Roman"/>
          <w:color w:val="000000"/>
          <w:sz w:val="18"/>
        </w:rPr>
        <w:t>s</w:t>
      </w:r>
      <w:r>
        <w:rPr>
          <w:rFonts w:ascii="Times New Roman" w:hAnsi="Times New Roman"/>
          <w:color w:val="000000"/>
          <w:sz w:val="20"/>
        </w:rPr>
        <w:t>hares of common stock ($0.0001 par value) outstanding.</w:t>
      </w:r>
    </w:p>
    <w:p>
      <w:pPr>
        <w:pStyle w:val="TextBody"/>
        <w:pBdr>
          <w:bottom w:val="double" w:sz="4" w:space="1" w:color="000000"/>
        </w:pBdr>
        <w:bidi w:val="0"/>
        <w:jc w:val="center"/>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231F20"/>
          <w:sz w:val="20"/>
        </w:rPr>
      </w:pPr>
      <w:r>
        <w:rPr>
          <w:rFonts w:ascii="Calibri;sans-serif" w:hAnsi="Calibri;sans-serif"/>
          <w:b/>
          <w:color w:val="231F20"/>
          <w:sz w:val="20"/>
        </w:rPr>
        <w:t>TABLE OF CONTENTS</w:t>
      </w:r>
    </w:p>
    <w:p>
      <w:pPr>
        <w:pStyle w:val="TextBody"/>
        <w:bidi w:val="0"/>
        <w:jc w:val="both"/>
        <w:rPr/>
      </w:pPr>
      <w:r>
        <w:rPr/>
        <w:t> </w:t>
      </w:r>
    </w:p>
    <w:tbl>
      <w:tblPr>
        <w:tblW w:w="8309" w:type="dxa"/>
        <w:jc w:val="left"/>
        <w:tblInd w:w="0" w:type="dxa"/>
        <w:tblLayout w:type="fixed"/>
        <w:tblCellMar>
          <w:top w:w="28" w:type="dxa"/>
          <w:left w:w="28" w:type="dxa"/>
          <w:bottom w:w="28" w:type="dxa"/>
          <w:right w:w="28" w:type="dxa"/>
        </w:tblCellMar>
      </w:tblPr>
      <w:tblGrid>
        <w:gridCol w:w="736"/>
        <w:gridCol w:w="146"/>
        <w:gridCol w:w="7021"/>
        <w:gridCol w:w="406"/>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Calibri;sans-serif" w:hAnsi="Calibri;sans-serif"/>
                  <w:b/>
                  <w:color w:val="0000FF"/>
                  <w:sz w:val="20"/>
                  <w:u w:val="single"/>
                </w:rPr>
                <w:t>PART I. FINANCIAL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Calibri;sans-serif" w:hAnsi="Calibri;sans-serif"/>
                  <w:color w:val="0000FF"/>
                  <w:sz w:val="20"/>
                  <w:u w:val="single"/>
                </w:rPr>
                <w:t>Financial Statements (unaudited)</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Calibri;sans-serif" w:hAnsi="Calibri;sans-serif"/>
                  <w:color w:val="0000FF"/>
                  <w:sz w:val="20"/>
                  <w:u w:val="single"/>
                </w:rPr>
                <w:t>Balance Sheets</w:t>
              </w:r>
            </w:hyperlink>
            <w:hyperlink w:anchor="combined_balance_sheet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F-1</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s_operations">
              <w:r>
                <w:rPr>
                  <w:rStyle w:val="InternetLink"/>
                  <w:rFonts w:ascii="Calibri;sans-serif" w:hAnsi="Calibri;sans-serif"/>
                  <w:color w:val="0000FF"/>
                  <w:sz w:val="20"/>
                  <w:u w:val="single"/>
                </w:rPr>
                <w:t>Statements of Operations and Comprehensive Loss</w:t>
              </w:r>
            </w:hyperlink>
            <w:hyperlink w:anchor="condensed_combined_statements_operation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F-2</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densed_combined_statement_stockholder">
              <w:r>
                <w:rPr>
                  <w:rStyle w:val="InternetLink"/>
                  <w:rFonts w:ascii="Calibri;sans-serif" w:hAnsi="Calibri;sans-serif"/>
                  <w:color w:val="0000FF"/>
                  <w:sz w:val="20"/>
                  <w:u w:val="single"/>
                </w:rPr>
                <w:t>Statements of Stockholders’ Deficit</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F-3</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Calibri;sans-serif" w:hAnsi="Calibri;sans-serif"/>
                  <w:color w:val="0000FF"/>
                  <w:sz w:val="20"/>
                  <w:u w:val="single"/>
                </w:rPr>
                <w:t>Statements of Cash Flows</w:t>
              </w:r>
            </w:hyperlink>
            <w:hyperlink w:anchor="consolidated_statements_cash_flows">
              <w:r>
                <w:rPr>
                  <w:rStyle w:val="InternetLink"/>
                  <w:rFonts w:ascii="Times New Roman" w:hAnsi="Times New Roman"/>
                  <w:color w:val="0000FF"/>
                  <w:sz w:val="20"/>
                </w:rPr>
                <w:t xml:space="preserve"> </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F-5</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notes_to_unaudited_financial_statements">
              <w:r>
                <w:rPr>
                  <w:rStyle w:val="InternetLink"/>
                  <w:rFonts w:ascii="Calibri;sans-serif" w:hAnsi="Calibri;sans-serif"/>
                  <w:color w:val="0000FF"/>
                  <w:sz w:val="20"/>
                  <w:u w:val="single"/>
                </w:rPr>
                <w:t>Notes to Unaudited Financial Statements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F-6</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Calibri;sans-serif" w:hAnsi="Calibri;sans-serif"/>
                  <w:color w:val="0000FF"/>
                  <w:sz w:val="20"/>
                  <w:u w:val="single"/>
                </w:rPr>
                <w:t>Management’s Discussion and Analysis of Financial Condition and Results of Operations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Calibri;sans-serif" w:hAnsi="Calibri;sans-serif"/>
                  <w:color w:val="0000FF"/>
                  <w:sz w:val="20"/>
                  <w:u w:val="single"/>
                </w:rPr>
                <w:t>Quantitative and Qualitative Disclosures About Market Risk</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Calibri;sans-serif" w:hAnsi="Calibri;sans-serif"/>
                  <w:color w:val="0000FF"/>
                  <w:sz w:val="20"/>
                  <w:u w:val="single"/>
                </w:rPr>
                <w:t>Controls and Procedures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Calibri;sans-serif" w:hAnsi="Calibri;sans-serif"/>
                  <w:b/>
                  <w:color w:val="0000FF"/>
                  <w:sz w:val="20"/>
                  <w:u w:val="single"/>
                </w:rPr>
                <w:t>PART II. OTHER INFORMATION</w:t>
              </w:r>
            </w:hyperlink>
          </w:p>
        </w:tc>
      </w:tr>
      <w:tr>
        <w:trPr/>
        <w:tc>
          <w:tcPr>
            <w:tcW w:w="830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Calibri;sans-serif" w:hAnsi="Calibri;sans-serif"/>
                  <w:color w:val="0000FF"/>
                  <w:sz w:val="20"/>
                  <w:u w:val="single"/>
                </w:rPr>
                <w:t>Legal Proceedings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Calibri;sans-serif" w:hAnsi="Calibri;sans-serif"/>
                  <w:color w:val="0000FF"/>
                  <w:sz w:val="20"/>
                  <w:u w:val="single"/>
                </w:rPr>
                <w:t>Risk Factors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_1">
              <w:r>
                <w:rPr>
                  <w:rStyle w:val="InternetLink"/>
                  <w:rFonts w:ascii="Calibri;sans-serif" w:hAnsi="Calibri;sans-serif"/>
                  <w:color w:val="0000FF"/>
                  <w:sz w:val="20"/>
                  <w:u w:val="single"/>
                </w:rPr>
                <w:t>Unregistered Sales of Equity Securities and Use of Proceeds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_1">
              <w:r>
                <w:rPr>
                  <w:rStyle w:val="InternetLink"/>
                  <w:rFonts w:ascii="Calibri;sans-serif" w:hAnsi="Calibri;sans-serif"/>
                  <w:color w:val="0000FF"/>
                  <w:sz w:val="20"/>
                  <w:u w:val="single"/>
                </w:rPr>
                <w:t>Defaults Upon Senior Securities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Calibri;sans-serif" w:hAnsi="Calibri;sans-serif"/>
                  <w:color w:val="0000FF"/>
                  <w:sz w:val="20"/>
                  <w:u w:val="single"/>
                </w:rPr>
                <w:t>Mine Safety Disclosures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5_or_information_1">
              <w:r>
                <w:rPr>
                  <w:rStyle w:val="InternetLink"/>
                  <w:rFonts w:ascii="Calibri;sans-serif" w:hAnsi="Calibri;sans-serif"/>
                  <w:color w:val="0000FF"/>
                  <w:sz w:val="20"/>
                  <w:u w:val="single"/>
                </w:rPr>
                <w:t>Other Information</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item_6_exhibits_1">
              <w:r>
                <w:rPr>
                  <w:rStyle w:val="InternetLink"/>
                  <w:rFonts w:ascii="Calibri;sans-serif" w:hAnsi="Calibri;sans-serif"/>
                  <w:color w:val="0000FF"/>
                  <w:sz w:val="20"/>
                  <w:u w:val="single"/>
                </w:rPr>
                <w:t>Exhibits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40</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signatures_1">
              <w:r>
                <w:rPr>
                  <w:rStyle w:val="InternetLink"/>
                  <w:rFonts w:ascii="Calibri;sans-serif" w:hAnsi="Calibri;sans-serif"/>
                  <w:color w:val="0000FF"/>
                  <w:sz w:val="20"/>
                  <w:u w:val="single"/>
                </w:rPr>
                <w:t>Signatures</w:t>
              </w:r>
            </w:hyperlink>
          </w:p>
        </w:tc>
        <w:tc>
          <w:tcPr>
            <w:tcW w:w="406" w:type="dxa"/>
            <w:tcBorders/>
            <w:tcMar>
              <w:top w:w="0" w:type="dxa"/>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 w:name="part_i_financial_information"/>
      <w:bookmarkEnd w:id="2"/>
      <w:r>
        <w:rPr>
          <w:rFonts w:ascii="Calibri;sans-serif" w:hAnsi="Calibri;sans-serif"/>
          <w:b/>
          <w:color w:val="000000"/>
          <w:sz w:val="20"/>
        </w:rPr>
        <w:t>PART I. FINANCIAL INFORMATION</w:t>
      </w:r>
    </w:p>
    <w:p>
      <w:pPr>
        <w:pStyle w:val="TextBody"/>
        <w:bidi w:val="0"/>
        <w:spacing w:before="120" w:after="283"/>
        <w:jc w:val="left"/>
        <w:rPr>
          <w:rFonts w:ascii="Calibri;sans-serif" w:hAnsi="Calibri;sans-serif"/>
          <w:b/>
          <w:color w:val="000000"/>
          <w:sz w:val="20"/>
        </w:rPr>
      </w:pPr>
      <w:bookmarkStart w:id="3" w:name="item_1_financial_statements_unaudited"/>
      <w:bookmarkEnd w:id="3"/>
      <w:r>
        <w:rPr>
          <w:rFonts w:ascii="Calibri;sans-serif" w:hAnsi="Calibri;sans-serif"/>
          <w:b/>
          <w:color w:val="000000"/>
          <w:sz w:val="20"/>
        </w:rPr>
        <w:t>Item 1. Financial Statements (unaudited)</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4" w:name="combined_balance_sheets"/>
      <w:bookmarkEnd w:id="4"/>
      <w:r>
        <w:rPr>
          <w:rFonts w:ascii="Calibri;sans-serif" w:hAnsi="Calibri;sans-serif"/>
          <w:b/>
          <w:color w:val="000000"/>
          <w:sz w:val="20"/>
        </w:rPr>
        <w:t>Balance Sheets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par value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01"/>
        <w:gridCol w:w="146"/>
        <w:gridCol w:w="217"/>
        <w:gridCol w:w="1023"/>
        <w:gridCol w:w="166"/>
        <w:gridCol w:w="146"/>
        <w:gridCol w:w="223"/>
        <w:gridCol w:w="890"/>
        <w:gridCol w:w="393"/>
      </w:tblGrid>
      <w:tr>
        <w:trPr/>
        <w:tc>
          <w:tcPr>
            <w:tcW w:w="7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b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3" w:type="dxa"/>
            <w:gridSpan w:val="2"/>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334,678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381,393</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13,194</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21,052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373,821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397,432</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393" w:type="dxa"/>
            <w:tcBorders/>
            <w:shd w:fill="FFFFFF" w:val="cle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1,475</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2,863</w:t>
            </w:r>
          </w:p>
        </w:tc>
        <w:tc>
          <w:tcPr>
            <w:tcW w:w="393" w:type="dxa"/>
            <w:tcBorders/>
            <w:shd w:fill="FFFFFF" w:val="cle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Inventory, non-current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1,692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Liabilities and Stockholders’ Deficit</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12,601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1,146</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726</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Current portion of revenue interest financing liability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65,288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38,781</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net of discount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393" w:type="dxa"/>
            <w:tcBorders/>
            <w:shd w:fill="FFFFFF" w:val="cle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322,389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393" w:type="dxa"/>
            <w:tcBorders/>
            <w:shd w:fill="CFF0FC" w:val="cle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462</w:t>
            </w:r>
          </w:p>
        </w:tc>
        <w:tc>
          <w:tcPr>
            <w:tcW w:w="393" w:type="dxa"/>
            <w:tcBorders/>
            <w:shd w:fill="FFFFFF" w:val="cle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9,700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574,156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486,601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1" w:type="dxa"/>
            <w:tcBorders/>
            <w:shd w:fill="CFF0FC" w:val="cle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20"/>
              </w:rPr>
              <w:t>Commitments and contingencies</w:t>
            </w:r>
            <w:r>
              <w:rPr>
                <w:rFonts w:ascii="Times New Roman" w:hAnsi="Times New Roman"/>
                <w:color w:val="000000"/>
                <w:sz w:val="20"/>
              </w:rPr>
              <w:t> </w:t>
            </w:r>
            <w:r>
              <w:rPr>
                <w:rFonts w:ascii="Calibri;sans-serif" w:hAnsi="Calibri;sans-serif"/>
                <w:color w:val="000000"/>
                <w:sz w:val="20"/>
              </w:rPr>
              <w:t>(Note 3)</w:t>
            </w:r>
          </w:p>
        </w:tc>
        <w:tc>
          <w:tcPr>
            <w:tcW w:w="146" w:type="dxa"/>
            <w:tcBorders/>
            <w:shd w:fill="CFF0FC" w:val="clear"/>
            <w:vAlign w:val="center"/>
          </w:tcPr>
          <w:p>
            <w:pPr>
              <w:pStyle w:val="TableContents"/>
              <w:bidi w:val="0"/>
              <w:spacing w:before="0" w:after="283"/>
              <w:jc w:val="left"/>
              <w:rPr/>
            </w:pPr>
            <w:r>
              <w:rPr/>
              <w:t> </w:t>
            </w:r>
          </w:p>
        </w:tc>
        <w:tc>
          <w:tcPr>
            <w:tcW w:w="12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3"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jc w:val="right"/>
              <w:rPr/>
            </w:pPr>
            <w:r>
              <w:rPr/>
              <w:t> </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Stockholders’ deficit:</w:t>
            </w:r>
          </w:p>
        </w:tc>
        <w:tc>
          <w:tcPr>
            <w:tcW w:w="146" w:type="dxa"/>
            <w:tcBorders/>
            <w:shd w:fill="FFFFFF" w:val="clear"/>
            <w:vAlign w:val="center"/>
          </w:tcPr>
          <w:p>
            <w:pPr>
              <w:pStyle w:val="TableContents"/>
              <w:bidi w:val="0"/>
              <w:spacing w:before="0" w:after="283"/>
              <w:jc w:val="left"/>
              <w:rPr/>
            </w:pPr>
            <w:r>
              <w:rPr/>
              <w:t> </w:t>
            </w:r>
          </w:p>
        </w:tc>
        <w:tc>
          <w:tcPr>
            <w:tcW w:w="12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3"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Preferred stock, $0.0001</w:t>
            </w:r>
            <w:r>
              <w:rPr>
                <w:rFonts w:ascii="Times New Roman" w:hAnsi="Times New Roman"/>
                <w:color w:val="000000"/>
                <w:sz w:val="20"/>
              </w:rPr>
              <w:t> </w:t>
            </w:r>
            <w:r>
              <w:rPr>
                <w:rFonts w:ascii="Calibri;sans-serif" w:hAnsi="Calibri;sans-serif"/>
                <w:color w:val="000000"/>
                <w:sz w:val="20"/>
              </w:rPr>
              <w:t>par value; authorized shares — 40,000,000</w:t>
            </w:r>
            <w:r>
              <w:rPr>
                <w:rFonts w:ascii="Times New Roman" w:hAnsi="Times New Roman"/>
                <w:color w:val="000000"/>
                <w:sz w:val="20"/>
              </w:rPr>
              <w:t> </w:t>
            </w:r>
            <w:r>
              <w:rPr>
                <w:rFonts w:ascii="Calibri;sans-serif" w:hAnsi="Calibri;sans-serif"/>
                <w:color w:val="000000"/>
                <w:sz w:val="20"/>
              </w:rPr>
              <w:t>at September 30, 2024 and December 31, 2023; no</w:t>
            </w:r>
            <w:r>
              <w:rPr>
                <w:rFonts w:ascii="Times New Roman" w:hAnsi="Times New Roman"/>
                <w:color w:val="000000"/>
                <w:sz w:val="20"/>
              </w:rPr>
              <w:t> </w:t>
            </w:r>
            <w:r>
              <w:rPr>
                <w:rFonts w:ascii="Calibri;sans-serif" w:hAnsi="Calibri;sans-serif"/>
                <w:color w:val="000000"/>
                <w:sz w:val="20"/>
              </w:rPr>
              <w:t>shares issued and outstanding at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Common stock, $0.0001</w:t>
            </w:r>
            <w:r>
              <w:rPr>
                <w:rFonts w:ascii="Times New Roman" w:hAnsi="Times New Roman"/>
                <w:color w:val="000000"/>
                <w:sz w:val="20"/>
              </w:rPr>
              <w:t> </w:t>
            </w:r>
            <w:r>
              <w:rPr>
                <w:rFonts w:ascii="Calibri;sans-serif" w:hAnsi="Calibri;sans-serif"/>
                <w:color w:val="000000"/>
                <w:sz w:val="20"/>
              </w:rPr>
              <w:t>par value; authorized shares — 400,000,000</w:t>
            </w:r>
            <w:r>
              <w:rPr>
                <w:rFonts w:ascii="Times New Roman" w:hAnsi="Times New Roman"/>
                <w:color w:val="000000"/>
                <w:sz w:val="20"/>
              </w:rPr>
              <w:t> </w:t>
            </w:r>
            <w:r>
              <w:rPr>
                <w:rFonts w:ascii="Calibri;sans-serif" w:hAnsi="Calibri;sans-serif"/>
                <w:color w:val="000000"/>
                <w:sz w:val="20"/>
              </w:rPr>
              <w:t>at September 30, 2024 and December 31, 2023; issued and outstanding shares — 68,323,938</w:t>
            </w:r>
            <w:r>
              <w:rPr>
                <w:rFonts w:ascii="Times New Roman" w:hAnsi="Times New Roman"/>
                <w:color w:val="000000"/>
                <w:sz w:val="20"/>
              </w:rPr>
              <w:t> </w:t>
            </w:r>
            <w:r>
              <w:rPr>
                <w:rFonts w:ascii="Calibri;sans-serif" w:hAnsi="Calibri;sans-serif"/>
                <w:color w:val="000000"/>
                <w:sz w:val="20"/>
              </w:rPr>
              <w:t>and 57,970,044</w:t>
            </w:r>
            <w:r>
              <w:rPr>
                <w:rFonts w:ascii="Times New Roman" w:hAnsi="Times New Roman"/>
                <w:color w:val="000000"/>
                <w:sz w:val="20"/>
              </w:rPr>
              <w:t> </w:t>
            </w:r>
            <w:r>
              <w:rPr>
                <w:rFonts w:ascii="Calibri;sans-serif" w:hAnsi="Calibri;sans-serif"/>
                <w:color w:val="000000"/>
                <w:sz w:val="20"/>
              </w:rPr>
              <w:t>at September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Calibri;sans-serif" w:hAnsi="Calibri;sans-serif"/>
                <w:color w:val="000000"/>
                <w:sz w:val="20"/>
              </w:rPr>
              <w:t>Treasury stock — 19</w:t>
            </w:r>
            <w:r>
              <w:rPr>
                <w:rFonts w:ascii="Times New Roman" w:hAnsi="Times New Roman"/>
                <w:color w:val="000000"/>
                <w:sz w:val="20"/>
              </w:rPr>
              <w:t> </w:t>
            </w:r>
            <w:r>
              <w:rPr>
                <w:rFonts w:ascii="Calibri;sans-serif" w:hAnsi="Calibri;sans-serif"/>
                <w:color w:val="000000"/>
                <w:sz w:val="20"/>
              </w:rPr>
              <w:t>shares at September 30, 2024 and December 31, 2023</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10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color w:val="000000"/>
              </w:rPr>
            </w:pPr>
            <w:r>
              <w:rPr>
                <w:color w:val="000000"/>
              </w:rPr>
              <w:t>—</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700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1,001,442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855,921</w:t>
            </w:r>
          </w:p>
        </w:tc>
        <w:tc>
          <w:tcPr>
            <w:tcW w:w="393" w:type="dxa"/>
            <w:tcBorders/>
            <w:shd w:fill="FFFFFF" w:val="clear"/>
            <w:vAlign w:val="center"/>
          </w:tcPr>
          <w:p>
            <w:pPr>
              <w:pStyle w:val="TableContents"/>
              <w:bidi w:val="0"/>
              <w:spacing w:before="0" w:after="283"/>
              <w:ind w:left="0" w:right="0" w:firstLine="200"/>
              <w:jc w:val="left"/>
              <w:rPr/>
            </w:pPr>
            <w:r>
              <w:rPr/>
              <w:t> </w:t>
            </w:r>
          </w:p>
        </w:tc>
      </w:tr>
      <w:tr>
        <w:trPr/>
        <w:tc>
          <w:tcPr>
            <w:tcW w:w="700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(1,188,560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(928,685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stockholders’ deficit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(187,112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(72,759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70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liabilities and stockholders’ deficit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413,842</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mbined_statements_operations"/>
      <w:bookmarkEnd w:id="5"/>
      <w:r>
        <w:rPr>
          <w:rFonts w:ascii="Calibri;sans-serif" w:hAnsi="Calibri;sans-serif"/>
          <w:b/>
          <w:color w:val="000000"/>
          <w:sz w:val="20"/>
        </w:rPr>
        <w:t>Statements of Operations and Comprehensive Loss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Calibri;sans-serif" w:hAnsi="Calibri;sans-serif"/>
          <w:b/>
          <w:color w:val="000000"/>
          <w:sz w:val="20"/>
        </w:rPr>
      </w:pPr>
      <w:r>
        <w:rPr>
          <w:rFonts w:ascii="Calibri;sans-serif" w:hAnsi="Calibri;sans-serif"/>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24"/>
        <w:gridCol w:w="146"/>
        <w:gridCol w:w="211"/>
        <w:gridCol w:w="1036"/>
        <w:gridCol w:w="166"/>
        <w:gridCol w:w="146"/>
        <w:gridCol w:w="211"/>
        <w:gridCol w:w="1036"/>
        <w:gridCol w:w="166"/>
        <w:gridCol w:w="146"/>
        <w:gridCol w:w="211"/>
        <w:gridCol w:w="1036"/>
        <w:gridCol w:w="166"/>
        <w:gridCol w:w="146"/>
        <w:gridCol w:w="211"/>
        <w:gridCol w:w="1036"/>
        <w:gridCol w:w="311"/>
      </w:tblGrid>
      <w:tr>
        <w:trPr/>
        <w:tc>
          <w:tcPr>
            <w:tcW w:w="3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3824"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36,505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60,932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97,437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(97,437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(expense) income: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4,528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24"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(18,484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(10,107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(53,416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(28,939</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(24,585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(122,022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824"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shares of common stock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64,627,847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56,782,379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60,543,545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49,265,321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bookmarkStart w:id="6" w:name="condensed_combined_statement_stockholder"/>
      <w:bookmarkEnd w:id="6"/>
      <w:r>
        <w:rPr>
          <w:rFonts w:ascii="Calibri;sans-serif" w:hAnsi="Calibri;sans-serif"/>
          <w:b/>
          <w:color w:val="000000"/>
          <w:sz w:val="20"/>
        </w:rPr>
        <w:t>Statements of Stockholders’ Deficit</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9"/>
        <w:gridCol w:w="146"/>
        <w:gridCol w:w="146"/>
        <w:gridCol w:w="916"/>
        <w:gridCol w:w="146"/>
        <w:gridCol w:w="146"/>
        <w:gridCol w:w="282"/>
        <w:gridCol w:w="499"/>
        <w:gridCol w:w="146"/>
        <w:gridCol w:w="146"/>
        <w:gridCol w:w="263"/>
        <w:gridCol w:w="625"/>
        <w:gridCol w:w="146"/>
        <w:gridCol w:w="146"/>
        <w:gridCol w:w="196"/>
        <w:gridCol w:w="826"/>
        <w:gridCol w:w="146"/>
        <w:gridCol w:w="146"/>
        <w:gridCol w:w="212"/>
        <w:gridCol w:w="959"/>
        <w:gridCol w:w="166"/>
        <w:gridCol w:w="146"/>
        <w:gridCol w:w="240"/>
        <w:gridCol w:w="922"/>
        <w:gridCol w:w="214"/>
      </w:tblGrid>
      <w:tr>
        <w:trPr/>
        <w:tc>
          <w:tcPr>
            <w:tcW w:w="22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2"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Total</w:t>
              <w:br/>
              <w:t>Stockholders’</w:t>
            </w:r>
          </w:p>
        </w:tc>
        <w:tc>
          <w:tcPr>
            <w:tcW w:w="214" w:type="dxa"/>
            <w:tcBorders/>
            <w:shd w:fill="FFFFFF" w:val="clear"/>
            <w:vAlign w:val="center"/>
          </w:tcPr>
          <w:p>
            <w:pPr>
              <w:pStyle w:val="TableContents"/>
              <w:bidi w:val="0"/>
              <w:spacing w:before="0" w:after="283"/>
              <w:jc w:val="center"/>
              <w:rPr/>
            </w:pPr>
            <w:r>
              <w:rPr/>
              <w:t> </w:t>
            </w:r>
          </w:p>
        </w:tc>
      </w:tr>
      <w:tr>
        <w:trPr/>
        <w:tc>
          <w:tcPr>
            <w:tcW w:w="227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57,970,044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855,921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(928,685</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(72,759</w:t>
            </w:r>
          </w:p>
        </w:tc>
        <w:tc>
          <w:tcPr>
            <w:tcW w:w="214"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93,736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712</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340,542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5,626</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119,779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770</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(82,852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58,524,101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863,029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(1,011,537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(148,503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74,492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6,099</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21</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(91,446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58,601,025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869,149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(1,102,983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(233,829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289,853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2,971</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454,003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5,635</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255,602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1,631</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and pre-funded warrants in connection with the underwritten public offering,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8,695,652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121,774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92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121,775</w:t>
            </w:r>
          </w:p>
        </w:tc>
        <w:tc>
          <w:tcPr>
            <w:tcW w:w="214" w:type="dxa"/>
            <w:tcBorders/>
            <w:shd w:fill="CFF0FC" w:val="clear"/>
            <w:vAlign w:val="center"/>
          </w:tcPr>
          <w:p>
            <w:pPr>
              <w:pStyle w:val="TableContents"/>
              <w:bidi w:val="0"/>
              <w:spacing w:before="0" w:after="283"/>
              <w:jc w:val="left"/>
              <w:rPr/>
            </w:pPr>
            <w:r>
              <w:rPr/>
              <w:t> </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27,803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282</w:t>
            </w:r>
          </w:p>
        </w:tc>
        <w:tc>
          <w:tcPr>
            <w:tcW w:w="214" w:type="dxa"/>
            <w:tcBorders/>
            <w:shd w:fill="FFFFFF" w:val="clear"/>
            <w:vAlign w:val="center"/>
          </w:tcPr>
          <w:p>
            <w:pPr>
              <w:pStyle w:val="TableContents"/>
              <w:bidi w:val="0"/>
              <w:spacing w:before="0" w:after="283"/>
              <w:jc w:val="left"/>
              <w:rPr/>
            </w:pPr>
            <w:r>
              <w:rPr/>
              <w:t> </w:t>
            </w:r>
          </w:p>
        </w:tc>
      </w:tr>
      <w:tr>
        <w:trPr/>
        <w:tc>
          <w:tcPr>
            <w:tcW w:w="227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(85,577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279"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68,323,938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1,001,442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(1,188,560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(187,112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Statements of Stockholders’ Deficit</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0"/>
        <w:gridCol w:w="146"/>
        <w:gridCol w:w="146"/>
        <w:gridCol w:w="916"/>
        <w:gridCol w:w="146"/>
        <w:gridCol w:w="146"/>
        <w:gridCol w:w="249"/>
        <w:gridCol w:w="442"/>
        <w:gridCol w:w="146"/>
        <w:gridCol w:w="146"/>
        <w:gridCol w:w="264"/>
        <w:gridCol w:w="629"/>
        <w:gridCol w:w="146"/>
        <w:gridCol w:w="146"/>
        <w:gridCol w:w="196"/>
        <w:gridCol w:w="691"/>
        <w:gridCol w:w="146"/>
        <w:gridCol w:w="146"/>
        <w:gridCol w:w="220"/>
        <w:gridCol w:w="846"/>
        <w:gridCol w:w="166"/>
        <w:gridCol w:w="146"/>
        <w:gridCol w:w="244"/>
        <w:gridCol w:w="863"/>
        <w:gridCol w:w="213"/>
      </w:tblGrid>
      <w:tr>
        <w:trPr/>
        <w:tc>
          <w:tcPr>
            <w:tcW w:w="2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gridSpan w:val="2"/>
            <w:tcBorders/>
            <w:shd w:fill="FFFFFF" w:val="cle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Total</w:t>
              <w:br/>
              <w:t>Stockholders’</w:t>
            </w:r>
          </w:p>
        </w:tc>
        <w:tc>
          <w:tcPr>
            <w:tcW w:w="213" w:type="dxa"/>
            <w:tcBorders/>
            <w:shd w:fill="FFFFFF" w:val="clear"/>
            <w:vAlign w:val="center"/>
          </w:tcPr>
          <w:p>
            <w:pPr>
              <w:pStyle w:val="TableContents"/>
              <w:bidi w:val="0"/>
              <w:spacing w:before="0" w:after="283"/>
              <w:jc w:val="center"/>
              <w:rPr/>
            </w:pPr>
            <w:r>
              <w:rPr/>
              <w:t> </w:t>
            </w:r>
          </w:p>
        </w:tc>
      </w:tr>
      <w:tr>
        <w:trPr/>
        <w:tc>
          <w:tcPr>
            <w:tcW w:w="26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41,468,871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4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652,276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4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(727,093</w:t>
            </w:r>
          </w:p>
        </w:tc>
        <w:tc>
          <w:tcPr>
            <w:tcW w:w="166"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(74,814</w:t>
            </w:r>
          </w:p>
        </w:tc>
        <w:tc>
          <w:tcPr>
            <w:tcW w:w="213"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52,130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456</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shares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414,119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7,048</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121,801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856</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1,514,219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14,073</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(37,814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(37,814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43,571,140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674,708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(764,907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(90,195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shares and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259,195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7,253</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in connection with underwritten public offering,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12,793,750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141,389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141,390</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111</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(40,965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56,639,085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823,467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(805,872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17,600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401(k) matching contribution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83,826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1,156</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Vesting of restricted shares and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9,681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color w:val="000000"/>
              </w:rPr>
            </w:pPr>
            <w:r>
              <w:rPr>
                <w:color w:val="000000"/>
              </w:rPr>
              <w:t>—</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6,140</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ESPP shares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75,072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561</w:t>
            </w:r>
          </w:p>
        </w:tc>
        <w:tc>
          <w:tcPr>
            <w:tcW w:w="213" w:type="dxa"/>
            <w:tcBorders/>
            <w:shd w:fill="FFFFFF" w:val="clear"/>
            <w:vAlign w:val="center"/>
          </w:tcPr>
          <w:p>
            <w:pPr>
              <w:pStyle w:val="TableContents"/>
              <w:bidi w:val="0"/>
              <w:spacing w:before="0" w:after="283"/>
              <w:jc w:val="left"/>
              <w:rPr/>
            </w:pPr>
            <w:r>
              <w:rPr/>
              <w:t> </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Issuance of common stock from exercises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62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13</w:t>
            </w:r>
          </w:p>
        </w:tc>
        <w:tc>
          <w:tcPr>
            <w:tcW w:w="213" w:type="dxa"/>
            <w:tcBorders/>
            <w:shd w:fill="CFF0FC"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(43,243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(43,243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r>
        <w:trPr/>
        <w:tc>
          <w:tcPr>
            <w:tcW w:w="2660" w:type="dxa"/>
            <w:tcBorders/>
            <w:shd w:fill="CFF0FC" w:val="cle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56,809,085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831,337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(849,115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8"/>
              </w:rPr>
            </w:pPr>
            <w:r>
              <w:rPr>
                <w:rFonts w:ascii="Calibri;sans-serif" w:hAnsi="Calibri;sans-serif"/>
                <w:color w:val="000000"/>
                <w:sz w:val="18"/>
              </w:rPr>
              <w:t>(17,773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Calibri;sans-serif" w:hAnsi="Calibri;sans-serif"/>
          <w:b/>
          <w:color w:val="000000"/>
          <w:sz w:val="20"/>
        </w:rPr>
        <w:t>PHATHOM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ash_flows"/>
      <w:bookmarkEnd w:id="7"/>
      <w:r>
        <w:rPr>
          <w:rFonts w:ascii="Calibri;sans-serif" w:hAnsi="Calibri;sans-serif"/>
          <w:b/>
          <w:color w:val="000000"/>
          <w:sz w:val="20"/>
        </w:rPr>
        <w:t>Statements of Cash Flows</w:t>
      </w:r>
      <w:r>
        <w:rPr>
          <w:rFonts w:ascii="Times New Roman" w:hAnsi="Times New Roman"/>
          <w:color w:val="000000"/>
          <w:sz w:val="20"/>
        </w:rPr>
        <w:t xml:space="preserve"> </w:t>
      </w:r>
    </w:p>
    <w:p>
      <w:pPr>
        <w:pStyle w:val="TextBody"/>
        <w:bidi w:val="0"/>
        <w:jc w:val="center"/>
        <w:rPr>
          <w:rFonts w:ascii="Calibri;sans-serif" w:hAnsi="Calibri;sans-serif"/>
          <w:b/>
          <w:color w:val="000000"/>
          <w:sz w:val="20"/>
        </w:rPr>
      </w:pPr>
      <w:r>
        <w:rPr>
          <w:rFonts w:ascii="Calibri;sans-serif" w:hAnsi="Calibri;sans-serif"/>
          <w:b/>
          <w:color w:val="000000"/>
          <w:sz w:val="20"/>
        </w:rPr>
        <w:t>(Unaudited)</w:t>
      </w:r>
    </w:p>
    <w:p>
      <w:pPr>
        <w:pStyle w:val="TextBody"/>
        <w:bidi w:val="0"/>
        <w:jc w:val="center"/>
        <w:rPr>
          <w:rFonts w:ascii="Times New Roman" w:hAnsi="Times New Roman"/>
          <w:sz w:val="20"/>
        </w:rPr>
      </w:pPr>
      <w:r>
        <w:rPr>
          <w:rFonts w:ascii="Calibri;sans-serif" w:hAnsi="Calibri;sans-serif"/>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979" w:type="dxa"/>
        <w:jc w:val="left"/>
        <w:tblInd w:w="0" w:type="dxa"/>
        <w:tblLayout w:type="fixed"/>
        <w:tblCellMar>
          <w:top w:w="28" w:type="dxa"/>
          <w:left w:w="28" w:type="dxa"/>
          <w:bottom w:w="28" w:type="dxa"/>
          <w:right w:w="28" w:type="dxa"/>
        </w:tblCellMar>
      </w:tblPr>
      <w:tblGrid>
        <w:gridCol w:w="5806"/>
        <w:gridCol w:w="146"/>
        <w:gridCol w:w="211"/>
        <w:gridCol w:w="841"/>
        <w:gridCol w:w="166"/>
        <w:gridCol w:w="146"/>
        <w:gridCol w:w="211"/>
        <w:gridCol w:w="841"/>
        <w:gridCol w:w="61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(259,875</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(122,022</w:t>
            </w:r>
          </w:p>
        </w:tc>
        <w:tc>
          <w:tcPr>
            <w:tcW w:w="6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20,441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Issuance of PIK interest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2,684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Accrued interest on revenue interest financing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16,265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Amortization of debt discount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Inventory reserve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0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0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80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(7,813</w:t>
            </w:r>
          </w:p>
        </w:tc>
        <w:tc>
          <w:tcPr>
            <w:tcW w:w="611" w:type="dxa"/>
            <w:tcBorders/>
            <w:shd w:fill="FFFFFF"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(19,415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0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14,993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(3,857</w:t>
            </w:r>
          </w:p>
        </w:tc>
        <w:tc>
          <w:tcPr>
            <w:tcW w:w="611" w:type="dxa"/>
            <w:tcBorders/>
            <w:shd w:fill="FFFFFF"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Accrued clinical trial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661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0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Accrued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80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Operating right-of-use assets and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06" w:type="dxa"/>
            <w:tcBorders/>
            <w:shd w:fill="FFFFFF"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(111</w:t>
            </w:r>
          </w:p>
        </w:tc>
        <w:tc>
          <w:tcPr>
            <w:tcW w:w="611" w:type="dxa"/>
            <w:tcBorders/>
            <w:shd w:fill="FFFFFF" w:val="clear"/>
            <w:vAlign w:val="center"/>
          </w:tcPr>
          <w:p>
            <w:pPr>
              <w:pStyle w:val="TableContents"/>
              <w:bidi w:val="0"/>
              <w:spacing w:before="0" w:after="283"/>
              <w:ind w:left="0" w:right="0" w:firstLine="400"/>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ind w:left="400" w:right="0" w:firstLine="400"/>
              <w:jc w:val="left"/>
              <w:rPr>
                <w:rFonts w:ascii="Calibri;sans-serif" w:hAnsi="Calibri;sans-serif"/>
                <w:color w:val="000000"/>
                <w:sz w:val="20"/>
              </w:rPr>
            </w:pPr>
            <w:r>
              <w:rPr>
                <w:rFonts w:ascii="Calibri;sans-serif" w:hAnsi="Calibri;sans-serif"/>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(93,783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paid for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580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issuance of common stock from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w:t>
            </w:r>
          </w:p>
        </w:tc>
        <w:tc>
          <w:tcPr>
            <w:tcW w:w="6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underwritten public offering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121,775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141,390</w:t>
            </w:r>
          </w:p>
        </w:tc>
        <w:tc>
          <w:tcPr>
            <w:tcW w:w="611" w:type="dxa"/>
            <w:tcBorders/>
            <w:shd w:fill="CFF0FC"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proceeds from issuance of common stock under ATM facility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14,073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(46,716</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60,645</w:t>
            </w:r>
          </w:p>
        </w:tc>
        <w:tc>
          <w:tcPr>
            <w:tcW w:w="611" w:type="dxa"/>
            <w:tcBorders/>
            <w:shd w:fill="FFFFFF" w:val="cle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384,256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155,890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Cash and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216,535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Interest paid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b/>
                <w:color w:val="000000"/>
                <w:sz w:val="20"/>
              </w:rPr>
            </w:pPr>
            <w:r>
              <w:rPr>
                <w:rFonts w:ascii="Calibri;sans-serif" w:hAnsi="Calibri;sans-serif"/>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Final interest payment fee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ESPP liability in common stock</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Settlement of 401(k) liability in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Calibri;sans-serif" w:hAnsi="Calibri;sans-serif"/>
          <w:i/>
          <w:color w:val="000000"/>
          <w:sz w:val="20"/>
        </w:rPr>
      </w:pPr>
      <w:r>
        <w:rPr>
          <w:rFonts w:ascii="Calibri;sans-serif" w:hAnsi="Calibri;sans-serif"/>
          <w:i/>
          <w:color w:val="000000"/>
          <w:sz w:val="20"/>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r>
        <w:rPr>
          <w:rFonts w:ascii="Calibri;sans-serif" w:hAnsi="Calibri;sans-serif"/>
          <w:b/>
          <w:color w:val="000000"/>
          <w:sz w:val="20"/>
        </w:rPr>
        <w:t>PHATHOM PHARMACEUTICALS, INC.</w:t>
      </w:r>
    </w:p>
    <w:p>
      <w:pPr>
        <w:pStyle w:val="TextBody"/>
        <w:bidi w:val="0"/>
        <w:jc w:val="center"/>
        <w:rPr>
          <w:rFonts w:ascii="Times New Roman" w:hAnsi="Times New Roman"/>
          <w:sz w:val="20"/>
        </w:rPr>
      </w:pPr>
      <w:bookmarkStart w:id="8" w:name="notes_to_unaudited_financial_statements"/>
      <w:bookmarkEnd w:id="8"/>
      <w:r>
        <w:rPr>
          <w:rFonts w:ascii="Calibri;sans-serif" w:hAnsi="Calibri;sans-serif"/>
          <w:b/>
          <w:color w:val="000000"/>
          <w:sz w:val="20"/>
        </w:rPr>
        <w:t>Notes to Unaudited Financial Statements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9" w:name="n1_organization_basis_presentation_summa"/>
      <w:bookmarkEnd w:id="9"/>
      <w:r>
        <w:rPr>
          <w:rFonts w:ascii="Calibri;sans-serif" w:hAnsi="Calibri;sans-serif"/>
          <w:b/>
          <w:color w:val="000000"/>
          <w:sz w:val="20"/>
        </w:rPr>
        <w:t>1. Organization, Basis of Presentation and Summary of Significant Accounting Policies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Organization and Basis of Presentation</w:t>
      </w:r>
    </w:p>
    <w:p>
      <w:pPr>
        <w:pStyle w:val="TextBody"/>
        <w:bidi w:val="0"/>
        <w:spacing w:before="200" w:after="283"/>
        <w:jc w:val="left"/>
        <w:rPr>
          <w:rFonts w:ascii="Times New Roman" w:hAnsi="Times New Roman"/>
          <w:sz w:val="20"/>
        </w:rPr>
      </w:pPr>
      <w:r>
        <w:rPr>
          <w:rFonts w:ascii="Calibri;sans-serif" w:hAnsi="Calibri;sans-serif"/>
          <w:color w:val="000000"/>
          <w:sz w:val="20"/>
        </w:rPr>
        <w:t>Phathom Pharmaceuticals, Inc., or the Company or Phathom, was incorporated in the state of Delaware in January 2018. The Company is a biopharmaceutical company focused on developing and commercializing novel treatments for gastrointestinal diseases. The Company’s financial statements are prepared in accordance with U.S. generally accepted accounting principles, or GAAP.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On October 27, 2023, the U.S. Food and Drug Administration, or FDA, approved the prior approval supplements to the Company's new drug applications, or NDAs, for VOQUEZNA TRIPLE PAK and VOQUEZNA DUAL PAK. Additionally, on November 1, 2023, the FDA approved the Company's NDA for VOQUEZNA tablets. The Company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indications, and VOQUEZNA TRIPLE PAK and VOQUEZNA DUAL PAK for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infection in the fourth quarter of 2023. Additionally, on July 17, 2024, the FDA approved the NDA supplement, or sNDA, for VOQUEZNA 10 mg tablets for the relief of heartburn associated with Non-Erosive GERD.</w:t>
      </w:r>
    </w:p>
    <w:p>
      <w:pPr>
        <w:pStyle w:val="TextBody"/>
        <w:bidi w:val="0"/>
        <w:spacing w:before="200" w:after="283"/>
        <w:jc w:val="left"/>
        <w:rPr>
          <w:rFonts w:ascii="Times New Roman" w:hAnsi="Times New Roman"/>
          <w:sz w:val="20"/>
        </w:rPr>
      </w:pPr>
      <w:r>
        <w:rPr>
          <w:rFonts w:ascii="Calibri;sans-serif" w:hAnsi="Calibri;sans-serif"/>
          <w:b/>
          <w:i/>
          <w:color w:val="000000"/>
          <w:sz w:val="20"/>
        </w:rPr>
        <w:t>Liquidity and Capital Resources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From inception to September 30, 2024, the Company has devoted substantially all of its efforts to organizing and staffing the Company, business planning, raising capital, in-licensing its initial and approved product candidate, vonoprazan, meeting with regulatory authorities, managing the clinical trials of vonoprazan, preparing for commercialization of its initial products containing vonoprazan, commercially launching its approved products, and providing other selling, general and administrative support for these operations. The Company has a limited operating history, has generated limited revenue to date, and the sales and income potential of its business is unproven. The Company has incurred net losses and negative cash flows from operating activities since its inception and expects to continue to incur additional net losses in the future. The Company has funded</w:t>
      </w:r>
      <w:r>
        <w:rPr>
          <w:rFonts w:ascii="Times New Roman" w:hAnsi="Times New Roman"/>
          <w:color w:val="000000"/>
          <w:sz w:val="20"/>
        </w:rPr>
        <w:t xml:space="preserve"> </w:t>
      </w:r>
      <w:r>
        <w:rPr>
          <w:rFonts w:ascii="Calibri;sans-serif" w:hAnsi="Calibri;sans-serif"/>
          <w:color w:val="000000"/>
          <w:sz w:val="20"/>
        </w:rPr>
        <w:t>its operations primarily through commercial bank debt, the revenue interest financing debt and various equity offerings, including the Company's at-the-market, or ATM, offerings. In August 2024, the Company closed an underwritten public offering of 8,695,652</w:t>
      </w:r>
      <w:r>
        <w:rPr>
          <w:rFonts w:ascii="Times New Roman" w:hAnsi="Times New Roman"/>
          <w:color w:val="000000"/>
          <w:sz w:val="20"/>
        </w:rPr>
        <w:t xml:space="preserve"> </w:t>
      </w:r>
      <w:r>
        <w:rPr>
          <w:rFonts w:ascii="Calibri;sans-serif" w:hAnsi="Calibri;sans-serif"/>
          <w:color w:val="000000"/>
          <w:sz w:val="20"/>
        </w:rPr>
        <w:t>shares of its common stock and 2,608,922</w:t>
      </w:r>
      <w:r>
        <w:rPr>
          <w:rFonts w:ascii="Times New Roman" w:hAnsi="Times New Roman"/>
          <w:color w:val="000000"/>
          <w:sz w:val="20"/>
        </w:rPr>
        <w:t xml:space="preserve"> </w:t>
      </w:r>
      <w:r>
        <w:rPr>
          <w:rFonts w:ascii="Calibri;sans-serif" w:hAnsi="Calibri;sans-serif"/>
          <w:color w:val="000000"/>
          <w:sz w:val="20"/>
        </w:rPr>
        <w:t>pre-funded warrants for net proceeds of approximately $121.8</w:t>
      </w:r>
      <w:r>
        <w:rPr>
          <w:rFonts w:ascii="Times New Roman" w:hAnsi="Times New Roman"/>
          <w:color w:val="000000"/>
          <w:sz w:val="20"/>
        </w:rPr>
        <w:t xml:space="preserve"> </w:t>
      </w:r>
      <w:r>
        <w:rPr>
          <w:rFonts w:ascii="Calibri;sans-serif" w:hAnsi="Calibri;sans-serif"/>
          <w:color w:val="000000"/>
          <w:sz w:val="20"/>
        </w:rPr>
        <w:t>million (see Note 7 for additional information). From inception through September 30, 2024, the Company sold 34,737,032</w:t>
      </w:r>
      <w:r>
        <w:rPr>
          <w:rFonts w:ascii="Times New Roman" w:hAnsi="Times New Roman"/>
          <w:color w:val="000000"/>
          <w:sz w:val="20"/>
        </w:rPr>
        <w:t xml:space="preserve"> </w:t>
      </w:r>
      <w:r>
        <w:rPr>
          <w:rFonts w:ascii="Calibri;sans-serif" w:hAnsi="Calibri;sans-serif"/>
          <w:color w:val="000000"/>
          <w:sz w:val="20"/>
        </w:rPr>
        <w:t>shares of common stock and 2,608,922</w:t>
      </w:r>
      <w:r>
        <w:rPr>
          <w:rFonts w:ascii="Times New Roman" w:hAnsi="Times New Roman"/>
          <w:color w:val="000000"/>
          <w:sz w:val="20"/>
        </w:rPr>
        <w:t xml:space="preserve"> </w:t>
      </w:r>
      <w:r>
        <w:rPr>
          <w:rFonts w:ascii="Calibri;sans-serif" w:hAnsi="Calibri;sans-serif"/>
          <w:color w:val="000000"/>
          <w:sz w:val="20"/>
        </w:rPr>
        <w:t>pre-funded warrants, generating net proceeds of approximately $543.3</w:t>
      </w:r>
      <w:r>
        <w:rPr>
          <w:rFonts w:ascii="Times New Roman" w:hAnsi="Times New Roman"/>
          <w:color w:val="000000"/>
          <w:sz w:val="20"/>
        </w:rPr>
        <w:t xml:space="preserve"> </w:t>
      </w:r>
      <w:r>
        <w:rPr>
          <w:rFonts w:ascii="Calibri;sans-serif" w:hAnsi="Calibri;sans-serif"/>
          <w:color w:val="000000"/>
          <w:sz w:val="20"/>
        </w:rPr>
        <w:t>million, after deducting underwriting discounts, commissions and offering costs.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Use of Estimates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preparation of the Company’s financial statements requires management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net product revenues, research and development expenses, and the valuation for the revenue interest financing liability. In addition, management’s assessment of the Company’s ability to continue as a going concern involves the estimation of the amount and timing of future cash inflows and outflows. Although these estimates are based on the Company’s knowledge of current events and actions it may undertake in the future, actual results could differ materially from those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Fair Value Measurements</w:t>
      </w:r>
    </w:p>
    <w:p>
      <w:pPr>
        <w:pStyle w:val="TextBody"/>
        <w:bidi w:val="0"/>
        <w:spacing w:before="200" w:after="283"/>
        <w:jc w:val="left"/>
        <w:rPr>
          <w:rFonts w:ascii="Times New Roman" w:hAnsi="Times New Roman"/>
          <w:sz w:val="20"/>
        </w:rPr>
      </w:pPr>
      <w:r>
        <w:rPr>
          <w:rFonts w:ascii="Calibri;sans-serif" w:hAnsi="Calibri;sans-serif"/>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1: Observable inputs such as quoted prices in active markets.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Level 2: Inputs, other than the quoted prices in active markets that are observable either directly or indirectly.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Level 3: Unobservable inputs in which there is little or no market data, which require the reporting entity to develop its own assumptions.</w:t>
      </w:r>
    </w:p>
    <w:p>
      <w:pPr>
        <w:pStyle w:val="TextBody"/>
        <w:bidi w:val="0"/>
        <w:spacing w:before="200" w:after="283"/>
        <w:jc w:val="left"/>
        <w:rPr>
          <w:rFonts w:ascii="Times New Roman" w:hAnsi="Times New Roman"/>
          <w:sz w:val="20"/>
        </w:rPr>
      </w:pPr>
      <w:r>
        <w:rPr>
          <w:rFonts w:ascii="Calibri;sans-serif" w:hAnsi="Calibri;sans-serif"/>
          <w:color w:val="000000"/>
          <w:sz w:val="20"/>
        </w:rPr>
        <w:t>The carrying amounts of the Company’s financial instruments, including cash and cash equivalents, are classified within the Level 1 designation discussed above, while accounts receivable, prepaid and other current assets, accounts payable, and accrued liabilities, approximate fair value due to their short maturities.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no</w:t>
      </w:r>
      <w:r>
        <w:rPr>
          <w:rFonts w:ascii="Times New Roman" w:hAnsi="Times New Roman"/>
          <w:color w:val="000000"/>
          <w:sz w:val="20"/>
        </w:rPr>
        <w:t xml:space="preserve"> </w:t>
      </w:r>
      <w:r>
        <w:rPr>
          <w:rFonts w:ascii="Calibri;sans-serif" w:hAnsi="Calibri;sans-serif"/>
          <w:color w:val="000000"/>
          <w:sz w:val="20"/>
        </w:rPr>
        <w:t>financial assets measured at fair value on a recurring basis. None of the Company’s non-financial assets or liabilities are recorded at fair value on a non-recurring basis. No transfers between levels have occurred during the periods presented.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September 30, 2024 and December 31, 2023,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and Cash Equivalents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considers all highly liquid investments with original maturities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Accounts Receivable, Net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Accounts receivable consists of amounts due from customers, primarily wholesale distributors, net of customer allowances for prompt pay discounts, distribution service fees, and other adjustments. Our contracts with customers have standard payment terms. The Company assesses the need for an allowance for credit losses primarily based on creditworthiness, historical payment experience and general economic conditions. The Company has not experienced any credit losses to date given our limited commercial operations with any of its customers, and has not currently recognized a material allowance for credit losses.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Concentrations of Credit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also subject to credit risk from our accounts receivable related to our product sales. The Company monitors exposure within accounts receivable and records a reserve against uncollectible accounts receivable as necessary. The Company extends credit primarily to wholesale distributors. Customer creditworthiness is monitored and collateral is not required. The allowance for credit losses reflects the best estimate of expected credit losses of the accounts receivable portfolio determined on the basis of historical experience, current information, and forecasts of future economic conditions. The Company determines its allowance methodology by pooling receivable balances at the customer level. The Company considers various factors, including its previous loss history, individual credit risk associated to each customer, and the current and future conditions of the general economy. These credit risk factors are monitored on a quarterly basis and updated as necessary. To the extent that any individual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debtor is identified whose credit quality has deteriorated, the Company establishes allowances based on the individual risk characteristics of such customer. The Company makes concerted efforts to collect all outstanding balances due from customers; however, account balances are charged off against the allowance when management believes it is probable the receivable will not be recovered. The Company does not have any off-balance-sheet credit exposure related to customers.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September 30, 2024, three</w:t>
      </w:r>
      <w:r>
        <w:rPr>
          <w:rFonts w:ascii="Times New Roman" w:hAnsi="Times New Roman"/>
          <w:color w:val="000000"/>
          <w:sz w:val="20"/>
        </w:rPr>
        <w:t xml:space="preserve"> </w:t>
      </w:r>
      <w:r>
        <w:rPr>
          <w:rFonts w:ascii="Calibri;sans-serif" w:hAnsi="Calibri;sans-serif"/>
          <w:color w:val="000000"/>
          <w:sz w:val="20"/>
        </w:rPr>
        <w:t>customers accounted for 90% of the accounts receivable balance, with each of these individual customers ranging from 28% to 31% of the accounts receivable balance. As of December 31, 2023, three</w:t>
      </w:r>
      <w:r>
        <w:rPr>
          <w:rFonts w:ascii="Times New Roman" w:hAnsi="Times New Roman"/>
          <w:color w:val="000000"/>
          <w:sz w:val="20"/>
        </w:rPr>
        <w:t xml:space="preserve"> </w:t>
      </w:r>
      <w:r>
        <w:rPr>
          <w:rFonts w:ascii="Calibri;sans-serif" w:hAnsi="Calibri;sans-serif"/>
          <w:color w:val="000000"/>
          <w:sz w:val="20"/>
        </w:rPr>
        <w:t>customers accounted for 87% of the accounts receivable balance, with each of these individual customers ranging from 28% to 30% of the accounts receivable balance. For the three and nine months ended September 30, 2024, three</w:t>
      </w:r>
      <w:r>
        <w:rPr>
          <w:rFonts w:ascii="Times New Roman" w:hAnsi="Times New Roman"/>
          <w:color w:val="000000"/>
          <w:sz w:val="20"/>
        </w:rPr>
        <w:t xml:space="preserve"> </w:t>
      </w:r>
      <w:r>
        <w:rPr>
          <w:rFonts w:ascii="Calibri;sans-serif" w:hAnsi="Calibri;sans-serif"/>
          <w:color w:val="000000"/>
          <w:sz w:val="20"/>
        </w:rPr>
        <w:t>customers accounted for 70% and 68% of the product sales in both periods, with each of these individual customers ranging from 23% to 24% and 22% to 24% of the product sales, respectively.</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Inventory consists of bulk active pharmaceutical ingredients that are used to manufacture vonoprazan tablets. Inventory related to indications prior to regulatory approval has been included in research and development expense in the period of purchase.</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states its inventory at the lower of cost or net realizable value.</w:t>
      </w:r>
      <w:r>
        <w:rPr>
          <w:rFonts w:ascii="Times New Roman" w:hAnsi="Times New Roman"/>
          <w:color w:val="000000"/>
          <w:sz w:val="20"/>
        </w:rPr>
        <w:t xml:space="preserve"> </w:t>
      </w:r>
      <w:r>
        <w:rPr>
          <w:rFonts w:ascii="Calibri;sans-serif" w:hAnsi="Calibri;sans-serif"/>
          <w:color w:val="000000"/>
          <w:sz w:val="20"/>
        </w:rPr>
        <w:t>The Company measures inventory cost using actual cost under a first-in, first-out basis. The Company assesses recoverability of inventory each reporting period to determine any write-down to net realizable value resulting from excess or obsolete inventories. During the three and nine months ended September 30, 2024, the Company recorded approximately $0.3</w:t>
      </w:r>
      <w:r>
        <w:rPr>
          <w:rFonts w:ascii="Times New Roman" w:hAnsi="Times New Roman"/>
          <w:color w:val="000000"/>
          <w:sz w:val="20"/>
        </w:rPr>
        <w:t xml:space="preserve"> </w:t>
      </w:r>
      <w:r>
        <w:rPr>
          <w:rFonts w:ascii="Calibri;sans-serif" w:hAnsi="Calibri;sans-serif"/>
          <w:color w:val="000000"/>
          <w:sz w:val="20"/>
        </w:rPr>
        <w:t>million and $0.7</w:t>
      </w:r>
      <w:r>
        <w:rPr>
          <w:rFonts w:ascii="Times New Roman" w:hAnsi="Times New Roman"/>
          <w:color w:val="000000"/>
          <w:sz w:val="20"/>
        </w:rPr>
        <w:t xml:space="preserve"> </w:t>
      </w:r>
      <w:r>
        <w:rPr>
          <w:rFonts w:ascii="Calibri;sans-serif" w:hAnsi="Calibri;sans-serif"/>
          <w:color w:val="000000"/>
          <w:sz w:val="20"/>
        </w:rPr>
        <w:t>million, respectively, of charges for inventory not expected to be sold prior to its expiration date. No</w:t>
      </w:r>
      <w:r>
        <w:rPr>
          <w:rFonts w:ascii="Times New Roman" w:hAnsi="Times New Roman"/>
          <w:color w:val="000000"/>
          <w:sz w:val="20"/>
        </w:rPr>
        <w:t xml:space="preserve"> </w:t>
      </w:r>
      <w:r>
        <w:rPr>
          <w:rFonts w:ascii="Calibri;sans-serif" w:hAnsi="Calibri;sans-serif"/>
          <w:color w:val="000000"/>
          <w:sz w:val="20"/>
        </w:rPr>
        <w:t>inventory adjustments or charges were recorded in the comparable prior periods.</w:t>
      </w:r>
    </w:p>
    <w:p>
      <w:pPr>
        <w:pStyle w:val="TextBody"/>
        <w:bidi w:val="0"/>
        <w:spacing w:before="200" w:after="283"/>
        <w:jc w:val="left"/>
        <w:rPr>
          <w:rFonts w:ascii="Times New Roman" w:hAnsi="Times New Roman"/>
          <w:sz w:val="20"/>
        </w:rPr>
      </w:pPr>
      <w:r>
        <w:rPr>
          <w:rFonts w:ascii="Calibri;sans-serif" w:hAnsi="Calibri;sans-serif"/>
          <w:b/>
          <w:i/>
          <w:color w:val="000000"/>
          <w:sz w:val="20"/>
        </w:rPr>
        <w:t>Property and Equipment, Net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Property and equipment are recorded at cost, less accumulated depreciation. Depreciation expense is recognized using the straight-line method over the useful life of the asset. Computer equipment and related software are depreciated over two</w:t>
      </w:r>
      <w:r>
        <w:rPr>
          <w:rFonts w:ascii="Times New Roman" w:hAnsi="Times New Roman"/>
          <w:color w:val="000000"/>
          <w:sz w:val="20"/>
        </w:rPr>
        <w:t xml:space="preserve"> </w:t>
      </w:r>
      <w:r>
        <w:rPr>
          <w:rFonts w:ascii="Calibri;sans-serif" w:hAnsi="Calibri;sans-serif"/>
          <w:color w:val="000000"/>
          <w:sz w:val="20"/>
        </w:rPr>
        <w:t>to three years. Equipment is depreciated over five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Impairment of Long-Lived Assets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reviews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w:t>
      </w:r>
      <w:r>
        <w:rPr>
          <w:rFonts w:ascii="Times New Roman" w:hAnsi="Times New Roman"/>
          <w:color w:val="000000"/>
          <w:sz w:val="20"/>
        </w:rPr>
        <w:t xml:space="preserve"> </w:t>
      </w:r>
      <w:r>
        <w:rPr>
          <w:rFonts w:ascii="Calibri;sans-serif" w:hAnsi="Calibri;sans-serif"/>
          <w:color w:val="000000"/>
          <w:sz w:val="20"/>
        </w:rPr>
        <w:t>impairment losses have been recorded</w:t>
      </w:r>
      <w:r>
        <w:rPr>
          <w:rFonts w:ascii="Times New Roman" w:hAnsi="Times New Roman"/>
          <w:color w:val="000000"/>
          <w:sz w:val="20"/>
        </w:rPr>
        <w:t xml:space="preserve"> </w:t>
      </w:r>
      <w:r>
        <w:rPr>
          <w:rFonts w:ascii="Calibri;sans-serif" w:hAnsi="Calibri;sans-serif"/>
          <w:color w:val="000000"/>
          <w:sz w:val="20"/>
        </w:rPr>
        <w:t>for the nine months ended September 30, 2024 and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Other Long-Term Assets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Other long-term assets consist of deposits relating to our co-pay and patient support programs and security deposits on our leased properties.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Leases</w:t>
      </w:r>
    </w:p>
    <w:p>
      <w:pPr>
        <w:pStyle w:val="TextBody"/>
        <w:bidi w:val="0"/>
        <w:spacing w:before="200" w:after="283"/>
        <w:jc w:val="left"/>
        <w:rPr>
          <w:rFonts w:ascii="Times New Roman" w:hAnsi="Times New Roman"/>
          <w:sz w:val="20"/>
        </w:rPr>
      </w:pPr>
      <w:r>
        <w:rPr>
          <w:rFonts w:ascii="Calibri;sans-serif" w:hAnsi="Calibri;sans-serif"/>
          <w:color w:val="00000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Liability</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in May 2022. Subsequently, in October 2022, the Company entered into a Joinder Agreement with the Initial Investors and CO Finance LVS XXXVII LLC, or the Additional Investor, together as the Investors. The net proceeds received under the transactions are recognized as short-term and long-term liabilities with interest expense based on an imputed effective rate derived from the expected future payments to the Investors. The Company recalculates the effective interest rate each period based on the current carrying value and the revised estimated future payments to the Investors. Changes in future payments to the Investors from previous estimates are included in current and future interest expense.</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Accounting Standards Codification 606, Revenue from Contracts with Customers, or ASC 606, the Company recognizes revenue when a customer obtains control of promised goods or services. The Company records the amount of revenue that reflects the consideration that it expects to receive in exchange for those goods or services.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it will collect the consideration to which it is entitled in exchange for the goods or services that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 Generally, the Company’s performance obligations are transferred to customers at a point in time, typically upon delivery.</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Product Revenue, Net</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sells its product to its customers, primarily wholesale distributors,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Revenues from product sales are recorded at the net sales price, or transaction price, which includes estimates of variable consideration that result from (a) invoice discounts for prompt payment and distribution service fees, (b) government and private payor rebates, chargebacks, discounts and fees, (c) product returns and (d) costs of co-pay assistance programs for patients, as well as other incentives for certain indirect customers. Reserves are established for the estimates of variable consideration based on the amounts earned or to be claimed on the related sales. The reserves are classified as reductions to accounts receivable, net if payable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to a customer or accrued expenses if payable to a third-party or related to product returns. Where appropriate, the Company utilizes the expected value method to determine the appropriate amount for estimates of variable consideration based on factors such as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will adjust these estimates, which would affect net product revenue and earnings in the period such variances become known.</w:t>
      </w:r>
    </w:p>
    <w:p>
      <w:pPr>
        <w:pStyle w:val="TextBody"/>
        <w:bidi w:val="0"/>
        <w:spacing w:before="200" w:after="283"/>
        <w:jc w:val="left"/>
        <w:rPr>
          <w:rFonts w:ascii="Times New Roman" w:hAnsi="Times New Roman"/>
          <w:sz w:val="20"/>
        </w:rPr>
      </w:pPr>
      <w:r>
        <w:rPr>
          <w:rFonts w:ascii="Calibri;sans-serif" w:hAnsi="Calibri;sans-serif"/>
          <w:i/>
          <w:color w:val="000000"/>
          <w:sz w:val="20"/>
        </w:rPr>
        <w:t>Distribution Service Fees:</w:t>
      </w:r>
      <w:r>
        <w:rPr>
          <w:rFonts w:ascii="Times New Roman" w:hAnsi="Times New Roman"/>
          <w:color w:val="000000"/>
          <w:sz w:val="20"/>
        </w:rPr>
        <w:t xml:space="preserve"> </w:t>
      </w:r>
      <w:r>
        <w:rPr>
          <w:rFonts w:ascii="Calibri;sans-serif" w:hAnsi="Calibri;sans-serif"/>
          <w:color w:val="000000"/>
          <w:sz w:val="20"/>
        </w:rPr>
        <w:t>The Company engages with wholesalers to distribute its products to end customers. The Company pays the wholesalers a fee for services such as: Data Reporting, Inventory Management, Chargeback Administration and Service Level Commitment. The Company estimates the amount of distribution services fees to be paid to the customers based on a contractually fixed percentage of wholesaler acquisition costs and are calculated at the time of sale based on the purchase amount and the transaction price is adjusted with the amount of such estimate at the time of sale to the customer. Estimated distribution service fees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Prompt Pay Discounts:</w:t>
      </w:r>
      <w:r>
        <w:rPr>
          <w:rFonts w:ascii="Times New Roman" w:hAnsi="Times New Roman"/>
          <w:color w:val="000000"/>
          <w:sz w:val="20"/>
        </w:rPr>
        <w:t xml:space="preserve"> </w:t>
      </w:r>
      <w:r>
        <w:rPr>
          <w:rFonts w:ascii="Calibri;sans-serif" w:hAnsi="Calibri;sans-serif"/>
          <w:color w:val="000000"/>
          <w:sz w:val="20"/>
        </w:rPr>
        <w:t>The Company provides its customers with a percentage discount on their invoice if the customers pay within the agreed upon timeframe. The Company estimates the probability of customers paying promptly and the percentage of discount outlined in the agreement, and deducts the full amount of these discounts. Estimated prompt pay discounts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Product Returns:</w:t>
      </w:r>
      <w:r>
        <w:rPr>
          <w:rFonts w:ascii="Times New Roman" w:hAnsi="Times New Roman"/>
          <w:color w:val="000000"/>
          <w:sz w:val="20"/>
        </w:rPr>
        <w:t xml:space="preserve"> </w:t>
      </w:r>
      <w:r>
        <w:rPr>
          <w:rFonts w:ascii="Calibri;sans-serif" w:hAnsi="Calibri;sans-serif"/>
          <w:color w:val="000000"/>
          <w:sz w:val="20"/>
        </w:rPr>
        <w:t>The Company provides customers a return credit in the amount of the purchase price paid by customers for all products returned in accordance with the Company’s returned goods policy. In the initial sales period, the Company estimates its provision for sales returns based on industry data and adjusts the transaction price with such estimate at the time of sale to the customer. Once sufficient history has been collected for product returns, the Company will utilize that history to inform its estimate assumptions. Once the product is returned, it is destroyed. The Company does not record a right-of-return asset. Estimated product returns are recorded as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Chargebacks:</w:t>
      </w:r>
      <w:r>
        <w:rPr>
          <w:rFonts w:ascii="Times New Roman" w:hAnsi="Times New Roman"/>
          <w:color w:val="000000"/>
          <w:sz w:val="20"/>
        </w:rPr>
        <w:t xml:space="preserve"> </w:t>
      </w:r>
      <w:r>
        <w:rPr>
          <w:rFonts w:ascii="Calibri;sans-serif" w:hAnsi="Calibri;sans-serif"/>
          <w:color w:val="000000"/>
          <w:sz w:val="20"/>
        </w:rPr>
        <w:t>A chargeback is the difference between the manufacturer's invoice price to the wholesaler and the contract price the wholesaler’s customer has negotiated directly with the manufacturer. The wholesaler tracks these sales and "charges back" the manufacturer for the difference between the negotiated prices paid between the wholesaler's customers and wholesaler's acquisition cost. The Company estimates the percentage of goods sold that are eligible for chargeback and adjusts the transaction price for such discount at the time of sale to the customer. Estimated chargebacks are recorded within accounts receivable, net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Administration Fees:</w:t>
      </w:r>
      <w:r>
        <w:rPr>
          <w:rFonts w:ascii="Times New Roman" w:hAnsi="Times New Roman"/>
          <w:color w:val="000000"/>
          <w:sz w:val="20"/>
        </w:rPr>
        <w:t xml:space="preserve"> </w:t>
      </w:r>
      <w:r>
        <w:rPr>
          <w:rFonts w:ascii="Calibri;sans-serif" w:hAnsi="Calibri;sans-serif"/>
          <w:color w:val="000000"/>
          <w:sz w:val="20"/>
        </w:rPr>
        <w:t>The Company engages with Pharmacy Benefit Managers, or PBMs, to administer prescription-drug plans for people with third-party insurance through a self-insured employer, health insurance plan, labor union or government plan. The Company pays PBMs “administrative fees” for their role in providing utilization data, administering rebates, and administering claims payments. The Company estimates the amount of administration fees to be paid to PBMs and adjusts the transaction price with the amount of such estimate at the time of sale to the customer. Estimated administration fees are recorded within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Rebates</w:t>
      </w:r>
      <w:r>
        <w:rPr>
          <w:rFonts w:ascii="Calibri;sans-serif" w:hAnsi="Calibri;sans-serif"/>
          <w:color w:val="000000"/>
          <w:sz w:val="20"/>
        </w:rPr>
        <w:t>: Rebates apply to:</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Medicaid, managed care, and supplemental rebates to all applicable states as defined by the statutory government pricing calculation requirements under the Medicaid Drug Rebate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Medicare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estimates the percentage of goods sold that are eligible for rebates and adjusts the transaction price for such discounts at the time of sale to the customers. Estimated rebates are recorded as accrued expenses on the balance sheet.</w:t>
      </w:r>
    </w:p>
    <w:p>
      <w:pPr>
        <w:pStyle w:val="TextBody"/>
        <w:bidi w:val="0"/>
        <w:spacing w:before="200" w:after="283"/>
        <w:jc w:val="left"/>
        <w:rPr>
          <w:rFonts w:ascii="Times New Roman" w:hAnsi="Times New Roman"/>
          <w:sz w:val="20"/>
        </w:rPr>
      </w:pPr>
      <w:r>
        <w:rPr>
          <w:rFonts w:ascii="Calibri;sans-serif" w:hAnsi="Calibri;sans-serif"/>
          <w:i/>
          <w:color w:val="000000"/>
          <w:sz w:val="20"/>
        </w:rPr>
        <w:t>Coverage Gap:</w:t>
      </w:r>
      <w:r>
        <w:rPr>
          <w:rFonts w:ascii="Times New Roman" w:hAnsi="Times New Roman"/>
          <w:color w:val="000000"/>
          <w:sz w:val="20"/>
        </w:rPr>
        <w:t xml:space="preserve"> </w:t>
      </w:r>
      <w:r>
        <w:rPr>
          <w:rFonts w:ascii="Calibri;sans-serif" w:hAnsi="Calibri;sans-serif"/>
          <w:color w:val="000000"/>
          <w:sz w:val="20"/>
        </w:rPr>
        <w:t>The Medicare Part D coverage gap, also called the donut hole, is a period of consumer payment for prescription medication costs which lies between the initial coverage limit and the catastrophic-coverage threshold, when the patient is a member of a Medicare Part D prescription-drug program administered by the Centers for Medicare &amp; Medicaid Services.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Company estimates the percentage of goods sold under Coverage Gap and adjusts the transaction price for such discount at the time of sale to the customer. Estimated coverage gap accruals are recorded as accrued expenses on the balance sheet.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co-pays and discounts for its products, as it becomes available.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Pharmaceutical Company Limited, or Takeda, pursuant to the Takeda License Agreement (Refer to Note 3 for further details). In addition, shipping and handling costs for product sales are recorded as incurred. Cost of revenue also includes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FDA approvals of VOQUEZNA, VOQUEZNA TRIPLE PAK, and VOQUEZNA DUAL PAK, the Company began capitalizing inventory manufactured by or purchased from third parties. Prior to receiving FDA approvals, manufacturing costs related to inventory purchased were expensed as research and development expense and therefore are excluded from cost of revenue during the current periods. The exclusion of these previously expensed costs did not have a material impact on cost of revenue in the current periods.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 Expenses and Accruals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or CROs, and consultants to conduct and support the Company’s ongoing clinical trials of vonoprazan, and costs related to manufacturing vonoprazan for clinical trials.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 Expenses</w:t>
      </w:r>
    </w:p>
    <w:p>
      <w:pPr>
        <w:pStyle w:val="TextBody"/>
        <w:bidi w:val="0"/>
        <w:spacing w:before="200" w:after="283"/>
        <w:jc w:val="left"/>
        <w:rPr>
          <w:rFonts w:ascii="Times New Roman" w:hAnsi="Times New Roman"/>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information technology, legal, medical affairs and human resources functions.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Advertising and Marketing Costs</w:t>
      </w:r>
    </w:p>
    <w:p>
      <w:pPr>
        <w:pStyle w:val="TextBody"/>
        <w:bidi w:val="0"/>
        <w:spacing w:before="200" w:after="283"/>
        <w:jc w:val="left"/>
        <w:rPr>
          <w:rFonts w:ascii="Times New Roman" w:hAnsi="Times New Roman"/>
          <w:sz w:val="20"/>
        </w:rPr>
      </w:pPr>
      <w:r>
        <w:rPr>
          <w:rFonts w:ascii="Calibri;sans-serif" w:hAnsi="Calibri;sans-serif"/>
          <w:color w:val="000000"/>
          <w:sz w:val="20"/>
        </w:rPr>
        <w:t>Advertising and marketing costs are expensed as incurred. Advertising and marketing costs for the three and nine months ended September 30, 2024</w:t>
      </w:r>
      <w:r>
        <w:rPr>
          <w:rFonts w:ascii="Times New Roman" w:hAnsi="Times New Roman"/>
          <w:color w:val="000000"/>
          <w:sz w:val="20"/>
        </w:rPr>
        <w:t xml:space="preserve"> </w:t>
      </w:r>
      <w:r>
        <w:rPr>
          <w:rFonts w:ascii="Calibri;sans-serif" w:hAnsi="Calibri;sans-serif"/>
          <w:color w:val="000000"/>
          <w:sz w:val="20"/>
        </w:rPr>
        <w:t>were approximately $17.5</w:t>
      </w:r>
      <w:r>
        <w:rPr>
          <w:rFonts w:ascii="Times New Roman" w:hAnsi="Times New Roman"/>
          <w:color w:val="000000"/>
          <w:sz w:val="20"/>
        </w:rPr>
        <w:t xml:space="preserve"> </w:t>
      </w:r>
      <w:r>
        <w:rPr>
          <w:rFonts w:ascii="Calibri;sans-serif" w:hAnsi="Calibri;sans-serif"/>
          <w:color w:val="000000"/>
          <w:sz w:val="20"/>
        </w:rPr>
        <w:t>million and $41.0</w:t>
      </w:r>
      <w:r>
        <w:rPr>
          <w:rFonts w:ascii="Times New Roman" w:hAnsi="Times New Roman"/>
          <w:color w:val="000000"/>
          <w:sz w:val="20"/>
        </w:rPr>
        <w:t xml:space="preserve"> </w:t>
      </w:r>
      <w:r>
        <w:rPr>
          <w:rFonts w:ascii="Calibri;sans-serif" w:hAnsi="Calibri;sans-serif"/>
          <w:color w:val="000000"/>
          <w:sz w:val="20"/>
        </w:rPr>
        <w:t>million, respectively, and are included in selling, general and administrative expenses. Advertising and marketing costs were not material for the three and nine months ended September 30, 2023.</w:t>
      </w:r>
    </w:p>
    <w:p>
      <w:pPr>
        <w:pStyle w:val="TextBody"/>
        <w:bidi w:val="0"/>
        <w:spacing w:before="200" w:after="283"/>
        <w:jc w:val="left"/>
        <w:rPr>
          <w:rFonts w:ascii="Times New Roman" w:hAnsi="Times New Roman"/>
          <w:sz w:val="20"/>
        </w:rPr>
      </w:pPr>
      <w:r>
        <w:rPr>
          <w:rFonts w:ascii="Calibri;sans-serif" w:hAnsi="Calibri;sans-serif"/>
          <w:b/>
          <w:i/>
          <w:color w:val="000000"/>
          <w:sz w:val="20"/>
        </w:rPr>
        <w:t>Stock-Based Compensation</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Stock-based compensation expense represents the cost of the grant date fair value of equity awards recognized over the requisite service period of the awards (generally the vesting period) on a straight-line basis with forfeitures recognized as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Income Taxes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statements of operations in the period that includes the enactment date.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00" w:after="283"/>
        <w:jc w:val="left"/>
        <w:rPr>
          <w:rFonts w:ascii="Times New Roman" w:hAnsi="Times New Roman"/>
          <w:sz w:val="20"/>
        </w:rPr>
      </w:pPr>
      <w:r>
        <w:rPr>
          <w:rFonts w:ascii="Calibri;sans-serif" w:hAnsi="Calibri;sans-serif"/>
          <w:color w:val="000000"/>
          <w:sz w:val="20"/>
        </w:rPr>
        <w:t>Beginning in 2022, the Tax Cuts and Jobs Act eliminates the option to deduct research and development expenditures currently and requires taxpayers to amortize domestic and foreign research and development expenditures over 5 years</w:t>
      </w:r>
      <w:r>
        <w:rPr>
          <w:rFonts w:ascii="Times New Roman" w:hAnsi="Times New Roman"/>
          <w:color w:val="000000"/>
          <w:sz w:val="20"/>
        </w:rPr>
        <w:t xml:space="preserve"> </w:t>
      </w:r>
      <w:r>
        <w:rPr>
          <w:rFonts w:ascii="Calibri;sans-serif" w:hAnsi="Calibri;sans-serif"/>
          <w:color w:val="000000"/>
          <w:sz w:val="20"/>
        </w:rPr>
        <w:t>and 15 years, respectively. The requirement did not impact cash from operations in the periods presented.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Comprehensive Loss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Comprehensive loss is defined as a change in equity during a period from transactions and other events and circumstances from non-owner sources. The Company’s comprehensive loss was the same as its reported net loss for all periods presented.</w:t>
      </w:r>
    </w:p>
    <w:p>
      <w:pPr>
        <w:pStyle w:val="TextBody"/>
        <w:bidi w:val="0"/>
        <w:spacing w:before="200" w:after="283"/>
        <w:jc w:val="left"/>
        <w:rPr>
          <w:rFonts w:ascii="Times New Roman" w:hAnsi="Times New Roman"/>
          <w:sz w:val="20"/>
        </w:rPr>
      </w:pPr>
      <w:r>
        <w:rPr>
          <w:rFonts w:ascii="Calibri;sans-serif" w:hAnsi="Calibri;sans-serif"/>
          <w:b/>
          <w:i/>
          <w:color w:val="000000"/>
          <w:sz w:val="20"/>
        </w:rPr>
        <w:t>Segment Reporting</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w:t>
      </w:r>
      <w:r>
        <w:rPr>
          <w:rFonts w:ascii="Times New Roman" w:hAnsi="Times New Roman"/>
          <w:color w:val="000000"/>
          <w:sz w:val="20"/>
        </w:rPr>
        <w:t xml:space="preserve"> </w:t>
      </w:r>
      <w:r>
        <w:rPr>
          <w:rFonts w:ascii="Calibri;sans-serif" w:hAnsi="Calibri;sans-serif"/>
          <w:color w:val="000000"/>
          <w:sz w:val="20"/>
        </w:rPr>
        <w:t>operating segment.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Pre-funded Warrants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issued pre-funded warrants in connection with an underwritten public offering that were accounted for as a freestanding equity-linked financial instrument that met the criteria for equity classification under ASC 480, Distinguishing Liabilities from Equity, and ASC 815, Derivatives and Hedging. Accordingly, the Company classified the pre-funded warrants as a component of shareholders’ equity within additional paid-in capital. The Company valued the pre-funded warrants at issuance, concluding that their sales price approximated their fair value, and allocated the net proceeds from the offering proportionately to the common shares and pre-funded warrants. See Note 7 for further discussion related to the offering.</w:t>
      </w:r>
    </w:p>
    <w:p>
      <w:pPr>
        <w:pStyle w:val="TextBody"/>
        <w:bidi w:val="0"/>
        <w:spacing w:before="200" w:after="283"/>
        <w:jc w:val="left"/>
        <w:rPr>
          <w:rFonts w:ascii="Times New Roman" w:hAnsi="Times New Roman"/>
          <w:sz w:val="20"/>
        </w:rPr>
      </w:pPr>
      <w:r>
        <w:rPr>
          <w:rFonts w:ascii="Calibri;sans-serif" w:hAnsi="Calibri;sans-serif"/>
          <w:b/>
          <w:i/>
          <w:color w:val="000000"/>
          <w:sz w:val="20"/>
        </w:rPr>
        <w:t>Net Loss Per Share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Basic net loss per share is computed by dividing the net loss by the weighted-average number of common shares outstanding and pre-funded warrants for the period, without consideration for other potentially dilutive securities. For the three and nine months ended September 30, 2024, basic shares outstanding includes the weighted average effect of the Company’s outstanding pre-funded warrants, the exercise of which requires little or no consideration for the delivery of shares of common stock. For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three and nine months ended September 30, 2024, the Company had no</w:t>
      </w:r>
      <w:r>
        <w:rPr>
          <w:rFonts w:ascii="Times New Roman" w:hAnsi="Times New Roman"/>
          <w:color w:val="000000"/>
          <w:sz w:val="20"/>
        </w:rPr>
        <w:t xml:space="preserve"> </w:t>
      </w:r>
      <w:r>
        <w:rPr>
          <w:rFonts w:ascii="Calibri;sans-serif" w:hAnsi="Calibri;sans-serif"/>
          <w:color w:val="000000"/>
          <w:sz w:val="20"/>
        </w:rPr>
        <w:t>weighted-average unvested shares to exclude from the weighted-average number of common shares outstanding. For the three and nine months ended September 30, 2023, the Company had no</w:t>
      </w:r>
      <w:r>
        <w:rPr>
          <w:rFonts w:ascii="Times New Roman" w:hAnsi="Times New Roman"/>
          <w:color w:val="000000"/>
          <w:sz w:val="20"/>
        </w:rPr>
        <w:t xml:space="preserve"> </w:t>
      </w:r>
      <w:r>
        <w:rPr>
          <w:rFonts w:ascii="Calibri;sans-serif" w:hAnsi="Calibri;sans-serif"/>
          <w:color w:val="000000"/>
          <w:sz w:val="20"/>
        </w:rPr>
        <w:t>weighted-average unvested shares and 46,131</w:t>
      </w:r>
      <w:r>
        <w:rPr>
          <w:rFonts w:ascii="Times New Roman" w:hAnsi="Times New Roman"/>
          <w:color w:val="000000"/>
          <w:sz w:val="20"/>
        </w:rPr>
        <w:t xml:space="preserve"> </w:t>
      </w:r>
      <w:r>
        <w:rPr>
          <w:rFonts w:ascii="Calibri;sans-serif" w:hAnsi="Calibri;sans-serif"/>
          <w:color w:val="000000"/>
          <w:sz w:val="20"/>
        </w:rPr>
        <w:t>weighted-average unvested shares, respectively, to exclude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restricted stock units) would be antidilutive.</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0"/>
        </w:rPr>
        <w:t>Recently Adopted Accounting Standards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were no recently adopted accounting standards which would have a material impact on the Company's financial statements.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Recently Issued Accounting Pronouncements</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2023. There were no new material accounting standards issued in the third quarter of 2024</w:t>
      </w:r>
      <w:r>
        <w:rPr>
          <w:rFonts w:ascii="Times New Roman" w:hAnsi="Times New Roman"/>
          <w:color w:val="000000"/>
          <w:sz w:val="20"/>
        </w:rPr>
        <w:t xml:space="preserve"> </w:t>
      </w:r>
      <w:r>
        <w:rPr>
          <w:rFonts w:ascii="Calibri;sans-serif" w:hAnsi="Calibri;sans-serif"/>
          <w:color w:val="000000"/>
          <w:sz w:val="20"/>
        </w:rPr>
        <w:t>that impacted the Company.</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2. Balance Sheet Details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Property and Equipment, Net</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Property and equipment, net, consist of the following (in thousands):</w:t>
      </w:r>
    </w:p>
    <w:tbl>
      <w:tblPr>
        <w:tblW w:w="7211" w:type="dxa"/>
        <w:jc w:val="left"/>
        <w:tblInd w:w="0" w:type="dxa"/>
        <w:tblLayout w:type="fixed"/>
        <w:tblCellMar>
          <w:top w:w="28" w:type="dxa"/>
          <w:left w:w="28" w:type="dxa"/>
          <w:bottom w:w="28" w:type="dxa"/>
          <w:right w:w="28" w:type="dxa"/>
        </w:tblCellMar>
      </w:tblPr>
      <w:tblGrid>
        <w:gridCol w:w="3946"/>
        <w:gridCol w:w="146"/>
        <w:gridCol w:w="334"/>
        <w:gridCol w:w="1002"/>
        <w:gridCol w:w="166"/>
        <w:gridCol w:w="146"/>
        <w:gridCol w:w="314"/>
        <w:gridCol w:w="946"/>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0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1,477</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1,089</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w:t>
            </w:r>
          </w:p>
        </w:tc>
        <w:tc>
          <w:tcPr>
            <w:tcW w:w="21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Equipment</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1,487</w:t>
            </w:r>
          </w:p>
        </w:tc>
        <w:tc>
          <w:tcPr>
            <w:tcW w:w="21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and equipment, gross</w:t>
            </w:r>
          </w:p>
        </w:tc>
        <w:tc>
          <w:tcPr>
            <w:tcW w:w="146" w:type="dxa"/>
            <w:tcBorders/>
            <w:shd w:fill="CFF0FC" w:val="clear"/>
            <w:vAlign w:val="center"/>
          </w:tcPr>
          <w:p>
            <w:pPr>
              <w:pStyle w:val="TableContents"/>
              <w:bidi w:val="0"/>
              <w:spacing w:before="0" w:after="283"/>
              <w:jc w:val="left"/>
              <w:rPr/>
            </w:pPr>
            <w:r>
              <w:rPr/>
              <w:t> </w:t>
            </w:r>
          </w:p>
        </w:tc>
        <w:tc>
          <w:tcPr>
            <w:tcW w:w="3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0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4,303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4,192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94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Depreciation and amortization expense for the three months ended September 30, 2024 and 2023 was approximately $0.2</w:t>
      </w:r>
      <w:r>
        <w:rPr>
          <w:rFonts w:ascii="Times New Roman" w:hAnsi="Times New Roman"/>
          <w:color w:val="000000"/>
          <w:sz w:val="20"/>
        </w:rPr>
        <w:t xml:space="preserve"> </w:t>
      </w:r>
      <w:r>
        <w:rPr>
          <w:rFonts w:ascii="Calibri;sans-serif" w:hAnsi="Calibri;sans-serif"/>
          <w:color w:val="000000"/>
          <w:sz w:val="20"/>
        </w:rPr>
        <w:t>million and $0.1</w:t>
      </w:r>
      <w:r>
        <w:rPr>
          <w:rFonts w:ascii="Times New Roman" w:hAnsi="Times New Roman"/>
          <w:color w:val="000000"/>
          <w:sz w:val="20"/>
        </w:rPr>
        <w:t xml:space="preserve"> </w:t>
      </w:r>
      <w:r>
        <w:rPr>
          <w:rFonts w:ascii="Calibri;sans-serif" w:hAnsi="Calibri;sans-serif"/>
          <w:color w:val="000000"/>
          <w:sz w:val="20"/>
        </w:rPr>
        <w:t>million, respectively. Depreciation and amortization expense for the nine months ended September 30, 2024 and 2023 was approximately $0.6</w:t>
      </w:r>
      <w:r>
        <w:rPr>
          <w:rFonts w:ascii="Times New Roman" w:hAnsi="Times New Roman"/>
          <w:color w:val="000000"/>
          <w:sz w:val="20"/>
        </w:rPr>
        <w:t xml:space="preserve"> </w:t>
      </w:r>
      <w:r>
        <w:rPr>
          <w:rFonts w:ascii="Calibri;sans-serif" w:hAnsi="Calibri;sans-serif"/>
          <w:color w:val="000000"/>
          <w:sz w:val="20"/>
        </w:rPr>
        <w:t>million and $0.4</w:t>
      </w:r>
      <w:r>
        <w:rPr>
          <w:rFonts w:ascii="Times New Roman" w:hAnsi="Times New Roman"/>
          <w:color w:val="000000"/>
          <w:sz w:val="20"/>
        </w:rPr>
        <w:t xml:space="preserve"> </w:t>
      </w:r>
      <w:r>
        <w:rPr>
          <w:rFonts w:ascii="Calibri;sans-serif" w:hAnsi="Calibri;sans-serif"/>
          <w:color w:val="000000"/>
          <w:sz w:val="20"/>
        </w:rPr>
        <w:t>million, respectively. No</w:t>
      </w:r>
      <w:r>
        <w:rPr>
          <w:rFonts w:ascii="Times New Roman" w:hAnsi="Times New Roman"/>
          <w:color w:val="000000"/>
          <w:sz w:val="20"/>
        </w:rPr>
        <w:t xml:space="preserve"> </w:t>
      </w:r>
      <w:r>
        <w:rPr>
          <w:rFonts w:ascii="Calibri;sans-serif" w:hAnsi="Calibri;sans-serif"/>
          <w:color w:val="000000"/>
          <w:sz w:val="20"/>
        </w:rPr>
        <w:t>property or equipment was disposed of during the nine months ended September 30, 2024 or for the year ended December 31, 2023.</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Accrued Expenses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Accrued expenses consist of the following (in thousands):</w:t>
      </w:r>
    </w:p>
    <w:tbl>
      <w:tblPr>
        <w:tblW w:w="6900" w:type="dxa"/>
        <w:jc w:val="left"/>
        <w:tblInd w:w="0" w:type="dxa"/>
        <w:tblLayout w:type="fixed"/>
        <w:tblCellMar>
          <w:top w:w="28" w:type="dxa"/>
          <w:left w:w="28" w:type="dxa"/>
          <w:bottom w:w="28" w:type="dxa"/>
          <w:right w:w="28" w:type="dxa"/>
        </w:tblCellMar>
      </w:tblPr>
      <w:tblGrid>
        <w:gridCol w:w="3676"/>
        <w:gridCol w:w="146"/>
        <w:gridCol w:w="317"/>
        <w:gridCol w:w="1018"/>
        <w:gridCol w:w="146"/>
        <w:gridCol w:w="146"/>
        <w:gridCol w:w="299"/>
        <w:gridCol w:w="96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compensation expenses</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13,318</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professional &amp; consulting expenses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1,771</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pPr>
            <w:r>
              <w:rPr/>
              <w:t> </w:t>
            </w:r>
          </w:p>
        </w:tc>
        <w:tc>
          <w:tcPr>
            <w:tcW w:w="101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1,009</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revenue allowances</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982</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Accrued other</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17,197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Inventory</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Inventory consist of the following (in thousands):</w:t>
      </w:r>
    </w:p>
    <w:tbl>
      <w:tblPr>
        <w:tblW w:w="5490" w:type="dxa"/>
        <w:jc w:val="left"/>
        <w:tblInd w:w="0" w:type="dxa"/>
        <w:tblLayout w:type="fixed"/>
        <w:tblCellMar>
          <w:top w:w="28" w:type="dxa"/>
          <w:left w:w="28" w:type="dxa"/>
          <w:bottom w:w="28" w:type="dxa"/>
          <w:right w:w="28" w:type="dxa"/>
        </w:tblCellMar>
      </w:tblPr>
      <w:tblGrid>
        <w:gridCol w:w="2266"/>
        <w:gridCol w:w="146"/>
        <w:gridCol w:w="359"/>
        <w:gridCol w:w="976"/>
        <w:gridCol w:w="146"/>
        <w:gridCol w:w="146"/>
        <w:gridCol w:w="339"/>
        <w:gridCol w:w="92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647</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 current</w:t>
            </w:r>
          </w:p>
        </w:tc>
        <w:tc>
          <w:tcPr>
            <w:tcW w:w="146" w:type="dxa"/>
            <w:tcBorders/>
            <w:shd w:fill="CFF0FC" w:val="clear"/>
            <w:vAlign w:val="center"/>
          </w:tcPr>
          <w:p>
            <w:pPr>
              <w:pStyle w:val="TableContents"/>
              <w:bidi w:val="0"/>
              <w:spacing w:before="0" w:after="283"/>
              <w:jc w:val="left"/>
              <w:rPr/>
            </w:pPr>
            <w:r>
              <w:rPr/>
              <w:t> </w:t>
            </w:r>
          </w:p>
        </w:tc>
        <w:tc>
          <w:tcPr>
            <w:tcW w:w="359"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1,208</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Raw materials, non-current</w:t>
            </w:r>
          </w:p>
        </w:tc>
        <w:tc>
          <w:tcPr>
            <w:tcW w:w="146"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8,234</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3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9,292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9,442</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Raw materials consist of materials, including active pharmaceutical ingredients, to be consumed in the production of inventory related to FDA-approved products. Inventory that is used for clinical development purposes is expensed to research and development expense when consumed. Inventory, noncurrent includes inventory expected to remain on-hand beyond one year from the balance sheet date presented.</w:t>
      </w:r>
    </w:p>
    <w:p>
      <w:pPr>
        <w:pStyle w:val="TextBody"/>
        <w:bidi w:val="0"/>
        <w:spacing w:before="200" w:after="283"/>
        <w:jc w:val="left"/>
        <w:rPr>
          <w:rFonts w:ascii="Times New Roman" w:hAnsi="Times New Roman"/>
          <w:sz w:val="20"/>
        </w:rPr>
      </w:pPr>
      <w:r>
        <w:rPr>
          <w:rFonts w:ascii="Calibri;sans-serif" w:hAnsi="Calibri;sans-serif"/>
          <w:b/>
          <w:color w:val="000000"/>
          <w:sz w:val="20"/>
        </w:rPr>
        <w:t>3.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License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the Company entered into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pStyle w:val="TextBody"/>
        <w:bidi w:val="0"/>
        <w:spacing w:before="200" w:after="283"/>
        <w:jc w:val="left"/>
        <w:rPr>
          <w:rFonts w:ascii="Times New Roman" w:hAnsi="Times New Roman"/>
          <w:sz w:val="20"/>
        </w:rPr>
      </w:pPr>
      <w:r>
        <w:rPr>
          <w:rFonts w:ascii="Calibri;sans-serif" w:hAnsi="Calibri;sans-serif"/>
          <w:color w:val="000000"/>
          <w:sz w:val="20"/>
        </w:rPr>
        <w:t>In consideration of the Takeda License, the Company (i) paid Takeda $25</w:t>
      </w:r>
      <w:r>
        <w:rPr>
          <w:rFonts w:ascii="Times New Roman" w:hAnsi="Times New Roman"/>
          <w:color w:val="000000"/>
          <w:sz w:val="20"/>
        </w:rPr>
        <w:t xml:space="preserve"> </w:t>
      </w:r>
      <w:r>
        <w:rPr>
          <w:rFonts w:ascii="Calibri;sans-serif" w:hAnsi="Calibri;sans-serif"/>
          <w:color w:val="000000"/>
          <w:sz w:val="20"/>
        </w:rPr>
        <w:t>million in cash, (ii) issued Takeda 1,084,000</w:t>
      </w:r>
      <w:r>
        <w:rPr>
          <w:rFonts w:ascii="Times New Roman" w:hAnsi="Times New Roman"/>
          <w:color w:val="000000"/>
          <w:sz w:val="20"/>
        </w:rPr>
        <w:t xml:space="preserve"> </w:t>
      </w:r>
      <w:r>
        <w:rPr>
          <w:rFonts w:ascii="Calibri;sans-serif" w:hAnsi="Calibri;sans-serif"/>
          <w:color w:val="000000"/>
          <w:sz w:val="20"/>
        </w:rPr>
        <w:t>shares of its common stock at a fair value of $5.9</w:t>
      </w:r>
      <w:r>
        <w:rPr>
          <w:rFonts w:ascii="Times New Roman" w:hAnsi="Times New Roman"/>
          <w:color w:val="000000"/>
          <w:sz w:val="20"/>
        </w:rPr>
        <w:t xml:space="preserve"> </w:t>
      </w:r>
      <w:r>
        <w:rPr>
          <w:rFonts w:ascii="Calibri;sans-serif" w:hAnsi="Calibri;sans-serif"/>
          <w:color w:val="000000"/>
          <w:sz w:val="20"/>
        </w:rPr>
        <w:t>million, (iii) issued the Takeda Warrant to purchase 7,588,000</w:t>
      </w:r>
      <w:r>
        <w:rPr>
          <w:rFonts w:ascii="Times New Roman" w:hAnsi="Times New Roman"/>
          <w:color w:val="000000"/>
          <w:sz w:val="20"/>
        </w:rPr>
        <w:t xml:space="preserve"> </w:t>
      </w:r>
      <w:r>
        <w:rPr>
          <w:rFonts w:ascii="Calibri;sans-serif" w:hAnsi="Calibri;sans-serif"/>
          <w:color w:val="000000"/>
          <w:sz w:val="20"/>
        </w:rPr>
        <w:t>shares of its common stock at an exercise price of $0.00004613</w:t>
      </w:r>
      <w:r>
        <w:rPr>
          <w:rFonts w:ascii="Times New Roman" w:hAnsi="Times New Roman"/>
          <w:color w:val="000000"/>
          <w:sz w:val="20"/>
        </w:rPr>
        <w:t xml:space="preserve"> </w:t>
      </w:r>
      <w:r>
        <w:rPr>
          <w:rFonts w:ascii="Calibri;sans-serif" w:hAnsi="Calibri;sans-serif"/>
          <w:color w:val="000000"/>
          <w:sz w:val="20"/>
        </w:rPr>
        <w:t>per share at an initial fair value of $47.9</w:t>
      </w:r>
      <w:r>
        <w:rPr>
          <w:rFonts w:ascii="Times New Roman" w:hAnsi="Times New Roman"/>
          <w:color w:val="000000"/>
          <w:sz w:val="20"/>
        </w:rPr>
        <w:t xml:space="preserve"> </w:t>
      </w:r>
      <w:r>
        <w:rPr>
          <w:rFonts w:ascii="Calibri;sans-serif" w:hAnsi="Calibri;sans-serif"/>
          <w:color w:val="000000"/>
          <w:sz w:val="20"/>
        </w:rPr>
        <w:t>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initial public offering, or IPO, with a nominal initial fair value due to the low probability of issuance. The Takeda Warrant Right expired without effect since no fair value had been allocated to it upon completion of the IPO, and no</w:t>
      </w:r>
      <w:r>
        <w:rPr>
          <w:rFonts w:ascii="Times New Roman" w:hAnsi="Times New Roman"/>
          <w:color w:val="000000"/>
          <w:sz w:val="20"/>
        </w:rPr>
        <w:t xml:space="preserve"> </w:t>
      </w:r>
      <w:r>
        <w:rPr>
          <w:rFonts w:ascii="Calibri;sans-serif" w:hAnsi="Calibri;sans-serif"/>
          <w:color w:val="000000"/>
          <w:sz w:val="20"/>
        </w:rPr>
        <w:t>additional warrant was issued. In addition, the Company is obligated to pay Takeda up to an aggregate of $250</w:t>
      </w:r>
      <w:r>
        <w:rPr>
          <w:rFonts w:ascii="Times New Roman" w:hAnsi="Times New Roman"/>
          <w:color w:val="000000"/>
          <w:sz w:val="20"/>
        </w:rPr>
        <w:t xml:space="preserve"> </w:t>
      </w:r>
      <w:r>
        <w:rPr>
          <w:rFonts w:ascii="Calibri;sans-serif" w:hAnsi="Calibri;sans-serif"/>
          <w:color w:val="000000"/>
          <w:sz w:val="20"/>
        </w:rPr>
        <w:t>million in sales milestones upon the achievement of specified levels of product sales, and a low double-digit royalty rate on aggregate net sales of licensed products, subject to certain adjustments. The Takeda Warrant had an exercise price of $0.00004613</w:t>
      </w:r>
      <w:r>
        <w:rPr>
          <w:rFonts w:ascii="Times New Roman" w:hAnsi="Times New Roman"/>
          <w:color w:val="000000"/>
          <w:sz w:val="20"/>
        </w:rPr>
        <w:t xml:space="preserve"> </w:t>
      </w:r>
      <w:r>
        <w:rPr>
          <w:rFonts w:ascii="Calibri;sans-serif" w:hAnsi="Calibri;sans-serif"/>
          <w:color w:val="000000"/>
          <w:sz w:val="20"/>
        </w:rPr>
        <w:t>per share, and was to expire on May 7, 2029</w:t>
      </w:r>
      <w:r>
        <w:rPr>
          <w:rFonts w:ascii="Times New Roman" w:hAnsi="Times New Roman"/>
          <w:color w:val="000000"/>
          <w:sz w:val="20"/>
        </w:rPr>
        <w:t xml:space="preserve"> </w:t>
      </w:r>
      <w:r>
        <w:rPr>
          <w:rFonts w:ascii="Calibri;sans-serif" w:hAnsi="Calibri;sans-serif"/>
          <w:color w:val="000000"/>
          <w:sz w:val="20"/>
        </w:rPr>
        <w:t>and became exercisable upon the consummation of the IPO. All Takeda Warrants were exercised by March 2022.</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three and nine months ended September 30, 2024, the Company recorded $1.6</w:t>
      </w:r>
      <w:r>
        <w:rPr>
          <w:rFonts w:ascii="Times New Roman" w:hAnsi="Times New Roman"/>
          <w:color w:val="000000"/>
          <w:sz w:val="20"/>
        </w:rPr>
        <w:t xml:space="preserve"> </w:t>
      </w:r>
      <w:r>
        <w:rPr>
          <w:rFonts w:ascii="Calibri;sans-serif" w:hAnsi="Calibri;sans-serif"/>
          <w:color w:val="000000"/>
          <w:sz w:val="20"/>
        </w:rPr>
        <w:t>million and $2.6</w:t>
      </w:r>
      <w:r>
        <w:rPr>
          <w:rFonts w:ascii="Times New Roman" w:hAnsi="Times New Roman"/>
          <w:color w:val="000000"/>
          <w:sz w:val="20"/>
        </w:rPr>
        <w:t xml:space="preserve"> </w:t>
      </w:r>
      <w:r>
        <w:rPr>
          <w:rFonts w:ascii="Calibri;sans-serif" w:hAnsi="Calibri;sans-serif"/>
          <w:color w:val="000000"/>
          <w:sz w:val="20"/>
        </w:rPr>
        <w:t>million, respectively, of royalty expense under the Takeda License, of which $1.6</w:t>
      </w:r>
      <w:r>
        <w:rPr>
          <w:rFonts w:ascii="Times New Roman" w:hAnsi="Times New Roman"/>
          <w:color w:val="000000"/>
          <w:sz w:val="20"/>
        </w:rPr>
        <w:t xml:space="preserve"> </w:t>
      </w:r>
      <w:r>
        <w:rPr>
          <w:rFonts w:ascii="Calibri;sans-serif" w:hAnsi="Calibri;sans-serif"/>
          <w:color w:val="000000"/>
          <w:sz w:val="20"/>
        </w:rPr>
        <w:t>million is included within accrued expenses as of September 30, 2024.</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Purchase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€2.9</w:t>
      </w:r>
      <w:r>
        <w:rPr>
          <w:rFonts w:ascii="Times New Roman" w:hAnsi="Times New Roman"/>
          <w:color w:val="000000"/>
          <w:sz w:val="20"/>
        </w:rPr>
        <w:t xml:space="preserve"> </w:t>
      </w:r>
      <w:r>
        <w:rPr>
          <w:rFonts w:ascii="Calibri;sans-serif" w:hAnsi="Calibri;sans-serif"/>
          <w:color w:val="000000"/>
          <w:sz w:val="20"/>
        </w:rPr>
        <w:t>million, or approximately $3.2</w:t>
      </w:r>
      <w:r>
        <w:rPr>
          <w:rFonts w:ascii="Times New Roman" w:hAnsi="Times New Roman"/>
          <w:color w:val="000000"/>
          <w:sz w:val="20"/>
        </w:rPr>
        <w:t xml:space="preserve"> </w:t>
      </w:r>
      <w:r>
        <w:rPr>
          <w:rFonts w:ascii="Calibri;sans-serif" w:hAnsi="Calibri;sans-serif"/>
          <w:color w:val="000000"/>
          <w:sz w:val="20"/>
        </w:rPr>
        <w:t>million, in the first 24-month period following the launch of the final product.</w:t>
      </w:r>
      <w:r>
        <w:rPr>
          <w:rFonts w:ascii="Times New Roman" w:hAnsi="Times New Roman"/>
          <w:color w:val="000000"/>
          <w:sz w:val="20"/>
        </w:rPr>
        <w:t xml:space="preserve"> </w:t>
      </w:r>
      <w:r>
        <w:rPr>
          <w:rFonts w:ascii="Calibri;sans-serif" w:hAnsi="Calibri;sans-serif"/>
          <w:color w:val="000000"/>
          <w:sz w:val="20"/>
        </w:rPr>
        <w:t>The Company incurred $0.3</w:t>
      </w:r>
      <w:r>
        <w:rPr>
          <w:rFonts w:ascii="Times New Roman" w:hAnsi="Times New Roman"/>
          <w:color w:val="000000"/>
          <w:sz w:val="20"/>
        </w:rPr>
        <w:t xml:space="preserve"> </w:t>
      </w:r>
      <w:r>
        <w:rPr>
          <w:rFonts w:ascii="Calibri;sans-serif" w:hAnsi="Calibri;sans-serif"/>
          <w:color w:val="000000"/>
          <w:sz w:val="20"/>
        </w:rPr>
        <w:t>million of expenses under the agreement during the nine months ended September 30, 2024. As of September 30, 2024, €1.8</w:t>
      </w:r>
      <w:r>
        <w:rPr>
          <w:rFonts w:ascii="Times New Roman" w:hAnsi="Times New Roman"/>
          <w:color w:val="000000"/>
          <w:sz w:val="20"/>
        </w:rPr>
        <w:t xml:space="preserve"> </w:t>
      </w:r>
      <w:r>
        <w:rPr>
          <w:rFonts w:ascii="Calibri;sans-serif" w:hAnsi="Calibri;sans-serif"/>
          <w:color w:val="000000"/>
          <w:sz w:val="20"/>
        </w:rPr>
        <w:t>million, or approximately $2.0</w:t>
      </w:r>
      <w:r>
        <w:rPr>
          <w:rFonts w:ascii="Times New Roman" w:hAnsi="Times New Roman"/>
          <w:color w:val="000000"/>
          <w:sz w:val="20"/>
        </w:rPr>
        <w:t xml:space="preserve"> </w:t>
      </w:r>
      <w:r>
        <w:rPr>
          <w:rFonts w:ascii="Calibri;sans-serif" w:hAnsi="Calibri;sans-serif"/>
          <w:color w:val="000000"/>
          <w:sz w:val="20"/>
        </w:rPr>
        <w:t>million, remains of the minimum purchase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Contingencies</w:t>
      </w:r>
    </w:p>
    <w:p>
      <w:pPr>
        <w:pStyle w:val="TextBody"/>
        <w:bidi w:val="0"/>
        <w:spacing w:before="200" w:after="283"/>
        <w:jc w:val="left"/>
        <w:rPr>
          <w:rFonts w:ascii="Times New Roman" w:hAnsi="Times New Roman"/>
          <w:sz w:val="20"/>
        </w:rPr>
      </w:pPr>
      <w:r>
        <w:rPr>
          <w:rFonts w:ascii="Calibri;sans-serif" w:hAnsi="Calibri;sans-serif"/>
          <w:color w:val="000000"/>
          <w:sz w:val="20"/>
        </w:rPr>
        <w:t>In the event the Company becomes subject to claims or suits arising in the ordinary course of business, the Company would accrue a liability for such matters when it is probable that future expenditures will be made and such expenditures can be reasonably estimated.</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4. Lease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As of September 30, 2024, the Company had operating leases for office space in both Buffalo Grove, Illinois and Florham Park, New Jersey, with weighted average remaining lease terms of 0.6</w:t>
      </w:r>
      <w:r>
        <w:rPr>
          <w:rFonts w:ascii="Times New Roman" w:hAnsi="Times New Roman"/>
          <w:color w:val="000000"/>
          <w:sz w:val="20"/>
        </w:rPr>
        <w:t xml:space="preserve"> </w:t>
      </w:r>
      <w:r>
        <w:rPr>
          <w:rFonts w:ascii="Calibri;sans-serif" w:hAnsi="Calibri;sans-serif"/>
          <w:color w:val="000000"/>
          <w:sz w:val="20"/>
        </w:rPr>
        <w:t>years and 0.9</w:t>
      </w:r>
      <w:r>
        <w:rPr>
          <w:rFonts w:ascii="Times New Roman" w:hAnsi="Times New Roman"/>
          <w:color w:val="000000"/>
          <w:sz w:val="20"/>
        </w:rPr>
        <w:t xml:space="preserve"> </w:t>
      </w:r>
      <w:r>
        <w:rPr>
          <w:rFonts w:ascii="Calibri;sans-serif" w:hAnsi="Calibri;sans-serif"/>
          <w:color w:val="000000"/>
          <w:sz w:val="20"/>
        </w:rPr>
        <w:t>years, respectively.</w:t>
      </w:r>
      <w:r>
        <w:rPr>
          <w:rFonts w:ascii="Times New Roman" w:hAnsi="Times New Roman"/>
          <w:color w:val="000000"/>
          <w:sz w:val="20"/>
        </w:rPr>
        <w:t xml:space="preserve"> </w:t>
      </w:r>
      <w:r>
        <w:rPr>
          <w:rFonts w:ascii="Calibri;sans-serif" w:hAnsi="Calibri;sans-serif"/>
          <w:color w:val="000000"/>
          <w:sz w:val="20"/>
        </w:rPr>
        <w:t>All</w:t>
      </w:r>
      <w:r>
        <w:rPr>
          <w:rFonts w:ascii="Times New Roman" w:hAnsi="Times New Roman"/>
          <w:color w:val="000000"/>
          <w:sz w:val="20"/>
        </w:rPr>
        <w:t xml:space="preserve"> </w:t>
      </w:r>
      <w:r>
        <w:rPr>
          <w:rFonts w:ascii="Calibri;sans-serif" w:hAnsi="Calibri;sans-serif"/>
          <w:color w:val="000000"/>
          <w:sz w:val="20"/>
        </w:rPr>
        <w:t>operating leases contain an option to extend the term for one additional five year period, which was not considered in the determination of the right-of-use asset or lease liability as the Company did not consider it reasonably certain that it would exercise such options.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total rent expense for each of the three months ended September 30, 2024 and 2023 was $0.3</w:t>
      </w:r>
      <w:r>
        <w:rPr>
          <w:rFonts w:ascii="Times New Roman" w:hAnsi="Times New Roman"/>
          <w:color w:val="000000"/>
          <w:sz w:val="20"/>
        </w:rPr>
        <w:t xml:space="preserve"> </w:t>
      </w:r>
      <w:r>
        <w:rPr>
          <w:rFonts w:ascii="Calibri;sans-serif" w:hAnsi="Calibri;sans-serif"/>
          <w:color w:val="000000"/>
          <w:sz w:val="20"/>
        </w:rPr>
        <w:t>million. Total rent expense for each of the nine months ended September 30, 2024 and 2023</w:t>
      </w:r>
      <w:r>
        <w:rPr>
          <w:rFonts w:ascii="Times New Roman" w:hAnsi="Times New Roman"/>
          <w:color w:val="000000"/>
          <w:sz w:val="20"/>
        </w:rPr>
        <w:t xml:space="preserve"> </w:t>
      </w:r>
      <w:r>
        <w:rPr>
          <w:rFonts w:ascii="Calibri;sans-serif" w:hAnsi="Calibri;sans-serif"/>
          <w:color w:val="000000"/>
          <w:sz w:val="20"/>
        </w:rPr>
        <w:t>was $0.8</w:t>
      </w:r>
      <w:r>
        <w:rPr>
          <w:rFonts w:ascii="Times New Roman" w:hAnsi="Times New Roman"/>
          <w:color w:val="000000"/>
          <w:sz w:val="20"/>
        </w:rPr>
        <w:t xml:space="preserve"> </w:t>
      </w:r>
      <w:r>
        <w:rPr>
          <w:rFonts w:ascii="Calibri;sans-serif" w:hAnsi="Calibri;sans-serif"/>
          <w:color w:val="000000"/>
          <w:sz w:val="20"/>
        </w:rPr>
        <w:t>million. Total short-term lease costs relating to leased vehicles was approximately $2.1</w:t>
      </w:r>
      <w:r>
        <w:rPr>
          <w:rFonts w:ascii="Times New Roman" w:hAnsi="Times New Roman"/>
          <w:color w:val="000000"/>
          <w:sz w:val="20"/>
        </w:rPr>
        <w:t xml:space="preserve"> </w:t>
      </w:r>
      <w:r>
        <w:rPr>
          <w:rFonts w:ascii="Calibri;sans-serif" w:hAnsi="Calibri;sans-serif"/>
          <w:color w:val="000000"/>
          <w:sz w:val="20"/>
        </w:rPr>
        <w:t>million and $7.1</w:t>
      </w:r>
      <w:r>
        <w:rPr>
          <w:rFonts w:ascii="Times New Roman" w:hAnsi="Times New Roman"/>
          <w:color w:val="000000"/>
          <w:sz w:val="20"/>
        </w:rPr>
        <w:t xml:space="preserve"> </w:t>
      </w:r>
      <w:r>
        <w:rPr>
          <w:rFonts w:ascii="Calibri;sans-serif" w:hAnsi="Calibri;sans-serif"/>
          <w:color w:val="000000"/>
          <w:sz w:val="20"/>
        </w:rPr>
        <w:t>million for the three and nine months ended September 30, 2024, respectively, and was not material for either of the three and nine months ended September 30,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As of September 30, 2024, the future minimum annual lease payments under the operating leases were as follows (in thousands):</w:t>
      </w:r>
    </w:p>
    <w:tbl>
      <w:tblPr>
        <w:tblW w:w="5265" w:type="dxa"/>
        <w:jc w:val="left"/>
        <w:tblInd w:w="0" w:type="dxa"/>
        <w:tblLayout w:type="fixed"/>
        <w:tblCellMar>
          <w:top w:w="28" w:type="dxa"/>
          <w:left w:w="28" w:type="dxa"/>
          <w:bottom w:w="28" w:type="dxa"/>
          <w:right w:w="28" w:type="dxa"/>
        </w:tblCellMar>
      </w:tblPr>
      <w:tblGrid>
        <w:gridCol w:w="4036"/>
        <w:gridCol w:w="146"/>
        <w:gridCol w:w="211"/>
        <w:gridCol w:w="481"/>
        <w:gridCol w:w="3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403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3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703</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lease liabilities, non-current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3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remaining lease term (in years)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0.86</w:t>
            </w:r>
          </w:p>
        </w:tc>
        <w:tc>
          <w:tcPr>
            <w:tcW w:w="391" w:type="dxa"/>
            <w:tcBorders/>
            <w:shd w:fill="CFF0FC" w:val="clear"/>
            <w:vAlign w:val="center"/>
          </w:tcPr>
          <w:p>
            <w:pPr>
              <w:pStyle w:val="TableContents"/>
              <w:bidi w:val="0"/>
              <w:spacing w:before="0" w:after="283"/>
              <w:jc w:val="left"/>
              <w:rPr/>
            </w:pPr>
            <w:r>
              <w:rPr/>
              <w:t> </w:t>
            </w:r>
          </w:p>
        </w:tc>
      </w:tr>
      <w:tr>
        <w:trPr/>
        <w:tc>
          <w:tcPr>
            <w:tcW w:w="403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Weighted-average incremental borrowing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8.25</w:t>
            </w:r>
          </w:p>
        </w:tc>
        <w:tc>
          <w:tcPr>
            <w:tcW w:w="39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Operating cash flows for each of the nine months ended September 30, 2024 and 2023 included cash payments for operating leases of approximately $0.7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color w:val="000000"/>
          <w:sz w:val="22"/>
        </w:rPr>
        <w:t>5</w:t>
      </w:r>
      <w:r>
        <w:rPr>
          <w:rFonts w:ascii="Calibri;sans-serif" w:hAnsi="Calibri;sans-serif"/>
          <w:b/>
          <w:color w:val="000000"/>
          <w:sz w:val="20"/>
        </w:rPr>
        <w:t>. Debt</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debt consists of the following (in thousands):</w:t>
      </w:r>
    </w:p>
    <w:tbl>
      <w:tblPr>
        <w:tblW w:w="6295" w:type="dxa"/>
        <w:jc w:val="left"/>
        <w:tblInd w:w="0" w:type="dxa"/>
        <w:tblLayout w:type="fixed"/>
        <w:tblCellMar>
          <w:top w:w="28" w:type="dxa"/>
          <w:left w:w="28" w:type="dxa"/>
          <w:bottom w:w="28" w:type="dxa"/>
          <w:right w:w="28" w:type="dxa"/>
        </w:tblCellMar>
      </w:tblPr>
      <w:tblGrid>
        <w:gridCol w:w="3031"/>
        <w:gridCol w:w="146"/>
        <w:gridCol w:w="283"/>
        <w:gridCol w:w="1052"/>
        <w:gridCol w:w="166"/>
        <w:gridCol w:w="146"/>
        <w:gridCol w:w="268"/>
        <w:gridCol w:w="992"/>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current portion</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debt, non-current portion</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185,780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148,057</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Unamortized debt discount</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03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debt, net of debt discount</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175,729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On September 17, 2021, or the Closing Date, the Company entered into a Loan and Security Agreement, or the Loan Agreement, with Hercules, in its capacity as administrative agent and collateral agent and as a lender, or, in such capacity, the Agent or Hercules, and the other financial institutions that from time to time become parties to the Loan Agreement as lenders, or, collectively, the Lenders.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w:t>
      </w:r>
      <w:r>
        <w:rPr>
          <w:rFonts w:ascii="Times New Roman" w:hAnsi="Times New Roman"/>
          <w:color w:val="000000"/>
          <w:sz w:val="20"/>
        </w:rPr>
        <w:t xml:space="preserve"> </w:t>
      </w:r>
      <w:r>
        <w:rPr>
          <w:rFonts w:ascii="Calibri;sans-serif" w:hAnsi="Calibri;sans-serif"/>
          <w:color w:val="000000"/>
          <w:sz w:val="20"/>
        </w:rPr>
        <w:t>million, or the Term Loan, under multiple tranches. The tranches consist of (i) a first tranche consisting of term loans in an aggregate principal amount of $100</w:t>
      </w:r>
      <w:r>
        <w:rPr>
          <w:rFonts w:ascii="Times New Roman" w:hAnsi="Times New Roman"/>
          <w:color w:val="000000"/>
          <w:sz w:val="20"/>
        </w:rPr>
        <w:t xml:space="preserve"> </w:t>
      </w:r>
      <w:r>
        <w:rPr>
          <w:rFonts w:ascii="Calibri;sans-serif" w:hAnsi="Calibri;sans-serif"/>
          <w:color w:val="000000"/>
          <w:sz w:val="20"/>
        </w:rPr>
        <w:t>million, all of which was funded on the Closing Date, or the First Advance, (ii) a second tranche consisting of up to an additional $50</w:t>
      </w:r>
      <w:r>
        <w:rPr>
          <w:rFonts w:ascii="Times New Roman" w:hAnsi="Times New Roman"/>
          <w:color w:val="000000"/>
          <w:sz w:val="20"/>
        </w:rPr>
        <w:t xml:space="preserve"> </w:t>
      </w:r>
      <w:r>
        <w:rPr>
          <w:rFonts w:ascii="Calibri;sans-serif" w:hAnsi="Calibri;sans-serif"/>
          <w:color w:val="000000"/>
          <w:sz w:val="20"/>
        </w:rPr>
        <w:t>million, (iii) a third and fourth tranches consisting of an additional total $50</w:t>
      </w:r>
      <w:r>
        <w:rPr>
          <w:rFonts w:ascii="Times New Roman" w:hAnsi="Times New Roman"/>
          <w:color w:val="000000"/>
          <w:sz w:val="20"/>
        </w:rPr>
        <w:t xml:space="preserve"> </w:t>
      </w:r>
      <w:r>
        <w:rPr>
          <w:rFonts w:ascii="Calibri;sans-serif" w:hAnsi="Calibri;sans-serif"/>
          <w:color w:val="000000"/>
          <w:sz w:val="20"/>
        </w:rPr>
        <w:t>million, which became available in May 2022.</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the Company entered into an amendment to the Loan Agreement, or the Second Loan Amendment, pursuant to which the date the second tranche of funding of $50</w:t>
      </w:r>
      <w:r>
        <w:rPr>
          <w:rFonts w:ascii="Times New Roman" w:hAnsi="Times New Roman"/>
          <w:color w:val="000000"/>
          <w:sz w:val="20"/>
        </w:rPr>
        <w:t xml:space="preserve"> </w:t>
      </w:r>
      <w:r>
        <w:rPr>
          <w:rFonts w:ascii="Calibri;sans-serif" w:hAnsi="Calibri;sans-serif"/>
          <w:color w:val="000000"/>
          <w:sz w:val="20"/>
        </w:rPr>
        <w:t>million was available to the Company and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w:t>
      </w:r>
      <w:r>
        <w:rPr>
          <w:rFonts w:ascii="Times New Roman" w:hAnsi="Times New Roman"/>
          <w:color w:val="000000"/>
          <w:sz w:val="20"/>
        </w:rPr>
        <w:t xml:space="preserve"> </w:t>
      </w:r>
      <w:r>
        <w:rPr>
          <w:rFonts w:ascii="Calibri;sans-serif" w:hAnsi="Calibri;sans-serif"/>
          <w:color w:val="000000"/>
          <w:sz w:val="20"/>
        </w:rPr>
        <w:t>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w:t>
      </w:r>
      <w:r>
        <w:rPr>
          <w:rFonts w:ascii="Times New Roman" w:hAnsi="Times New Roman"/>
          <w:color w:val="000000"/>
          <w:sz w:val="20"/>
        </w:rPr>
        <w:t xml:space="preserve"> </w:t>
      </w:r>
      <w:r>
        <w:rPr>
          <w:rFonts w:ascii="Calibri;sans-serif" w:hAnsi="Calibri;sans-serif"/>
          <w:color w:val="000000"/>
          <w:sz w:val="20"/>
        </w:rPr>
        <w:t>and a covenant extension amendment fee of $100,000</w:t>
      </w:r>
      <w:r>
        <w:rPr>
          <w:rFonts w:ascii="Times New Roman" w:hAnsi="Times New Roman"/>
          <w:color w:val="000000"/>
          <w:sz w:val="20"/>
        </w:rPr>
        <w:t xml:space="preserve"> </w:t>
      </w:r>
      <w:r>
        <w:rPr>
          <w:rFonts w:ascii="Calibri;sans-serif" w:hAnsi="Calibri;sans-serif"/>
          <w:color w:val="000000"/>
          <w:sz w:val="20"/>
        </w:rPr>
        <w:t>was paid to the Agent. These fees have been recorded as debt discount and are being amortized to interest expense using the effective interest method over the remaining term of the Term Loan.</w:t>
      </w:r>
    </w:p>
    <w:p>
      <w:pPr>
        <w:pStyle w:val="TextBody"/>
        <w:bidi w:val="0"/>
        <w:spacing w:before="200" w:after="120"/>
        <w:jc w:val="left"/>
        <w:rPr>
          <w:rFonts w:ascii="Times New Roman" w:hAnsi="Times New Roman"/>
          <w:sz w:val="20"/>
        </w:rPr>
      </w:pPr>
      <w:r>
        <w:rPr>
          <w:rFonts w:ascii="Calibri;sans-serif" w:hAnsi="Calibri;sans-serif"/>
          <w:color w:val="000000"/>
          <w:sz w:val="20"/>
        </w:rPr>
        <w:t>On December 14, 2023, the Company entered into a Fourth Amendment to Loan and Security Agreement, or the Fourth Loan Amendment, with the lenders, which, among other things, (i) increases the aggregate principal amount of the term loans from $200</w:t>
      </w:r>
      <w:r>
        <w:rPr>
          <w:rFonts w:ascii="Times New Roman" w:hAnsi="Times New Roman"/>
          <w:color w:val="000000"/>
          <w:sz w:val="20"/>
        </w:rPr>
        <w:t xml:space="preserve"> </w:t>
      </w:r>
      <w:r>
        <w:rPr>
          <w:rFonts w:ascii="Calibri;sans-serif" w:hAnsi="Calibri;sans-serif"/>
          <w:color w:val="000000"/>
          <w:sz w:val="20"/>
        </w:rPr>
        <w:t>million to $300</w:t>
      </w:r>
      <w:r>
        <w:rPr>
          <w:rFonts w:ascii="Times New Roman" w:hAnsi="Times New Roman"/>
          <w:color w:val="000000"/>
          <w:sz w:val="20"/>
        </w:rPr>
        <w:t xml:space="preserve"> </w:t>
      </w:r>
      <w:r>
        <w:rPr>
          <w:rFonts w:ascii="Calibri;sans-serif" w:hAnsi="Calibri;sans-serif"/>
          <w:color w:val="000000"/>
          <w:sz w:val="20"/>
        </w:rPr>
        <w:t>million; (ii) provides for the possibility of accessing the remaining $200</w:t>
      </w:r>
      <w:r>
        <w:rPr>
          <w:rFonts w:ascii="Times New Roman" w:hAnsi="Times New Roman"/>
          <w:color w:val="000000"/>
          <w:sz w:val="20"/>
        </w:rPr>
        <w:t xml:space="preserve"> </w:t>
      </w:r>
      <w:r>
        <w:rPr>
          <w:rFonts w:ascii="Calibri;sans-serif" w:hAnsi="Calibri;sans-serif"/>
          <w:color w:val="000000"/>
          <w:sz w:val="20"/>
        </w:rPr>
        <w:t>million commitment through five tranches referred to as the second through sixth tranches, which are available subject to certain milestones and conditions: (a) Second Tranche: $50</w:t>
      </w:r>
      <w:r>
        <w:rPr>
          <w:rFonts w:ascii="Times New Roman" w:hAnsi="Times New Roman"/>
          <w:color w:val="000000"/>
          <w:sz w:val="20"/>
        </w:rPr>
        <w:t xml:space="preserve"> </w:t>
      </w:r>
      <w:r>
        <w:rPr>
          <w:rFonts w:ascii="Calibri;sans-serif" w:hAnsi="Calibri;sans-serif"/>
          <w:color w:val="000000"/>
          <w:sz w:val="20"/>
        </w:rPr>
        <w:t>million, $40</w:t>
      </w:r>
      <w:r>
        <w:rPr>
          <w:rFonts w:ascii="Times New Roman" w:hAnsi="Times New Roman"/>
          <w:color w:val="000000"/>
          <w:sz w:val="20"/>
        </w:rPr>
        <w:t xml:space="preserve"> </w:t>
      </w:r>
      <w:r>
        <w:rPr>
          <w:rFonts w:ascii="Calibri;sans-serif" w:hAnsi="Calibri;sans-serif"/>
          <w:color w:val="000000"/>
          <w:sz w:val="20"/>
        </w:rPr>
        <w:t>million of which was funded on December 14, 2023, available through March 15, 2024, (b) Third Tranche: $25</w:t>
      </w:r>
      <w:r>
        <w:rPr>
          <w:rFonts w:ascii="Times New Roman" w:hAnsi="Times New Roman"/>
          <w:color w:val="000000"/>
          <w:sz w:val="20"/>
        </w:rPr>
        <w:t xml:space="preserve"> </w:t>
      </w:r>
      <w:r>
        <w:rPr>
          <w:rFonts w:ascii="Calibri;sans-serif" w:hAnsi="Calibri;sans-serif"/>
          <w:color w:val="000000"/>
          <w:sz w:val="20"/>
        </w:rPr>
        <w:t>million available through June 15, 2024, (c) Fourth Tranche: $25</w:t>
      </w:r>
      <w:r>
        <w:rPr>
          <w:rFonts w:ascii="Times New Roman" w:hAnsi="Times New Roman"/>
          <w:color w:val="000000"/>
          <w:sz w:val="20"/>
        </w:rPr>
        <w:t xml:space="preserve"> </w:t>
      </w:r>
      <w:r>
        <w:rPr>
          <w:rFonts w:ascii="Calibri;sans-serif" w:hAnsi="Calibri;sans-serif"/>
          <w:color w:val="000000"/>
          <w:sz w:val="20"/>
        </w:rPr>
        <w:t>million available through December 15, 2024, (d) Fifth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specified revenue milestone, or the Fifth Tranche milestone, through June 30, 2025, and (e) Sixth Tranche: $50</w:t>
      </w:r>
      <w:r>
        <w:rPr>
          <w:rFonts w:ascii="Times New Roman" w:hAnsi="Times New Roman"/>
          <w:color w:val="000000"/>
          <w:sz w:val="20"/>
        </w:rPr>
        <w:t xml:space="preserve"> </w:t>
      </w:r>
      <w:r>
        <w:rPr>
          <w:rFonts w:ascii="Calibri;sans-serif" w:hAnsi="Calibri;sans-serif"/>
          <w:color w:val="000000"/>
          <w:sz w:val="20"/>
        </w:rPr>
        <w:t>million available, subject to the achievement of a specific revenue milestone, or the Sixth Tranche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the Company achieving the Sixth Tranche milestone, the cash interest floating rated shall be decreased by 0.35% to 9.50%, and (v) decreases the payment-in-kind interest rate from 3.35% per annum to 2.15% per annum. In connection with the Fourth Loan Amendment, an amendment fee of $250,000</w:t>
      </w:r>
      <w:r>
        <w:rPr>
          <w:rFonts w:ascii="Times New Roman" w:hAnsi="Times New Roman"/>
          <w:color w:val="000000"/>
          <w:sz w:val="20"/>
        </w:rPr>
        <w:t xml:space="preserve"> </w:t>
      </w:r>
      <w:r>
        <w:rPr>
          <w:rFonts w:ascii="Calibri;sans-serif" w:hAnsi="Calibri;sans-serif"/>
          <w:color w:val="000000"/>
          <w:sz w:val="20"/>
        </w:rPr>
        <w:t>was paid to the Agent and was recorded as a debt discount and is being amortized to interest expense using the effective interest method over the remaining term of the Term Loan.</w:t>
      </w:r>
    </w:p>
    <w:p>
      <w:pPr>
        <w:pStyle w:val="TextBody"/>
        <w:bidi w:val="0"/>
        <w:spacing w:before="200" w:after="283"/>
        <w:jc w:val="left"/>
        <w:rPr>
          <w:rFonts w:ascii="Times New Roman" w:hAnsi="Times New Roman"/>
          <w:sz w:val="20"/>
        </w:rPr>
      </w:pPr>
      <w:r>
        <w:rPr>
          <w:rFonts w:ascii="Calibri;sans-serif" w:hAnsi="Calibri;sans-serif"/>
          <w:color w:val="000000"/>
          <w:sz w:val="20"/>
        </w:rPr>
        <w:t>On March 15, 2024, the Company drew down on the remaining $10</w:t>
      </w:r>
      <w:r>
        <w:rPr>
          <w:rFonts w:ascii="Times New Roman" w:hAnsi="Times New Roman"/>
          <w:color w:val="000000"/>
          <w:sz w:val="20"/>
        </w:rPr>
        <w:t xml:space="preserve"> </w:t>
      </w:r>
      <w:r>
        <w:rPr>
          <w:rFonts w:ascii="Calibri;sans-serif" w:hAnsi="Calibri;sans-serif"/>
          <w:color w:val="000000"/>
          <w:sz w:val="20"/>
        </w:rPr>
        <w:t>million available under the Second Tranche. In addition, on June 14, 2024, the Company drew down the $25</w:t>
      </w:r>
      <w:r>
        <w:rPr>
          <w:rFonts w:ascii="Times New Roman" w:hAnsi="Times New Roman"/>
          <w:color w:val="000000"/>
          <w:sz w:val="20"/>
        </w:rPr>
        <w:t xml:space="preserve"> </w:t>
      </w:r>
      <w:r>
        <w:rPr>
          <w:rFonts w:ascii="Calibri;sans-serif" w:hAnsi="Calibri;sans-serif"/>
          <w:color w:val="000000"/>
          <w:sz w:val="20"/>
        </w:rPr>
        <w:t>million available under the Third Tranche.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After the interest-only period, the principal balance and related interest will be required to be repaid in full on the Maturity Date.</w:t>
      </w:r>
    </w:p>
    <w:p>
      <w:pPr>
        <w:pStyle w:val="TextBody"/>
        <w:bidi w:val="0"/>
        <w:spacing w:before="200" w:after="283"/>
        <w:jc w:val="left"/>
        <w:rPr>
          <w:rFonts w:ascii="Times New Roman" w:hAnsi="Times New Roman"/>
          <w:sz w:val="20"/>
        </w:rPr>
      </w:pPr>
      <w:r>
        <w:rPr>
          <w:rFonts w:ascii="Calibri;sans-serif" w:hAnsi="Calibri;sans-serif"/>
          <w:color w:val="000000"/>
          <w:sz w:val="20"/>
        </w:rPr>
        <w:t>In addition, the Company is obligated to pay a final payment fee of 7.50% of the original principal amount of amounts actually advanced under the Term Loan, or each a Term Loan Advance and together, the Term Loan Advances. In connection with the Fourth Loan Amendment, the final payment fee was amended to be $1</w:t>
      </w:r>
      <w:r>
        <w:rPr>
          <w:rFonts w:ascii="Times New Roman" w:hAnsi="Times New Roman"/>
          <w:color w:val="000000"/>
          <w:sz w:val="20"/>
        </w:rPr>
        <w:t xml:space="preserve"> </w:t>
      </w:r>
      <w:r>
        <w:rPr>
          <w:rFonts w:ascii="Calibri;sans-serif" w:hAnsi="Calibri;sans-serif"/>
          <w:color w:val="000000"/>
          <w:sz w:val="20"/>
        </w:rPr>
        <w:t>million plus 3.00% of any future tranche drawdowns under the agreement, due upon final maturity. Additionally, the initial final payment fee for the first term Loan advance was amended to become payable on October 1, 2026. As of September 30, 2024, the aggregate final payment fee for the first Term Loan Advance of $7.5</w:t>
      </w:r>
      <w:r>
        <w:rPr>
          <w:rFonts w:ascii="Times New Roman" w:hAnsi="Times New Roman"/>
          <w:color w:val="000000"/>
          <w:sz w:val="20"/>
        </w:rPr>
        <w:t xml:space="preserve"> </w:t>
      </w:r>
      <w:r>
        <w:rPr>
          <w:rFonts w:ascii="Calibri;sans-serif" w:hAnsi="Calibri;sans-serif"/>
          <w:color w:val="000000"/>
          <w:sz w:val="20"/>
        </w:rPr>
        <w:t>million, $2.5</w:t>
      </w:r>
      <w:r>
        <w:rPr>
          <w:rFonts w:ascii="Times New Roman" w:hAnsi="Times New Roman"/>
          <w:color w:val="000000"/>
          <w:sz w:val="20"/>
        </w:rPr>
        <w:t xml:space="preserve"> </w:t>
      </w:r>
      <w:r>
        <w:rPr>
          <w:rFonts w:ascii="Calibri;sans-serif" w:hAnsi="Calibri;sans-serif"/>
          <w:color w:val="000000"/>
          <w:sz w:val="20"/>
        </w:rPr>
        <w:t>million for the second Term Loan Advance, and $0.8</w:t>
      </w:r>
      <w:r>
        <w:rPr>
          <w:rFonts w:ascii="Times New Roman" w:hAnsi="Times New Roman"/>
          <w:color w:val="000000"/>
          <w:sz w:val="20"/>
        </w:rPr>
        <w:t xml:space="preserve"> </w:t>
      </w:r>
      <w:r>
        <w:rPr>
          <w:rFonts w:ascii="Calibri;sans-serif" w:hAnsi="Calibri;sans-serif"/>
          <w:color w:val="000000"/>
          <w:sz w:val="20"/>
        </w:rPr>
        <w:t>million for the third Term Loan Advance have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the Company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the Company has granted to Hercules a senior security interest in all of Company’s right, title, and interest in, to and under substantially all of Company’s property, inclusive of intellectual property.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The Company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the Company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Market capitalization exceeding $900 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Minimum cash balance exceeding (x) outstanding principal amount of term loans, multiplied by (y) (A) 50%, prior to achieving trailing three months net product revenue of greater than $35 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Trailing three months net product revenue of at least (x) 30% of agreed upon projected net revenues for periods in the calendar year 2024 and 25% for all periods thereafter or (y) $120 million.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subject to any specified cure periods, all amounts owed by the Company may be declared immediately due and payable by Hercules, as collateral agent.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September 30, 2024, the Company was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w:t>
      </w:r>
      <w:r>
        <w:rPr>
          <w:rFonts w:ascii="Times New Roman" w:hAnsi="Times New Roman"/>
          <w:color w:val="000000"/>
          <w:sz w:val="20"/>
        </w:rPr>
        <w:t xml:space="preserve"> </w:t>
      </w:r>
      <w:r>
        <w:rPr>
          <w:rFonts w:ascii="Calibri;sans-serif" w:hAnsi="Calibri;sans-serif"/>
          <w:color w:val="000000"/>
          <w:sz w:val="20"/>
        </w:rPr>
        <w:t>shares of common stock. The Warrant will be exercisable for a period of seven years</w:t>
      </w:r>
      <w:r>
        <w:rPr>
          <w:rFonts w:ascii="Times New Roman" w:hAnsi="Times New Roman"/>
          <w:color w:val="000000"/>
          <w:sz w:val="20"/>
        </w:rPr>
        <w:t xml:space="preserve"> </w:t>
      </w:r>
      <w:r>
        <w:rPr>
          <w:rFonts w:ascii="Calibri;sans-serif" w:hAnsi="Calibri;sans-serif"/>
          <w:color w:val="000000"/>
          <w:sz w:val="20"/>
        </w:rPr>
        <w:t>from the date of issuance at a per-share exercise price equal to $33.43, which was the closing price of the Company’s common stock on September 16, 2021. In connection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connection with the entry into the Fourth Loan Amendment, the Company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initial $1.3</w:t>
      </w:r>
      <w:r>
        <w:rPr>
          <w:rFonts w:ascii="Times New Roman" w:hAnsi="Times New Roman"/>
          <w:color w:val="000000"/>
          <w:sz w:val="20"/>
        </w:rPr>
        <w:t xml:space="preserve"> </w:t>
      </w:r>
      <w:r>
        <w:rPr>
          <w:rFonts w:ascii="Calibri;sans-serif" w:hAnsi="Calibri;sans-serif"/>
          <w:color w:val="000000"/>
          <w:sz w:val="20"/>
        </w:rPr>
        <w:t>million fair value of the Warrant, the $10.8</w:t>
      </w:r>
      <w:r>
        <w:rPr>
          <w:rFonts w:ascii="Times New Roman" w:hAnsi="Times New Roman"/>
          <w:color w:val="000000"/>
          <w:sz w:val="20"/>
        </w:rPr>
        <w:t xml:space="preserve"> </w:t>
      </w:r>
      <w:r>
        <w:rPr>
          <w:rFonts w:ascii="Calibri;sans-serif" w:hAnsi="Calibri;sans-serif"/>
          <w:color w:val="000000"/>
          <w:sz w:val="20"/>
        </w:rPr>
        <w:t>million final interest payment fees and $4.4</w:t>
      </w:r>
      <w:r>
        <w:rPr>
          <w:rFonts w:ascii="Times New Roman" w:hAnsi="Times New Roman"/>
          <w:color w:val="000000"/>
          <w:sz w:val="20"/>
        </w:rPr>
        <w:t xml:space="preserve"> </w:t>
      </w:r>
      <w:r>
        <w:rPr>
          <w:rFonts w:ascii="Calibri;sans-serif" w:hAnsi="Calibri;sans-serif"/>
          <w:color w:val="000000"/>
          <w:sz w:val="20"/>
        </w:rPr>
        <w:t>million of debt issuance costs have been recorded as debt discount and are being amortized to interest expense using the effective interest method over the term of the Term Loan.</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Future minimum principal payments under the Term Loan, including the final payment fee, as of September 30, 2024 are as follows (in thousands):</w:t>
      </w:r>
    </w:p>
    <w:tbl>
      <w:tblPr>
        <w:tblW w:w="5115" w:type="dxa"/>
        <w:jc w:val="left"/>
        <w:tblInd w:w="0" w:type="dxa"/>
        <w:tblLayout w:type="fixed"/>
        <w:tblCellMar>
          <w:top w:w="28" w:type="dxa"/>
          <w:left w:w="28" w:type="dxa"/>
          <w:bottom w:w="28" w:type="dxa"/>
          <w:right w:w="28" w:type="dxa"/>
        </w:tblCellMar>
      </w:tblPr>
      <w:tblGrid>
        <w:gridCol w:w="3586"/>
        <w:gridCol w:w="146"/>
        <w:gridCol w:w="211"/>
        <w:gridCol w:w="78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202,287</w:t>
            </w:r>
          </w:p>
        </w:tc>
        <w:tc>
          <w:tcPr>
            <w:tcW w:w="3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principal and interest payments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209,787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payment-in-kind and final payment fee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(34,787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358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term loan borrowings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September 30, 2024 and 2023, the Company recognized $6.3</w:t>
      </w:r>
      <w:r>
        <w:rPr>
          <w:rFonts w:ascii="Times New Roman" w:hAnsi="Times New Roman"/>
          <w:color w:val="000000"/>
          <w:sz w:val="20"/>
        </w:rPr>
        <w:t xml:space="preserve"> </w:t>
      </w:r>
      <w:r>
        <w:rPr>
          <w:rFonts w:ascii="Calibri;sans-serif" w:hAnsi="Calibri;sans-serif"/>
          <w:color w:val="000000"/>
          <w:sz w:val="20"/>
        </w:rPr>
        <w:t>million and $4.4</w:t>
      </w:r>
      <w:r>
        <w:rPr>
          <w:rFonts w:ascii="Times New Roman" w:hAnsi="Times New Roman"/>
          <w:color w:val="000000"/>
          <w:sz w:val="20"/>
        </w:rPr>
        <w:t xml:space="preserve"> </w:t>
      </w:r>
      <w:r>
        <w:rPr>
          <w:rFonts w:ascii="Calibri;sans-serif" w:hAnsi="Calibri;sans-serif"/>
          <w:color w:val="000000"/>
          <w:sz w:val="20"/>
        </w:rPr>
        <w:t>million, respectively, of interest expense, including amortization of the debt discount, in connection with the Loan Agreement. During the nine months ended September 30, 2024 and 2023, the Company recognized $16.8</w:t>
      </w:r>
      <w:r>
        <w:rPr>
          <w:rFonts w:ascii="Times New Roman" w:hAnsi="Times New Roman"/>
          <w:color w:val="000000"/>
          <w:sz w:val="20"/>
        </w:rPr>
        <w:t xml:space="preserve"> </w:t>
      </w:r>
      <w:r>
        <w:rPr>
          <w:rFonts w:ascii="Calibri;sans-serif" w:hAnsi="Calibri;sans-serif"/>
          <w:color w:val="000000"/>
          <w:sz w:val="20"/>
        </w:rPr>
        <w:t>million and $12.6</w:t>
      </w:r>
      <w:r>
        <w:rPr>
          <w:rFonts w:ascii="Times New Roman" w:hAnsi="Times New Roman"/>
          <w:color w:val="000000"/>
          <w:sz w:val="20"/>
        </w:rPr>
        <w:t xml:space="preserve"> </w:t>
      </w:r>
      <w:r>
        <w:rPr>
          <w:rFonts w:ascii="Calibri;sans-serif" w:hAnsi="Calibri;sans-serif"/>
          <w:color w:val="000000"/>
          <w:sz w:val="20"/>
        </w:rPr>
        <w:t>million, respectively, of interest expense, including amortization of the debt discount, in connection with the Loan Agreement. As of September 30, 2024, the Company had an outstanding loan balance of $185.8</w:t>
      </w:r>
      <w:r>
        <w:rPr>
          <w:rFonts w:ascii="Times New Roman" w:hAnsi="Times New Roman"/>
          <w:color w:val="000000"/>
          <w:sz w:val="20"/>
        </w:rPr>
        <w:t xml:space="preserve"> </w:t>
      </w:r>
      <w:r>
        <w:rPr>
          <w:rFonts w:ascii="Calibri;sans-serif" w:hAnsi="Calibri;sans-serif"/>
          <w:color w:val="000000"/>
          <w:sz w:val="20"/>
        </w:rPr>
        <w:t>million and accrued interest of $1.5</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b/>
          <w:color w:val="000000"/>
          <w:sz w:val="20"/>
        </w:rPr>
        <w:t>6. Revenue Interest Financing Liability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On May 3, 2022, the Company entered into a Revenue Interest Financing Agreement with Initial Investors NQ, Sagard, and Hercules pursuant to which the Company will receive up to $260</w:t>
      </w:r>
      <w:r>
        <w:rPr>
          <w:rFonts w:ascii="Times New Roman" w:hAnsi="Times New Roman"/>
          <w:color w:val="000000"/>
          <w:sz w:val="20"/>
        </w:rPr>
        <w:t xml:space="preserve"> </w:t>
      </w:r>
      <w:r>
        <w:rPr>
          <w:rFonts w:ascii="Calibri;sans-serif" w:hAnsi="Calibri;sans-serif"/>
          <w:color w:val="000000"/>
          <w:sz w:val="20"/>
        </w:rPr>
        <w:t>million in funding from the Initial Investors. Under the terms of the Revenue Interest Financing Agreement, the Company received $100</w:t>
      </w:r>
      <w:r>
        <w:rPr>
          <w:rFonts w:ascii="Times New Roman" w:hAnsi="Times New Roman"/>
          <w:color w:val="000000"/>
          <w:sz w:val="20"/>
        </w:rPr>
        <w:t xml:space="preserve"> </w:t>
      </w:r>
      <w:r>
        <w:rPr>
          <w:rFonts w:ascii="Calibri;sans-serif" w:hAnsi="Calibri;sans-serif"/>
          <w:color w:val="000000"/>
          <w:sz w:val="20"/>
        </w:rPr>
        <w:t>million at the initial closing and received an additional $160</w:t>
      </w:r>
      <w:r>
        <w:rPr>
          <w:rFonts w:ascii="Times New Roman" w:hAnsi="Times New Roman"/>
          <w:color w:val="000000"/>
          <w:sz w:val="20"/>
        </w:rPr>
        <w:t xml:space="preserve"> </w:t>
      </w:r>
      <w:r>
        <w:rPr>
          <w:rFonts w:ascii="Calibri;sans-serif" w:hAnsi="Calibri;sans-serif"/>
          <w:color w:val="000000"/>
          <w:sz w:val="20"/>
        </w:rPr>
        <w:t>million upon FDA approval of VOQUEZNA for treatment of Erosive GERD during the fourth quarter of 2023.</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Additionally, on October 31, 2022, the Company entered into a Joinder Agreement with the Initial Investors and CO Finance LVS XXXVII LLC, or the Additional Investor, and Hercules, together as the investors. Under the terms of the Joinder Agreement, the Company received $15</w:t>
      </w:r>
      <w:r>
        <w:rPr>
          <w:rFonts w:ascii="Times New Roman" w:hAnsi="Times New Roman"/>
          <w:color w:val="000000"/>
          <w:sz w:val="20"/>
        </w:rPr>
        <w:t xml:space="preserve"> </w:t>
      </w:r>
      <w:r>
        <w:rPr>
          <w:rFonts w:ascii="Calibri;sans-serif" w:hAnsi="Calibri;sans-serif"/>
          <w:color w:val="000000"/>
          <w:sz w:val="20"/>
        </w:rPr>
        <w:t>million in additional funding upon FDA approval of vonoprazan for Erosive GERD, or Approval Additional Funding, during the fourth quarter of 2023, and provides for $25</w:t>
      </w:r>
      <w:r>
        <w:rPr>
          <w:rFonts w:ascii="Times New Roman" w:hAnsi="Times New Roman"/>
          <w:color w:val="000000"/>
          <w:sz w:val="20"/>
        </w:rPr>
        <w:t xml:space="preserve"> </w:t>
      </w:r>
      <w:r>
        <w:rPr>
          <w:rFonts w:ascii="Calibri;sans-serif" w:hAnsi="Calibri;sans-serif"/>
          <w:color w:val="000000"/>
          <w:sz w:val="20"/>
        </w:rPr>
        <w:t>million in additional funding for achievement of a sales milestone, or Milestone Additional Funding, and, together with the Approval Additional Funding, or the Additional Investor Funding. The Initial Investors waived their rights of first offer regarding the Additional Investor Funding and the Additional Investor and joined the Revenue Interest Financing Agreement to extend commitments for the Additional Investor Funding. The total amount funded by the Initial Investors and any subsequent investors is referred to herein as the Investment Amount.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Revenue Interest Financing Agreement, the investors are entitled to receive a 10% royalty on net sales of products containing vonoprazan. The royalty rate is subject to a step-down on net sales exceeding certain annual thresholds and when the Company received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was made, the Company has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sufficient to gross the investors up to the applicable Minimum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pStyle w:val="TextBody"/>
        <w:bidi w:val="0"/>
        <w:spacing w:before="200" w:after="283"/>
        <w:jc w:val="left"/>
        <w:rPr>
          <w:rFonts w:ascii="Times New Roman" w:hAnsi="Times New Roman"/>
          <w:sz w:val="20"/>
        </w:rPr>
      </w:pPr>
      <w:r>
        <w:rPr>
          <w:rFonts w:ascii="Calibri;sans-serif" w:hAnsi="Calibri;sans-serif"/>
          <w:color w:val="000000"/>
          <w:sz w:val="20"/>
        </w:rPr>
        <w:t>During the year ended December 31, 2023, the Company received gross proceeds of $175.0</w:t>
      </w:r>
      <w:r>
        <w:rPr>
          <w:rFonts w:ascii="Times New Roman" w:hAnsi="Times New Roman"/>
          <w:color w:val="000000"/>
          <w:sz w:val="20"/>
        </w:rPr>
        <w:t xml:space="preserve"> </w:t>
      </w:r>
      <w:r>
        <w:rPr>
          <w:rFonts w:ascii="Calibri;sans-serif" w:hAnsi="Calibri;sans-serif"/>
          <w:color w:val="000000"/>
          <w:sz w:val="20"/>
        </w:rPr>
        <w:t>million before deducting transaction costs of $2.3</w:t>
      </w:r>
      <w:r>
        <w:rPr>
          <w:rFonts w:ascii="Times New Roman" w:hAnsi="Times New Roman"/>
          <w:color w:val="000000"/>
          <w:sz w:val="20"/>
        </w:rPr>
        <w:t xml:space="preserve"> </w:t>
      </w:r>
      <w:r>
        <w:rPr>
          <w:rFonts w:ascii="Calibri;sans-serif" w:hAnsi="Calibri;sans-serif"/>
          <w:color w:val="000000"/>
          <w:sz w:val="20"/>
        </w:rPr>
        <w:t>million, resulting in net proceeds of $172.7</w:t>
      </w:r>
      <w:r>
        <w:rPr>
          <w:rFonts w:ascii="Times New Roman" w:hAnsi="Times New Roman"/>
          <w:color w:val="000000"/>
          <w:sz w:val="20"/>
        </w:rPr>
        <w:t xml:space="preserve"> </w:t>
      </w:r>
      <w:r>
        <w:rPr>
          <w:rFonts w:ascii="Calibri;sans-serif" w:hAnsi="Calibri;sans-serif"/>
          <w:color w:val="000000"/>
          <w:sz w:val="20"/>
        </w:rPr>
        <w:t>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As of September 30, 2024, the effective interest rate of the revenue interest financing liability was approximately 14.26%. Changes in future payments from previous estimates are included in the current and future interest expense. The carrying value of the revenue interest financing liability was $342.6</w:t>
      </w:r>
      <w:r>
        <w:rPr>
          <w:rFonts w:ascii="Times New Roman" w:hAnsi="Times New Roman"/>
          <w:color w:val="000000"/>
          <w:sz w:val="20"/>
        </w:rPr>
        <w:t xml:space="preserve"> </w:t>
      </w:r>
      <w:r>
        <w:rPr>
          <w:rFonts w:ascii="Calibri;sans-serif" w:hAnsi="Calibri;sans-serif"/>
          <w:color w:val="000000"/>
          <w:sz w:val="20"/>
        </w:rPr>
        <w:t>million and $306.9</w:t>
      </w:r>
      <w:r>
        <w:rPr>
          <w:rFonts w:ascii="Times New Roman" w:hAnsi="Times New Roman"/>
          <w:color w:val="000000"/>
          <w:sz w:val="20"/>
        </w:rPr>
        <w:t xml:space="preserve"> </w:t>
      </w:r>
      <w:r>
        <w:rPr>
          <w:rFonts w:ascii="Calibri;sans-serif" w:hAnsi="Calibri;sans-serif"/>
          <w:color w:val="000000"/>
          <w:sz w:val="20"/>
        </w:rPr>
        <w:t>million as of September 30, 2024 and December 31, 2023, respectively.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Total revenue interest financing liability consists of the following (in thousands):</w:t>
      </w:r>
    </w:p>
    <w:tbl>
      <w:tblPr>
        <w:tblW w:w="6000" w:type="dxa"/>
        <w:jc w:val="left"/>
        <w:tblInd w:w="0" w:type="dxa"/>
        <w:tblLayout w:type="fixed"/>
        <w:tblCellMar>
          <w:top w:w="28" w:type="dxa"/>
          <w:left w:w="28" w:type="dxa"/>
          <w:bottom w:w="28" w:type="dxa"/>
          <w:right w:w="28" w:type="dxa"/>
        </w:tblCellMar>
      </w:tblPr>
      <w:tblGrid>
        <w:gridCol w:w="4651"/>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109,525</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175,000</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(2,325</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24,727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299,816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Liability balance as of January 1,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306,927</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Proceeds from the Revenue Interest Financing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transaction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royalty payments and payables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(991</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Plus: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36,647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Ending liability balance as of September 30, 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342,583</w:t>
            </w:r>
          </w:p>
        </w:tc>
        <w:tc>
          <w:tcPr>
            <w:tcW w:w="211" w:type="dxa"/>
            <w:tcBorders/>
            <w:shd w:fill="FFFFFF" w:val="clear"/>
            <w:vAlign w:val="center"/>
          </w:tcPr>
          <w:p>
            <w:pPr>
              <w:pStyle w:val="TableContents"/>
              <w:bidi w:val="0"/>
              <w:spacing w:before="0" w:after="283"/>
              <w:jc w:val="left"/>
              <w:rPr/>
            </w:pPr>
            <w:r>
              <w:rPr/>
              <w:t> </w:t>
            </w:r>
          </w:p>
        </w:tc>
      </w:tr>
      <w:tr>
        <w:trPr/>
        <w:tc>
          <w:tcPr>
            <w:tcW w:w="465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Less: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465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Long-term liability balance as of September 30, 2024</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322,389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During the three months ended September 30, 2024 and 2023, the Company recognized $12.2</w:t>
      </w:r>
      <w:r>
        <w:rPr>
          <w:rFonts w:ascii="Times New Roman" w:hAnsi="Times New Roman"/>
          <w:color w:val="000000"/>
          <w:sz w:val="20"/>
        </w:rPr>
        <w:t xml:space="preserve"> </w:t>
      </w:r>
      <w:r>
        <w:rPr>
          <w:rFonts w:ascii="Calibri;sans-serif" w:hAnsi="Calibri;sans-serif"/>
          <w:color w:val="000000"/>
          <w:sz w:val="20"/>
        </w:rPr>
        <w:t>million and $5.7</w:t>
      </w:r>
      <w:r>
        <w:rPr>
          <w:rFonts w:ascii="Times New Roman" w:hAnsi="Times New Roman"/>
          <w:color w:val="000000"/>
          <w:sz w:val="20"/>
        </w:rPr>
        <w:t xml:space="preserve"> </w:t>
      </w:r>
      <w:r>
        <w:rPr>
          <w:rFonts w:ascii="Calibri;sans-serif" w:hAnsi="Calibri;sans-serif"/>
          <w:color w:val="000000"/>
          <w:sz w:val="20"/>
        </w:rPr>
        <w:t>million, respectively, of interest expense in connection with the revenue interest financing liability. During the nine months ended September 30, 2024 and 2023, the Company recognized $36.6</w:t>
      </w:r>
      <w:r>
        <w:rPr>
          <w:rFonts w:ascii="Times New Roman" w:hAnsi="Times New Roman"/>
          <w:color w:val="000000"/>
          <w:sz w:val="20"/>
        </w:rPr>
        <w:t xml:space="preserve"> </w:t>
      </w:r>
      <w:r>
        <w:rPr>
          <w:rFonts w:ascii="Calibri;sans-serif" w:hAnsi="Calibri;sans-serif"/>
          <w:color w:val="000000"/>
          <w:sz w:val="20"/>
        </w:rPr>
        <w:t>million and $16.3</w:t>
      </w:r>
      <w:r>
        <w:rPr>
          <w:rFonts w:ascii="Times New Roman" w:hAnsi="Times New Roman"/>
          <w:color w:val="000000"/>
          <w:sz w:val="20"/>
        </w:rPr>
        <w:t xml:space="preserve"> </w:t>
      </w:r>
      <w:r>
        <w:rPr>
          <w:rFonts w:ascii="Calibri;sans-serif" w:hAnsi="Calibri;sans-serif"/>
          <w:color w:val="000000"/>
          <w:sz w:val="20"/>
        </w:rPr>
        <w:t>million, respectively, of interest expense in connection with the revenue interest financing liability.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Company will record liabilities associated with achievement of the sales milestone when such contingent event occurs.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default events and achievement of the sales milestone.</w:t>
      </w:r>
    </w:p>
    <w:p>
      <w:pPr>
        <w:pStyle w:val="TextBody"/>
        <w:bidi w:val="0"/>
        <w:spacing w:before="200" w:after="283"/>
        <w:jc w:val="left"/>
        <w:rPr>
          <w:rFonts w:ascii="Times New Roman" w:hAnsi="Times New Roman"/>
          <w:sz w:val="20"/>
        </w:rPr>
      </w:pPr>
      <w:r>
        <w:rPr>
          <w:rFonts w:ascii="Calibri;sans-serif" w:hAnsi="Calibri;sans-serif"/>
          <w:b/>
          <w:color w:val="000000"/>
          <w:sz w:val="20"/>
        </w:rPr>
        <w:t>7. Stockholders’ Equity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March 2019, the founders granted the Company a repurchase right for the 3,373,408</w:t>
      </w:r>
      <w:r>
        <w:rPr>
          <w:rFonts w:ascii="Times New Roman" w:hAnsi="Times New Roman"/>
          <w:color w:val="000000"/>
          <w:sz w:val="20"/>
        </w:rPr>
        <w:t xml:space="preserve"> </w:t>
      </w:r>
      <w:r>
        <w:rPr>
          <w:rFonts w:ascii="Calibri;sans-serif" w:hAnsi="Calibri;sans-serif"/>
          <w:color w:val="000000"/>
          <w:sz w:val="20"/>
        </w:rPr>
        <w:t>shares of common stock originally purchased in 2018. The Company had the right, but not the obligation, to repurchase unvested shares in the event the founder’s relationship with the Company is terminated, subject to certain limitations, at the original purchase price of the stock. The repurchase right lapsed for 843,352</w:t>
      </w:r>
      <w:r>
        <w:rPr>
          <w:rFonts w:ascii="Times New Roman" w:hAnsi="Times New Roman"/>
          <w:color w:val="000000"/>
          <w:sz w:val="20"/>
        </w:rPr>
        <w:t xml:space="preserve"> </w:t>
      </w:r>
      <w:r>
        <w:rPr>
          <w:rFonts w:ascii="Calibri;sans-serif" w:hAnsi="Calibri;sans-serif"/>
          <w:color w:val="000000"/>
          <w:sz w:val="20"/>
        </w:rPr>
        <w:t>shares in March 2019 and the repurchase right for the remaining 2,530,056</w:t>
      </w:r>
      <w:r>
        <w:rPr>
          <w:rFonts w:ascii="Times New Roman" w:hAnsi="Times New Roman"/>
          <w:color w:val="000000"/>
          <w:sz w:val="20"/>
        </w:rPr>
        <w:t xml:space="preserve"> </w:t>
      </w:r>
      <w:r>
        <w:rPr>
          <w:rFonts w:ascii="Calibri;sans-serif" w:hAnsi="Calibri;sans-serif"/>
          <w:color w:val="000000"/>
          <w:sz w:val="20"/>
        </w:rPr>
        <w:t>shares lapses in equal monthly amounts over the following 48-month period ended in March 2023. The fair value of the founder shares at the date the repurchase right was granted was recognized as stock-based compensation expense on a straight-line basis over the vesting period. As of September 30, 2024, no</w:t>
      </w:r>
      <w:r>
        <w:rPr>
          <w:rFonts w:ascii="Times New Roman" w:hAnsi="Times New Roman"/>
          <w:color w:val="000000"/>
          <w:sz w:val="20"/>
        </w:rPr>
        <w:t xml:space="preserve"> </w:t>
      </w:r>
      <w:r>
        <w:rPr>
          <w:rFonts w:ascii="Calibri;sans-serif" w:hAnsi="Calibri;sans-serif"/>
          <w:color w:val="000000"/>
          <w:sz w:val="20"/>
        </w:rPr>
        <w:t>shares of common stock were subject to repurchase by the Company. The amount of recognized and unrecognized stock-based compensation related to the founder stock was immaterial for all periods presented.</w:t>
      </w:r>
      <w:r>
        <w:rPr>
          <w:rFonts w:ascii="Times New Roman" w:hAnsi="Times New Roman"/>
          <w:color w:val="000000"/>
          <w:sz w:val="20"/>
        </w:rPr>
        <w:t xml:space="preserve"> </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Underwritten Public Offerings</w:t>
      </w:r>
    </w:p>
    <w:p>
      <w:pPr>
        <w:pStyle w:val="TextBody"/>
        <w:bidi w:val="0"/>
        <w:spacing w:before="200" w:after="283"/>
        <w:jc w:val="left"/>
        <w:rPr>
          <w:rFonts w:ascii="Times New Roman" w:hAnsi="Times New Roman"/>
          <w:sz w:val="20"/>
        </w:rPr>
      </w:pPr>
      <w:r>
        <w:rPr>
          <w:rFonts w:ascii="Calibri;sans-serif" w:hAnsi="Calibri;sans-serif"/>
          <w:color w:val="000000"/>
          <w:sz w:val="20"/>
        </w:rPr>
        <w:t>In August 2024, the Company sold 8,695,652</w:t>
      </w:r>
      <w:r>
        <w:rPr>
          <w:rFonts w:ascii="Times New Roman" w:hAnsi="Times New Roman"/>
          <w:color w:val="000000"/>
          <w:sz w:val="20"/>
        </w:rPr>
        <w:t xml:space="preserve"> </w:t>
      </w:r>
      <w:r>
        <w:rPr>
          <w:rFonts w:ascii="Calibri;sans-serif" w:hAnsi="Calibri;sans-serif"/>
          <w:color w:val="000000"/>
          <w:sz w:val="20"/>
        </w:rPr>
        <w:t>shares of common stock at a price of $11.50</w:t>
      </w:r>
      <w:r>
        <w:rPr>
          <w:rFonts w:ascii="Times New Roman" w:hAnsi="Times New Roman"/>
          <w:color w:val="000000"/>
          <w:sz w:val="20"/>
        </w:rPr>
        <w:t xml:space="preserve"> </w:t>
      </w:r>
      <w:r>
        <w:rPr>
          <w:rFonts w:ascii="Calibri;sans-serif" w:hAnsi="Calibri;sans-serif"/>
          <w:color w:val="000000"/>
          <w:sz w:val="20"/>
        </w:rPr>
        <w:t>per share and pre-funded warrants to purchase 2,608,922</w:t>
      </w:r>
      <w:r>
        <w:rPr>
          <w:rFonts w:ascii="Times New Roman" w:hAnsi="Times New Roman"/>
          <w:color w:val="000000"/>
          <w:sz w:val="20"/>
        </w:rPr>
        <w:t xml:space="preserve"> </w:t>
      </w:r>
      <w:r>
        <w:rPr>
          <w:rFonts w:ascii="Calibri;sans-serif" w:hAnsi="Calibri;sans-serif"/>
          <w:color w:val="000000"/>
          <w:sz w:val="20"/>
        </w:rPr>
        <w:t>shares of common stock at a price of $11.499</w:t>
      </w:r>
      <w:r>
        <w:rPr>
          <w:rFonts w:ascii="Times New Roman" w:hAnsi="Times New Roman"/>
          <w:color w:val="000000"/>
          <w:sz w:val="20"/>
        </w:rPr>
        <w:t xml:space="preserve"> </w:t>
      </w:r>
      <w:r>
        <w:rPr>
          <w:rFonts w:ascii="Calibri;sans-serif" w:hAnsi="Calibri;sans-serif"/>
          <w:color w:val="000000"/>
          <w:sz w:val="20"/>
        </w:rPr>
        <w:t>per pre-funded warrant for total gross proceeds of $130.0</w:t>
      </w:r>
      <w:r>
        <w:rPr>
          <w:rFonts w:ascii="Times New Roman" w:hAnsi="Times New Roman"/>
          <w:color w:val="000000"/>
          <w:sz w:val="20"/>
        </w:rPr>
        <w:t xml:space="preserve"> </w:t>
      </w:r>
      <w:r>
        <w:rPr>
          <w:rFonts w:ascii="Calibri;sans-serif" w:hAnsi="Calibri;sans-serif"/>
          <w:color w:val="000000"/>
          <w:sz w:val="20"/>
        </w:rPr>
        <w:t>million. The net purchase price after deducting the underwriting discounts and commissions and other offering expenses, was $10.77</w:t>
      </w:r>
      <w:r>
        <w:rPr>
          <w:rFonts w:ascii="Times New Roman" w:hAnsi="Times New Roman"/>
          <w:color w:val="000000"/>
          <w:sz w:val="20"/>
        </w:rPr>
        <w:t xml:space="preserve"> </w:t>
      </w:r>
      <w:r>
        <w:rPr>
          <w:rFonts w:ascii="Calibri;sans-serif" w:hAnsi="Calibri;sans-serif"/>
          <w:color w:val="000000"/>
          <w:sz w:val="20"/>
        </w:rPr>
        <w:t>per share, which generated net proceeds of $121.8</w:t>
      </w:r>
      <w:r>
        <w:rPr>
          <w:rFonts w:ascii="Times New Roman" w:hAnsi="Times New Roman"/>
          <w:color w:val="000000"/>
          <w:sz w:val="20"/>
        </w:rPr>
        <w:t xml:space="preserve"> </w:t>
      </w:r>
      <w:r>
        <w:rPr>
          <w:rFonts w:ascii="Calibri;sans-serif" w:hAnsi="Calibri;sans-serif"/>
          <w:color w:val="000000"/>
          <w:sz w:val="20"/>
        </w:rPr>
        <w:t>million. Certain affiliates of Frazier Life Sciences IX, L.P. (collectively, "Frazier"), a significant stockholder and Dr. James Topper, who currently serves on the Company's Board of Directors, shares voting and investment power of the securities held by Frazier. Frazier participated in the offering by purchasing pre-funded warrants on the same terms as all other investors at a purchase price of $11.499, which represents the per share public offering price for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common stock less the $0.001</w:t>
      </w:r>
      <w:r>
        <w:rPr>
          <w:rFonts w:ascii="Times New Roman" w:hAnsi="Times New Roman"/>
          <w:color w:val="000000"/>
          <w:sz w:val="20"/>
        </w:rPr>
        <w:t xml:space="preserve"> </w:t>
      </w:r>
      <w:r>
        <w:rPr>
          <w:rFonts w:ascii="Calibri;sans-serif" w:hAnsi="Calibri;sans-serif"/>
          <w:color w:val="000000"/>
          <w:sz w:val="20"/>
        </w:rPr>
        <w:t xml:space="preserve">per share exercise price for each pre-funded warrant. </w:t>
      </w:r>
      <w:r>
        <w:rPr>
          <w:rFonts w:ascii="Calibri;sans-serif" w:hAnsi="Calibri;sans-serif"/>
          <w:color w:val="212529"/>
          <w:sz w:val="20"/>
        </w:rPr>
        <w:t>Each pre-funded warrant became exercisable upon issuance and will not expire until exercised in full. The pre-funded warrants may not be exercised if the aggregate number of ordinary shares beneficially owned by the holders thereof immediately following such exercise would exceed a specified beneficial ownership limitation.</w:t>
      </w:r>
    </w:p>
    <w:p>
      <w:pPr>
        <w:pStyle w:val="TextBody"/>
        <w:bidi w:val="0"/>
        <w:spacing w:before="200" w:after="283"/>
        <w:jc w:val="left"/>
        <w:rPr>
          <w:rFonts w:ascii="Times New Roman" w:hAnsi="Times New Roman"/>
          <w:sz w:val="20"/>
        </w:rPr>
      </w:pPr>
      <w:r>
        <w:rPr>
          <w:rFonts w:ascii="Calibri;sans-serif" w:hAnsi="Calibri;sans-serif"/>
          <w:color w:val="000000"/>
          <w:sz w:val="20"/>
        </w:rPr>
        <w:t>The pre-funded warrants were classified as a component of equity in the Company's balance sheets as they are freestanding financial instruments that are immediately exercisable, do not embody an obligation for the Company to repurchase its own shares and permit the holders to receive a fixed number of shares of common stock upon exercise. The Company valued the pre-funded warrants at issuance, concluding that their sales price approximated their fair value, and allocated net proceeds from the sale proportionately to the common stock and pre-funded warrants, of which $28.2</w:t>
      </w:r>
      <w:r>
        <w:rPr>
          <w:rFonts w:ascii="Times New Roman" w:hAnsi="Times New Roman"/>
          <w:color w:val="000000"/>
          <w:sz w:val="20"/>
        </w:rPr>
        <w:t xml:space="preserve"> </w:t>
      </w:r>
      <w:r>
        <w:rPr>
          <w:rFonts w:ascii="Calibri;sans-serif" w:hAnsi="Calibri;sans-serif"/>
          <w:color w:val="000000"/>
          <w:sz w:val="20"/>
        </w:rPr>
        <w:t>million was allocated to the pre-funded warrants and recorded as a component of additional paid-in capital. As of September 30, 2024, none of the pre-funded warrants have been exercised.</w:t>
      </w:r>
    </w:p>
    <w:p>
      <w:pPr>
        <w:pStyle w:val="TextBody"/>
        <w:bidi w:val="0"/>
        <w:spacing w:before="200" w:after="283"/>
        <w:jc w:val="left"/>
        <w:rPr>
          <w:rFonts w:ascii="Times New Roman" w:hAnsi="Times New Roman"/>
          <w:sz w:val="20"/>
        </w:rPr>
      </w:pPr>
      <w:r>
        <w:rPr>
          <w:rFonts w:ascii="Calibri;sans-serif" w:hAnsi="Calibri;sans-serif"/>
          <w:color w:val="000000"/>
          <w:sz w:val="20"/>
        </w:rPr>
        <w:t>In May 2023, the Company sold 12,793,750</w:t>
      </w:r>
      <w:r>
        <w:rPr>
          <w:rFonts w:ascii="Times New Roman" w:hAnsi="Times New Roman"/>
          <w:color w:val="000000"/>
          <w:sz w:val="20"/>
        </w:rPr>
        <w:t xml:space="preserve"> </w:t>
      </w:r>
      <w:r>
        <w:rPr>
          <w:rFonts w:ascii="Calibri;sans-serif" w:hAnsi="Calibri;sans-serif"/>
          <w:color w:val="000000"/>
          <w:sz w:val="20"/>
        </w:rPr>
        <w:t>shares of its common stock, which included the exercise in full by the underwriters of their option to purchase 1,668,750</w:t>
      </w:r>
      <w:r>
        <w:rPr>
          <w:rFonts w:ascii="Times New Roman" w:hAnsi="Times New Roman"/>
          <w:color w:val="000000"/>
          <w:sz w:val="20"/>
        </w:rPr>
        <w:t xml:space="preserve"> </w:t>
      </w:r>
      <w:r>
        <w:rPr>
          <w:rFonts w:ascii="Calibri;sans-serif" w:hAnsi="Calibri;sans-serif"/>
          <w:color w:val="000000"/>
          <w:sz w:val="20"/>
        </w:rPr>
        <w:t>shares, at a price of $11.75</w:t>
      </w:r>
      <w:r>
        <w:rPr>
          <w:rFonts w:ascii="Times New Roman" w:hAnsi="Times New Roman"/>
          <w:color w:val="000000"/>
          <w:sz w:val="20"/>
        </w:rPr>
        <w:t xml:space="preserve"> </w:t>
      </w:r>
      <w:r>
        <w:rPr>
          <w:rFonts w:ascii="Calibri;sans-serif" w:hAnsi="Calibri;sans-serif"/>
          <w:color w:val="000000"/>
          <w:sz w:val="20"/>
        </w:rPr>
        <w:t>per share for total gross proceeds of $150.3</w:t>
      </w:r>
      <w:r>
        <w:rPr>
          <w:rFonts w:ascii="Times New Roman" w:hAnsi="Times New Roman"/>
          <w:color w:val="000000"/>
          <w:sz w:val="20"/>
        </w:rPr>
        <w:t xml:space="preserve"> </w:t>
      </w:r>
      <w:r>
        <w:rPr>
          <w:rFonts w:ascii="Calibri;sans-serif" w:hAnsi="Calibri;sans-serif"/>
          <w:color w:val="000000"/>
          <w:sz w:val="20"/>
        </w:rPr>
        <w:t>million. The net purchase price after deducting underwriting discounts and commissions was $11.08</w:t>
      </w:r>
      <w:r>
        <w:rPr>
          <w:rFonts w:ascii="Times New Roman" w:hAnsi="Times New Roman"/>
          <w:color w:val="000000"/>
          <w:sz w:val="20"/>
        </w:rPr>
        <w:t xml:space="preserve"> </w:t>
      </w:r>
      <w:r>
        <w:rPr>
          <w:rFonts w:ascii="Calibri;sans-serif" w:hAnsi="Calibri;sans-serif"/>
          <w:color w:val="000000"/>
          <w:sz w:val="20"/>
        </w:rPr>
        <w:t>per share, which generated net proceeds of $141.8</w:t>
      </w:r>
      <w:r>
        <w:rPr>
          <w:rFonts w:ascii="Times New Roman" w:hAnsi="Times New Roman"/>
          <w:color w:val="000000"/>
          <w:sz w:val="20"/>
        </w:rPr>
        <w:t xml:space="preserve"> </w:t>
      </w:r>
      <w:r>
        <w:rPr>
          <w:rFonts w:ascii="Calibri;sans-serif" w:hAnsi="Calibri;sans-serif"/>
          <w:color w:val="000000"/>
          <w:sz w:val="20"/>
        </w:rPr>
        <w:t>million. The Company incurred an additional $0.4</w:t>
      </w:r>
      <w:r>
        <w:rPr>
          <w:rFonts w:ascii="Times New Roman" w:hAnsi="Times New Roman"/>
          <w:color w:val="000000"/>
          <w:sz w:val="20"/>
        </w:rPr>
        <w:t xml:space="preserve"> </w:t>
      </w:r>
      <w:r>
        <w:rPr>
          <w:rFonts w:ascii="Calibri;sans-serif" w:hAnsi="Calibri;sans-serif"/>
          <w:color w:val="000000"/>
          <w:sz w:val="20"/>
        </w:rPr>
        <w:t>million of offering expenses in connection with this public offering.</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ATM Offerings</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2020, the Company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the Company may, from time to time, sell shares of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2023, the Company filed a shelf registration statement on Form S-3 which was declared effective by the SEC on November 17, 2023, which included an at-the-market prospectus pursuant to which the Company may, from time to time, sell up to an aggregate of $150</w:t>
      </w:r>
      <w:r>
        <w:rPr>
          <w:rFonts w:ascii="Times New Roman" w:hAnsi="Times New Roman"/>
          <w:color w:val="000000"/>
          <w:sz w:val="20"/>
        </w:rPr>
        <w:t xml:space="preserve"> </w:t>
      </w:r>
      <w:r>
        <w:rPr>
          <w:rFonts w:ascii="Calibri;sans-serif" w:hAnsi="Calibri;sans-serif"/>
          <w:color w:val="000000"/>
          <w:sz w:val="20"/>
        </w:rPr>
        <w:t>million of the Company's common stock through the Sales Agent, or the 2023 ATM Offering. The Company is not obligated to, and cannot provide any assurances that the Company will, make any sales of the shares under the Sales Agreement. The Sales Agreement may be terminated by the Sales Agent or the Company at any time. For the year ended December 31, 2023, the Company sold 1,514,219</w:t>
      </w:r>
      <w:r>
        <w:rPr>
          <w:rFonts w:ascii="Times New Roman" w:hAnsi="Times New Roman"/>
          <w:color w:val="000000"/>
          <w:sz w:val="20"/>
        </w:rPr>
        <w:t xml:space="preserve"> </w:t>
      </w:r>
      <w:r>
        <w:rPr>
          <w:rFonts w:ascii="Calibri;sans-serif" w:hAnsi="Calibri;sans-serif"/>
          <w:color w:val="000000"/>
          <w:sz w:val="20"/>
        </w:rPr>
        <w:t>shares for net proceeds of approximately $14.1</w:t>
      </w:r>
      <w:r>
        <w:rPr>
          <w:rFonts w:ascii="Times New Roman" w:hAnsi="Times New Roman"/>
          <w:color w:val="000000"/>
          <w:sz w:val="20"/>
        </w:rPr>
        <w:t xml:space="preserve"> </w:t>
      </w:r>
      <w:r>
        <w:rPr>
          <w:rFonts w:ascii="Calibri;sans-serif" w:hAnsi="Calibri;sans-serif"/>
          <w:color w:val="000000"/>
          <w:sz w:val="20"/>
        </w:rPr>
        <w:t>million after deducting $0.4</w:t>
      </w:r>
      <w:r>
        <w:rPr>
          <w:rFonts w:ascii="Times New Roman" w:hAnsi="Times New Roman"/>
          <w:color w:val="000000"/>
          <w:sz w:val="20"/>
        </w:rPr>
        <w:t xml:space="preserve"> </w:t>
      </w:r>
      <w:r>
        <w:rPr>
          <w:rFonts w:ascii="Calibri;sans-serif" w:hAnsi="Calibri;sans-serif"/>
          <w:color w:val="000000"/>
          <w:sz w:val="20"/>
        </w:rPr>
        <w:t>million of issuance costs. No</w:t>
      </w:r>
      <w:r>
        <w:rPr>
          <w:rFonts w:ascii="Times New Roman" w:hAnsi="Times New Roman"/>
          <w:color w:val="000000"/>
          <w:sz w:val="20"/>
        </w:rPr>
        <w:t xml:space="preserve"> </w:t>
      </w:r>
      <w:r>
        <w:rPr>
          <w:rFonts w:ascii="Calibri;sans-serif" w:hAnsi="Calibri;sans-serif"/>
          <w:color w:val="000000"/>
          <w:sz w:val="20"/>
        </w:rPr>
        <w:t>shares were sold during the three and nine months ended September 30, 2024. As of September 30, 2024, all of the available $150</w:t>
      </w:r>
      <w:r>
        <w:rPr>
          <w:rFonts w:ascii="Times New Roman" w:hAnsi="Times New Roman"/>
          <w:color w:val="000000"/>
          <w:sz w:val="20"/>
        </w:rPr>
        <w:t xml:space="preserve"> </w:t>
      </w:r>
      <w:r>
        <w:rPr>
          <w:rFonts w:ascii="Calibri;sans-serif" w:hAnsi="Calibri;sans-serif"/>
          <w:color w:val="000000"/>
          <w:sz w:val="20"/>
        </w:rPr>
        <w:t>million under the 2023 ATM Offering remains available.</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Common Stock Reserves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Common stock reserved for future issuance consists of the following:</w:t>
      </w:r>
    </w:p>
    <w:tbl>
      <w:tblPr>
        <w:tblW w:w="6938" w:type="dxa"/>
        <w:jc w:val="left"/>
        <w:tblInd w:w="0" w:type="dxa"/>
        <w:tblLayout w:type="fixed"/>
        <w:tblCellMar>
          <w:top w:w="28" w:type="dxa"/>
          <w:left w:w="28" w:type="dxa"/>
          <w:bottom w:w="28" w:type="dxa"/>
          <w:right w:w="28" w:type="dxa"/>
        </w:tblCellMar>
      </w:tblPr>
      <w:tblGrid>
        <w:gridCol w:w="4801"/>
        <w:gridCol w:w="146"/>
        <w:gridCol w:w="222"/>
        <w:gridCol w:w="1578"/>
        <w:gridCol w:w="1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Common stock warrants including pre-funded warrants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57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2,700,150</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 options and restricted stock units outstanding</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78"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8,957,196</w:t>
            </w:r>
          </w:p>
        </w:tc>
        <w:tc>
          <w:tcPr>
            <w:tcW w:w="191" w:type="dxa"/>
            <w:tcBorders/>
            <w:shd w:fill="FFFFFF" w:val="cle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2019 Incentive Plan</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1578"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1,356,384</w:t>
            </w:r>
          </w:p>
        </w:tc>
        <w:tc>
          <w:tcPr>
            <w:tcW w:w="191" w:type="dxa"/>
            <w:tcBorders/>
            <w:shd w:fill="CFF0FC" w:val="cle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Shares available for issuance under the ESPP Plan</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1,177,618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14,191,348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Preferred Stock</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 is authorized to issue up to 40</w:t>
      </w:r>
      <w:r>
        <w:rPr>
          <w:rFonts w:ascii="Times New Roman" w:hAnsi="Times New Roman"/>
          <w:color w:val="000000"/>
          <w:sz w:val="20"/>
        </w:rPr>
        <w:t xml:space="preserve"> </w:t>
      </w:r>
      <w:r>
        <w:rPr>
          <w:rFonts w:ascii="Calibri;sans-serif" w:hAnsi="Calibri;sans-serif"/>
          <w:color w:val="000000"/>
          <w:sz w:val="20"/>
        </w:rPr>
        <w:t>million shares of preferred stock. As of September 30, 2024 and December 31, 2023, there were no</w:t>
      </w:r>
      <w:r>
        <w:rPr>
          <w:rFonts w:ascii="Times New Roman" w:hAnsi="Times New Roman"/>
          <w:color w:val="000000"/>
          <w:sz w:val="20"/>
        </w:rPr>
        <w:t xml:space="preserve"> </w:t>
      </w:r>
      <w:r>
        <w:rPr>
          <w:rFonts w:ascii="Calibri;sans-serif" w:hAnsi="Calibri;sans-serif"/>
          <w:color w:val="000000"/>
          <w:sz w:val="20"/>
        </w:rPr>
        <w:t>shares of preferred stock issued or outstanding.</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Equity Incentive Plan</w:t>
      </w:r>
    </w:p>
    <w:p>
      <w:pPr>
        <w:pStyle w:val="TextBody"/>
        <w:bidi w:val="0"/>
        <w:spacing w:before="200" w:after="283"/>
        <w:jc w:val="left"/>
        <w:rPr>
          <w:rFonts w:ascii="Times New Roman" w:hAnsi="Times New Roman"/>
          <w:sz w:val="20"/>
        </w:rPr>
      </w:pPr>
      <w:r>
        <w:rPr>
          <w:rFonts w:ascii="Calibri;sans-serif" w:hAnsi="Calibri;sans-serif"/>
          <w:color w:val="000000"/>
          <w:sz w:val="20"/>
        </w:rPr>
        <w:t>The Company’s 2019 Equity Incentive Plan, or the Existing Incentive Plan, provided for the grant of incentive stock options, non-statutory stock options, stock appreciation rights, restricted stock awards, restricted stock unit awards, and other stock awards to eligible recipients, including employees, directors or consultants of the Company. The Company had 2,231,739</w:t>
      </w:r>
      <w:r>
        <w:rPr>
          <w:rFonts w:ascii="Times New Roman" w:hAnsi="Times New Roman"/>
          <w:color w:val="000000"/>
          <w:sz w:val="20"/>
        </w:rPr>
        <w:t xml:space="preserve"> </w:t>
      </w:r>
      <w:r>
        <w:rPr>
          <w:rFonts w:ascii="Calibri;sans-serif" w:hAnsi="Calibri;sans-serif"/>
          <w:color w:val="000000"/>
          <w:sz w:val="20"/>
        </w:rPr>
        <w:t>shares of common stock authorized for issuance under the Existing Incentive Plan, of which, 1,400,528</w:t>
      </w:r>
      <w:r>
        <w:rPr>
          <w:rFonts w:ascii="Times New Roman" w:hAnsi="Times New Roman"/>
          <w:color w:val="000000"/>
          <w:sz w:val="20"/>
        </w:rPr>
        <w:t xml:space="preserve"> </w:t>
      </w:r>
      <w:r>
        <w:rPr>
          <w:rFonts w:ascii="Calibri;sans-serif" w:hAnsi="Calibri;sans-serif"/>
          <w:color w:val="000000"/>
          <w:sz w:val="20"/>
        </w:rPr>
        <w:t>stock options and 16,260</w:t>
      </w:r>
      <w:r>
        <w:rPr>
          <w:rFonts w:ascii="Times New Roman" w:hAnsi="Times New Roman"/>
          <w:color w:val="000000"/>
          <w:sz w:val="20"/>
        </w:rPr>
        <w:t xml:space="preserve"> </w:t>
      </w:r>
      <w:r>
        <w:rPr>
          <w:rFonts w:ascii="Calibri;sans-serif" w:hAnsi="Calibri;sans-serif"/>
          <w:color w:val="000000"/>
          <w:sz w:val="20"/>
        </w:rPr>
        <w:t>restricted stock awards were granted in 2019. As a result of the adoption of the 2019 Incentive Award Plan, or the 2019 Plan, in October 2019, no</w:t>
      </w:r>
      <w:r>
        <w:rPr>
          <w:rFonts w:ascii="Times New Roman" w:hAnsi="Times New Roman"/>
          <w:color w:val="000000"/>
          <w:sz w:val="20"/>
        </w:rPr>
        <w:t xml:space="preserve"> </w:t>
      </w:r>
      <w:r>
        <w:rPr>
          <w:rFonts w:ascii="Calibri;sans-serif" w:hAnsi="Calibri;sans-serif"/>
          <w:color w:val="000000"/>
          <w:sz w:val="20"/>
        </w:rPr>
        <w:t>further shares are available for issuance under the Existing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2019 Incentive Award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On July 14, 2023, the Company completed a voluntary, one-time stock option exchange program, or the Option Exchange, pursuant to which eligible employees were able to exchange certain outstanding stock options granted under the 2019 Plan for a lesser amount of new restricted stock units, or RSUs, issued under the 2019 Plan. Participants in the Option Exchange received one RSU for every two shares of Phathom common stock underlying the eligible options surrendered. This exchange ratio was applied on a grant by grant basis. The Option Exchange resulted in 2,406,622</w:t>
      </w:r>
      <w:r>
        <w:rPr>
          <w:rFonts w:ascii="Times New Roman" w:hAnsi="Times New Roman"/>
          <w:color w:val="000000"/>
          <w:sz w:val="20"/>
        </w:rPr>
        <w:t xml:space="preserve"> </w:t>
      </w:r>
      <w:r>
        <w:rPr>
          <w:rFonts w:ascii="Calibri;sans-serif" w:hAnsi="Calibri;sans-serif"/>
          <w:color w:val="000000"/>
          <w:sz w:val="20"/>
        </w:rPr>
        <w:t>options being exchanged for 1,203,341</w:t>
      </w:r>
      <w:r>
        <w:rPr>
          <w:rFonts w:ascii="Times New Roman" w:hAnsi="Times New Roman"/>
          <w:color w:val="000000"/>
          <w:sz w:val="20"/>
        </w:rPr>
        <w:t xml:space="preserve"> </w:t>
      </w:r>
      <w:r>
        <w:rPr>
          <w:rFonts w:ascii="Calibri;sans-serif" w:hAnsi="Calibri;sans-serif"/>
          <w:color w:val="000000"/>
          <w:sz w:val="20"/>
        </w:rPr>
        <w:t>RSUs. The Company is recognizing an additional $2.2</w:t>
      </w:r>
      <w:r>
        <w:rPr>
          <w:rFonts w:ascii="Times New Roman" w:hAnsi="Times New Roman"/>
          <w:color w:val="000000"/>
          <w:sz w:val="20"/>
        </w:rPr>
        <w:t xml:space="preserve"> </w:t>
      </w:r>
      <w:r>
        <w:rPr>
          <w:rFonts w:ascii="Calibri;sans-serif" w:hAnsi="Calibri;sans-serif"/>
          <w:color w:val="000000"/>
          <w:sz w:val="20"/>
        </w:rPr>
        <w:t>million of incremental expense related to the Option Exchange to be recognized over a three-year vesting period.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As of September 30, 2024, 1,356,384</w:t>
      </w:r>
      <w:r>
        <w:rPr>
          <w:rFonts w:ascii="Times New Roman" w:hAnsi="Times New Roman"/>
          <w:color w:val="000000"/>
          <w:sz w:val="20"/>
        </w:rPr>
        <w:t xml:space="preserve"> </w:t>
      </w:r>
      <w:r>
        <w:rPr>
          <w:rFonts w:ascii="Calibri;sans-serif" w:hAnsi="Calibri;sans-serif"/>
          <w:color w:val="000000"/>
          <w:sz w:val="20"/>
        </w:rPr>
        <w:t>shares remain available for issuance, which reflects 3,144,137</w:t>
      </w:r>
      <w:r>
        <w:rPr>
          <w:rFonts w:ascii="Times New Roman" w:hAnsi="Times New Roman"/>
          <w:color w:val="000000"/>
          <w:sz w:val="20"/>
        </w:rPr>
        <w:t xml:space="preserve"> </w:t>
      </w:r>
      <w:r>
        <w:rPr>
          <w:rFonts w:ascii="Calibri;sans-serif" w:hAnsi="Calibri;sans-serif"/>
          <w:color w:val="000000"/>
          <w:sz w:val="20"/>
        </w:rPr>
        <w:t>stock options and RSUs awards granted, and 491,642</w:t>
      </w:r>
      <w:r>
        <w:rPr>
          <w:rFonts w:ascii="Times New Roman" w:hAnsi="Times New Roman"/>
          <w:color w:val="000000"/>
          <w:sz w:val="20"/>
        </w:rPr>
        <w:t xml:space="preserve"> </w:t>
      </w:r>
      <w:r>
        <w:rPr>
          <w:rFonts w:ascii="Calibri;sans-serif" w:hAnsi="Calibri;sans-serif"/>
          <w:color w:val="000000"/>
          <w:sz w:val="20"/>
        </w:rPr>
        <w:t>of awards cancelled or forfeited, during the nine months ended September 30, 2024 as well as an annual increase of 2,898,503</w:t>
      </w:r>
      <w:r>
        <w:rPr>
          <w:rFonts w:ascii="Times New Roman" w:hAnsi="Times New Roman"/>
          <w:color w:val="000000"/>
          <w:sz w:val="20"/>
        </w:rPr>
        <w:t xml:space="preserve"> </w:t>
      </w:r>
      <w:r>
        <w:rPr>
          <w:rFonts w:ascii="Calibri;sans-serif" w:hAnsi="Calibri;sans-serif"/>
          <w:color w:val="000000"/>
          <w:sz w:val="20"/>
        </w:rPr>
        <w:t>shares authorized on January 1, 2024.</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Performance-Based Units</w:t>
      </w:r>
    </w:p>
    <w:p>
      <w:pPr>
        <w:pStyle w:val="TextBody"/>
        <w:bidi w:val="0"/>
        <w:spacing w:before="200" w:after="200"/>
        <w:jc w:val="left"/>
        <w:rPr>
          <w:rFonts w:ascii="Times New Roman" w:hAnsi="Times New Roman"/>
          <w:sz w:val="20"/>
        </w:rPr>
      </w:pPr>
      <w:r>
        <w:rPr>
          <w:rFonts w:ascii="Calibri;sans-serif" w:hAnsi="Calibri;sans-serif"/>
          <w:color w:val="000000"/>
          <w:sz w:val="20"/>
        </w:rPr>
        <w:t xml:space="preserve">During 2020, the Company granted the initial performance-based units, or PSUs, whereby vesting depended upon the approval by the FDA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and then, or concurrent with, Erosive GERD. The PSU milestones were achieved upon FDA approval of vonoprazan for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and Erosive GERD during the fourth quarter of 2023. No</w:t>
      </w:r>
      <w:r>
        <w:rPr>
          <w:rFonts w:ascii="Times New Roman" w:hAnsi="Times New Roman"/>
          <w:color w:val="000000"/>
          <w:sz w:val="20"/>
        </w:rPr>
        <w:t xml:space="preserve"> </w:t>
      </w:r>
      <w:r>
        <w:rPr>
          <w:rFonts w:ascii="Calibri;sans-serif" w:hAnsi="Calibri;sans-serif"/>
          <w:color w:val="000000"/>
          <w:sz w:val="20"/>
        </w:rPr>
        <w:t>PSUs are outstanding as of September 30, 2024.</w:t>
      </w:r>
    </w:p>
    <w:p>
      <w:pPr>
        <w:pStyle w:val="TextBody"/>
        <w:bidi w:val="0"/>
        <w:spacing w:before="200" w:after="200"/>
        <w:jc w:val="left"/>
        <w:rPr>
          <w:rFonts w:ascii="Calibri;sans-serif" w:hAnsi="Calibri;sans-serif"/>
          <w:b/>
          <w:i/>
          <w:color w:val="000000"/>
          <w:sz w:val="20"/>
        </w:rPr>
      </w:pPr>
      <w:r>
        <w:rPr>
          <w:rFonts w:ascii="Calibri;sans-serif" w:hAnsi="Calibri;sans-serif"/>
          <w:b/>
          <w:i/>
          <w:color w:val="000000"/>
          <w:sz w:val="20"/>
        </w:rPr>
        <w:t>Restricted Stock Units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RSU activity under the 2019 Plan during the nine months ended September 30, 2024:</w:t>
      </w:r>
    </w:p>
    <w:tbl>
      <w:tblPr>
        <w:tblW w:w="6637" w:type="dxa"/>
        <w:jc w:val="left"/>
        <w:tblInd w:w="0" w:type="dxa"/>
        <w:tblLayout w:type="fixed"/>
        <w:tblCellMar>
          <w:top w:w="28" w:type="dxa"/>
          <w:left w:w="28" w:type="dxa"/>
          <w:bottom w:w="28" w:type="dxa"/>
          <w:right w:w="28" w:type="dxa"/>
        </w:tblCellMar>
      </w:tblPr>
      <w:tblGrid>
        <w:gridCol w:w="3361"/>
        <w:gridCol w:w="146"/>
        <w:gridCol w:w="146"/>
        <w:gridCol w:w="931"/>
        <w:gridCol w:w="166"/>
        <w:gridCol w:w="146"/>
        <w:gridCol w:w="364"/>
        <w:gridCol w:w="986"/>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Number of</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 Grant</w:t>
              <w:br/>
              <w:t>Date Fair Value</w:t>
              <w:br/>
              <w:t>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2,653,892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6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901,737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361"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(869,037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98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6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(178,230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Unvested balance at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2,508,362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As of September 30, 2024, the Company had $22.4</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related to RSUs, which is expected to be recognized over a weighted-average period of 1.8</w:t>
      </w:r>
      <w:r>
        <w:rPr>
          <w:rFonts w:ascii="Times New Roman" w:hAnsi="Times New Roman"/>
          <w:color w:val="000000"/>
          <w:sz w:val="20"/>
        </w:rPr>
        <w:t xml:space="preserve"> </w:t>
      </w:r>
      <w:r>
        <w:rPr>
          <w:rFonts w:ascii="Calibri;sans-serif" w:hAnsi="Calibri;sans-serif"/>
          <w:color w:val="000000"/>
          <w:sz w:val="20"/>
        </w:rPr>
        <w:t>years. The total fair value of RSUs vested during the nine months ended September 30, 2024, was approximately $11.5</w:t>
      </w:r>
      <w:r>
        <w:rPr>
          <w:rFonts w:ascii="Times New Roman" w:hAnsi="Times New Roman"/>
          <w:color w:val="000000"/>
          <w:sz w:val="20"/>
        </w:rPr>
        <w:t xml:space="preserve"> </w:t>
      </w:r>
      <w:r>
        <w:rPr>
          <w:rFonts w:ascii="Calibri;sans-serif" w:hAnsi="Calibri;sans-serif"/>
          <w:color w:val="000000"/>
          <w:sz w:val="20"/>
        </w:rPr>
        <w:t>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Employee Stock Purchase Plan</w:t>
      </w:r>
    </w:p>
    <w:p>
      <w:pPr>
        <w:pStyle w:val="TextBody"/>
        <w:bidi w:val="0"/>
        <w:spacing w:before="200" w:after="283"/>
        <w:jc w:val="left"/>
        <w:rPr>
          <w:rFonts w:ascii="Times New Roman" w:hAnsi="Times New Roman"/>
          <w:sz w:val="20"/>
        </w:rPr>
      </w:pPr>
      <w:r>
        <w:rPr>
          <w:rFonts w:ascii="Calibri;sans-serif" w:hAnsi="Calibri;sans-serif"/>
          <w:color w:val="000000"/>
          <w:sz w:val="20"/>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w:t>
      </w:r>
      <w:r>
        <w:rPr>
          <w:rFonts w:ascii="Times New Roman" w:hAnsi="Times New Roman"/>
          <w:color w:val="000000"/>
          <w:sz w:val="20"/>
        </w:rPr>
        <w:t xml:space="preserve"> </w:t>
      </w:r>
      <w:r>
        <w:rPr>
          <w:rFonts w:ascii="Calibri;sans-serif" w:hAnsi="Calibri;sans-serif"/>
          <w:color w:val="000000"/>
          <w:sz w:val="20"/>
        </w:rPr>
        <w:t>shares of common stock were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2024, 1,177,618 shares of common stock remain available for issuance, which includes the 375,381 shares sold to employees during the nine months ended September 30, 2024 as well as an annual increase of 579,701 shares authorized on January 1, 2024.</w:t>
      </w:r>
    </w:p>
    <w:p>
      <w:pPr>
        <w:pStyle w:val="TextBody"/>
        <w:bidi w:val="0"/>
        <w:spacing w:before="200" w:after="200"/>
        <w:jc w:val="left"/>
        <w:rPr>
          <w:rFonts w:ascii="Times New Roman" w:hAnsi="Times New Roman"/>
          <w:sz w:val="20"/>
        </w:rPr>
      </w:pPr>
      <w:r>
        <w:rPr>
          <w:rFonts w:ascii="Calibri;sans-serif" w:hAnsi="Calibri;sans-serif"/>
          <w:color w:val="000000"/>
          <w:sz w:val="20"/>
        </w:rPr>
        <w:t>The ESPP is considered a compensatory plan, and for the three and nine months ended September 30, 2024 the Company recorded related stock-based compensation of $0.1</w:t>
      </w:r>
      <w:r>
        <w:rPr>
          <w:rFonts w:ascii="Times New Roman" w:hAnsi="Times New Roman"/>
          <w:color w:val="000000"/>
          <w:sz w:val="20"/>
        </w:rPr>
        <w:t xml:space="preserve"> </w:t>
      </w:r>
      <w:r>
        <w:rPr>
          <w:rFonts w:ascii="Calibri;sans-serif" w:hAnsi="Calibri;sans-serif"/>
          <w:color w:val="000000"/>
          <w:sz w:val="20"/>
        </w:rPr>
        <w:t>million and $1.3</w:t>
      </w:r>
      <w:r>
        <w:rPr>
          <w:rFonts w:ascii="Times New Roman" w:hAnsi="Times New Roman"/>
          <w:color w:val="000000"/>
          <w:sz w:val="20"/>
        </w:rPr>
        <w:t xml:space="preserve"> </w:t>
      </w:r>
      <w:r>
        <w:rPr>
          <w:rFonts w:ascii="Calibri;sans-serif" w:hAnsi="Calibri;sans-serif"/>
          <w:color w:val="000000"/>
          <w:sz w:val="20"/>
        </w:rPr>
        <w:t>million, respectively, compared to $0.1</w:t>
      </w:r>
      <w:r>
        <w:rPr>
          <w:rFonts w:ascii="Times New Roman" w:hAnsi="Times New Roman"/>
          <w:color w:val="000000"/>
          <w:sz w:val="20"/>
        </w:rPr>
        <w:t xml:space="preserve"> </w:t>
      </w:r>
      <w:r>
        <w:rPr>
          <w:rFonts w:ascii="Calibri;sans-serif" w:hAnsi="Calibri;sans-serif"/>
          <w:color w:val="000000"/>
          <w:sz w:val="20"/>
        </w:rPr>
        <w:t>million and $0.4</w:t>
      </w:r>
      <w:r>
        <w:rPr>
          <w:rFonts w:ascii="Times New Roman" w:hAnsi="Times New Roman"/>
          <w:color w:val="000000"/>
          <w:sz w:val="20"/>
        </w:rPr>
        <w:t xml:space="preserve"> </w:t>
      </w:r>
      <w:r>
        <w:rPr>
          <w:rFonts w:ascii="Calibri;sans-serif" w:hAnsi="Calibri;sans-serif"/>
          <w:color w:val="000000"/>
          <w:sz w:val="20"/>
        </w:rPr>
        <w:t>million, respectively, for the same periods in 2023. The weighted-average assumptions used to estimate the fair value of ESPP awards using the Black-Scholes option valuation model were as follows:</w:t>
      </w:r>
    </w:p>
    <w:tbl>
      <w:tblPr>
        <w:tblW w:w="4280" w:type="dxa"/>
        <w:jc w:val="left"/>
        <w:tblInd w:w="0" w:type="dxa"/>
        <w:tblLayout w:type="fixed"/>
        <w:tblCellMar>
          <w:top w:w="28" w:type="dxa"/>
          <w:left w:w="28" w:type="dxa"/>
          <w:bottom w:w="28" w:type="dxa"/>
          <w:right w:w="28" w:type="dxa"/>
        </w:tblCellMar>
      </w:tblPr>
      <w:tblGrid>
        <w:gridCol w:w="2226"/>
        <w:gridCol w:w="146"/>
        <w:gridCol w:w="811"/>
        <w:gridCol w:w="146"/>
        <w:gridCol w:w="95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0.49</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0.49</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105.23%</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69.73%</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5.19%</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5.03%</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ESPP awards for the nine months ended September 30, 2024 and 2023, was $4.03</w:t>
      </w:r>
      <w:r>
        <w:rPr>
          <w:rFonts w:ascii="Times New Roman" w:hAnsi="Times New Roman"/>
          <w:color w:val="000000"/>
          <w:sz w:val="20"/>
        </w:rPr>
        <w:t xml:space="preserve"> </w:t>
      </w:r>
      <w:r>
        <w:rPr>
          <w:rFonts w:ascii="Calibri;sans-serif" w:hAnsi="Calibri;sans-serif"/>
          <w:color w:val="000000"/>
          <w:sz w:val="20"/>
        </w:rPr>
        <w:t>and $3.64, respectively. As of September 30, 2024, the total unrecognized compensation expense related to the ESPP was $0.6</w:t>
      </w:r>
      <w:r>
        <w:rPr>
          <w:rFonts w:ascii="Times New Roman" w:hAnsi="Times New Roman"/>
          <w:color w:val="000000"/>
          <w:sz w:val="20"/>
        </w:rPr>
        <w:t xml:space="preserve"> </w:t>
      </w:r>
      <w:r>
        <w:rPr>
          <w:rFonts w:ascii="Calibri;sans-serif" w:hAnsi="Calibri;sans-serif"/>
          <w:color w:val="000000"/>
          <w:sz w:val="20"/>
        </w:rPr>
        <w:t>million, which is expected to be recognized over a weighted-average period of approximately 0.3</w:t>
      </w:r>
      <w:r>
        <w:rPr>
          <w:rFonts w:ascii="Times New Roman" w:hAnsi="Times New Roman"/>
          <w:color w:val="000000"/>
          <w:sz w:val="20"/>
        </w:rPr>
        <w:t xml:space="preserve"> </w:t>
      </w:r>
      <w:r>
        <w:rPr>
          <w:rFonts w:ascii="Calibri;sans-serif" w:hAnsi="Calibri;sans-serif"/>
          <w:color w:val="000000"/>
          <w:sz w:val="20"/>
        </w:rPr>
        <w:t>years.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401(k) Plan</w:t>
      </w:r>
    </w:p>
    <w:p>
      <w:pPr>
        <w:pStyle w:val="TextBody"/>
        <w:bidi w:val="0"/>
        <w:spacing w:before="200" w:after="283"/>
        <w:jc w:val="left"/>
        <w:rPr>
          <w:rFonts w:ascii="Times New Roman" w:hAnsi="Times New Roman"/>
          <w:sz w:val="20"/>
        </w:rPr>
      </w:pPr>
      <w:r>
        <w:rPr>
          <w:rFonts w:ascii="Calibri;sans-serif" w:hAnsi="Calibri;sans-serif"/>
          <w:color w:val="000000"/>
          <w:sz w:val="20"/>
        </w:rPr>
        <w:t>During 2020, the Company established a 401(k) savings plan. The Company’s contributions to the plan are discretionary. During the three and nine months ended September 30, 2024, the Company incurred $1.2</w:t>
      </w:r>
      <w:r>
        <w:rPr>
          <w:rFonts w:ascii="Times New Roman" w:hAnsi="Times New Roman"/>
          <w:color w:val="000000"/>
          <w:sz w:val="20"/>
        </w:rPr>
        <w:t xml:space="preserve"> </w:t>
      </w:r>
      <w:r>
        <w:rPr>
          <w:rFonts w:ascii="Calibri;sans-serif" w:hAnsi="Calibri;sans-serif"/>
          <w:color w:val="000000"/>
          <w:sz w:val="20"/>
        </w:rPr>
        <w:t>million and $4.2</w:t>
      </w:r>
      <w:r>
        <w:rPr>
          <w:rFonts w:ascii="Times New Roman" w:hAnsi="Times New Roman"/>
          <w:color w:val="000000"/>
          <w:sz w:val="20"/>
        </w:rPr>
        <w:t xml:space="preserve"> </w:t>
      </w:r>
      <w:r>
        <w:rPr>
          <w:rFonts w:ascii="Calibri;sans-serif" w:hAnsi="Calibri;sans-serif"/>
          <w:color w:val="000000"/>
          <w:sz w:val="20"/>
        </w:rPr>
        <w:t>million, respectively, of expense related to estimated employer contribution liabilities, which was based on a 75% match of employees’ contributions during the periods, compared to $0.3</w:t>
      </w:r>
      <w:r>
        <w:rPr>
          <w:rFonts w:ascii="Times New Roman" w:hAnsi="Times New Roman"/>
          <w:color w:val="000000"/>
          <w:sz w:val="20"/>
        </w:rPr>
        <w:t xml:space="preserve"> </w:t>
      </w:r>
      <w:r>
        <w:rPr>
          <w:rFonts w:ascii="Calibri;sans-serif" w:hAnsi="Calibri;sans-serif"/>
          <w:color w:val="000000"/>
          <w:sz w:val="20"/>
        </w:rPr>
        <w:t>million and $1.5</w:t>
      </w:r>
      <w:r>
        <w:rPr>
          <w:rFonts w:ascii="Times New Roman" w:hAnsi="Times New Roman"/>
          <w:color w:val="000000"/>
          <w:sz w:val="20"/>
        </w:rPr>
        <w:t xml:space="preserve"> </w:t>
      </w:r>
      <w:r>
        <w:rPr>
          <w:rFonts w:ascii="Calibri;sans-serif" w:hAnsi="Calibri;sans-serif"/>
          <w:color w:val="000000"/>
          <w:sz w:val="20"/>
        </w:rPr>
        <w:t>million, respectively, for the same periods in 2023. During the nine months ended September 30, 2024 and 2023, the Board of Directors approved employer matching contributions settled by contributing 383,589</w:t>
      </w:r>
      <w:r>
        <w:rPr>
          <w:rFonts w:ascii="Times New Roman" w:hAnsi="Times New Roman"/>
          <w:color w:val="000000"/>
          <w:sz w:val="20"/>
        </w:rPr>
        <w:t xml:space="preserve"> </w:t>
      </w:r>
      <w:r>
        <w:rPr>
          <w:rFonts w:ascii="Calibri;sans-serif" w:hAnsi="Calibri;sans-serif"/>
          <w:color w:val="000000"/>
          <w:sz w:val="20"/>
        </w:rPr>
        <w:t>and 135,956, respectively, shares of common stock.</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 Options</w:t>
      </w:r>
    </w:p>
    <w:p>
      <w:pPr>
        <w:pStyle w:val="TextBody"/>
        <w:bidi w:val="0"/>
        <w:spacing w:before="200" w:after="283"/>
        <w:jc w:val="left"/>
        <w:rPr>
          <w:rFonts w:ascii="Times New Roman" w:hAnsi="Times New Roman"/>
          <w:sz w:val="20"/>
        </w:rPr>
      </w:pPr>
      <w:r>
        <w:rPr>
          <w:rFonts w:ascii="Calibri;sans-serif" w:hAnsi="Calibri;sans-serif"/>
          <w:color w:val="000000"/>
          <w:sz w:val="20"/>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the Company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w:t>
      </w:r>
      <w:r>
        <w:rPr>
          <w:rFonts w:ascii="Times New Roman" w:hAnsi="Times New Roman"/>
          <w:color w:val="000000"/>
          <w:sz w:val="20"/>
        </w:rPr>
        <w:t xml:space="preserve"> </w:t>
      </w:r>
      <w:r>
        <w:rPr>
          <w:rFonts w:ascii="Calibri;sans-serif" w:hAnsi="Calibri;sans-serif"/>
          <w:color w:val="000000"/>
          <w:sz w:val="20"/>
        </w:rPr>
        <w:t>based on the fact that the Company has never paid cash dividends and does not expect to pay any cash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A summary of the Company’s stock option activity and related information is as follows:</w:t>
      </w:r>
    </w:p>
    <w:tbl>
      <w:tblPr>
        <w:tblW w:w="10205" w:type="dxa"/>
        <w:jc w:val="left"/>
        <w:tblInd w:w="0" w:type="dxa"/>
        <w:tblLayout w:type="fixed"/>
        <w:tblCellMar>
          <w:top w:w="28" w:type="dxa"/>
          <w:left w:w="28" w:type="dxa"/>
          <w:bottom w:w="28" w:type="dxa"/>
          <w:right w:w="28" w:type="dxa"/>
        </w:tblCellMar>
      </w:tblPr>
      <w:tblGrid>
        <w:gridCol w:w="4375"/>
        <w:gridCol w:w="146"/>
        <w:gridCol w:w="150"/>
        <w:gridCol w:w="961"/>
        <w:gridCol w:w="166"/>
        <w:gridCol w:w="146"/>
        <w:gridCol w:w="263"/>
        <w:gridCol w:w="713"/>
        <w:gridCol w:w="146"/>
        <w:gridCol w:w="146"/>
        <w:gridCol w:w="250"/>
        <w:gridCol w:w="801"/>
        <w:gridCol w:w="146"/>
        <w:gridCol w:w="146"/>
        <w:gridCol w:w="298"/>
        <w:gridCol w:w="959"/>
        <w:gridCol w:w="393"/>
      </w:tblGrid>
      <w:tr>
        <w:trPr/>
        <w:tc>
          <w:tcPr>
            <w:tcW w:w="4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3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Options</w:t>
              <w:b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Aggregate</w:t>
              <w:br/>
              <w:t>Intrinsic</w:t>
              <w:br/>
              <w:t xml:space="preserve">Value </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4,550,081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3,379</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4375"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2,242,400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7"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4375"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(30,235</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7"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4375"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Options cancelled</w:t>
            </w:r>
          </w:p>
        </w:tc>
        <w:tc>
          <w:tcPr>
            <w:tcW w:w="146" w:type="dxa"/>
            <w:tcBorders/>
            <w:shd w:fill="FFFFFF" w:val="cle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(313,412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Balance at September 30, 2024</w:t>
            </w:r>
          </w:p>
        </w:tc>
        <w:tc>
          <w:tcPr>
            <w:tcW w:w="146" w:type="dxa"/>
            <w:tcBorders/>
            <w:shd w:fill="CFF0FC" w:val="cle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6,448,834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51,605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75"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Options exercisable as of September 30, 2024</w:t>
            </w:r>
          </w:p>
        </w:tc>
        <w:tc>
          <w:tcPr>
            <w:tcW w:w="14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2,975,481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9"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20,402</w:t>
            </w:r>
          </w:p>
        </w:tc>
        <w:tc>
          <w:tcPr>
            <w:tcW w:w="393" w:type="dxa"/>
            <w:tcBorders/>
            <w:shd w:fill="FFFFFF" w:val="clear"/>
            <w:vAlign w:val="center"/>
          </w:tcPr>
          <w:p>
            <w:pPr>
              <w:pStyle w:val="TableContents"/>
              <w:bidi w:val="0"/>
              <w:spacing w:before="0" w:after="283"/>
              <w:jc w:val="left"/>
              <w:rPr/>
            </w:pPr>
            <w:r>
              <w:rPr/>
              <w:t> </w:t>
            </w:r>
          </w:p>
        </w:tc>
      </w:tr>
      <w:tr>
        <w:trPr/>
        <w:tc>
          <w:tcPr>
            <w:tcW w:w="4375"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Vested and expected to vest as of September 30, 2024</w:t>
            </w:r>
          </w:p>
        </w:tc>
        <w:tc>
          <w:tcPr>
            <w:tcW w:w="146"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6,448,834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13"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959"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51,605</w:t>
            </w:r>
          </w:p>
        </w:tc>
        <w:tc>
          <w:tcPr>
            <w:tcW w:w="393"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Calibri;sans-serif" w:hAnsi="Calibri;sans-serif"/>
          <w:color w:val="000000"/>
          <w:sz w:val="20"/>
        </w:rPr>
        <w:t>The estimated weighted-average fair value of employee and nonemployee director stock options granted for the nine months ended September 30, 2024 and 2023 was $5.55</w:t>
      </w:r>
      <w:r>
        <w:rPr>
          <w:rFonts w:ascii="Times New Roman" w:hAnsi="Times New Roman"/>
          <w:color w:val="000000"/>
          <w:sz w:val="20"/>
        </w:rPr>
        <w:t xml:space="preserve"> </w:t>
      </w:r>
      <w:r>
        <w:rPr>
          <w:rFonts w:ascii="Calibri;sans-serif" w:hAnsi="Calibri;sans-serif"/>
          <w:color w:val="000000"/>
          <w:sz w:val="20"/>
        </w:rPr>
        <w:t>and $5.38, respectively. As of September 30, 2024, the Company had $18.1</w:t>
      </w:r>
      <w:r>
        <w:rPr>
          <w:rFonts w:ascii="Times New Roman" w:hAnsi="Times New Roman"/>
          <w:color w:val="000000"/>
          <w:sz w:val="20"/>
        </w:rPr>
        <w:t xml:space="preserve"> </w:t>
      </w:r>
      <w:r>
        <w:rPr>
          <w:rFonts w:ascii="Calibri;sans-serif" w:hAnsi="Calibri;sans-serif"/>
          <w:color w:val="000000"/>
          <w:sz w:val="20"/>
        </w:rPr>
        <w:t>million of unrecognized stock-based compensation expense related to stock options, which is expected to be recognized over a weighted-average period of 2.4</w:t>
      </w:r>
      <w:r>
        <w:rPr>
          <w:rFonts w:ascii="Times New Roman" w:hAnsi="Times New Roman"/>
          <w:color w:val="000000"/>
          <w:sz w:val="20"/>
        </w:rPr>
        <w:t xml:space="preserve"> </w:t>
      </w:r>
      <w:r>
        <w:rPr>
          <w:rFonts w:ascii="Calibri;sans-serif" w:hAnsi="Calibri;sans-serif"/>
          <w:color w:val="000000"/>
          <w:sz w:val="20"/>
        </w:rPr>
        <w:t>years.</w:t>
      </w:r>
      <w:r>
        <w:rPr>
          <w:rFonts w:ascii="Times New Roman" w:hAnsi="Times New Roman"/>
          <w:color w:val="000000"/>
          <w:sz w:val="20"/>
        </w:rPr>
        <w:t xml:space="preserve"> </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weighted-average assumptions used to estimate the fair value of stock options using the Black-Scholes option valuation model were as follows:</w:t>
      </w:r>
    </w:p>
    <w:tbl>
      <w:tblPr>
        <w:tblW w:w="4175" w:type="dxa"/>
        <w:jc w:val="left"/>
        <w:tblInd w:w="0" w:type="dxa"/>
        <w:tblLayout w:type="fixed"/>
        <w:tblCellMar>
          <w:top w:w="28" w:type="dxa"/>
          <w:left w:w="28" w:type="dxa"/>
          <w:bottom w:w="28" w:type="dxa"/>
          <w:right w:w="28" w:type="dxa"/>
        </w:tblCellMar>
      </w:tblPr>
      <w:tblGrid>
        <w:gridCol w:w="2226"/>
        <w:gridCol w:w="146"/>
        <w:gridCol w:w="706"/>
        <w:gridCol w:w="146"/>
        <w:gridCol w:w="951"/>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r>
      <w:tr>
        <w:trPr/>
        <w:tc>
          <w:tcPr>
            <w:tcW w:w="2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222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Assumptions: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pPr>
            <w:r>
              <w:rPr/>
              <w:t> </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6.04</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6.03</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74.67%</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64.10%</w:t>
            </w:r>
          </w:p>
        </w:tc>
      </w:tr>
      <w:tr>
        <w:trPr/>
        <w:tc>
          <w:tcPr>
            <w:tcW w:w="222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Risk free interest rate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4.14%</w:t>
            </w:r>
          </w:p>
        </w:tc>
        <w:tc>
          <w:tcPr>
            <w:tcW w:w="146"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ind w:left="0" w:right="0" w:firstLine="200"/>
              <w:jc w:val="right"/>
              <w:rPr>
                <w:rFonts w:ascii="Calibri;sans-serif" w:hAnsi="Calibri;sans-serif"/>
                <w:color w:val="000000"/>
                <w:sz w:val="20"/>
              </w:rPr>
            </w:pPr>
            <w:r>
              <w:rPr>
                <w:rFonts w:ascii="Calibri;sans-serif" w:hAnsi="Calibri;sans-serif"/>
                <w:color w:val="000000"/>
                <w:sz w:val="20"/>
              </w:rPr>
              <w:t>3.50%</w:t>
            </w:r>
          </w:p>
        </w:tc>
      </w:tr>
      <w:tr>
        <w:trPr/>
        <w:tc>
          <w:tcPr>
            <w:tcW w:w="222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51" w:type="dxa"/>
            <w:tcBorders/>
            <w:shd w:fill="CFF0FC" w:val="clear"/>
            <w:vAlign w:val="center"/>
          </w:tcPr>
          <w:p>
            <w:pPr>
              <w:pStyle w:val="TableContents"/>
              <w:bidi w:val="0"/>
              <w:spacing w:before="0" w:after="283"/>
              <w:jc w:val="right"/>
              <w:rPr>
                <w:color w:val="000000"/>
              </w:rPr>
            </w:pPr>
            <w:r>
              <w:rPr>
                <w:color w:val="00000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Stock-Based Compensation Expense</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Stock-based compensation expense recognized for all equity awards, including founder stock, has been reported in the statements of operations and comprehensive loss as follows (in thousands):</w:t>
      </w:r>
    </w:p>
    <w:tbl>
      <w:tblPr>
        <w:tblW w:w="8062" w:type="dxa"/>
        <w:jc w:val="left"/>
        <w:tblInd w:w="0" w:type="dxa"/>
        <w:tblLayout w:type="fixed"/>
        <w:tblCellMar>
          <w:top w:w="28" w:type="dxa"/>
          <w:left w:w="28" w:type="dxa"/>
          <w:bottom w:w="28" w:type="dxa"/>
          <w:right w:w="28" w:type="dxa"/>
        </w:tblCellMar>
      </w:tblPr>
      <w:tblGrid>
        <w:gridCol w:w="3511"/>
        <w:gridCol w:w="146"/>
        <w:gridCol w:w="211"/>
        <w:gridCol w:w="571"/>
        <w:gridCol w:w="146"/>
        <w:gridCol w:w="146"/>
        <w:gridCol w:w="211"/>
        <w:gridCol w:w="571"/>
        <w:gridCol w:w="146"/>
        <w:gridCol w:w="146"/>
        <w:gridCol w:w="211"/>
        <w:gridCol w:w="676"/>
        <w:gridCol w:w="146"/>
        <w:gridCol w:w="146"/>
        <w:gridCol w:w="211"/>
        <w:gridCol w:w="67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4,977</w:t>
            </w:r>
          </w:p>
        </w:tc>
        <w:tc>
          <w:tcPr>
            <w:tcW w:w="1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Selling, 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13,484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15,464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20,441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8. Revenue Recognition</w:t>
      </w:r>
    </w:p>
    <w:p>
      <w:pPr>
        <w:pStyle w:val="TextBody"/>
        <w:bidi w:val="0"/>
        <w:spacing w:before="200" w:after="200"/>
        <w:jc w:val="left"/>
        <w:rPr>
          <w:rFonts w:ascii="Times New Roman" w:hAnsi="Times New Roman"/>
          <w:sz w:val="20"/>
        </w:rPr>
      </w:pPr>
      <w:r>
        <w:rPr>
          <w:rFonts w:ascii="Calibri;sans-serif" w:hAnsi="Calibri;sans-serif"/>
          <w:color w:val="000000"/>
          <w:sz w:val="20"/>
        </w:rPr>
        <w:t>To date, our only source of revenue has been from the U.S. sales of VOQUEZNA products, which the Company began selling during the fourth quarter of 2023. The Company records its best estimate of chargebacks, sales discounts and other reserves to which customers are likely expected to be entitled to as contra accounts receivable charges, and within accrued expenses if payable to a third-party or related to product returns on the balance sheets. During the three and nine months ended September 30, 2024, the Company recognized $16.4</w:t>
      </w:r>
      <w:r>
        <w:rPr>
          <w:rFonts w:ascii="Times New Roman" w:hAnsi="Times New Roman"/>
          <w:color w:val="000000"/>
          <w:sz w:val="20"/>
        </w:rPr>
        <w:t xml:space="preserve"> </w:t>
      </w:r>
      <w:r>
        <w:rPr>
          <w:rFonts w:ascii="Calibri;sans-serif" w:hAnsi="Calibri;sans-serif"/>
          <w:color w:val="000000"/>
          <w:sz w:val="20"/>
        </w:rPr>
        <w:t>million and $25.6</w:t>
      </w:r>
      <w:r>
        <w:rPr>
          <w:rFonts w:ascii="Times New Roman" w:hAnsi="Times New Roman"/>
          <w:color w:val="000000"/>
          <w:sz w:val="20"/>
        </w:rPr>
        <w:t xml:space="preserve"> </w:t>
      </w:r>
      <w:r>
        <w:rPr>
          <w:rFonts w:ascii="Calibri;sans-serif" w:hAnsi="Calibri;sans-serif"/>
          <w:color w:val="000000"/>
          <w:sz w:val="20"/>
        </w:rPr>
        <w:t>million, respectively, of net product revenues related to sales of VOQUEZNA, VOQUEZNA DUAL PAK and VOQUEZNA TRIPLE PAK. During each of the three and nine months ended September 30, 2023, the Company had no</w:t>
      </w:r>
      <w:r>
        <w:rPr>
          <w:rFonts w:ascii="Times New Roman" w:hAnsi="Times New Roman"/>
          <w:color w:val="000000"/>
          <w:sz w:val="20"/>
        </w:rPr>
        <w:t xml:space="preserve"> </w:t>
      </w:r>
      <w:r>
        <w:rPr>
          <w:rFonts w:ascii="Calibri;sans-serif" w:hAnsi="Calibri;sans-serif"/>
          <w:color w:val="000000"/>
          <w:sz w:val="20"/>
        </w:rPr>
        <w:t>net product revenues due to the launch of VOQUEZNA during the fourth quarter of 2023. Sales allowances and accruals mostly consisted of distribution fees and rebates.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0" w:name="consolidated_statements_operations"/>
      <w:bookmarkEnd w:id="10"/>
      <w:r>
        <w:rPr>
          <w:rFonts w:ascii="Calibri;sans-serif" w:hAnsi="Calibri;sans-serif"/>
          <w:b/>
          <w:color w:val="000000"/>
          <w:sz w:val="20"/>
        </w:rPr>
        <w:t>Item 2. Management’s Discussion and Analysis o</w:t>
      </w:r>
      <w:bookmarkStart w:id="11" w:name="item_2_managements_discussion_analysis_f"/>
      <w:bookmarkEnd w:id="11"/>
      <w:r>
        <w:rPr>
          <w:rFonts w:ascii="Calibri;sans-serif" w:hAnsi="Calibri;sans-serif"/>
          <w:b/>
          <w:color w:val="000000"/>
          <w:sz w:val="20"/>
        </w:rPr>
        <w:t>f Financial Condition and Results of Operations</w:t>
      </w:r>
    </w:p>
    <w:p>
      <w:pPr>
        <w:pStyle w:val="TextBody"/>
        <w:bidi w:val="0"/>
        <w:spacing w:before="200" w:after="283"/>
        <w:jc w:val="left"/>
        <w:rPr>
          <w:rFonts w:ascii="Calibri;sans-serif" w:hAnsi="Calibri;sans-serif"/>
          <w:i/>
          <w:color w:val="000000"/>
          <w:sz w:val="20"/>
        </w:rPr>
      </w:pPr>
      <w:r>
        <w:rPr>
          <w:rFonts w:ascii="Calibri;sans-serif" w:hAnsi="Calibri;sans-serif"/>
          <w:i/>
          <w:color w:val="000000"/>
          <w:sz w:val="20"/>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2023 and the related Management’s Discussion and Analysis of Financial Condition and Results of Operations, both of which are contained in our Annual Report on Form 10-K for the year ended December 31, 2023, or the 2023 Form 10-K.</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Forward Looking Statements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We are a biopharmaceutical company focused on developing and commercializing novel treatments for gastrointestinal, or GI, diseases. Our approved products, VOQUEZNA®, VOQUEZNA® TRIPLE PAK® and VOQUEZNA® DUAL PAK®, contain vonoprazan, an oral small molecule potassium-competitive acid blocker, or PCAB. PCABs are a novel class of medicines that block acid secretion in the stomach. Vonoprazan is the first gastric anti-secretory agent from a novel class approved in the United States, Europe, or Canada in over 30 years, and has shown rapid, potent, and durable anti-secretory effects. Vonoprazan has also demonstrated clinical benefits over the current standard of care as a single agent in the treatment of erosive gastroesophageal reflux disease, or Erosive GERD, also known as erosive esophagitis, and in combination with antibiotics for the treatment of </w:t>
      </w:r>
      <w:r>
        <w:rPr>
          <w:rFonts w:ascii="Calibri;sans-serif" w:hAnsi="Calibri;sans-serif"/>
          <w:i/>
          <w:color w:val="000000"/>
          <w:sz w:val="20"/>
        </w:rPr>
        <w:t>Helicobacter pylori</w:t>
      </w:r>
      <w:r>
        <w:rPr>
          <w:rFonts w:ascii="Calibri;sans-serif" w:hAnsi="Calibri;sans-serif"/>
          <w:color w:val="000000"/>
          <w:sz w:val="20"/>
        </w:rPr>
        <w:t xml:space="preserve">, or </w:t>
      </w:r>
      <w:r>
        <w:rPr>
          <w:rFonts w:ascii="Calibri;sans-serif" w:hAnsi="Calibri;sans-serif"/>
          <w:i/>
          <w:color w:val="000000"/>
          <w:sz w:val="20"/>
        </w:rPr>
        <w:t>H. pylori</w:t>
      </w:r>
      <w:r>
        <w:rPr>
          <w:rFonts w:ascii="Calibri;sans-serif" w:hAnsi="Calibri;sans-serif"/>
          <w:color w:val="000000"/>
          <w:sz w:val="20"/>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 xml:space="preserve">In 2021 we reported positive topline data from two pivotal Phase 3 clinical trials for vonoprazan: one for the treatment of </w:t>
      </w:r>
      <w:r>
        <w:rPr>
          <w:rFonts w:ascii="Calibri;sans-serif" w:hAnsi="Calibri;sans-serif"/>
          <w:i/>
          <w:color w:val="000000"/>
          <w:sz w:val="20"/>
        </w:rPr>
        <w:t xml:space="preserve">H. pylori </w:t>
      </w:r>
      <w:r>
        <w:rPr>
          <w:rFonts w:ascii="Calibri;sans-serif" w:hAnsi="Calibri;sans-serif"/>
          <w:color w:val="000000"/>
          <w:sz w:val="20"/>
        </w:rPr>
        <w:t xml:space="preserve">infection, or PHALCON-HP, and a second for the treatment of Erosive GERD, or PHALCON-EE. These data are supplemented by the extensive existing clinical data generated by Takeda as part of its development program for vonoprazan in Japan and other markets. In September 2021, we submitted two new drug applications, or NDAs, for combination packs that contain vonoprazan for the treatment of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 xml:space="preserve">infection in adults, one in combination with amoxicillin and clarithromycin (vonoprazan triple therapy) and the other in combination with amoxicillin alone (vonoprazan dual therapy). In May 2022, the U.S. Food and Drug Administration,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combination with amoxicillin, with or without clarithromycin, for the treatment of </w:t>
      </w:r>
      <w:r>
        <w:rPr>
          <w:rFonts w:ascii="Calibri;sans-serif" w:hAnsi="Calibri;sans-serif"/>
          <w:i/>
          <w:color w:val="000000"/>
          <w:sz w:val="20"/>
        </w:rPr>
        <w:t xml:space="preserve">H. pylori </w:t>
      </w:r>
      <w:r>
        <w:rPr>
          <w:rFonts w:ascii="Calibri;sans-serif" w:hAnsi="Calibri;sans-serif"/>
          <w:color w:val="000000"/>
          <w:sz w:val="20"/>
        </w:rPr>
        <w:t>infection in adults.</w:t>
      </w:r>
      <w:r>
        <w:rPr>
          <w:rFonts w:ascii="Times New Roman" w:hAnsi="Times New Roman"/>
          <w:color w:val="000000"/>
          <w:sz w:val="20"/>
        </w:rPr>
        <w:t xml:space="preserve"> </w:t>
      </w:r>
      <w:r>
        <w:rPr>
          <w:rFonts w:ascii="Calibri;sans-serif" w:hAnsi="Calibri;sans-serif"/>
          <w:color w:val="000000"/>
          <w:sz w:val="20"/>
        </w:rPr>
        <w:t xml:space="preserve">We initiated commercial launch for VOQUEZNA for both the Erosive GERD and </w:t>
      </w:r>
      <w:r>
        <w:rPr>
          <w:rFonts w:ascii="Calibri;sans-serif" w:hAnsi="Calibri;sans-serif"/>
          <w:i/>
          <w:color w:val="000000"/>
          <w:sz w:val="20"/>
        </w:rPr>
        <w:t>H. pylori</w:t>
      </w:r>
      <w:r>
        <w:rPr>
          <w:rFonts w:ascii="Times New Roman" w:hAnsi="Times New Roman"/>
          <w:color w:val="000000"/>
          <w:sz w:val="20"/>
        </w:rPr>
        <w:t xml:space="preserve"> </w:t>
      </w:r>
      <w:r>
        <w:rPr>
          <w:rFonts w:ascii="Calibri;sans-serif" w:hAnsi="Calibri;sans-serif"/>
          <w:color w:val="000000"/>
          <w:sz w:val="20"/>
        </w:rPr>
        <w:t>indications, and VOQUEZNA TRIPLE PAK and VOQUEZNA DUAL PAK for treatment of H. pylori infection in the fourth quarter of 2023. In addition, based on our qualified infectious disease product, or QIDP, designations for VOQUEZNA TRIPLE PAK and VOQUEZNA DUAL PAK, we received an extension of five years of new chemical entity, or NCE, exclusivity based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vonoprazan component in those NDAs. We believe the extended NCE exclusivity should apply to any other approved or future products containing vonoprazan we develop and for which we obtain FDA approval.</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are also continuing to develop vonoprazan as a treatment for heartburn symptoms associated with Non-Erosive GERD. In January 2023, we reported positive topline results from PHALCON-NERD-301, a Phase 3 study evaluating the safety and efficacy of vonoprazan for the daily treatment of adults with Non-Erosive GERD, and in August 2023, we announced successful completion of the 20-week extension period of PHALCON-NERD-301. Based on the results of this study, in September 2023, we submitted an NDA seeking approval of vonoprazan as a once-daily treatment for heartburn symptoms associated with Non-Erosive GERD in adults. On July 17, 2024, the FDA approved our NDA supplement, or sNDA, for VOQUEZNA 10 mg tablets for the relief of heartburn associated with Non-Erosive GERD. With this approval, patients and healthcare providers have immediate access to VOQUEZNA for Non-Erosive GERD, the largest category of GERD.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With our recent launch of VOQUEZNA for Non-Erosive GERD, we have begun generating real-world data which are being reviewed to understand consumer usage patterns and prescribing habits of healthcare providers. These insights will help assess the value and potential timing for advancing a Phase 3 program to validate the "as-needed" dosing of VOQUEZNA for active heartburn episodes, building on the positive results from our prior Phase 2 study. Additionally, we are in the final stages of obtaining FDA feedback on the Phase 2 study and program investigating VOQUEZNA as a potential treatment for Eosinophilic Esophagitis, or EoE, in adults and adolescents, with plans to initiate the program in the first half of 2025.</w:t>
      </w:r>
    </w:p>
    <w:p>
      <w:pPr>
        <w:pStyle w:val="TextBody"/>
        <w:bidi w:val="0"/>
        <w:spacing w:before="200" w:after="283"/>
        <w:jc w:val="left"/>
        <w:rPr>
          <w:rFonts w:ascii="Times New Roman" w:hAnsi="Times New Roman"/>
          <w:sz w:val="20"/>
        </w:rPr>
      </w:pPr>
      <w:r>
        <w:rPr>
          <w:rFonts w:ascii="Calibri;sans-serif" w:hAnsi="Calibri;sans-serif"/>
          <w:color w:val="000000"/>
          <w:sz w:val="20"/>
        </w:rPr>
        <w:t>Our commercial launch continues to build momentum and demonstrate strong physician and patient demand. As of October 25, 2024, over 143,000 prescriptions for VOQUEZNA tablets, VOQUEZNA Triple Pak, and VOQUEZNA Dual Pak have been filled since launch. These prescriptions were written by more than 13,600 prescribers. In addition, due to increasing commercial demand, we continue to make progress in securing broad commercial coverage for VOQUEZNA with over 120 million, or over 80%, of total U.S. commercial lives now with access to VOQUEZNA tablets.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are independently commercializing VOQUEZNA, VOQUEZNA TRIPLE PAK, and VOQUEZNA DUAL PAK in the United States. We plan to evaluate commercial partnerships for vonoprazan in Europe and Canada, expand development of vonoprazan into other indications, dosing regimens and alternative formulations and packaging, and evaluate the in-license or acquisition of additional clinical or commercial stage product candidates for the treatment of GI diseases in a capital efficient manner.</w:t>
      </w:r>
    </w:p>
    <w:p>
      <w:pPr>
        <w:pStyle w:val="TextBody"/>
        <w:bidi w:val="0"/>
        <w:spacing w:before="200" w:after="283"/>
        <w:jc w:val="left"/>
        <w:rPr>
          <w:rFonts w:ascii="Times New Roman" w:hAnsi="Times New Roman"/>
          <w:sz w:val="20"/>
        </w:rPr>
      </w:pPr>
      <w:r>
        <w:rPr>
          <w:rFonts w:ascii="Calibri;sans-serif" w:hAnsi="Calibri;sans-serif"/>
          <w:color w:val="000000"/>
          <w:sz w:val="20"/>
        </w:rPr>
        <w:t>We commenced our operations in 2018 and have devoted substantially all of our resources to date to organizing and staffing our company, business planning, raising capital, in-licensing our initial and approved product candidate, vonoprazan, meeting with regulatory authorities, managing our clinical trials of vonoprazan, preparing for commercialization of our initial products containing vonoprazan, commercially launching our approved products, and providing other selling, general and administrative support for our operations. Our operations to date have been funded primarily through commercial bank debt, our revenue interest financing debt and various equity offerings, including our at-the-market offerings. From inception through September 30, 2024, we sold 34,737,032 shares of our common stock and 2,608,922 pre-funded warrants, generating net proceeds of approximately $543.3 million, after deducting underwriting discounts, commissions and offering costs. As of September 30, 2024, we had cash and cash equivalents of $334.7 million. Based on our current operating plan, we believe that our existing cash and cash equivalents together with the drawdown of the remaining $125 million under our Loan and Security Agreement, as amended, or the Loan Agreement, with Hercules Capital, Inc. or Hercules, together with anticipated product revenues, are sufficient to fund operations for at least the next twelve months and we believe will be sufficient to enable us to reach cashflow positivity</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Calibri;sans-serif" w:hAnsi="Calibri;sans-serif"/>
          <w:color w:val="000000"/>
          <w:sz w:val="20"/>
        </w:rPr>
        <w:t>Since inception, we have incurred significant operating losses. Our net losses were $259.9 million and $122.0 million for the nine months ended September 30, 2024 and 2023, respectively. As of September 30, 2024, we had an accumulated deficit of $1.2 billion. We expect to continue to incur operating losses for the foreseeable future. It could be several years, if ever, before VOQUEZNA, VOQUEZNA TRIPLE PAK and VOQUEZNA DUAL PAK or other product candidates, if approved, generate significant revenues to offset these operating losses. As a result, we are uncertain when or if we will achieve profitability and, if so, whether we will be able to sustain it. The net losses we incur may fluctuate significantly from quarter to quarter and year to year.</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We have generated limited revenue to date, until such time as we can generate significant revenue from sales of our approved products containing vonoprazan, we expect to finance our cash needs through equity offerings, our Loan Agreement, our Revenue Interest Financing Agreement, additional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ongoing conflicts throughout the world and global economic conditions. Our failure to raise capital or enter into such other arrangements when needed would have a negative impact on our financial condition and could force us to delay, limit, reduce or terminate our product development or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commercialization efforts or grant rights to develop and market product candidates that we would otherwise prefer to develop and market ourselves.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License Agreement with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paid Takeda upfront consideration consisting of a cash fee of $25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pStyle w:val="TextBody"/>
        <w:bidi w:val="0"/>
        <w:spacing w:before="200" w:after="283"/>
        <w:jc w:val="left"/>
        <w:rPr>
          <w:rFonts w:ascii="Times New Roman" w:hAnsi="Times New Roman"/>
          <w:sz w:val="20"/>
        </w:rPr>
      </w:pPr>
      <w:r>
        <w:rPr>
          <w:rFonts w:ascii="Calibri;sans-serif" w:hAnsi="Calibri;sans-serif"/>
          <w:b/>
          <w:color w:val="000000"/>
          <w:sz w:val="20"/>
        </w:rPr>
        <w:t>Components of Results of Operations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w:t>
      </w:r>
    </w:p>
    <w:p>
      <w:pPr>
        <w:pStyle w:val="TextBody"/>
        <w:bidi w:val="0"/>
        <w:spacing w:before="200" w:after="283"/>
        <w:jc w:val="left"/>
        <w:rPr>
          <w:rFonts w:ascii="Times New Roman" w:hAnsi="Times New Roman"/>
          <w:sz w:val="20"/>
        </w:rPr>
      </w:pPr>
      <w:r>
        <w:rPr>
          <w:rFonts w:ascii="Calibri;sans-serif" w:hAnsi="Calibri;sans-serif"/>
          <w:color w:val="000000"/>
          <w:sz w:val="20"/>
        </w:rPr>
        <w:t>We began to recognize revenue from product sales, net of rebates, chargebacks, discounts, and other adjustments, in November 2023 in conjunction with the commercial launch of VOQUEZNA, VOQUEZNA TRIPLE PAK, and VOQUEZNA DUAL PAK in the United States.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Cost of Revenue</w:t>
      </w:r>
    </w:p>
    <w:p>
      <w:pPr>
        <w:pStyle w:val="TextBody"/>
        <w:bidi w:val="0"/>
        <w:spacing w:before="200" w:after="283"/>
        <w:jc w:val="left"/>
        <w:rPr>
          <w:rFonts w:ascii="Times New Roman" w:hAnsi="Times New Roman"/>
          <w:sz w:val="20"/>
        </w:rPr>
      </w:pPr>
      <w:r>
        <w:rPr>
          <w:rFonts w:ascii="Calibri;sans-serif" w:hAnsi="Calibri;sans-serif"/>
          <w:color w:val="000000"/>
          <w:sz w:val="20"/>
        </w:rPr>
        <w:t>Cost of revenue includes the cost of producing and distributing inventories that are related to product sales. This also includes royalties payable to Takeda, pursuant to the Takeda License Agreement (Refer to Note 3 for further details). In addition, shipping and handling costs for product sales are recorded as incurred. Cost of revenue also includes costs related to excess or obsolete inventory adjustment charges.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Expenses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Research and Development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To date, our research and development expenses have related to the development and regulatory approvals of vonoprazan. Research and development expenses are recognized as incurred and payments made prior to the receipt of goods or services to be used in research and development are capitalized until the goods or services are received. We do not track total research and development expenses by indication.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Research and development expenses include: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Clinical development expenses:</w:t>
      </w:r>
      <w:r>
        <w:rPr>
          <w:color w:val="000000"/>
        </w:rPr>
        <w:t xml:space="preserve"> </w:t>
      </w:r>
      <w:r>
        <w:rPr>
          <w:rFonts w:ascii="Calibri;sans-serif" w:hAnsi="Calibri;sans-serif"/>
          <w:color w:val="000000"/>
          <w:sz w:val="20"/>
        </w:rPr>
        <w:t xml:space="preserve">external research and development expenses incurred under agreements with CROs, regulatory costs, and consultants to conduct and support our clinical trials of vonoprazan;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Personnel related expenses</w:t>
      </w:r>
      <w:r>
        <w:rPr>
          <w:rFonts w:ascii="Calibri;sans-serif" w:hAnsi="Calibri;sans-serif"/>
          <w:color w:val="000000"/>
          <w:sz w:val="20"/>
        </w:rPr>
        <w:t xml:space="preserve">: salaries, payroll taxes, and employee benefits;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Chemistry manufacturing and controls, or CMC, expenses:</w:t>
      </w:r>
      <w:r>
        <w:rPr>
          <w:color w:val="000000"/>
        </w:rPr>
        <w:t xml:space="preserve"> </w:t>
      </w:r>
      <w:r>
        <w:rPr>
          <w:rFonts w:ascii="Calibri;sans-serif" w:hAnsi="Calibri;sans-serif"/>
          <w:color w:val="000000"/>
          <w:sz w:val="20"/>
        </w:rPr>
        <w:t xml:space="preserve">costs related to the manufacturing of vonoprazan for our clinical trials;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 xml:space="preserve">Consulting, professional and other costs: </w:t>
      </w:r>
      <w:r>
        <w:rPr>
          <w:rFonts w:ascii="Calibri;sans-serif" w:hAnsi="Calibri;sans-serif"/>
          <w:color w:val="000000"/>
          <w:sz w:val="20"/>
        </w:rPr>
        <w:t>external costs related to consulting and professional services and other research costs incurred; and</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Calibri;sans-serif" w:hAnsi="Calibri;sans-serif"/>
          <w:i/>
          <w:color w:val="000000"/>
          <w:sz w:val="20"/>
        </w:rPr>
        <w:t>Stock-based compensation expenses</w:t>
      </w:r>
      <w:r>
        <w:rPr>
          <w:rFonts w:ascii="Calibri;sans-serif" w:hAnsi="Calibri;sans-serif"/>
          <w:color w:val="000000"/>
          <w:sz w:val="20"/>
        </w:rPr>
        <w:t>: stock-based compensation expense recognized for those individuals involved in research and development efforts.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research and development expenses for the three and nine months ended September 30, 2024 and 2023 (in thousands):</w:t>
      </w:r>
    </w:p>
    <w:tbl>
      <w:tblPr>
        <w:tblW w:w="8477" w:type="dxa"/>
        <w:jc w:val="left"/>
        <w:tblInd w:w="0" w:type="dxa"/>
        <w:tblLayout w:type="fixed"/>
        <w:tblCellMar>
          <w:top w:w="28" w:type="dxa"/>
          <w:left w:w="28" w:type="dxa"/>
          <w:bottom w:w="28" w:type="dxa"/>
          <w:right w:w="28" w:type="dxa"/>
        </w:tblCellMar>
      </w:tblPr>
      <w:tblGrid>
        <w:gridCol w:w="3621"/>
        <w:gridCol w:w="146"/>
        <w:gridCol w:w="211"/>
        <w:gridCol w:w="571"/>
        <w:gridCol w:w="146"/>
        <w:gridCol w:w="146"/>
        <w:gridCol w:w="211"/>
        <w:gridCol w:w="676"/>
        <w:gridCol w:w="146"/>
        <w:gridCol w:w="146"/>
        <w:gridCol w:w="211"/>
        <w:gridCol w:w="676"/>
        <w:gridCol w:w="146"/>
        <w:gridCol w:w="146"/>
        <w:gridCol w:w="211"/>
        <w:gridCol w:w="676"/>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Clinical development and regulatory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13,645</w:t>
            </w:r>
          </w:p>
        </w:tc>
        <w:tc>
          <w:tcPr>
            <w:tcW w:w="391" w:type="dxa"/>
            <w:tcBorders/>
            <w:shd w:fill="CFF0FC" w:val="clear"/>
            <w:vAlign w:val="center"/>
          </w:tcPr>
          <w:p>
            <w:pPr>
              <w:pStyle w:val="TableContents"/>
              <w:bidi w:val="0"/>
              <w:spacing w:before="0" w:after="283"/>
              <w:jc w:val="left"/>
              <w:rPr/>
            </w:pPr>
            <w:r>
              <w:rPr/>
              <w:t> </w:t>
            </w:r>
          </w:p>
        </w:tc>
      </w:tr>
      <w:tr>
        <w:trPr/>
        <w:tc>
          <w:tcPr>
            <w:tcW w:w="36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Personnel related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2,606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8,263</w:t>
            </w:r>
          </w:p>
        </w:tc>
        <w:tc>
          <w:tcPr>
            <w:tcW w:w="391" w:type="dxa"/>
            <w:tcBorders/>
            <w:shd w:fill="FFFFFF" w:val="clear"/>
            <w:vAlign w:val="center"/>
          </w:tcPr>
          <w:p>
            <w:pPr>
              <w:pStyle w:val="TableContents"/>
              <w:bidi w:val="0"/>
              <w:spacing w:before="0" w:after="283"/>
              <w:jc w:val="left"/>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Chemistry manufacturing and controls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7,775</w:t>
            </w:r>
          </w:p>
        </w:tc>
        <w:tc>
          <w:tcPr>
            <w:tcW w:w="391" w:type="dxa"/>
            <w:tcBorders/>
            <w:shd w:fill="CFF0FC" w:val="clear"/>
            <w:vAlign w:val="center"/>
          </w:tcPr>
          <w:p>
            <w:pPr>
              <w:pStyle w:val="TableContents"/>
              <w:bidi w:val="0"/>
              <w:spacing w:before="0" w:after="283"/>
              <w:jc w:val="left"/>
              <w:rPr/>
            </w:pPr>
            <w:r>
              <w:rPr/>
              <w:t> </w:t>
            </w:r>
          </w:p>
        </w:tc>
      </w:tr>
      <w:tr>
        <w:trPr/>
        <w:tc>
          <w:tcPr>
            <w:tcW w:w="36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Consulting, professional and other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1,845</w:t>
            </w:r>
          </w:p>
        </w:tc>
        <w:tc>
          <w:tcPr>
            <w:tcW w:w="391" w:type="dxa"/>
            <w:tcBorders/>
            <w:shd w:fill="FFFFFF" w:val="clear"/>
            <w:vAlign w:val="center"/>
          </w:tcPr>
          <w:p>
            <w:pPr>
              <w:pStyle w:val="TableContents"/>
              <w:bidi w:val="0"/>
              <w:spacing w:before="0" w:after="283"/>
              <w:jc w:val="left"/>
              <w:rPr/>
            </w:pPr>
            <w:r>
              <w:rPr/>
              <w:t> </w:t>
            </w:r>
          </w:p>
        </w:tc>
      </w:tr>
      <w:tr>
        <w:trPr/>
        <w:tc>
          <w:tcPr>
            <w:tcW w:w="36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plan to invest in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Selling, General and Administrative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Selling, general and administrative expenses consist of salaries and employee-related costs, including stock-based compensation, for personnel in commercial, executive, finance, accounting, legal, human resources and other administrative functions, legal fees relating to intellectual property and corporate matters, and professional fees for accounting and consulting services. We anticipate that our selling, general and administrative expenses will increase in the future to support our commercialization activities and research and development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Income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Interest income consists of interest on our money market funds.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Interest Expense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Beginning on May 3, 2022, interest expense includes interest on the Revenue Interest Financing Agreement, which is based on the imputed effective rate derived from expected future payments and the carrying value of the obligation. We recalculate the effective interest rate each period based on the current carrying value and the revised estimated future payments. Changes in future payments from previous estimates are included in current and future interest expense.</w:t>
      </w:r>
    </w:p>
    <w:p>
      <w:pPr>
        <w:pStyle w:val="TextBody"/>
        <w:bidi w:val="0"/>
        <w:spacing w:before="200" w:after="283"/>
        <w:jc w:val="left"/>
        <w:rPr>
          <w:rFonts w:ascii="Times New Roman" w:hAnsi="Times New Roman"/>
          <w:sz w:val="20"/>
        </w:rPr>
      </w:pPr>
      <w:r>
        <w:rPr>
          <w:rFonts w:ascii="Calibri;sans-serif" w:hAnsi="Calibri;sans-serif"/>
          <w:color w:val="000000"/>
          <w:sz w:val="20"/>
        </w:rPr>
        <w:t>Beginning on December 14, 2023, interest expense under the Loan Agreement consists of (i) cash interest at a variable annual rate equal to the greater of (a) 9.85% and (b) the Prime Rate (as reported in the Wall Street Journal) plus 1.35% and provided that the cash interest rate shall be capped at 10.35% and upon Company achieving the certain milestones, the cash interest shall be decreased by 0.35%, (ii) payment-in-kind interest at a per annum rate of interest equal to 2.15%, and (iii) amortization of the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From September 17, 2021 through December 13, 2023, interest expense under the Loan Agreement consisted of (i) cash interest at a variable annual rate equal to the greater of (a) 5.50% and (b) the Prime Rate (as reported in the Wall Street Journal) plus 2.25% or the Interest Rate, (ii) payment-in-kind interest at a per annum rate of interest equal to 3.35%, and (iii) amortization of the Loan Agreement debt discount recorded in connection with the fair value of warrants issued to the lenders, the debt issuance costs incurred, and the obligation to make a final payment.</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Results of Operations</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Comparison of the Nine Months Ended September 30, 2024 and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results of operations for the nine months ended September 30, 2024 and 2023 (in thousands):</w:t>
      </w:r>
    </w:p>
    <w:tbl>
      <w:tblPr>
        <w:tblW w:w="7158" w:type="dxa"/>
        <w:jc w:val="left"/>
        <w:tblInd w:w="0" w:type="dxa"/>
        <w:tblLayout w:type="fixed"/>
        <w:tblCellMar>
          <w:top w:w="28" w:type="dxa"/>
          <w:left w:w="28" w:type="dxa"/>
          <w:bottom w:w="28" w:type="dxa"/>
          <w:right w:w="28" w:type="dxa"/>
        </w:tblCellMar>
      </w:tblPr>
      <w:tblGrid>
        <w:gridCol w:w="2921"/>
        <w:gridCol w:w="146"/>
        <w:gridCol w:w="211"/>
        <w:gridCol w:w="841"/>
        <w:gridCol w:w="166"/>
        <w:gridCol w:w="146"/>
        <w:gridCol w:w="211"/>
        <w:gridCol w:w="841"/>
        <w:gridCol w:w="166"/>
        <w:gridCol w:w="146"/>
        <w:gridCol w:w="211"/>
        <w:gridCol w:w="841"/>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25,588</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21,430</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36,505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(11,006</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213,981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153,049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239,480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142,043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(218,050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(97,437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(120,613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7,120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(53,416</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(28,939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(24,477</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(41,825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(24,585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(17,240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(259,875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(137,853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Revenue. </w:t>
      </w:r>
      <w:r>
        <w:rPr>
          <w:rFonts w:ascii="Calibri;sans-serif" w:hAnsi="Calibri;sans-serif"/>
          <w:color w:val="000000"/>
          <w:sz w:val="20"/>
        </w:rPr>
        <w:t>Product revenues were $25.6 million for the nine months ended September 30, 2024 related to sales of VOQUEZNA, VOQUEZNA TRIPLE PAK, and VOQUEZNA DUAL PAK which were launched in the fourth quarter of 2023.</w:t>
      </w:r>
    </w:p>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Cost of Revenue. </w:t>
      </w:r>
      <w:r>
        <w:rPr>
          <w:rFonts w:ascii="Calibri;sans-serif" w:hAnsi="Calibri;sans-serif"/>
          <w:color w:val="000000"/>
          <w:sz w:val="20"/>
        </w:rPr>
        <w:t>Cost of revenue was $4.2 million for the nine months ended September 30, 2024.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nine months ended September 30, 2024.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Research and Development Expenses.</w:t>
      </w:r>
      <w:r>
        <w:rPr>
          <w:rFonts w:ascii="Times New Roman" w:hAnsi="Times New Roman"/>
          <w:color w:val="000000"/>
          <w:sz w:val="20"/>
        </w:rPr>
        <w:t xml:space="preserve"> </w:t>
      </w:r>
      <w:r>
        <w:rPr>
          <w:rFonts w:ascii="Calibri;sans-serif" w:hAnsi="Calibri;sans-serif"/>
          <w:color w:val="000000"/>
          <w:sz w:val="20"/>
        </w:rPr>
        <w:t>Research and development expenses were $25.5 million and $36.5 million for the nine months ended September 30, 2024 and 2023, respectively. The decrease of $11.0 million consisted of reductions of $5.0 million of CMC costs related to vonoprazan, $5.0 million of regulatory and clinical study related expenses due to the wrapping up of our PHALCON-NERD-301 Phase 3 daily dosing study, and $1.0 million related to personnel-related expenses primarily for stock-based compensation.</w:t>
      </w:r>
    </w:p>
    <w:p>
      <w:pPr>
        <w:pStyle w:val="TextBody"/>
        <w:bidi w:val="0"/>
        <w:spacing w:before="200" w:after="283"/>
        <w:jc w:val="left"/>
        <w:rPr>
          <w:rFonts w:ascii="Times New Roman" w:hAnsi="Times New Roman"/>
          <w:sz w:val="20"/>
        </w:rPr>
      </w:pPr>
      <w:r>
        <w:rPr>
          <w:rFonts w:ascii="Calibri;sans-serif" w:hAnsi="Calibri;sans-serif"/>
          <w:i/>
          <w:color w:val="000000"/>
          <w:sz w:val="20"/>
        </w:rPr>
        <w:t>Selling, General and Administrative Expenses.</w:t>
      </w:r>
      <w:r>
        <w:rPr>
          <w:rFonts w:ascii="Times New Roman" w:hAnsi="Times New Roman"/>
          <w:color w:val="000000"/>
          <w:sz w:val="20"/>
        </w:rPr>
        <w:t xml:space="preserve"> </w:t>
      </w:r>
      <w:r>
        <w:rPr>
          <w:rFonts w:ascii="Calibri;sans-serif" w:hAnsi="Calibri;sans-serif"/>
          <w:color w:val="000000"/>
          <w:sz w:val="20"/>
        </w:rPr>
        <w:t>Selling, general and administrative expenses were $214.0 million and $60.9 million for the nine months ended September 30, 2024 and 2023, respectively. The increase of $153.1 million was due to increases of $94.3 million commercial expenses related to the launch of VOQUEZNA products, which includes $53.3 million of external project spend and $41.0 million in advertising and promotional expenses in support of our commercial launch of VOQUEZNA products, $59.9 million increase in personnel-related expenses, partially offset by a decrease of $1.1 million in consulting and other professional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i/>
          <w:color w:val="000000"/>
          <w:sz w:val="20"/>
        </w:rPr>
        <w:t>Other Income (Expense).</w:t>
      </w:r>
      <w:r>
        <w:rPr>
          <w:rFonts w:ascii="Times New Roman" w:hAnsi="Times New Roman"/>
          <w:color w:val="000000"/>
          <w:sz w:val="20"/>
        </w:rPr>
        <w:t xml:space="preserve"> </w:t>
      </w:r>
      <w:r>
        <w:rPr>
          <w:rFonts w:ascii="Calibri;sans-serif" w:hAnsi="Calibri;sans-serif"/>
          <w:color w:val="000000"/>
          <w:sz w:val="20"/>
        </w:rPr>
        <w:t>Other expense of $41.8 million for the nine months ended September 30, 2024 consisted of $53.4 million of interest expense under the Loan Agreement and Revenue Interest Financing Agreement, partially offset by $11.6 million of interest income related to cash held in money market funds. Other expense of $24.6 million for the nine months ended September 30, 2023 consisted of $28.9 million of interest expense under the Loan Agreement and Revenue Interest Financing Agreement and $0.2 million of other expense, partially offset by $4.5 million of interest income related to cash held in money market funds. Interest expense increased due to a higher debt balance under the Loan Agreement as well as a higher liability related to our Revenue Interest Financing Agreement versus the prior period, partially offset by higher interest income due to our increased cash position.</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Comparison of the Three Months Ended September 30, 2024 and 2023</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summarizes our results of operations for the three months ended September 30, 2024 and 2023 (in thousands):</w:t>
      </w:r>
    </w:p>
    <w:tbl>
      <w:tblPr>
        <w:tblW w:w="6843" w:type="dxa"/>
        <w:jc w:val="left"/>
        <w:tblInd w:w="0" w:type="dxa"/>
        <w:tblLayout w:type="fixed"/>
        <w:tblCellMar>
          <w:top w:w="28" w:type="dxa"/>
          <w:left w:w="28" w:type="dxa"/>
          <w:bottom w:w="28" w:type="dxa"/>
          <w:right w:w="28" w:type="dxa"/>
        </w:tblCellMar>
      </w:tblPr>
      <w:tblGrid>
        <w:gridCol w:w="2921"/>
        <w:gridCol w:w="146"/>
        <w:gridCol w:w="211"/>
        <w:gridCol w:w="736"/>
        <w:gridCol w:w="166"/>
        <w:gridCol w:w="146"/>
        <w:gridCol w:w="211"/>
        <w:gridCol w:w="736"/>
        <w:gridCol w:w="166"/>
        <w:gridCol w:w="146"/>
        <w:gridCol w:w="211"/>
        <w:gridCol w:w="736"/>
        <w:gridCol w:w="31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Product revenue,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16,352</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2,356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13,996</w:t>
            </w:r>
          </w:p>
        </w:tc>
        <w:tc>
          <w:tcPr>
            <w:tcW w:w="311" w:type="dxa"/>
            <w:tcBorders/>
            <w:shd w:fill="CFF0FC" w:val="cle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12,263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(3,570</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76,099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23,396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52,703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84,792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49,133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(35,137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3,711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991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(18,484</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(10,107</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(8,377</w:t>
            </w:r>
          </w:p>
        </w:tc>
        <w:tc>
          <w:tcPr>
            <w:tcW w:w="311" w:type="dxa"/>
            <w:tcBorders/>
            <w:shd w:fill="CFF0FC" w:val="clear"/>
            <w:vAlign w:val="center"/>
          </w:tcPr>
          <w:p>
            <w:pPr>
              <w:pStyle w:val="TableContents"/>
              <w:bidi w:val="0"/>
              <w:spacing w:before="0" w:after="283"/>
              <w:ind w:left="0" w:right="0" w:firstLine="100"/>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ind w:left="100" w:right="0" w:firstLine="100"/>
              <w:jc w:val="left"/>
              <w:rPr>
                <w:rFonts w:ascii="Calibri;sans-serif" w:hAnsi="Calibri;sans-serif"/>
                <w:color w:val="000000"/>
                <w:sz w:val="20"/>
              </w:rPr>
            </w:pPr>
            <w:r>
              <w:rPr>
                <w:rFonts w:ascii="Calibri;sans-serif" w:hAnsi="Calibri;sans-serif"/>
                <w:color w:val="000000"/>
                <w:sz w:val="20"/>
              </w:rPr>
              <w:t>Other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189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(14,781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(7,197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r>
        <w:trPr/>
        <w:tc>
          <w:tcPr>
            <w:tcW w:w="292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(85,577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(43,243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(42,334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Revenue. </w:t>
      </w:r>
      <w:r>
        <w:rPr>
          <w:rFonts w:ascii="Calibri;sans-serif" w:hAnsi="Calibri;sans-serif"/>
          <w:color w:val="000000"/>
          <w:sz w:val="20"/>
        </w:rPr>
        <w:t>Product revenues were $16.4 million for the three months ended September 30, 2024 related to sales of VOQUEZNA, VOQUEZNA TRIPLE PAK, and VOQUEZNA DUAL PAK which were launched in the fourth quarter of 2023.</w:t>
      </w:r>
    </w:p>
    <w:p>
      <w:pPr>
        <w:pStyle w:val="TextBody"/>
        <w:bidi w:val="0"/>
        <w:spacing w:before="200" w:after="283"/>
        <w:jc w:val="left"/>
        <w:rPr>
          <w:rFonts w:ascii="Times New Roman" w:hAnsi="Times New Roman"/>
          <w:sz w:val="20"/>
        </w:rPr>
      </w:pPr>
      <w:r>
        <w:rPr>
          <w:rFonts w:ascii="Calibri;sans-serif" w:hAnsi="Calibri;sans-serif"/>
          <w:i/>
          <w:color w:val="000000"/>
          <w:sz w:val="20"/>
        </w:rPr>
        <w:t xml:space="preserve">Cost of Revenue. </w:t>
      </w:r>
      <w:r>
        <w:rPr>
          <w:rFonts w:ascii="Calibri;sans-serif" w:hAnsi="Calibri;sans-serif"/>
          <w:color w:val="000000"/>
          <w:sz w:val="20"/>
        </w:rPr>
        <w:t>Cost of revenue was $2.4 million for the three months ended September 30, 2024. In periods prior to receiving FDA approval for VOQUEZNA, we recognized inventory and related costs associated with the manufacture of VOQUEZNA as research and development expense and as such, the cost of revenue and related gross profits are not necessarily indicative of future costs of revenue and gross profit. Therefore, the manufacturing costs related to the inventory purchased before FDA approval were already expensed in a prior period and are therefore excluded from the cost of revenue for the three months ended September 30, 2024. These previously expensed costs were not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Research and Development Expenses.</w:t>
      </w:r>
      <w:r>
        <w:rPr>
          <w:rFonts w:ascii="Times New Roman" w:hAnsi="Times New Roman"/>
          <w:color w:val="000000"/>
          <w:sz w:val="20"/>
        </w:rPr>
        <w:t xml:space="preserve"> </w:t>
      </w:r>
      <w:r>
        <w:rPr>
          <w:rFonts w:ascii="Calibri;sans-serif" w:hAnsi="Calibri;sans-serif"/>
          <w:color w:val="000000"/>
          <w:sz w:val="20"/>
        </w:rPr>
        <w:t>Research and development expenses were $8.7 million and $12.3 million for the three months ended September 30, 2024 and 2023, respectively. The decrease of $3.6 million consisted of reductions of $3.4 million of regulatory and clinical study related expenses due to the wrapping up of our PHALCON-NERD-301 Phase 3 daily dosing study, and $0.2 million of CMC costs related to vonoprazan.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i/>
          <w:color w:val="000000"/>
          <w:sz w:val="20"/>
        </w:rPr>
        <w:t>Selling, General and Administrative Expenses.</w:t>
      </w:r>
      <w:r>
        <w:rPr>
          <w:rFonts w:ascii="Times New Roman" w:hAnsi="Times New Roman"/>
          <w:color w:val="000000"/>
          <w:sz w:val="20"/>
        </w:rPr>
        <w:t xml:space="preserve"> </w:t>
      </w:r>
      <w:r>
        <w:rPr>
          <w:rFonts w:ascii="Calibri;sans-serif" w:hAnsi="Calibri;sans-serif"/>
          <w:color w:val="000000"/>
          <w:sz w:val="20"/>
        </w:rPr>
        <w:t>Selling, general and administrative expenses were $76.1 million and $23.4 million for the three months ended September 30, 2024 and 2023, respectively. The increase of $52.7 million was due to increases of $37.1 million of commercial expenses related to the launch of VOQUEZNA products, which includes $19.6 million of external project spend and $17.5 million in advertising and promotional expenses in support of our commercial launch of VOQUEZNA products, $20.1 million increase in personnel-related expenses, partially offset by a decrease of $4.5 million in consulting and other professional services.</w:t>
      </w:r>
    </w:p>
    <w:p>
      <w:pPr>
        <w:pStyle w:val="TextBody"/>
        <w:bidi w:val="0"/>
        <w:spacing w:before="200" w:after="283"/>
        <w:jc w:val="left"/>
        <w:rPr>
          <w:rFonts w:ascii="Times New Roman" w:hAnsi="Times New Roman"/>
          <w:sz w:val="20"/>
        </w:rPr>
      </w:pPr>
      <w:r>
        <w:rPr>
          <w:rFonts w:ascii="Calibri;sans-serif" w:hAnsi="Calibri;sans-serif"/>
          <w:i/>
          <w:color w:val="000000"/>
          <w:sz w:val="20"/>
        </w:rPr>
        <w:t>Other Income (Expense).</w:t>
      </w:r>
      <w:r>
        <w:rPr>
          <w:rFonts w:ascii="Times New Roman" w:hAnsi="Times New Roman"/>
          <w:color w:val="000000"/>
          <w:sz w:val="20"/>
        </w:rPr>
        <w:t xml:space="preserve"> </w:t>
      </w:r>
      <w:r>
        <w:rPr>
          <w:rFonts w:ascii="Calibri;sans-serif" w:hAnsi="Calibri;sans-serif"/>
          <w:color w:val="000000"/>
          <w:sz w:val="20"/>
        </w:rPr>
        <w:t>Other expense of $14.8 million for the three months ended September 30, 2024 consisted of $18.5 million of interest expense under the Loan Agreement and Revenue Interest Financing Agreement, partially offset by $3.7 million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interest income related to cash held in money market funds. Other expense of $7.6 million for the three months ended September 30, 2023 consisted of $10.1 million of interest expense under the Loan Agreement and Revenue Interest Financing Agreement and $0.2 million of other expense, partially offset by $2.7 million of interest income related to cash held in money market funds. Interest expense increased due to a higher debt balance under the Loan Agreement as well as a higher liability related to our Revenue Interest Financing Agreement versus the prior period, partially offset by higher interest income due to our increased cash position.</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have incurred net losses and negative cash flows from operations since our inception and anticipate we will continue to incur net losses for the foreseeable future. As of September 30, 2024, we had cash and cash equivalents of $334.7 million.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Loan Agreement with Hercules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September 17, 2021, or the Closing Date, we entered into the Loan Agreement with Hercules (in such capacity, the Agent or Hercules), as administrative agent and collateral agent and as a lender and the other financial institutions that from time to time become parties to the Loan Agreement as lenders (collectively, the Lenders).</w:t>
      </w:r>
    </w:p>
    <w:p>
      <w:pPr>
        <w:pStyle w:val="TextBody"/>
        <w:bidi w:val="0"/>
        <w:spacing w:before="200" w:after="283"/>
        <w:jc w:val="left"/>
        <w:rPr>
          <w:rFonts w:ascii="Times New Roman" w:hAnsi="Times New Roman"/>
          <w:sz w:val="20"/>
        </w:rPr>
      </w:pPr>
      <w:r>
        <w:rPr>
          <w:rFonts w:ascii="Calibri;sans-serif" w:hAnsi="Calibri;sans-serif"/>
          <w:color w:val="000000"/>
          <w:sz w:val="20"/>
        </w:rPr>
        <w:t>The Loan Agreement provides for term loans in an aggregate principal amount of up to $200 million, or the Term Loan, under multiple tranches. The tranches consist of (i) a first tranche consisting of term loans in an aggregate principal amount of $100 million, all of which was funded on the Closing Date, or the First Advance, (ii) a second tranche consisting of up to an additional $50 million, (iii) a third and fourth tranches consisting of an additional total $50 million, which became available to us in May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0"/>
        </w:rPr>
        <w:t>On September 27, 2022, we entered into an amendment to the Loan Agreement, or the Second Loan Amendment, pursuant to which the date the second tranche of funding of $50 million will remain available to us has been moved until May 15, 2023, rather than December 15, 2022.</w:t>
      </w:r>
      <w:r>
        <w:rPr>
          <w:rFonts w:ascii="Times New Roman" w:hAnsi="Times New Roman"/>
          <w:color w:val="000000"/>
          <w:sz w:val="20"/>
        </w:rPr>
        <w:t xml:space="preserve"> </w:t>
      </w:r>
    </w:p>
    <w:p>
      <w:pPr>
        <w:pStyle w:val="TextBody"/>
        <w:bidi w:val="0"/>
        <w:spacing w:before="200" w:after="120"/>
        <w:jc w:val="left"/>
        <w:rPr>
          <w:rFonts w:ascii="Calibri;sans-serif" w:hAnsi="Calibri;sans-serif"/>
          <w:color w:val="000000"/>
          <w:sz w:val="20"/>
        </w:rPr>
      </w:pPr>
      <w:r>
        <w:rPr>
          <w:rFonts w:ascii="Calibri;sans-serif" w:hAnsi="Calibri;sans-serif"/>
          <w:color w:val="000000"/>
          <w:sz w:val="20"/>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effective date of the Performance Covenants was amended to provide an option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connection with the Third Loan Amendment, a tranche extension amendment fee of $150,000 and a covenant extension amendment fee of $100,000 was paid to the Agent. These fees have been recorded as debt discount and are being amortized to interest expense using the effective interest method over the remaining term of the Term Loan.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December 14, 2023, we entered into a Fourth Amendment to Loan and Security Agreement, or the Fourth Loan Amendment, with the lenders, which, among other things, (i) increases the aggregate principal amount of the term loans from $200 million to $300 million; (ii) provides for the possibility of accessing the $200 million commitment through five additional tranches referred to as tranches 2 through 6, which are available subject to certain milestones and conditions: (a) Tranche 2: $50 million, $40 million of which was funded on December 14, 2023, available through March 15, 2024, (b) Tranche 3: $25 million available through June 15, 2024, (c) Tranche 4: $25 million available through December 15, 2024, (d) Tranche 5: $50 million available, subject to the achievement of a specified revenue milestone, through June 30, 2025, and (e) Tranche 6: $50 million available, subject to the achievement of a specified revenue milestone, through December 31, 2025; (iii) extends the interest only period and the maturity date from October 2026 to December 2027, (iv) reduces the cash interest rate from 10.75% (floating annual rate equal to the greater of (a) 5.50% and (b) the Prime Rate (as reported in the Wall Street Journal) plus 2.25% to 9.85% (floating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connection with the Fourth Loan Amendment, an amendment fee of $250,000 was paid to the Agent and was recorded as a debt discount and being amortized to interest expense using the effective interest method over the remaining term of the Term Loan.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March 15, 2024, we drew down the remaining $10 million available under the Second Tranche. In addition, on June 14, 2024, we drew down the $25 million available under the Third Tranche.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 only through the Maturity Date. After the interest-only period, the principal balance and related interest will be required to be repaid in full on the Maturity Date.</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addition, we are obligated to pay a final payment fee of 7.50% of the original principal amount of amounts actually advanced under the Term Loan, or each a Term Loan Advance and together, the Term Loan Advances. In connection with the Fourth Loan Amendment, the final payment fee was amended to be $1 million plus 3.00% of any future tranche drawdowns under the agreement, due upon final maturity. Additionally, the initial final payment fee for the first term Loan advance was amended to become payable on October 1, 2026. As of September 30, 2024, the aggregate final payment fee for the first Term Loan Advance of $7.5 million, $2.5 million for the second Term Loan Advance, and $0.8 million for the third Term Loan Advance have been recorded within other long-term liabilities.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Fourth Loan Amendment, we may elect to prepay all or a portion of the Term Loan Advances prior to maturity, subject to a prepayment fee of up to 1.25% of the then outstanding principal balance of the Term Loan Advances being prepaid when such prepayment occurs prior to October 1, 2026, or 0.50% if such prepayment occurs on or after October 1, 2026. After repayment, no Term Loan amounts may be borrowed again.</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Loan Agreement contains customary closing fees, prepayment fees and provisions, events of default, and representations, warranties and covenants, including financial covenants. The financial covenants under the Fourth Loan Amendment include (i) a minimum cash covenant and (ii) a performance covenant as follows:</w:t>
      </w:r>
    </w:p>
    <w:p>
      <w:pPr>
        <w:pStyle w:val="TextBody"/>
        <w:bidi w:val="0"/>
        <w:spacing w:before="120" w:after="283"/>
        <w:jc w:val="left"/>
        <w:rPr>
          <w:rFonts w:ascii="Calibri" w:hAnsi="Calibri"/>
          <w:color w:val="000000"/>
          <w:sz w:val="20"/>
        </w:rPr>
      </w:pPr>
      <w:r>
        <w:rPr>
          <w:rFonts w:ascii="Calibri" w:hAnsi="Calibri"/>
          <w:color w:val="000000"/>
          <w:sz w:val="20"/>
        </w:rPr>
        <w:t>(i)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Minimum cash covenant - We must maintain a minimum cash balance of 20% of the outstanding principal balance at all times. The minimum cash balance may be increased to 35% or 50% under performance covenant (b) below if the performance covenants (a) or (c) are not met beginning September 30, 2024 and all times thereafter. </w:t>
      </w:r>
    </w:p>
    <w:p>
      <w:pPr>
        <w:pStyle w:val="TextBody"/>
        <w:bidi w:val="0"/>
        <w:spacing w:before="120" w:after="283"/>
        <w:jc w:val="left"/>
        <w:rPr>
          <w:rFonts w:ascii="Calibri" w:hAnsi="Calibri"/>
          <w:color w:val="000000"/>
          <w:sz w:val="20"/>
        </w:rPr>
      </w:pPr>
      <w:r>
        <w:rPr>
          <w:rFonts w:ascii="Calibri" w:hAnsi="Calibri"/>
          <w:color w:val="000000"/>
          <w:sz w:val="20"/>
        </w:rPr>
        <w:t>(ii)</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Performance covenant - Beginning September 30, 2024 and all times thereafter we must satisfy any one of the following:</w:t>
      </w:r>
    </w:p>
    <w:p>
      <w:pPr>
        <w:pStyle w:val="TextBody"/>
        <w:bidi w:val="0"/>
        <w:spacing w:before="120" w:after="283"/>
        <w:jc w:val="left"/>
        <w:rPr>
          <w:rFonts w:ascii="Calibri" w:hAnsi="Calibri"/>
          <w:color w:val="000000"/>
          <w:sz w:val="20"/>
        </w:rPr>
      </w:pPr>
      <w:r>
        <w:rPr>
          <w:rFonts w:ascii="Calibri" w:hAnsi="Calibri"/>
          <w:color w:val="000000"/>
          <w:sz w:val="20"/>
        </w:rPr>
        <w:t>a.</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Market capitalization exceeding $900 million;</w:t>
      </w:r>
    </w:p>
    <w:p>
      <w:pPr>
        <w:pStyle w:val="TextBody"/>
        <w:bidi w:val="0"/>
        <w:spacing w:before="120" w:after="283"/>
        <w:jc w:val="left"/>
        <w:rPr>
          <w:rFonts w:ascii="Calibri" w:hAnsi="Calibri"/>
          <w:color w:val="000000"/>
          <w:sz w:val="20"/>
        </w:rPr>
      </w:pPr>
      <w:r>
        <w:rPr>
          <w:rFonts w:ascii="Calibri" w:hAnsi="Calibri"/>
          <w:color w:val="000000"/>
          <w:sz w:val="20"/>
        </w:rPr>
        <w:t>b.</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Minimum cash balance exceeding (x) outstanding principal amount of term loans, multiplied by (y) (A) 50%, prior to achieving trailing three months net product revenue of greater than $35 million, and (B) 35% thereafter; or</w:t>
      </w:r>
    </w:p>
    <w:p>
      <w:pPr>
        <w:pStyle w:val="TextBody"/>
        <w:bidi w:val="0"/>
        <w:spacing w:before="120" w:after="283"/>
        <w:jc w:val="left"/>
        <w:rPr>
          <w:rFonts w:ascii="Calibri" w:hAnsi="Calibri"/>
          <w:color w:val="000000"/>
          <w:sz w:val="20"/>
        </w:rPr>
      </w:pPr>
      <w:r>
        <w:rPr>
          <w:rFonts w:ascii="Calibri" w:hAnsi="Calibri"/>
          <w:color w:val="000000"/>
          <w:sz w:val="20"/>
        </w:rPr>
        <w:t>c.</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Trailing three months net product revenue of at least (x) 30% of agreed upon projected net revenues for periods in the calendar year 2024 and 25% for all periods thereafter or (y) $120 million.</w:t>
      </w:r>
    </w:p>
    <w:p>
      <w:pPr>
        <w:pStyle w:val="TextBody"/>
        <w:bidi w:val="0"/>
        <w:spacing w:before="200" w:after="283"/>
        <w:jc w:val="left"/>
        <w:rPr>
          <w:rFonts w:ascii="Times New Roman" w:hAnsi="Times New Roman"/>
          <w:sz w:val="20"/>
        </w:rPr>
      </w:pPr>
      <w:r>
        <w:rPr>
          <w:rFonts w:ascii="Calibri;sans-serif" w:hAnsi="Calibri;sans-serif"/>
          <w:color w:val="000000"/>
          <w:sz w:val="20"/>
        </w:rPr>
        <w:t>Upon the occurrence of an event of default, subject to any specified cure periods, all amounts owed by us may be declared immediately due and payable by Hercules, as collateral agent.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September 30, 2024, we were in compliance with all applicable covenants under the Loan Agreement.</w:t>
      </w:r>
    </w:p>
    <w:p>
      <w:pPr>
        <w:pStyle w:val="TextBody"/>
        <w:bidi w:val="0"/>
        <w:spacing w:before="200" w:after="283"/>
        <w:jc w:val="left"/>
        <w:rPr>
          <w:rFonts w:ascii="Times New Roman" w:hAnsi="Times New Roman"/>
          <w:sz w:val="20"/>
        </w:rPr>
      </w:pPr>
      <w:r>
        <w:rPr>
          <w:rFonts w:ascii="Calibri;sans-serif" w:hAnsi="Calibri;sans-serif"/>
          <w:color w:val="000000"/>
          <w:sz w:val="20"/>
        </w:rPr>
        <w:t>As collateral for the obligations, we granted Hercules a senior security interest in all of our right, title, and interest in, to and under substantially all of our property, inclusive of intellectual property.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color w:val="000000"/>
          <w:sz w:val="20"/>
        </w:rPr>
        <w:t>In connection with the entry into the Loan Agreement, we issued to Hercules a warrant, or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connection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connection with the entry into the Fourth Amendment, we eliminated the warrant agreement for all future tranches. The Warrant issued with the initial tranche was not modified as part of this amendment. The exercise price and terms of the outstanding Warrant remain unchanged.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initial $1.3 million fair value of the Warrant, the $10.8 million final interest payment fees and $4.4 million of debt issuance costs have been recorded as debt discount and are being amortized to interest expense using the effective interest method over the term of the Term Loan.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Revenue Interest Financing Agreement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3, 2022, we entered into a Revenue Interest Financing Agreement, or the Revenue Interest Financing Agreement, with entities managed or advised by NovaQuest Capital Management, or NQ, Sagard Holdings Manager LP, or Sagard, and Hercules, together with NQ and Sagard, or the Initial Investors, pursuant to which we could receive up to $260 million in funding from the Initial Investors. Under the terms of the Revenue Interest Financing Agreement, we received $100 million at the initial closing and received an additional $160 million upon FDA approval of vonoprazan for treatment of Erosive GERD in the fourth quarter of 2023. Additionally, on October 31, 2022, we entered into a Joinder and Waiver Agreement with the Initial Investors and CO Finance LVS XXXVII LLC, or the Additional Investor, and Hercules in its capacity as administrative agent and collateral agent for itself and the lenders under that certain Loan Agreement, or the Joinder Agreement, in respect of the Revenue Interest Financing Agreement. Under the terms of the Joinder Agreement, we received $15 million in additional funding upon FDA approval of vonoprazan for Erosive GERD, or Approval Additional Funding, in the fourth quarter of 2023 and provides for $25 million in additional funding for achievement of a sales milestone, or Milestone Additional Funding, and, together with the Approval Additional Funding, or the Additional Investor Funding. The Initial Investors waived their right of first offer for any Additional Investor Funding. The total amount funded by the Initial Investors and any subsequent investors is referred to herein as the Investment Amount.</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Under the Revenue Interest Financing Agreement, the Initial Investors and the Additional Investor, are entitled to receive a 10% royalty on net sales of products containing vonoprazan. The royalty rate is subject to a step-down on net sales exceeding certain annual thresholds and upon FDA approval for vonoprazan for an indication relating to the treatment of heartburn associated with Non-Erosive GERD, which occurred on July 17, 2024. The investors’ right to receive royalties on net sales will terminate when the investors have aggregate payments equal to 200% of the Investment Amount. In addition, at any time after the earlier of (i) April 30, 2024 and (ii) the date that the payment for Erosive GERD regulatory approval was made, we have the right to make a cap payment equal to 200% of the Investment Amount less any royalties already paid, at which time the agreement will terminate.</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sufficient to gross the investors up to the applicable Minimum Amount.</w:t>
      </w:r>
    </w:p>
    <w:p>
      <w:pPr>
        <w:pStyle w:val="TextBody"/>
        <w:bidi w:val="0"/>
        <w:spacing w:before="200" w:after="283"/>
        <w:jc w:val="left"/>
        <w:rPr>
          <w:rFonts w:ascii="Times New Roman" w:hAnsi="Times New Roman"/>
          <w:sz w:val="20"/>
        </w:rPr>
      </w:pPr>
      <w:r>
        <w:rPr>
          <w:rFonts w:ascii="Calibri;sans-serif" w:hAnsi="Calibri;sans-serif"/>
          <w:color w:val="000000"/>
          <w:sz w:val="20"/>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we previously paid pursuant to the agreement.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At-the-Market-Offerings</w:t>
      </w:r>
    </w:p>
    <w:p>
      <w:pPr>
        <w:pStyle w:val="TextBody"/>
        <w:bidi w:val="0"/>
        <w:spacing w:before="200" w:after="283"/>
        <w:jc w:val="left"/>
        <w:rPr>
          <w:rFonts w:ascii="Times New Roman" w:hAnsi="Times New Roman"/>
          <w:sz w:val="20"/>
        </w:rPr>
      </w:pPr>
      <w:r>
        <w:rPr>
          <w:rFonts w:ascii="Calibri;sans-serif" w:hAnsi="Calibri;sans-serif"/>
          <w:color w:val="000000"/>
          <w:sz w:val="20"/>
        </w:rPr>
        <w:t>In November 2020, we entered into an Open Market Sale Agreement</w:t>
      </w:r>
      <w:r>
        <w:rPr>
          <w:rFonts w:ascii="Calibri;sans-serif" w:hAnsi="Calibri;sans-serif"/>
          <w:color w:val="000000"/>
          <w:sz w:val="13"/>
        </w:rPr>
        <w:t>SM</w:t>
      </w:r>
      <w:r>
        <w:rPr>
          <w:rFonts w:ascii="Calibri;sans-serif" w:hAnsi="Calibri;sans-serif"/>
          <w:color w:val="000000"/>
          <w:sz w:val="20"/>
        </w:rPr>
        <w:t>, or the Sales Agreement, with Jefferies LLC, or the Sales Agent, under which we may, from time to time, sell shares of our common stock having an aggregate offering price of up to an amount registered under an effective registration statement through the Sales Agent.</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 November 2023, we filed a shelf registration statement on Form S-3 which was declared effective by the SEC on November 17, 2023, which included an at-the-market prospectus pursuant to which we may, from time to time, sell up to an aggregate of $150 million of our common stock through the Sales Agent, or the 2023 ATM Offering. We are not obligated to, and we cannot provide any assurances that we will, make any sales of the shares under the Sales Agreement. The Sales Agreement may be terminated by the Sales Agent or us at any time. For the year ended December 31, 2023, we sold 1,514,219 shares for net proceeds of approximately $14.1 million after deducting $0.4 million of issuance costs. No shares were sold during the three and nine months ended September 30, 2024. As of September 30, 2024, all of the available $150 million under the 2023 ATM Offering remains available.</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Underwritten Public Offerings</w:t>
      </w:r>
    </w:p>
    <w:p>
      <w:pPr>
        <w:pStyle w:val="TextBody"/>
        <w:bidi w:val="0"/>
        <w:spacing w:before="200" w:after="283"/>
        <w:jc w:val="left"/>
        <w:rPr>
          <w:rFonts w:ascii="Times New Roman" w:hAnsi="Times New Roman"/>
          <w:sz w:val="20"/>
        </w:rPr>
      </w:pPr>
      <w:r>
        <w:rPr>
          <w:rFonts w:ascii="Calibri;sans-serif" w:hAnsi="Calibri;sans-serif"/>
          <w:color w:val="000000"/>
          <w:sz w:val="20"/>
        </w:rPr>
        <w:t>On August 20, 2024, we completed an underwritten public offering, in which we sold 8,695,652 shares of our common stock at a price of $11.50 per share and pre-funded warrants to purchase 2,608,922 shares of our common stock at a price of $11.499 per pre-funded warrant for total gross proceeds of $130.0 million. The net purchase price after deducting the underwriting discounts and commissions and other offering expenses, was $10.77 per share or net proceeds of $121.8 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On May 23, 2023, we completed an underwritten public offering, in which we sold 12,793,750 shares of our common stock, which included the exercise in full by the underwriters of their option to purchase 1,668,750 shares, at a price of $11.75 per share for total gross proceeds of $150.3 million. The net purchase price after deducting underwriting discounts and commissions was $11.08 per share, which generated net proceeds of $141.8 million. We incurred an additional $0.4 million of offering expenses in connection with this public offering.</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Funding Requirements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Based on our current operating plan, we believe that our existing cash and cash equivalents together with the drawdown of the remaining $125 million under our Loan Agreement with Hercules together with anticipated product revenues, are sufficient to fund operations for at least the next twelve months and we believe will be sufficient to enable us to reach cashflow positivity.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inaccurate, and we could deplete our capital resources sooner than we expect and not reach cashflow positivity based on the amount and timing of product sales and operating expenses, among other factors. Additionally, the process of testing product candidates in clinical trials is costly, and the timing of progress and expenses in these trials is uncertain.</w:t>
      </w:r>
    </w:p>
    <w:p>
      <w:pPr>
        <w:pStyle w:val="TextBody"/>
        <w:bidi w:val="0"/>
        <w:spacing w:before="200" w:after="283"/>
        <w:jc w:val="left"/>
        <w:rPr>
          <w:rFonts w:ascii="Times New Roman" w:hAnsi="Times New Roman"/>
          <w:sz w:val="20"/>
        </w:rPr>
      </w:pPr>
      <w:r>
        <w:rPr>
          <w:rFonts w:ascii="Calibri;sans-serif" w:hAnsi="Calibri;sans-serif"/>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ability to achieve sufficient market acceptance, coverage and adequate reimbursement from third-party payers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patients’ willingness to pay out-of-pocket for any approved products in the absence of coverage and/or adequate reimbursement from third-party payers;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initiation, type, number, scope, results, costs and timing of our clinical trials of vonoprazan, and preclinical studies or clinical trials of other potential product candidates we may choose to pursue in the future, including feedback received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manufacturing for vonoprazan or any future product candidates, including commercial scale manufacturing for any approved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timing and outcome of regulatory review of future vonoprazan applications or such applications for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of obtaining, maintaining and enforcing our patents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costs associated with hiring additional personnel and consultants as our business grows;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timing and amount of the milestone or other payments we must make to Takeda and any future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the costs and timing of establishing or securing sales and marketing capabilities for vonoprazan or any future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the terms and timing of establishing and maintaining collaborations, licenses and other similar arrangements;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0"/>
        </w:rPr>
      </w:pPr>
      <w:r>
        <w:rPr>
          <w:rFonts w:ascii="Calibri;sans-serif" w:hAnsi="Calibri;sans-serif"/>
          <w:color w:val="000000"/>
          <w:sz w:val="20"/>
        </w:rPr>
        <w:t xml:space="preserve">costs associated with any products or technologies that we may in-license or acquire. </w:t>
      </w:r>
    </w:p>
    <w:p>
      <w:pPr>
        <w:pStyle w:val="TextBody"/>
        <w:bidi w:val="0"/>
        <w:spacing w:before="200" w:after="283"/>
        <w:jc w:val="left"/>
        <w:rPr>
          <w:rFonts w:ascii="Times New Roman" w:hAnsi="Times New Roman"/>
          <w:sz w:val="20"/>
        </w:rPr>
      </w:pPr>
      <w:r>
        <w:rPr>
          <w:rFonts w:ascii="Calibri;sans-serif" w:hAnsi="Calibri;sans-serif"/>
          <w:color w:val="000000"/>
          <w:sz w:val="20"/>
        </w:rPr>
        <w:t>Until such time, if ever, as we can generate substantial product revenues to support our cost structure, we expect to finance our cash needs through equity offerings, the Loan Agreement, the Revenue Interest Financing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Calibri;sans-serif" w:hAnsi="Calibri;sans-serif"/>
          <w:color w:val="000000"/>
          <w:sz w:val="20"/>
        </w:rPr>
        <w:t>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together with the drawdown of the remaining $125 million under our Loan Agreement with Hercules together with anticipated product revenues, are sufficient to fund operations for at least the next twelve months and we believe will be sufficient to enable us to reach cashflow positivity.</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Cash Flows</w:t>
      </w:r>
    </w:p>
    <w:p>
      <w:pPr>
        <w:pStyle w:val="TextBody"/>
        <w:bidi w:val="0"/>
        <w:spacing w:before="200" w:after="200"/>
        <w:jc w:val="left"/>
        <w:rPr>
          <w:rFonts w:ascii="Calibri;sans-serif" w:hAnsi="Calibri;sans-serif"/>
          <w:color w:val="000000"/>
          <w:sz w:val="20"/>
        </w:rPr>
      </w:pPr>
      <w:r>
        <w:rPr>
          <w:rFonts w:ascii="Calibri;sans-serif" w:hAnsi="Calibri;sans-serif"/>
          <w:color w:val="000000"/>
          <w:sz w:val="20"/>
        </w:rPr>
        <w:t>The following table sets forth a summary of the net cash flow activity for each of the periods indicated (in thousands):</w:t>
      </w:r>
    </w:p>
    <w:tbl>
      <w:tblPr>
        <w:tblW w:w="6843" w:type="dxa"/>
        <w:jc w:val="left"/>
        <w:tblInd w:w="0" w:type="dxa"/>
        <w:tblLayout w:type="fixed"/>
        <w:tblCellMar>
          <w:top w:w="28" w:type="dxa"/>
          <w:left w:w="28" w:type="dxa"/>
          <w:bottom w:w="28" w:type="dxa"/>
          <w:right w:w="28" w:type="dxa"/>
        </w:tblCellMar>
      </w:tblPr>
      <w:tblGrid>
        <w:gridCol w:w="2566"/>
        <w:gridCol w:w="146"/>
        <w:gridCol w:w="211"/>
        <w:gridCol w:w="841"/>
        <w:gridCol w:w="166"/>
        <w:gridCol w:w="146"/>
        <w:gridCol w:w="211"/>
        <w:gridCol w:w="781"/>
        <w:gridCol w:w="166"/>
        <w:gridCol w:w="146"/>
        <w:gridCol w:w="211"/>
        <w:gridCol w:w="841"/>
        <w:gridCol w:w="4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Nine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20"/>
              </w:rPr>
            </w:pPr>
            <w:r>
              <w:rPr>
                <w:rFonts w:ascii="Calibri;sans-serif" w:hAnsi="Calibri;sans-serif"/>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(203,314</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(93,783</w:t>
            </w:r>
          </w:p>
        </w:tc>
        <w:tc>
          <w:tcPr>
            <w:tcW w:w="166"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shd w:fill="FFFFFF"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(109,531</w:t>
            </w:r>
          </w:p>
        </w:tc>
        <w:tc>
          <w:tcPr>
            <w:tcW w:w="411" w:type="dxa"/>
            <w:tcBorders/>
            <w:shd w:fill="FFFFFF" w:val="clear"/>
            <w:vAlign w:val="center"/>
          </w:tcPr>
          <w:p>
            <w:pPr>
              <w:pStyle w:val="TableContents"/>
              <w:bidi w:val="0"/>
              <w:spacing w:before="0" w:after="283"/>
              <w:ind w:left="0" w:right="0" w:firstLine="200"/>
              <w:jc w:val="left"/>
              <w:rPr>
                <w:rFonts w:ascii="Calibri;sans-serif" w:hAnsi="Calibri;sans-serif"/>
                <w:color w:val="000000"/>
                <w:sz w:val="20"/>
              </w:rPr>
            </w:pPr>
            <w:r>
              <w:rPr>
                <w:rFonts w:ascii="Calibri;sans-serif" w:hAnsi="Calibri;sans-serif"/>
                <w:color w:val="000000"/>
                <w:sz w:val="20"/>
              </w:rPr>
              <w:t>)</w:t>
            </w:r>
          </w:p>
        </w:tc>
      </w:tr>
      <w:tr>
        <w:trPr/>
        <w:tc>
          <w:tcPr>
            <w:tcW w:w="2566" w:type="dxa"/>
            <w:tcBorders/>
            <w:shd w:fill="CFF0FC"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(130</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(1,159</w:t>
            </w:r>
          </w:p>
        </w:tc>
        <w:tc>
          <w:tcPr>
            <w:tcW w:w="1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1,029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Calibri;sans-serif" w:hAnsi="Calibri;sans-serif"/>
                <w:color w:val="000000"/>
                <w:sz w:val="20"/>
              </w:rPr>
            </w:pPr>
            <w:r>
              <w:rPr>
                <w:rFonts w:ascii="Calibri;sans-serif" w:hAnsi="Calibri;sans-serif"/>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156,728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155,587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1,141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Net (decrease) increase in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(46,716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60,645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20"/>
              </w:rPr>
            </w:pPr>
            <w:r>
              <w:rPr>
                <w:rFonts w:ascii="Calibri;sans-serif" w:hAnsi="Calibri;sans-serif"/>
                <w:color w:val="000000"/>
                <w:sz w:val="20"/>
              </w:rPr>
              <w:t>(107,361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w:t>
            </w:r>
          </w:p>
        </w:tc>
      </w:tr>
    </w:tbl>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Operating Activities</w:t>
      </w:r>
    </w:p>
    <w:p>
      <w:pPr>
        <w:pStyle w:val="TextBody"/>
        <w:bidi w:val="0"/>
        <w:spacing w:before="200" w:after="283"/>
        <w:jc w:val="left"/>
        <w:rPr>
          <w:rFonts w:ascii="Times New Roman" w:hAnsi="Times New Roman"/>
          <w:sz w:val="20"/>
        </w:rPr>
      </w:pPr>
      <w:r>
        <w:rPr>
          <w:rFonts w:ascii="Calibri;sans-serif" w:hAnsi="Calibri;sans-serif"/>
          <w:color w:val="000000"/>
          <w:sz w:val="20"/>
        </w:rPr>
        <w:t>Net cash used in operating activities was approximately $203.3 million and $93.8 million for the nine months ended September 30, 2024 and 2023, respectively. The net cash used in operating activities for the nine months ended September 30, 2024 was due to approximately $197.0 million spent on ongoing research and development and selling, general and administrative activities and a $6.3 million net change in operating assets and liabilities. The net change in operating assets and liabilities primarily related to a $15.5 million increase in accounts payable and accrued expenses (including interest, operating lease assets and liabilities), and a $21.8 million increase in accounts receivable, inventory, and prepaid assets and other current assets in support of our growth and launch of our first commercial products. The net cash used in operating activities for the nine months ended September 30, 2023 was due to approximately $79.5 million spent on ongoing research and development and general and administrative activities and a $14.3 million net change in operating assets and liabilities. The net change in operating assets and liabilities primarily related to a $3.1 million decrease in accounts payable and accrued expenses (including interest and clinical trial expenses), and a $11.2 million increase in prepaid assets and other current assets, inventory, operating right-of-use assets and lease liabilities and other long-term assets.</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Investing Activities </w:t>
      </w:r>
    </w:p>
    <w:p>
      <w:pPr>
        <w:pStyle w:val="TextBody"/>
        <w:bidi w:val="0"/>
        <w:spacing w:before="200" w:after="283"/>
        <w:jc w:val="left"/>
        <w:rPr>
          <w:rFonts w:ascii="Times New Roman" w:hAnsi="Times New Roman"/>
          <w:sz w:val="20"/>
        </w:rPr>
      </w:pPr>
      <w:r>
        <w:rPr>
          <w:rFonts w:ascii="Calibri;sans-serif" w:hAnsi="Calibri;sans-serif"/>
          <w:color w:val="000000"/>
          <w:sz w:val="20"/>
        </w:rPr>
        <w:t>Net cash used in investing activities for the nine months ended September 30, 2024 and 2023, was related to payments for acquiring property and equipment.</w:t>
      </w:r>
      <w:r>
        <w:rPr>
          <w:rFonts w:ascii="Times New Roman" w:hAnsi="Times New Roman"/>
          <w:color w:val="000000"/>
          <w:sz w:val="20"/>
        </w:rPr>
        <w:t xml:space="preserve"> </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 xml:space="preserve">Financing Activities </w:t>
      </w:r>
    </w:p>
    <w:p>
      <w:pPr>
        <w:pStyle w:val="TextBody"/>
        <w:bidi w:val="0"/>
        <w:jc w:val="left"/>
        <w:rPr/>
      </w:pPr>
      <w:r>
        <w:rPr/>
        <w:t> </w:t>
      </w:r>
    </w:p>
    <w:p>
      <w:pPr>
        <w:pStyle w:val="TextBody"/>
        <w:bidi w:val="0"/>
        <w:jc w:val="left"/>
        <w:rPr>
          <w:rFonts w:ascii="Calibri;sans-serif" w:hAnsi="Calibri;sans-serif"/>
          <w:color w:val="000000"/>
          <w:sz w:val="20"/>
        </w:rPr>
      </w:pPr>
      <w:r>
        <w:rPr>
          <w:rFonts w:ascii="Calibri;sans-serif" w:hAnsi="Calibri;sans-serif"/>
          <w:color w:val="000000"/>
          <w:sz w:val="20"/>
        </w:rPr>
        <w:t>Net cash provided by financing activities for the nine months ended September 30, 2024 was $156.7 million primarily related to $34.7 million of net proceeds from the issuance of debt under our Loan Agreement and $121.8 million of net proceeds from issuance of common stock and pre-funded warrants in connection with the underwritten public offering completed in August 2024. Net cash provided by financing activities for the nine months ended September 30, 2023 was $155.6 million related to net proceeds from the sale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Contractual Obligations and Commitments</w:t>
      </w:r>
    </w:p>
    <w:p>
      <w:pPr>
        <w:pStyle w:val="TextBody"/>
        <w:bidi w:val="0"/>
        <w:spacing w:before="200" w:after="283"/>
        <w:jc w:val="left"/>
        <w:rPr>
          <w:rFonts w:ascii="Times New Roman" w:hAnsi="Times New Roman"/>
          <w:sz w:val="20"/>
        </w:rPr>
      </w:pPr>
      <w:r>
        <w:rPr>
          <w:rFonts w:ascii="Calibri;sans-serif" w:hAnsi="Calibri;sans-serif"/>
          <w:color w:val="000000"/>
          <w:sz w:val="20"/>
        </w:rPr>
        <w:t>There were no material changes outside the ordinary course of our business during the nine months ended September 30, 2024 to the information regarding our contractual obligations that was disclosed in Management’s Discussion and Analysis of Financial Condition and Results of Operations contained in our 2023 Form 10-K.</w:t>
      </w:r>
      <w:r>
        <w:rPr>
          <w:rFonts w:ascii="Times New Roman" w:hAnsi="Times New Roman"/>
          <w:color w:val="000000"/>
          <w:sz w:val="20"/>
        </w:rPr>
        <w:t xml:space="preserve"> </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Critical Accounting Policies and Significant Judgments and Estimates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revenues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For a description of our critical accounting policies, please see the section entitled “Management’s Discussion and Analysis of Financial Condition and Results of Operations — Critical Accounting Policies and Significant Judgments and Estimates” contained in our 2023 Form 10-K. There have not been any material changes to the critical accounting policies discussed therein during the nine months ended September 30, 2024.</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Other Company Information</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JOBS Act</w:t>
      </w:r>
    </w:p>
    <w:p>
      <w:pPr>
        <w:pStyle w:val="TextBody"/>
        <w:bidi w:val="0"/>
        <w:spacing w:before="200" w:after="283"/>
        <w:jc w:val="left"/>
        <w:rPr>
          <w:rFonts w:ascii="Times New Roman" w:hAnsi="Times New Roman"/>
          <w:sz w:val="20"/>
        </w:rPr>
      </w:pPr>
      <w:r>
        <w:rPr>
          <w:rFonts w:ascii="Calibri;sans-serif" w:hAnsi="Calibri;sans-serif"/>
          <w:color w:val="000000"/>
          <w:sz w:val="20"/>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will remain an emerging growth company until the earliest of (i) the last day of the fiscal year following the fifth anniversary of the consummation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 million as of the last business day of the second fiscal quarter of such year, or (iv) the date on which we have issued more than $1 billion in non-convertible debt securities during the prior three-year period.</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Recent Accounting Pronouncements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 information required by this item is included in Note 1, Organization, Basis of Presentation and Summary of Significant Accounting Policies included in Part 1, Item 1 of this quarterly report.</w:t>
      </w:r>
    </w:p>
    <w:p>
      <w:pPr>
        <w:pStyle w:val="TextBody"/>
        <w:bidi w:val="0"/>
        <w:spacing w:before="200" w:after="283"/>
        <w:jc w:val="left"/>
        <w:rPr>
          <w:rFonts w:ascii="Calibri;sans-serif" w:hAnsi="Calibri;sans-serif"/>
          <w:b/>
          <w:i/>
          <w:color w:val="000000"/>
          <w:sz w:val="20"/>
        </w:rPr>
      </w:pPr>
      <w:r>
        <w:rPr>
          <w:rFonts w:ascii="Calibri;sans-serif" w:hAnsi="Calibri;sans-serif"/>
          <w:b/>
          <w:i/>
          <w:color w:val="000000"/>
          <w:sz w:val="20"/>
        </w:rPr>
        <w:t>Off-Balance Sheet Arrangements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During the periods presented we did not have, nor do we currently have, any off-balance sheet arrangements as defined under SEC rules.</w:t>
      </w:r>
    </w:p>
    <w:p>
      <w:pPr>
        <w:pStyle w:val="TextBody"/>
        <w:bidi w:val="0"/>
        <w:spacing w:before="200" w:after="283"/>
        <w:jc w:val="left"/>
        <w:rPr>
          <w:rFonts w:ascii="Calibri;sans-serif" w:hAnsi="Calibri;sans-serif"/>
          <w:b/>
          <w:color w:val="000000"/>
          <w:sz w:val="20"/>
        </w:rPr>
      </w:pPr>
      <w:bookmarkStart w:id="12" w:name="item_3_quantitative_qualitative_disclosu"/>
      <w:bookmarkEnd w:id="12"/>
      <w:r>
        <w:rPr>
          <w:rFonts w:ascii="Calibri;sans-serif" w:hAnsi="Calibri;sans-serif"/>
          <w:b/>
          <w:color w:val="000000"/>
          <w:sz w:val="20"/>
        </w:rPr>
        <w:t>Item 3. Quantitative and Qualitative Disclosures About Market Risk</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As of September 30, 2024,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2023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3" w:name="item_4_controls_procedures"/>
      <w:bookmarkEnd w:id="13"/>
      <w:r>
        <w:rPr>
          <w:rFonts w:ascii="Calibri;sans-serif" w:hAnsi="Calibri;sans-serif"/>
          <w:b/>
          <w:color w:val="000000"/>
          <w:sz w:val="20"/>
        </w:rPr>
        <w:t>Item 4. Controls</w:t>
      </w:r>
      <w:r>
        <w:rPr>
          <w:rFonts w:ascii="Times New Roman" w:hAnsi="Times New Roman"/>
          <w:color w:val="000000"/>
          <w:sz w:val="20"/>
        </w:rPr>
        <w:t xml:space="preserve"> </w:t>
      </w:r>
      <w:r>
        <w:rPr>
          <w:rFonts w:ascii="Calibri;sans-serif" w:hAnsi="Calibri;sans-serif"/>
          <w:b/>
          <w:color w:val="000000"/>
          <w:sz w:val="20"/>
        </w:rPr>
        <w:t>and Procedures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Conclusion Regarding the Effectiveness of Disclosure Controls and Procedures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Changes in Internal Control Over Financial Reporting</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There have been no changes in our internal control over financial reporting during our third fiscal quarter ended September 30, 2024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_or_information"/>
      <w:bookmarkEnd w:id="14"/>
      <w:r>
        <w:rPr>
          <w:rFonts w:ascii="Calibri;sans-serif" w:hAnsi="Calibri;sans-serif"/>
          <w:b/>
          <w:color w:val="000000"/>
          <w:sz w:val="20"/>
        </w:rPr>
        <w:t>PART II.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bookmarkStart w:id="15" w:name="item_1_legal_proceedings"/>
      <w:bookmarkEnd w:id="15"/>
      <w:r>
        <w:rPr>
          <w:rFonts w:ascii="Calibri;sans-serif" w:hAnsi="Calibri;sans-serif"/>
          <w:b/>
          <w:color w:val="000000"/>
          <w:sz w:val="20"/>
        </w:rPr>
        <w:t>Item 1. Legal</w:t>
      </w:r>
      <w:r>
        <w:rPr>
          <w:rFonts w:ascii="Times New Roman" w:hAnsi="Times New Roman"/>
          <w:color w:val="000000"/>
          <w:sz w:val="20"/>
        </w:rPr>
        <w:t xml:space="preserve"> </w:t>
      </w:r>
      <w:r>
        <w:rPr>
          <w:rFonts w:ascii="Calibri;sans-serif" w:hAnsi="Calibri;sans-serif"/>
          <w:b/>
          <w:color w:val="000000"/>
          <w:sz w:val="20"/>
        </w:rPr>
        <w:t>Proceedings</w:t>
      </w:r>
    </w:p>
    <w:p>
      <w:pPr>
        <w:pStyle w:val="TextBody"/>
        <w:bidi w:val="0"/>
        <w:spacing w:before="200" w:after="283"/>
        <w:jc w:val="left"/>
        <w:rPr>
          <w:rFonts w:ascii="Times New Roman" w:hAnsi="Times New Roman"/>
          <w:sz w:val="20"/>
        </w:rPr>
      </w:pPr>
      <w:r>
        <w:rPr>
          <w:rFonts w:ascii="Calibri;sans-serif" w:hAnsi="Calibri;sans-serif"/>
          <w:color w:val="000000"/>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bookmarkStart w:id="16" w:name="item_1a_risk_factors"/>
      <w:bookmarkEnd w:id="16"/>
      <w:r>
        <w:rPr>
          <w:rFonts w:ascii="Calibri;sans-serif" w:hAnsi="Calibri;sans-serif"/>
          <w:b/>
          <w:color w:val="000000"/>
          <w:sz w:val="20"/>
        </w:rPr>
        <w:t>Item 1A. Risk Factors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Calibri;sans-serif" w:hAnsi="Calibri;sans-serif"/>
          <w:color w:val="000000"/>
          <w:sz w:val="20"/>
        </w:rPr>
        <w:t>Other than as set forth below</w:t>
      </w:r>
      <w:r>
        <w:rPr>
          <w:rFonts w:ascii="Calibri;sans-serif" w:hAnsi="Calibri;sans-serif"/>
          <w:color w:val="000000"/>
          <w:sz w:val="22"/>
        </w:rPr>
        <w:t>, t</w:t>
      </w:r>
      <w:r>
        <w:rPr>
          <w:rFonts w:ascii="Calibri;sans-serif" w:hAnsi="Calibri;sans-serif"/>
          <w:color w:val="000000"/>
          <w:sz w:val="20"/>
        </w:rPr>
        <w:t>here have been no material changes to the risk factors disclosed in Part I, Item 1A, “Risk Factors” of our 2023 Form 10-K.</w:t>
      </w:r>
    </w:p>
    <w:p>
      <w:pPr>
        <w:pStyle w:val="TextBody"/>
        <w:bidi w:val="0"/>
        <w:spacing w:before="0" w:after="200"/>
        <w:jc w:val="left"/>
        <w:rPr>
          <w:rFonts w:ascii="Calibri;sans-serif" w:hAnsi="Calibri;sans-serif"/>
          <w:b/>
          <w:i/>
          <w:color w:val="000000"/>
          <w:sz w:val="20"/>
        </w:rPr>
      </w:pPr>
      <w:r>
        <w:rPr>
          <w:rFonts w:ascii="Calibri;sans-serif" w:hAnsi="Calibri;sans-serif"/>
          <w:b/>
          <w:i/>
          <w:color w:val="000000"/>
          <w:sz w:val="20"/>
        </w:rPr>
        <w:t>If the scope of any patent protection or non-patent regulatory exclusivity we obtain is not sufficiently broad, or if we lose or fail to obtain any of our patent protection or non-patent regulatory exclusivity, our ability to prevent our competitors from commercializing similar or identical product candidates would be adversely affected.</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 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 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pStyle w:val="TextBody"/>
        <w:bidi w:val="0"/>
        <w:spacing w:before="0" w:after="200"/>
        <w:jc w:val="left"/>
        <w:rPr>
          <w:rFonts w:ascii="Times New Roman" w:hAnsi="Times New Roman"/>
          <w:sz w:val="20"/>
        </w:rPr>
      </w:pPr>
      <w:r>
        <w:rPr>
          <w:rFonts w:ascii="Calibri;sans-serif" w:hAnsi="Calibri;sans-serif"/>
          <w:color w:val="000000"/>
          <w:sz w:val="20"/>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pStyle w:val="TextBody"/>
        <w:bidi w:val="0"/>
        <w:spacing w:before="0" w:after="200"/>
        <w:jc w:val="left"/>
        <w:rPr>
          <w:rFonts w:ascii="Times New Roman" w:hAnsi="Times New Roman"/>
          <w:sz w:val="20"/>
        </w:rPr>
      </w:pPr>
      <w:r>
        <w:rPr>
          <w:rFonts w:ascii="Calibri;sans-serif" w:hAnsi="Calibri;sans-serif"/>
          <w:color w:val="000000"/>
          <w:sz w:val="20"/>
        </w:rPr>
        <w:t>In addition to patent exclusivity, the successful commercialization of our products also depends, in part, on our ability to obtain and maintain periods of non-patent exclusivity during which time the FDA is precluded from accepting new drug applications, or NDAs, submitted under Section 505(b)(2) of the FDCA or abbreviated new drug applications, or ANDAs, for certain competitive products. In May 2021, FDA granted qualified infectious disease product, or QIDP, designations to vonoprazan tablets in combination with both amoxicillin capsules and clarithromycin tablets, and with amoxicillin capsules alone, respectively, for the treatment of H. pylori infection. On May 3, 2022, the FDA approved our NDAs for these products, branded as VOQUEZNA TRIPLE PAK and VOQUEZNA DUAL PAK, respectively. Because these approvals were for QIDP-designated drugs containing the active moiety, vonoprazan, which had not previously been approved, the FDA granted five-years of NCE exclusivity, which was extended by an additional five-years pursuant to the GAIN Act, resulting in a total of ten-years of NCE exclusivity, until May 3, 2032.</w:t>
      </w:r>
      <w:r>
        <w:rPr>
          <w:rFonts w:ascii="Times New Roman" w:hAnsi="Times New Roman"/>
          <w:color w:val="000000"/>
          <w:sz w:val="20"/>
        </w:rPr>
        <w:t xml:space="preserve"> </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In November 2023, we received approval for VOQUEZNA, which also contains vonoprazan. NCE exclusivity protects against the submission and the FDA’s acceptance of a 505(b)(2) NDA or ANDA referencing that NCE for the duration of the exclusivity period, and the FDA interprets this form of exclusivity to attach to the active moiety such that the submission and the FDA’s acceptance of ANDAs and 505(b)(2) NDAs for a drug with that active moiety may not occur until the innovator’s exclusivity has expired, whether or not FDA has approved other versions of the drugs entitled to exclusivity, and regardless of the specific listed drug product to which the ANDA or 505(b)(2) application refers. Consequently, we believe that VOQUEZNA, because it contains vonoprazan, should benefit from the same extended period of NCE exclusivity granted in connection with our NDAs for VOQUEZNA DUAL PAK and VOQUEZNA TRIPLE PACK, until May 3, 2032.</w:t>
      </w:r>
    </w:p>
    <w:p>
      <w:pPr>
        <w:pStyle w:val="TextBody"/>
        <w:bidi w:val="0"/>
        <w:spacing w:before="0" w:after="200"/>
        <w:jc w:val="left"/>
        <w:rPr>
          <w:rFonts w:ascii="Calibri;sans-serif" w:hAnsi="Calibri;sans-serif"/>
          <w:color w:val="000000"/>
          <w:sz w:val="20"/>
        </w:rPr>
      </w:pPr>
      <w:r>
        <w:rPr>
          <w:rFonts w:ascii="Calibri;sans-serif" w:hAnsi="Calibri;sans-serif"/>
          <w:color w:val="000000"/>
          <w:sz w:val="20"/>
        </w:rPr>
        <w:t>The FDA publication, “Approved Drug Products with Therapeutic Equivalence Evaluations,” referred to as the Orange Book, identifies that VOQUEZNA benefits from the same five-year period of NCE exclusivity as VOQUEZNA DUAL PAK and VOQUEZNA TRIPLE PAK, but does not currently identify the GAIN Act extension of an additional five-years of NCE exclusivity to which we believe it is entitled. We informally requested that the FDA correct the VOQUEZNA listings to reflect the same extended NCE exclusivity period as VOQUEZNA TRIPLE PAK and VOQUEZNA DUAL PAK. However, the FDA has not yet updated those listings. Based on feedback from the FDA, we plan to evaluate our alternatives, which may include pursuing a citizen petition or legal or other actions at the appropriate time. If the FDA ultimately concludes that the GAIN Act extension of NCE exclusivity granted in connection with our VOQUEZNA TRIPLE PAK and VOQUEZNA DUAL PAK NDAs does not extend to our VOQUEZNA NDA, there is the potential we could be subject to competition earlier than we currently anticipate given that our regulatory exclusivity would no longer extend beyond the current expected expiry of our vonoprazan drug patents in 2030 (assuming the grant of patent term extension). If this occurs, it would have a material adverse effect on our business and financial condition.</w:t>
      </w:r>
    </w:p>
    <w:p>
      <w:pPr>
        <w:pStyle w:val="TextBody"/>
        <w:bidi w:val="0"/>
        <w:spacing w:before="200" w:after="283"/>
        <w:jc w:val="left"/>
        <w:rPr>
          <w:rFonts w:ascii="Calibri;sans-serif" w:hAnsi="Calibri;sans-serif"/>
          <w:b/>
          <w:color w:val="000000"/>
          <w:sz w:val="20"/>
        </w:rPr>
      </w:pPr>
      <w:bookmarkStart w:id="17" w:name="item_2_unregistered_sales_equity_secur_1"/>
      <w:bookmarkEnd w:id="17"/>
      <w:r>
        <w:rPr>
          <w:rFonts w:ascii="Calibri;sans-serif" w:hAnsi="Calibri;sans-serif"/>
          <w:b/>
          <w:color w:val="000000"/>
          <w:sz w:val="20"/>
        </w:rPr>
        <w:t>Item 2. Unregistered Sales of Equity Securities and Use of Proceeds</w:t>
      </w:r>
    </w:p>
    <w:p>
      <w:pPr>
        <w:pStyle w:val="TextBody"/>
        <w:bidi w:val="0"/>
        <w:spacing w:before="200" w:after="283"/>
        <w:jc w:val="left"/>
        <w:rPr>
          <w:rFonts w:ascii="Calibri;sans-serif" w:hAnsi="Calibri;sans-serif"/>
          <w:b/>
          <w:color w:val="000000"/>
          <w:sz w:val="20"/>
        </w:rPr>
      </w:pPr>
      <w:r>
        <w:rPr>
          <w:rFonts w:ascii="Calibri;sans-serif" w:hAnsi="Calibri;sans-serif"/>
          <w:b/>
          <w:color w:val="000000"/>
          <w:sz w:val="20"/>
        </w:rPr>
        <w:t>Unregistered Sales of Equity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Times New Roman" w:hAnsi="Times New Roman"/>
          <w:sz w:val="20"/>
        </w:rPr>
      </w:pPr>
      <w:r>
        <w:rPr>
          <w:rFonts w:ascii="Calibri;sans-serif" w:hAnsi="Calibri;sans-serif"/>
          <w:b/>
          <w:color w:val="000000"/>
          <w:sz w:val="20"/>
        </w:rPr>
        <w:t>Issuer Repurchases of Equity Securities</w:t>
      </w:r>
      <w:r>
        <w:rPr>
          <w:rFonts w:ascii="Times New Roman" w:hAnsi="Times New Roman"/>
          <w:color w:val="000000"/>
          <w:sz w:val="20"/>
        </w:rPr>
        <w:t xml:space="preserve"> </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None.</w:t>
      </w:r>
    </w:p>
    <w:p>
      <w:pPr>
        <w:pStyle w:val="TextBody"/>
        <w:bidi w:val="0"/>
        <w:spacing w:before="200" w:after="283"/>
        <w:jc w:val="left"/>
        <w:rPr>
          <w:rFonts w:ascii="Calibri;sans-serif" w:hAnsi="Calibri;sans-serif"/>
          <w:b/>
          <w:color w:val="000000"/>
          <w:sz w:val="20"/>
        </w:rPr>
      </w:pPr>
      <w:bookmarkStart w:id="18" w:name="item_3_defaults_upon_senior_securities_1"/>
      <w:bookmarkEnd w:id="18"/>
      <w:r>
        <w:rPr>
          <w:rFonts w:ascii="Calibri;sans-serif" w:hAnsi="Calibri;sans-serif"/>
          <w:b/>
          <w:color w:val="000000"/>
          <w:sz w:val="20"/>
        </w:rPr>
        <w:t>Item 3. Defaults Upon Senior Securities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00" w:after="283"/>
        <w:jc w:val="left"/>
        <w:rPr>
          <w:rFonts w:ascii="Calibri;sans-serif" w:hAnsi="Calibri;sans-serif"/>
          <w:b/>
          <w:color w:val="000000"/>
          <w:sz w:val="20"/>
        </w:rPr>
      </w:pPr>
      <w:bookmarkStart w:id="19" w:name="item_4_mine_safety_disclosures_1"/>
      <w:bookmarkEnd w:id="19"/>
      <w:r>
        <w:rPr>
          <w:rFonts w:ascii="Calibri;sans-serif" w:hAnsi="Calibri;sans-serif"/>
          <w:b/>
          <w:color w:val="000000"/>
          <w:sz w:val="20"/>
        </w:rPr>
        <w:t>Item 4. Mine Safety Disclosures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20" w:name="item_5_or_information_1"/>
      <w:bookmarkEnd w:id="20"/>
      <w:r>
        <w:rPr>
          <w:rFonts w:ascii="Calibri;sans-serif" w:hAnsi="Calibri;sans-serif"/>
          <w:b/>
          <w:color w:val="000000"/>
          <w:sz w:val="20"/>
        </w:rPr>
        <w:t>Item 5. Other</w:t>
      </w:r>
      <w:r>
        <w:rPr>
          <w:rFonts w:ascii="Times New Roman" w:hAnsi="Times New Roman"/>
          <w:color w:val="000000"/>
          <w:sz w:val="20"/>
        </w:rPr>
        <w:t xml:space="preserve"> </w:t>
      </w:r>
      <w:r>
        <w:rPr>
          <w:rFonts w:ascii="Calibri;sans-serif" w:hAnsi="Calibri;sans-serif"/>
          <w:b/>
          <w:color w:val="000000"/>
          <w:sz w:val="20"/>
        </w:rPr>
        <w:t>Information</w:t>
      </w:r>
    </w:p>
    <w:p>
      <w:pPr>
        <w:pStyle w:val="TextBody"/>
        <w:bidi w:val="0"/>
        <w:spacing w:before="200" w:after="283"/>
        <w:jc w:val="left"/>
        <w:rPr>
          <w:rFonts w:ascii="Times New Roman" w:hAnsi="Times New Roman"/>
          <w:sz w:val="20"/>
        </w:rPr>
      </w:pPr>
      <w:r>
        <w:rPr>
          <w:rFonts w:ascii="Calibri;sans-serif" w:hAnsi="Calibri;sans-serif"/>
          <w:b/>
          <w:color w:val="000000"/>
          <w:sz w:val="20"/>
        </w:rPr>
        <w:t>Director and Officer Trading Arrangements: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Calibri;sans-serif" w:hAnsi="Calibri;sans-serif"/>
          <w:b/>
          <w:i/>
          <w:color w:val="000000"/>
          <w:sz w:val="20"/>
        </w:rPr>
        <w:t>Rule 10b5-1 Trading Plans</w:t>
      </w:r>
      <w:r>
        <w:rPr>
          <w:rFonts w:ascii="Times New Roman" w:hAnsi="Times New Roman"/>
          <w:color w:val="000000"/>
          <w:sz w:val="20"/>
        </w:rPr>
        <w:t xml:space="preserve"> </w:t>
      </w:r>
    </w:p>
    <w:p>
      <w:pPr>
        <w:pStyle w:val="TextBody"/>
        <w:bidi w:val="0"/>
        <w:spacing w:before="200" w:after="120"/>
        <w:jc w:val="left"/>
        <w:rPr>
          <w:rFonts w:ascii="Times New Roman" w:hAnsi="Times New Roman"/>
          <w:sz w:val="20"/>
        </w:rPr>
      </w:pPr>
      <w:r>
        <w:rPr>
          <w:rFonts w:ascii="Calibri;sans-serif" w:hAnsi="Calibri;sans-serif"/>
          <w:color w:val="000000"/>
          <w:sz w:val="20"/>
        </w:rPr>
        <w:t>From time to time, our officers (as defined in Rule 16a-1(f) of the Exchange Act) and directors may enter into Rule 10b5-1 or non-Rule 10b5-1 trading arrangements (as each such term is defined in Item 408 of Regulation S-K). During the three months ended September 30, 2024, none of our officers or directors adopted, modified</w:t>
      </w:r>
      <w:r>
        <w:rPr>
          <w:rFonts w:ascii="Times New Roman" w:hAnsi="Times New Roman"/>
          <w:color w:val="000000"/>
          <w:sz w:val="20"/>
        </w:rPr>
        <w:t xml:space="preserve"> </w:t>
      </w:r>
      <w:r>
        <w:rPr>
          <w:rFonts w:ascii="Calibri;sans-serif" w:hAnsi="Calibri;sans-serif"/>
          <w:color w:val="000000"/>
          <w:sz w:val="20"/>
        </w:rPr>
        <w:t>or terminated</w:t>
      </w:r>
      <w:r>
        <w:rPr>
          <w:rFonts w:ascii="Times New Roman" w:hAnsi="Times New Roman"/>
          <w:color w:val="000000"/>
          <w:sz w:val="20"/>
        </w:rPr>
        <w:t xml:space="preserve"> </w:t>
      </w:r>
      <w:r>
        <w:rPr>
          <w:rFonts w:ascii="Calibri;sans-serif" w:hAnsi="Calibri;sans-serif"/>
          <w:color w:val="000000"/>
          <w:sz w:val="20"/>
        </w:rPr>
        <w:t>any such trading arrangements.</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b/>
          <w:color w:val="000000"/>
          <w:sz w:val="20"/>
        </w:rPr>
      </w:pPr>
      <w:bookmarkStart w:id="21" w:name="item_6_exhibits_1"/>
      <w:bookmarkEnd w:id="21"/>
      <w:r>
        <w:rPr>
          <w:rFonts w:ascii="Calibri;sans-serif" w:hAnsi="Calibr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21"/>
        <w:gridCol w:w="146"/>
        <w:gridCol w:w="6112"/>
        <w:gridCol w:w="146"/>
        <w:gridCol w:w="507"/>
        <w:gridCol w:w="146"/>
        <w:gridCol w:w="587"/>
        <w:gridCol w:w="146"/>
        <w:gridCol w:w="706"/>
        <w:gridCol w:w="146"/>
        <w:gridCol w:w="842"/>
      </w:tblGrid>
      <w:tr>
        <w:trPr/>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92"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left"/>
              <w:rPr/>
            </w:pPr>
            <w:r>
              <w:rPr/>
              <w:t> </w:t>
            </w:r>
          </w:p>
        </w:tc>
      </w:tr>
      <w:tr>
        <w:trPr/>
        <w:tc>
          <w:tcPr>
            <w:tcW w:w="721"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Exhibit</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jc w:val="center"/>
              <w:rPr>
                <w:rFonts w:ascii="Calibri;sans-serif" w:hAnsi="Calibri;sans-serif"/>
                <w:b/>
                <w:color w:val="000000"/>
                <w:sz w:val="18"/>
              </w:rPr>
            </w:pPr>
            <w:r>
              <w:rPr>
                <w:rFonts w:ascii="Calibri;sans-serif" w:hAnsi="Calibri;sans-serif"/>
                <w:b/>
                <w:color w:val="000000"/>
                <w:sz w:val="18"/>
              </w:rPr>
              <w:t>Filed</w:t>
            </w:r>
          </w:p>
          <w:p>
            <w:pPr>
              <w:pStyle w:val="TableContents"/>
              <w:bidi w:val="0"/>
              <w:spacing w:before="0" w:after="283"/>
              <w:jc w:val="center"/>
              <w:rPr>
                <w:rFonts w:ascii="Calibri;sans-serif" w:hAnsi="Calibri;sans-serif"/>
                <w:b/>
                <w:color w:val="000000"/>
                <w:sz w:val="18"/>
              </w:rPr>
            </w:pPr>
            <w:r>
              <w:rPr>
                <w:rFonts w:ascii="Calibri;sans-serif" w:hAnsi="Calibri;sans-serif"/>
                <w:b/>
                <w:color w:val="000000"/>
                <w:sz w:val="18"/>
              </w:rPr>
              <w:t>Herewith</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2">
              <w:r>
                <w:rPr>
                  <w:rStyle w:val="InternetLink"/>
                  <w:rFonts w:ascii="Calibri;sans-serif" w:hAnsi="Calibri;sans-serif"/>
                  <w:color w:val="0000FF"/>
                  <w:sz w:val="18"/>
                  <w:u w:val="single"/>
                </w:rPr>
                <w:t>Amended and Restated Certificate of Incorporation</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10/29/19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3">
              <w:r>
                <w:rPr>
                  <w:rStyle w:val="InternetLink"/>
                  <w:rFonts w:ascii="Calibri;sans-serif" w:hAnsi="Calibri;sans-serif"/>
                  <w:color w:val="0000FF"/>
                  <w:sz w:val="18"/>
                  <w:u w:val="single"/>
                </w:rPr>
                <w:t>Certificate of Amendment to Amended and Restated Certificate of Incorporation, as filed with the Secretary of the State of Delaware on May 26,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5/30/23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4">
              <w:r>
                <w:rPr>
                  <w:rStyle w:val="InternetLink"/>
                  <w:rFonts w:ascii="Calibri;sans-serif" w:hAnsi="Calibri;sans-serif"/>
                  <w:color w:val="0000FF"/>
                  <w:sz w:val="18"/>
                  <w:u w:val="single"/>
                </w:rPr>
                <w:t>Amended and Restated Bylaws, effective as of December 13, 2023</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12/15/23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5">
              <w:r>
                <w:rPr>
                  <w:rStyle w:val="InternetLink"/>
                  <w:rFonts w:ascii="Calibri;sans-serif" w:hAnsi="Calibri;sans-serif"/>
                  <w:color w:val="0000FF"/>
                  <w:sz w:val="18"/>
                  <w:u w:val="single"/>
                </w:rPr>
                <w:t>Form of Common Stock Certificate</w:t>
              </w:r>
            </w:hyperlink>
            <w:r>
              <w:rPr>
                <w:rFonts w:ascii="Times New Roman" w:hAnsi="Times New Roman"/>
                <w:color w:val="000000"/>
                <w:sz w:val="18"/>
              </w:rPr>
              <w:t xml:space="preserve">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4.2</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6">
              <w:r>
                <w:rPr>
                  <w:rStyle w:val="InternetLink"/>
                  <w:rFonts w:ascii="Calibri;sans-serif" w:hAnsi="Calibri;sans-serif"/>
                  <w:color w:val="0000FF"/>
                  <w:sz w:val="18"/>
                  <w:u w:val="single"/>
                </w:rPr>
                <w:t>Warrant to purchase stock issued to Silicon Valley Bank,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4.3</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7">
              <w:r>
                <w:rPr>
                  <w:rStyle w:val="InternetLink"/>
                  <w:rFonts w:ascii="Calibri;sans-serif" w:hAnsi="Calibri;sans-serif"/>
                  <w:color w:val="0000FF"/>
                  <w:sz w:val="18"/>
                  <w:u w:val="single"/>
                </w:rPr>
                <w:t>Warrant to purchase stock issued to WestRiver Innovation Lending Fund VIII, L.P., dated May 14, 2019</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9/30/19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4.4</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8">
              <w:r>
                <w:rPr>
                  <w:rStyle w:val="InternetLink"/>
                  <w:rFonts w:ascii="Calibri;sans-serif" w:hAnsi="Calibri;sans-serif"/>
                  <w:color w:val="0000FF"/>
                  <w:sz w:val="18"/>
                  <w:u w:val="single"/>
                </w:rPr>
                <w:t>Warrant to purchase stock issued to Hercules Capital, dated September 17, 2021</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11/8/21</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10.2</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6112" w:type="dxa"/>
            <w:tcBorders/>
            <w:vAlign w:val="center"/>
          </w:tcPr>
          <w:p>
            <w:pPr>
              <w:pStyle w:val="TableContents"/>
              <w:bidi w:val="0"/>
              <w:spacing w:before="0" w:after="283"/>
              <w:jc w:val="left"/>
              <w:rPr/>
            </w:pPr>
            <w:hyperlink r:id="rId9">
              <w:r>
                <w:rPr>
                  <w:rStyle w:val="InternetLink"/>
                  <w:rFonts w:ascii="Calibri;sans-serif" w:hAnsi="Calibri;sans-serif"/>
                  <w:color w:val="0000FF"/>
                  <w:sz w:val="18"/>
                  <w:u w:val="single"/>
                </w:rPr>
                <w:t>First Amendment to Warrant to purchase stock issued to Hercules Capital, dated May 9, 2023</w:t>
              </w:r>
            </w:hyperlink>
          </w:p>
        </w:tc>
        <w:tc>
          <w:tcPr>
            <w:tcW w:w="146" w:type="dxa"/>
            <w:tcBorders/>
            <w:vAlign w:val="center"/>
          </w:tcPr>
          <w:p>
            <w:pPr>
              <w:pStyle w:val="TableContents"/>
              <w:bidi w:val="0"/>
              <w:spacing w:before="0" w:after="283"/>
              <w:jc w:val="center"/>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center"/>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center"/>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center"/>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0">
              <w:r>
                <w:rPr>
                  <w:rStyle w:val="InternetLink"/>
                  <w:rFonts w:ascii="Calibri;sans-serif" w:hAnsi="Calibri;sans-serif"/>
                  <w:color w:val="0000FF"/>
                  <w:sz w:val="18"/>
                  <w:u w:val="single"/>
                </w:rPr>
                <w:t>Form of Warrant to purchase stock issuable pursuant to the Loan and Security Agreement, as amended, by and between the Registrant and Hercules Capital, Inc.</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10-Q</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5/10/23</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4.6</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4.7</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1">
              <w:r>
                <w:rPr>
                  <w:rStyle w:val="InternetLink"/>
                  <w:rFonts w:ascii="Calibri;sans-serif" w:hAnsi="Calibri;sans-serif"/>
                  <w:color w:val="0000FF"/>
                  <w:sz w:val="18"/>
                  <w:u w:val="single"/>
                </w:rPr>
                <w:t>Note Purchase Agreement, dated May 7, 2019, by and among the Registrant and the other parties party thereto, as amended</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S-1/A</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10/15/19</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4.5</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4.8</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r:id="rId12">
              <w:r>
                <w:rPr>
                  <w:rStyle w:val="InternetLink"/>
                  <w:rFonts w:ascii="Calibri;sans-serif" w:hAnsi="Calibri;sans-serif"/>
                  <w:color w:val="0000FF"/>
                  <w:sz w:val="18"/>
                  <w:u w:val="single"/>
                </w:rPr>
                <w:t>Form of Pre-Funded Warrant to purchase common stock</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8-K</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8/19/24</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4.1</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Times New Roman" w:hAnsi="Times New Roman"/>
                <w:sz w:val="18"/>
              </w:rPr>
            </w:pPr>
            <w:r>
              <w:rPr>
                <w:rFonts w:ascii="Calibri;sans-serif" w:hAnsi="Calibri;sans-serif"/>
                <w:color w:val="000000"/>
                <w:sz w:val="18"/>
              </w:rPr>
              <w:t>10.1</w:t>
            </w:r>
            <w:r>
              <w:rPr>
                <w:rFonts w:ascii="Calibri;sans-serif" w:hAnsi="Calibri;sans-serif"/>
                <w:color w:val="000000"/>
                <w:sz w:val="16"/>
              </w:rPr>
              <w:t></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hyperlink w:anchor="phat-ex10_1.htm">
              <w:r>
                <w:rPr>
                  <w:rStyle w:val="InternetLink"/>
                  <w:rFonts w:ascii="Calibri;sans-serif" w:hAnsi="Calibri;sans-serif"/>
                  <w:color w:val="0000FF"/>
                  <w:sz w:val="18"/>
                  <w:u w:val="single"/>
                </w:rPr>
                <w:t>Letter Agreement to Vonoprazan Commercial Supply Agreement, dated September 4, 2024, by and among Evonik Operations GmbH and the Registrant.</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1.htm">
              <w:r>
                <w:rPr>
                  <w:rStyle w:val="InternetLink"/>
                  <w:rFonts w:ascii="Calibri;sans-serif" w:hAnsi="Calibri;sans-serif"/>
                  <w:color w:val="0000FF"/>
                  <w:sz w:val="18"/>
                  <w:u w:val="single"/>
                </w:rPr>
                <w:t>Certification of Chief Executive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31.2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1_2.htm">
              <w:r>
                <w:rPr>
                  <w:rStyle w:val="InternetLink"/>
                  <w:rFonts w:ascii="Calibri;sans-serif" w:hAnsi="Calibri;sans-serif"/>
                  <w:color w:val="0000FF"/>
                  <w:sz w:val="18"/>
                  <w:u w:val="single"/>
                </w:rPr>
                <w:t>Certification of Chief Financial Officer of Phathom Pharmaceuticals, Inc., as required by Rule 13a-14(a) or Rule 15d-14(a), as adopted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32.1*</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1.htm">
              <w:r>
                <w:rPr>
                  <w:rStyle w:val="InternetLink"/>
                  <w:rFonts w:ascii="Calibri;sans-serif" w:hAnsi="Calibri;sans-serif"/>
                  <w:color w:val="0000FF"/>
                  <w:sz w:val="18"/>
                  <w:u w:val="single"/>
                </w:rPr>
                <w:t>Certification of Chief Executive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32.2*</w:t>
            </w:r>
          </w:p>
        </w:tc>
        <w:tc>
          <w:tcPr>
            <w:tcW w:w="146"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pPr>
            <w:hyperlink w:anchor="phat-ex32_2.htm">
              <w:r>
                <w:rPr>
                  <w:rStyle w:val="InternetLink"/>
                  <w:rFonts w:ascii="Calibri;sans-serif" w:hAnsi="Calibri;sans-serif"/>
                  <w:color w:val="0000FF"/>
                  <w:sz w:val="18"/>
                  <w:u w:val="single"/>
                </w:rPr>
                <w:t>Certification of Chief Financial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101.INS</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101.SCH</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Inline XBRL Taxonomy Extension Schema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X</w:t>
            </w:r>
          </w:p>
        </w:tc>
      </w:tr>
      <w:tr>
        <w:trPr/>
        <w:tc>
          <w:tcPr>
            <w:tcW w:w="7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r>
        <w:trPr/>
        <w:tc>
          <w:tcPr>
            <w:tcW w:w="721" w:type="dxa"/>
            <w:tcBorders/>
            <w:vAlign w:val="center"/>
          </w:tcPr>
          <w:p>
            <w:pPr>
              <w:pStyle w:val="TableContents"/>
              <w:bidi w:val="0"/>
              <w:spacing w:before="0" w:after="283"/>
              <w:jc w:val="center"/>
              <w:rPr>
                <w:rFonts w:ascii="Calibri;sans-serif" w:hAnsi="Calibri;sans-serif"/>
                <w:color w:val="000000"/>
                <w:sz w:val="18"/>
              </w:rPr>
            </w:pPr>
            <w:r>
              <w:rPr>
                <w:rFonts w:ascii="Calibri;sans-serif" w:hAnsi="Calibri;sans-serif"/>
                <w:color w:val="000000"/>
                <w:sz w:val="18"/>
              </w:rPr>
              <w:t>104</w:t>
            </w:r>
          </w:p>
        </w:tc>
        <w:tc>
          <w:tcPr>
            <w:tcW w:w="146"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rFonts w:ascii="Calibri;sans-serif" w:hAnsi="Calibri;sans-serif"/>
                <w:color w:val="000000"/>
                <w:sz w:val="18"/>
              </w:rPr>
            </w:pPr>
            <w:r>
              <w:rPr>
                <w:rFonts w:ascii="Calibri;sans-serif" w:hAnsi="Calibri;sans-serif"/>
                <w:color w:val="000000"/>
                <w:sz w:val="18"/>
              </w:rPr>
              <w:t>Cover Page Interactive Data File (embedded within the Inline XBRL document)</w:t>
            </w:r>
          </w:p>
        </w:tc>
        <w:tc>
          <w:tcPr>
            <w:tcW w:w="146"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Calibri;sans-serif" w:hAnsi="Calibri;sans-serif"/>
          <w:color w:val="000000"/>
          <w:sz w:val="16"/>
        </w:rPr>
      </w:pPr>
      <w:r>
        <w:rPr>
          <w:rFonts w:ascii="Calibri;sans-serif" w:hAnsi="Calibri;sans-serif"/>
          <w:color w:val="000000"/>
          <w:sz w:val="16"/>
        </w:rPr>
        <w:t> Portions of this exhibit have been omitted for confidentiality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Calibri;sans-serif" w:hAnsi="Calibri;sans-serif"/>
          <w:b/>
          <w:color w:val="000000"/>
          <w:sz w:val="20"/>
        </w:rPr>
      </w:pPr>
      <w:bookmarkStart w:id="22" w:name="signatures_1"/>
      <w:bookmarkEnd w:id="22"/>
      <w:r>
        <w:rPr>
          <w:rFonts w:ascii="Calibri;sans-serif" w:hAnsi="Calibri;sans-serif"/>
          <w:b/>
          <w:color w:val="000000"/>
          <w:sz w:val="20"/>
        </w:rPr>
        <w:t>SIGNATURES</w:t>
      </w:r>
    </w:p>
    <w:p>
      <w:pPr>
        <w:pStyle w:val="TextBody"/>
        <w:bidi w:val="0"/>
        <w:spacing w:before="200" w:after="283"/>
        <w:jc w:val="left"/>
        <w:rPr>
          <w:rFonts w:ascii="Calibri;sans-serif" w:hAnsi="Calibri;sans-serif"/>
          <w:color w:val="000000"/>
          <w:sz w:val="20"/>
        </w:rPr>
      </w:pPr>
      <w:r>
        <w:rPr>
          <w:rFonts w:ascii="Calibri;sans-serif" w:hAnsi="Calibr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526"/>
        <w:gridCol w:w="1591"/>
        <w:gridCol w:w="346"/>
        <w:gridCol w:w="146"/>
        <w:gridCol w:w="3541"/>
      </w:tblGrid>
      <w:tr>
        <w:trPr/>
        <w:tc>
          <w:tcPr>
            <w:tcW w:w="52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4033" w:type="dxa"/>
            <w:gridSpan w:val="3"/>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PHATHOM PHARMACEUTICALS, INC.</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59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November 7,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Terrie Curran</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Terrie Curran</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Executive Officer and Director</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Executive Officer)</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pPr>
            <w:r>
              <w:rPr/>
              <w:t> </w:t>
            </w:r>
          </w:p>
        </w:tc>
      </w:tr>
      <w:tr>
        <w:trPr/>
        <w:tc>
          <w:tcPr>
            <w:tcW w:w="52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Date:</w:t>
            </w:r>
          </w:p>
        </w:tc>
        <w:tc>
          <w:tcPr>
            <w:tcW w:w="159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November 7, 2024</w:t>
            </w:r>
          </w:p>
        </w:tc>
        <w:tc>
          <w:tcPr>
            <w:tcW w:w="346"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By:</w:t>
            </w:r>
          </w:p>
        </w:tc>
        <w:tc>
          <w:tcPr>
            <w:tcW w:w="146" w:type="dxa"/>
            <w:tcBorders/>
            <w:vAlign w:val="center"/>
          </w:tcPr>
          <w:p>
            <w:pPr>
              <w:pStyle w:val="TableContents"/>
              <w:bidi w:val="0"/>
              <w:spacing w:before="0" w:after="283"/>
              <w:jc w:val="left"/>
              <w:rPr/>
            </w:pPr>
            <w:r>
              <w:rPr/>
              <w:t> </w:t>
            </w:r>
          </w:p>
        </w:tc>
        <w:tc>
          <w:tcPr>
            <w:tcW w:w="35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/s/ Molly Henderson</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Molly Henderson</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Chief Financial and Business Officer</w:t>
            </w:r>
          </w:p>
        </w:tc>
      </w:tr>
      <w:tr>
        <w:trPr/>
        <w:tc>
          <w:tcPr>
            <w:tcW w:w="52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41" w:type="dxa"/>
            <w:tcBorders/>
            <w:vAlign w:val="center"/>
          </w:tcPr>
          <w:p>
            <w:pPr>
              <w:pStyle w:val="TableContents"/>
              <w:bidi w:val="0"/>
              <w:spacing w:before="0" w:after="283"/>
              <w:jc w:val="left"/>
              <w:rPr>
                <w:rFonts w:ascii="Calibri;sans-serif" w:hAnsi="Calibri;sans-serif"/>
                <w:color w:val="000000"/>
                <w:sz w:val="20"/>
              </w:rPr>
            </w:pPr>
            <w:r>
              <w:rPr>
                <w:rFonts w:ascii="Calibri;sans-serif" w:hAnsi="Calibri;sans-serif"/>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phat-ex10_1.htm"/>
      <w:bookmarkStart w:id="24" w:name="ksphatex10_1"/>
      <w:bookmarkEnd w:id="23"/>
      <w:bookmarkEnd w:id="24"/>
      <w:r>
        <w:rPr>
          <w:rFonts w:ascii="Times New Roman" w:hAnsi="Times New Roman"/>
          <w:b/>
          <w:color w:val="000000"/>
          <w:sz w:val="20"/>
        </w:rPr>
        <w:t>Exhibit 10.1</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BECAUSE PHATHOM PHARMACEUTICALS, INC. HAS DETERMINED THE INFORMATION (I) IS NOT MATERIAL AND (II) WOULD LIKELY CAUSE COMPETITIVE HARM TO PHATHOM PHARMACEUTICALS, INC. IF PUBLICLY DISCLOSED.</w:t>
      </w:r>
    </w:p>
    <w:p>
      <w:pPr>
        <w:pStyle w:val="TextBody"/>
        <w:bidi w:val="0"/>
        <w:jc w:val="left"/>
        <w:rPr/>
      </w:pPr>
      <w:r>
        <w:rPr/>
        <w:t> </w:t>
      </w:r>
    </w:p>
    <w:p>
      <w:pPr>
        <w:pStyle w:val="TextBody"/>
        <w:bidi w:val="0"/>
        <w:spacing w:before="102" w:after="283"/>
        <w:jc w:val="left"/>
        <w:rPr/>
      </w:pPr>
      <w:r>
        <w:rPr/>
        <w:t> </w:t>
      </w:r>
    </w:p>
    <w:tbl>
      <w:tblPr>
        <w:tblW w:w="7377" w:type="dxa"/>
        <w:jc w:val="left"/>
        <w:tblInd w:w="0" w:type="dxa"/>
        <w:tblLayout w:type="fixed"/>
        <w:tblCellMar>
          <w:top w:w="28" w:type="dxa"/>
          <w:left w:w="28" w:type="dxa"/>
          <w:bottom w:w="28" w:type="dxa"/>
          <w:right w:w="28" w:type="dxa"/>
        </w:tblCellMar>
      </w:tblPr>
      <w:tblGrid>
        <w:gridCol w:w="3021"/>
        <w:gridCol w:w="4356"/>
      </w:tblGrid>
      <w:tr>
        <w:trPr/>
        <w:tc>
          <w:tcPr>
            <w:tcW w:w="3021" w:type="dxa"/>
            <w:tcBorders/>
            <w:vAlign w:val="center"/>
          </w:tcPr>
          <w:p>
            <w:pPr>
              <w:pStyle w:val="TableContents"/>
              <w:bidi w:val="0"/>
              <w:spacing w:before="0" w:after="283"/>
              <w:jc w:val="left"/>
              <w:rPr>
                <w:sz w:val="4"/>
                <w:szCs w:val="4"/>
              </w:rPr>
            </w:pPr>
            <w:r>
              <w:rPr>
                <w:sz w:val="4"/>
                <w:szCs w:val="4"/>
              </w:rPr>
            </w:r>
          </w:p>
        </w:tc>
        <w:tc>
          <w:tcPr>
            <w:tcW w:w="4356" w:type="dxa"/>
            <w:tcBorders/>
            <w:vAlign w:val="center"/>
          </w:tcPr>
          <w:p>
            <w:pPr>
              <w:pStyle w:val="TableContents"/>
              <w:bidi w:val="0"/>
              <w:spacing w:before="0" w:after="283"/>
              <w:jc w:val="left"/>
              <w:rPr>
                <w:sz w:val="4"/>
                <w:szCs w:val="4"/>
              </w:rPr>
            </w:pPr>
            <w:r>
              <w:rPr>
                <w:sz w:val="4"/>
                <w:szCs w:val="4"/>
              </w:rPr>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pPr>
            <w:r>
              <w:rPr/>
              <w:t> </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color w:val="000000"/>
                <w:sz w:val="20"/>
              </w:rPr>
            </w:pPr>
            <w:r>
              <w:rPr>
                <w:rFonts w:ascii="Arial" w:hAnsi="Arial"/>
                <w:color w:val="000000"/>
                <w:sz w:val="20"/>
              </w:rPr>
              <w:t>4 September 2024</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pPr>
            <w:r>
              <w:rPr/>
              <w:t> </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pPr>
            <w:r>
              <w:rPr/>
              <w:t> </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rFonts w:ascii="Times New Roman" w:hAnsi="Times New Roman"/>
                <w:sz w:val="20"/>
              </w:rPr>
            </w:pPr>
            <w:r>
              <w:rPr>
                <w:rFonts w:ascii="Arial" w:hAnsi="Arial"/>
                <w:color w:val="000000"/>
                <w:sz w:val="20"/>
              </w:rPr>
              <w:t>Phathom Pharmaceuticals, Inc</w:t>
            </w:r>
            <w:r>
              <w:rPr>
                <w:rFonts w:ascii="Times New Roman" w:hAnsi="Times New Roman"/>
                <w:color w:val="000000"/>
                <w:sz w:val="20"/>
              </w:rPr>
              <w:t xml:space="preserve"> </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b/>
                <w:color w:val="000000"/>
                <w:sz w:val="20"/>
              </w:rPr>
            </w:pPr>
            <w:r>
              <w:rPr>
                <w:rFonts w:ascii="Arial" w:hAnsi="Arial"/>
                <w:b/>
                <w:color w:val="000000"/>
                <w:sz w:val="20"/>
              </w:rPr>
              <w:t>Theresa Ledbetter</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rFonts w:ascii="Times New Roman" w:hAnsi="Times New Roman"/>
                <w:sz w:val="20"/>
              </w:rPr>
            </w:pPr>
            <w:r>
              <w:rPr>
                <w:rFonts w:ascii="Arial" w:hAnsi="Arial"/>
                <w:color w:val="000000"/>
                <w:sz w:val="20"/>
              </w:rPr>
              <w:t>100 Campus Drive, Suite 102</w:t>
            </w:r>
            <w:r>
              <w:rPr>
                <w:rFonts w:ascii="Times New Roman" w:hAnsi="Times New Roman"/>
                <w:color w:val="000000"/>
                <w:sz w:val="20"/>
              </w:rPr>
              <w:t xml:space="preserve"> </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color w:val="000000"/>
                <w:sz w:val="20"/>
              </w:rPr>
            </w:pPr>
            <w:r>
              <w:rPr>
                <w:rFonts w:ascii="Arial" w:hAnsi="Arial"/>
                <w:color w:val="000000"/>
                <w:sz w:val="20"/>
              </w:rPr>
              <w:t>Evonik Corporation</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color w:val="000000"/>
                <w:sz w:val="20"/>
              </w:rPr>
            </w:pPr>
            <w:r>
              <w:rPr>
                <w:rFonts w:ascii="Arial" w:hAnsi="Arial"/>
                <w:color w:val="000000"/>
                <w:sz w:val="20"/>
              </w:rPr>
              <w:t>Florham Park, NJ 07932</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color w:val="000000"/>
                <w:sz w:val="20"/>
              </w:rPr>
            </w:pPr>
            <w:r>
              <w:rPr>
                <w:rFonts w:ascii="Arial" w:hAnsi="Arial"/>
                <w:color w:val="000000"/>
                <w:sz w:val="20"/>
              </w:rPr>
              <w:t>Director, Key Account Management and Sales</w:t>
            </w:r>
          </w:p>
        </w:tc>
      </w:tr>
      <w:tr>
        <w:trPr/>
        <w:tc>
          <w:tcPr>
            <w:tcW w:w="3021" w:type="dxa"/>
            <w:tcBorders/>
            <w:tcMar>
              <w:top w:w="0" w:type="dxa"/>
              <w:left w:w="0" w:type="dxa"/>
              <w:bottom w:w="0" w:type="dxa"/>
              <w:right w:w="0" w:type="dxa"/>
            </w:tcMar>
            <w:vAlign w:val="center"/>
          </w:tcPr>
          <w:p>
            <w:pPr>
              <w:pStyle w:val="TableContents"/>
              <w:bidi w:val="0"/>
              <w:spacing w:before="0" w:after="283"/>
              <w:ind w:left="0" w:right="0" w:firstLine="170"/>
              <w:jc w:val="left"/>
              <w:rPr/>
            </w:pPr>
            <w:r>
              <w:rPr/>
              <w:t> </w:t>
            </w:r>
          </w:p>
        </w:tc>
        <w:tc>
          <w:tcPr>
            <w:tcW w:w="4356" w:type="dxa"/>
            <w:tcBorders/>
            <w:tcMar>
              <w:top w:w="0" w:type="dxa"/>
              <w:left w:w="0" w:type="dxa"/>
              <w:bottom w:w="0" w:type="dxa"/>
              <w:right w:w="0" w:type="dxa"/>
            </w:tcMar>
            <w:vAlign w:val="center"/>
          </w:tcPr>
          <w:p>
            <w:pPr>
              <w:pStyle w:val="TableContents"/>
              <w:bidi w:val="0"/>
              <w:spacing w:before="0" w:after="283"/>
              <w:ind w:left="0" w:right="0" w:firstLine="170"/>
              <w:jc w:val="left"/>
              <w:rPr>
                <w:rFonts w:ascii="Arial" w:hAnsi="Arial"/>
                <w:color w:val="000000"/>
                <w:sz w:val="20"/>
              </w:rPr>
            </w:pPr>
            <w:r>
              <w:rPr>
                <w:rFonts w:ascii="Arial" w:hAnsi="Arial"/>
                <w:color w:val="000000"/>
                <w:sz w:val="20"/>
              </w:rPr>
              <w:t>Drug Substance</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rebuchet MS;sans-serif" w:hAnsi="Trebuchet MS;sans-serif"/>
          <w:color w:val="000000"/>
          <w:sz w:val="20"/>
        </w:rPr>
        <w:t xml:space="preserve">Re: </w:t>
      </w:r>
      <w:r>
        <w:rPr>
          <w:rFonts w:ascii="Trebuchet MS;sans-serif" w:hAnsi="Trebuchet MS;sans-serif"/>
          <w:b/>
          <w:color w:val="000000"/>
          <w:sz w:val="20"/>
        </w:rPr>
        <w:t xml:space="preserve">Letter Agreement (“Letter Agreement”) regarding Vonoprazan Commercial Supply Agreement </w:t>
      </w:r>
      <w:r>
        <w:rPr>
          <w:rFonts w:ascii="Trebuchet MS;sans-serif" w:hAnsi="Trebuchet MS;sans-serif"/>
          <w:color w:val="000000"/>
          <w:sz w:val="20"/>
        </w:rPr>
        <w:t xml:space="preserve">made by and among </w:t>
      </w:r>
      <w:r>
        <w:rPr>
          <w:rFonts w:ascii="Arial" w:hAnsi="Arial"/>
          <w:color w:val="000000"/>
          <w:sz w:val="22"/>
        </w:rPr>
        <w:t xml:space="preserve">Phathom Pharmaceuticals, Inc., a Delaware corporation located at 100 Campus Drive, Suite 102, Florham Park, NJ 07932 (“Purchaser”), Evonik Operations GmbH, a limited liability company located at Rodenbacher Chaussee 4, 63457 Hanau (Wolfgang), Germany (“Evonik GmbH” or “Supplier”) and Evonik Corporation, an Alabama corporation with offices located at 2 Turner Place, Piscataway, NJ 08854 (“Evonik US” or “Supplier”) </w:t>
      </w:r>
      <w:r>
        <w:rPr>
          <w:rFonts w:ascii="Trebuchet MS;sans-serif" w:hAnsi="Trebuchet MS;sans-serif"/>
          <w:b/>
          <w:color w:val="000000"/>
          <w:sz w:val="20"/>
        </w:rPr>
        <w:t>effective as of August 1, 2022, as it has been amended to date (the “Agreement”)</w:t>
      </w:r>
    </w:p>
    <w:p>
      <w:pPr>
        <w:pStyle w:val="TextBody"/>
        <w:bidi w:val="0"/>
        <w:spacing w:before="232" w:after="283"/>
        <w:jc w:val="both"/>
        <w:rPr>
          <w:rFonts w:ascii="Trebuchet MS;sans-serif" w:hAnsi="Trebuchet MS;sans-serif"/>
          <w:color w:val="000000"/>
          <w:sz w:val="20"/>
        </w:rPr>
      </w:pPr>
      <w:r>
        <w:rPr>
          <w:rFonts w:ascii="Trebuchet MS;sans-serif" w:hAnsi="Trebuchet MS;sans-serif"/>
          <w:color w:val="000000"/>
          <w:sz w:val="20"/>
        </w:rPr>
        <w:t>We are writing to confirm that pursuant to Section 15.7 of the Agreement, the Parties have agreed to modify the Agreement as set forth herein. As used in this Letter Agreement, capitalized terms have the meanings assigned to them in the Agreement and references to “Sections” shall be to Sections of the Agreement. The Parties agree as follows:</w:t>
      </w:r>
    </w:p>
    <w:p>
      <w:pPr>
        <w:pStyle w:val="TextBody"/>
        <w:bidi w:val="0"/>
        <w:jc w:val="left"/>
        <w:rPr/>
      </w:pPr>
      <w:r>
        <w:rPr/>
        <w:t> </w:t>
      </w:r>
    </w:p>
    <w:p>
      <w:pPr>
        <w:pStyle w:val="TextBody"/>
        <w:bidi w:val="0"/>
        <w:spacing w:before="0" w:after="0"/>
        <w:jc w:val="both"/>
        <w:rPr>
          <w:rFonts w:ascii="Trebuchet MS" w:hAnsi="Trebuchet MS"/>
          <w:color w:val="000000"/>
          <w:sz w:val="20"/>
        </w:rPr>
      </w:pPr>
      <w:r>
        <w:rPr>
          <w:rFonts w:ascii="Trebuchet MS" w:hAnsi="Trebuchet MS"/>
          <w:color w:val="000000"/>
          <w:sz w:val="20"/>
        </w:rPr>
        <w:t>1.</w:t>
      </w:r>
    </w:p>
    <w:p>
      <w:pPr>
        <w:pStyle w:val="TextBody"/>
        <w:bidi w:val="0"/>
        <w:jc w:val="both"/>
        <w:rPr>
          <w:rFonts w:ascii="Trebuchet MS;sans-serif" w:hAnsi="Trebuchet MS;sans-serif"/>
          <w:color w:val="000000"/>
          <w:sz w:val="20"/>
        </w:rPr>
      </w:pPr>
      <w:r>
        <w:rPr>
          <w:rFonts w:ascii="Trebuchet MS;sans-serif" w:hAnsi="Trebuchet MS;sans-serif"/>
          <w:color w:val="000000"/>
          <w:sz w:val="20"/>
        </w:rPr>
        <w:t>Section 3.11.2 of the Agreement entitles Supplier to order [***] quantity [***] months in advance of Product delivery based on Purchaser’s forecast, irrespective of whether the forecasted volumes of such campaign constitute a Firm Commitment. Notwithstanding the foregoing, Purchaser and Supplier hereby agree, on a one- time basis, to extend this time period to [***] months in order to allow for Supplier to purchase [***] to satisfy both December 2025 [***] demand from Purchaser’s August 2024 Forecast (see attached document titled ‘Evonik Forecast – 08-08-24.xlsx’) and verbal communication for November 2026 demand [***]. If, at the time the November 2026 demand becomes a Firm Commitment the Product volume is lower than [***], the Parties agree this will be managed as outlined in Section 3.11.2 of the Agreement or in accordance with an alternate approach as mutually agreed by the Parties.</w:t>
      </w:r>
    </w:p>
    <w:p>
      <w:pPr>
        <w:pStyle w:val="TextBody"/>
        <w:bidi w:val="0"/>
        <w:jc w:val="left"/>
        <w:rPr/>
      </w:pPr>
      <w:r>
        <w:rPr/>
        <w:t> </w:t>
      </w:r>
    </w:p>
    <w:p>
      <w:pPr>
        <w:pStyle w:val="TextBody"/>
        <w:bidi w:val="0"/>
        <w:spacing w:before="0" w:after="0"/>
        <w:jc w:val="both"/>
        <w:rPr>
          <w:rFonts w:ascii="Trebuchet MS" w:hAnsi="Trebuchet MS"/>
          <w:color w:val="000000"/>
          <w:sz w:val="20"/>
        </w:rPr>
      </w:pPr>
      <w:r>
        <w:rPr>
          <w:rFonts w:ascii="Trebuchet MS" w:hAnsi="Trebuchet MS"/>
          <w:color w:val="000000"/>
          <w:sz w:val="20"/>
        </w:rPr>
        <w:t>2.</w:t>
      </w:r>
    </w:p>
    <w:p>
      <w:pPr>
        <w:pStyle w:val="TextBody"/>
        <w:bidi w:val="0"/>
        <w:jc w:val="both"/>
        <w:rPr>
          <w:rFonts w:ascii="Trebuchet MS;sans-serif" w:hAnsi="Trebuchet MS;sans-serif"/>
          <w:color w:val="000000"/>
          <w:sz w:val="20"/>
        </w:rPr>
      </w:pPr>
      <w:r>
        <w:rPr>
          <w:rFonts w:ascii="Trebuchet MS;sans-serif" w:hAnsi="Trebuchet MS;sans-serif"/>
          <w:color w:val="000000"/>
          <w:sz w:val="20"/>
        </w:rPr>
        <w:t>Except for the potential payment contemplated by Section 3.11.2 for a reduction from ordered quantity to Firm Commitment, Purchaser shall not be required to provide Supplier a Prepayment earlier than outlined in Section 4.3.3 of the Agreement.</w:t>
      </w:r>
    </w:p>
    <w:p>
      <w:pPr>
        <w:pStyle w:val="TextBody"/>
        <w:bidi w:val="0"/>
        <w:jc w:val="left"/>
        <w:rPr/>
      </w:pPr>
      <w:r>
        <w:rPr/>
        <w:t> </w:t>
      </w:r>
    </w:p>
    <w:p>
      <w:pPr>
        <w:pStyle w:val="TextBody"/>
        <w:bidi w:val="0"/>
        <w:jc w:val="left"/>
        <w:rPr>
          <w:rFonts w:ascii="Trebuchet MS;sans-serif" w:hAnsi="Trebuchet MS;sans-serif"/>
          <w:color w:val="000000"/>
          <w:sz w:val="20"/>
        </w:rPr>
      </w:pPr>
      <w:r>
        <w:rPr>
          <w:rFonts w:ascii="Trebuchet MS;sans-serif" w:hAnsi="Trebuchet MS;sans-serif"/>
          <w:color w:val="000000"/>
          <w:sz w:val="20"/>
        </w:rPr>
        <w:t>Except as expressly provided in this Letter Agreement, all other terms, conditions, and provisions of the Agreement shall continue in full force and effect as provided therein. This Letter Agreement shall be governed by and construed in accordance with the laws of the state of New Jersey without regard to the conflict of law provisions thereof.</w:t>
      </w:r>
    </w:p>
    <w:p>
      <w:pPr>
        <w:pStyle w:val="TextBody"/>
        <w:bidi w:val="0"/>
        <w:spacing w:before="160" w:after="283"/>
        <w:jc w:val="both"/>
        <w:rPr>
          <w:rFonts w:ascii="Trebuchet MS;sans-serif" w:hAnsi="Trebuchet MS;sans-serif"/>
          <w:color w:val="000000"/>
          <w:sz w:val="20"/>
        </w:rPr>
      </w:pPr>
      <w:r>
        <w:rPr>
          <w:rFonts w:ascii="Trebuchet MS;sans-serif" w:hAnsi="Trebuchet MS;sans-serif"/>
          <w:color w:val="000000"/>
          <w:sz w:val="20"/>
        </w:rPr>
        <w:t>This Letter Agreement may be executed in two or more counterparts, each of which shall be deemed an original and all of which shall constitute together the same instrument. Any such counterparts executed and/or transmitted electronically, including scanned signed documents or digital signatures, shall bind the Parties to the same extent as documents with original signatures.</w:t>
      </w:r>
    </w:p>
    <w:p>
      <w:pPr>
        <w:pStyle w:val="TextBody"/>
        <w:bidi w:val="0"/>
        <w:spacing w:before="76"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4668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466850" cy="3810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rebuchet MS;sans-serif" w:hAnsi="Trebuchet MS;sans-serif"/>
          <w:color w:val="000000"/>
          <w:sz w:val="20"/>
        </w:rPr>
      </w:pPr>
      <w:r>
        <w:rPr>
          <w:rFonts w:ascii="Trebuchet MS;sans-serif" w:hAnsi="Trebuchet MS;sans-serif"/>
          <w:color w:val="000000"/>
          <w:sz w:val="20"/>
        </w:rPr>
        <w:t>IN WITNESS WHEREOF, the Parties have confirmed their acceptance of the contents of this Letter Agreement.</w:t>
      </w:r>
    </w:p>
    <w:p>
      <w:pPr>
        <w:pStyle w:val="TextBody"/>
        <w:bidi w:val="0"/>
        <w:jc w:val="left"/>
        <w:rPr/>
      </w:pPr>
      <w:r>
        <w:rPr/>
        <w:t> </w:t>
      </w:r>
    </w:p>
    <w:p>
      <w:pPr>
        <w:pStyle w:val="TextBody"/>
        <w:bidi w:val="0"/>
        <w:spacing w:before="106" w:after="283"/>
        <w:jc w:val="left"/>
        <w:rPr/>
      </w:pPr>
      <w:r>
        <w:rPr/>
        <w:t> </w:t>
      </w:r>
    </w:p>
    <w:p>
      <w:pPr>
        <w:pStyle w:val="TextBody"/>
        <w:bidi w:val="0"/>
        <w:jc w:val="left"/>
        <w:rPr>
          <w:rFonts w:ascii="Trebuchet MS;sans-serif" w:hAnsi="Trebuchet MS;sans-serif"/>
          <w:b/>
          <w:color w:val="000000"/>
          <w:sz w:val="20"/>
        </w:rPr>
      </w:pPr>
      <w:r>
        <w:rPr>
          <w:rFonts w:ascii="Trebuchet MS;sans-serif" w:hAnsi="Trebuchet MS;sans-serif"/>
          <w:b/>
          <w:color w:val="000000"/>
          <w:sz w:val="20"/>
        </w:rPr>
        <w:t>Evonik Operations GmbH Evonik Operations GmbH</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color w:val="000000"/>
          <w:sz w:val="20"/>
        </w:rPr>
        <w:t xml:space="preserve">By: </w:t>
      </w:r>
      <w:r>
        <w:rPr>
          <w:rFonts w:ascii="Trebuchet MS;sans-serif" w:hAnsi="Trebuchet MS;sans-serif"/>
          <w:color w:val="000000"/>
          <w:sz w:val="20"/>
          <w:u w:val="single"/>
        </w:rPr>
        <w:t xml:space="preserve">/s/ Tim Pohlman </w:t>
      </w:r>
      <w:r>
        <w:rPr>
          <w:rFonts w:ascii="Trebuchet MS;sans-serif" w:hAnsi="Trebuchet MS;sans-serif"/>
          <w:color w:val="000000"/>
          <w:sz w:val="20"/>
        </w:rPr>
        <w:t xml:space="preserve">By: </w:t>
      </w:r>
      <w:r>
        <w:rPr>
          <w:rFonts w:ascii="Trebuchet MS;sans-serif" w:hAnsi="Trebuchet MS;sans-serif"/>
          <w:color w:val="000000"/>
          <w:sz w:val="20"/>
          <w:u w:val="single"/>
        </w:rPr>
        <w:t>/s/ Marcus Andresen</w:t>
      </w:r>
    </w:p>
    <w:p>
      <w:pPr>
        <w:pStyle w:val="TextBody"/>
        <w:bidi w:val="0"/>
        <w:jc w:val="left"/>
        <w:rPr>
          <w:rFonts w:ascii="Trebuchet MS;sans-serif" w:hAnsi="Trebuchet MS;sans-serif"/>
          <w:color w:val="000000"/>
          <w:sz w:val="20"/>
        </w:rPr>
      </w:pPr>
      <w:r>
        <w:rPr>
          <w:rFonts w:ascii="Trebuchet MS;sans-serif" w:hAnsi="Trebuchet MS;sans-serif"/>
          <w:color w:val="000000"/>
          <w:sz w:val="20"/>
        </w:rPr>
        <w:t>Name: Tim Pohlmann Name: Marcus Andresen</w:t>
      </w:r>
    </w:p>
    <w:p>
      <w:pPr>
        <w:pStyle w:val="TextBody"/>
        <w:bidi w:val="0"/>
        <w:jc w:val="left"/>
        <w:rPr>
          <w:rFonts w:ascii="Trebuchet MS;sans-serif" w:hAnsi="Trebuchet MS;sans-serif"/>
          <w:color w:val="000000"/>
          <w:sz w:val="20"/>
        </w:rPr>
      </w:pPr>
      <w:r>
        <w:rPr>
          <w:rFonts w:ascii="Trebuchet MS;sans-serif" w:hAnsi="Trebuchet MS;sans-serif"/>
          <w:color w:val="000000"/>
          <w:sz w:val="20"/>
        </w:rPr>
        <w:t>Title: Sr. Director CDMO Project Business Title: Senior Legal Counsel</w:t>
      </w:r>
    </w:p>
    <w:p>
      <w:pPr>
        <w:pStyle w:val="TextBody"/>
        <w:bidi w:val="0"/>
        <w:jc w:val="left"/>
        <w:rPr/>
      </w:pPr>
      <w:r>
        <w:rPr/>
        <w:t> </w:t>
      </w:r>
    </w:p>
    <w:p>
      <w:pPr>
        <w:pStyle w:val="TextBody"/>
        <w:bidi w:val="0"/>
        <w:jc w:val="left"/>
        <w:rPr/>
      </w:pPr>
      <w:r>
        <w:rPr/>
        <w:t> </w:t>
      </w:r>
    </w:p>
    <w:p>
      <w:pPr>
        <w:pStyle w:val="TextBody"/>
        <w:bidi w:val="0"/>
        <w:jc w:val="left"/>
        <w:rPr>
          <w:rFonts w:ascii="Trebuchet MS;sans-serif" w:hAnsi="Trebuchet MS;sans-serif"/>
          <w:b/>
          <w:color w:val="000000"/>
          <w:sz w:val="20"/>
        </w:rPr>
      </w:pPr>
      <w:r>
        <w:rPr>
          <w:rFonts w:ascii="Trebuchet MS;sans-serif" w:hAnsi="Trebuchet MS;sans-serif"/>
          <w:b/>
          <w:color w:val="000000"/>
          <w:sz w:val="20"/>
        </w:rPr>
        <w:t>Evonik Corporation Phathom Pharmaceuticals, Inc.</w:t>
      </w:r>
    </w:p>
    <w:p>
      <w:pPr>
        <w:pStyle w:val="TextBody"/>
        <w:bidi w:val="0"/>
        <w:jc w:val="left"/>
        <w:rPr/>
      </w:pPr>
      <w:r>
        <w:rPr/>
        <w:t> </w:t>
      </w:r>
    </w:p>
    <w:p>
      <w:pPr>
        <w:pStyle w:val="TextBody"/>
        <w:bidi w:val="0"/>
        <w:jc w:val="left"/>
        <w:rPr>
          <w:rFonts w:ascii="Times New Roman" w:hAnsi="Times New Roman"/>
          <w:sz w:val="20"/>
        </w:rPr>
      </w:pPr>
      <w:r>
        <w:rPr>
          <w:rFonts w:ascii="Trebuchet MS;sans-serif" w:hAnsi="Trebuchet MS;sans-serif"/>
          <w:color w:val="000000"/>
          <w:sz w:val="20"/>
        </w:rPr>
        <w:t xml:space="preserve">By: </w:t>
      </w:r>
      <w:r>
        <w:rPr>
          <w:rFonts w:ascii="Trebuchet MS;sans-serif" w:hAnsi="Trebuchet MS;sans-serif"/>
          <w:color w:val="000000"/>
          <w:sz w:val="20"/>
          <w:u w:val="single"/>
        </w:rPr>
        <w:t xml:space="preserve">/s/ Stefan Randl </w:t>
      </w:r>
      <w:r>
        <w:rPr>
          <w:rFonts w:ascii="Trebuchet MS;sans-serif" w:hAnsi="Trebuchet MS;sans-serif"/>
          <w:color w:val="000000"/>
          <w:sz w:val="20"/>
        </w:rPr>
        <w:t xml:space="preserve">By: </w:t>
      </w:r>
      <w:r>
        <w:rPr>
          <w:rFonts w:ascii="Trebuchet MS;sans-serif" w:hAnsi="Trebuchet MS;sans-serif"/>
          <w:color w:val="000000"/>
          <w:sz w:val="20"/>
          <w:u w:val="single"/>
        </w:rPr>
        <w:t xml:space="preserve">/s/ Jay Buchanan </w:t>
      </w:r>
    </w:p>
    <w:p>
      <w:pPr>
        <w:pStyle w:val="TextBody"/>
        <w:bidi w:val="0"/>
        <w:jc w:val="left"/>
        <w:rPr>
          <w:rFonts w:ascii="Times New Roman" w:hAnsi="Times New Roman"/>
          <w:sz w:val="20"/>
        </w:rPr>
      </w:pPr>
      <w:r>
        <w:rPr>
          <w:rFonts w:ascii="Trebuchet MS;sans-serif" w:hAnsi="Trebuchet MS;sans-serif"/>
          <w:color w:val="000000"/>
          <w:sz w:val="20"/>
        </w:rPr>
        <w:t>Name: Stefan Randl Name: Jay Buchanan</w:t>
      </w:r>
      <w:r>
        <w:rPr>
          <w:rFonts w:ascii="Times New Roman" w:hAnsi="Times New Roman"/>
          <w:color w:val="000000"/>
          <w:sz w:val="20"/>
        </w:rPr>
        <w:t xml:space="preserve"> </w:t>
      </w:r>
    </w:p>
    <w:p>
      <w:pPr>
        <w:pStyle w:val="TextBody"/>
        <w:bidi w:val="0"/>
        <w:jc w:val="left"/>
        <w:rPr>
          <w:rFonts w:ascii="Trebuchet MS;sans-serif" w:hAnsi="Trebuchet MS;sans-serif"/>
          <w:color w:val="000000"/>
          <w:sz w:val="20"/>
        </w:rPr>
      </w:pPr>
      <w:r>
        <w:rPr>
          <w:rFonts w:ascii="Trebuchet MS;sans-serif" w:hAnsi="Trebuchet MS;sans-serif"/>
          <w:color w:val="000000"/>
          <w:sz w:val="20"/>
        </w:rPr>
        <w:t>Title: VP PL Drug Substance Title: VP, Manufacturing &amp; Supply Chain</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46685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466850" cy="3810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rebuchet MS;sans-serif" w:hAnsi="Trebuchet MS;sans-serif"/>
          <w:color w:val="000000"/>
          <w:sz w:val="20"/>
        </w:rPr>
      </w:pPr>
      <w:r>
        <w:rPr>
          <w:rFonts w:ascii="Trebuchet MS;sans-serif" w:hAnsi="Trebuchet MS;sans-serif"/>
          <w:color w:val="000000"/>
          <w:sz w:val="20"/>
        </w:rPr>
        <w:t>Evonik Forecast</w:t>
      </w:r>
    </w:p>
    <w:p>
      <w:pPr>
        <w:pStyle w:val="TextBody"/>
        <w:bidi w:val="0"/>
        <w:jc w:val="center"/>
        <w:rPr/>
      </w:pPr>
      <w:r>
        <w:rPr/>
        <w:t> </w:t>
      </w:r>
    </w:p>
    <w:p>
      <w:pPr>
        <w:pStyle w:val="TextBody"/>
        <w:bidi w:val="0"/>
        <w:jc w:val="center"/>
        <w:rPr>
          <w:rFonts w:ascii="Trebuchet MS;sans-serif" w:hAnsi="Trebuchet MS;sans-serif"/>
          <w:color w:val="000000"/>
          <w:sz w:val="20"/>
        </w:rPr>
      </w:pPr>
      <w:r>
        <w:rPr>
          <w:rFonts w:ascii="Trebuchet MS;sans-serif" w:hAnsi="Trebuchet MS;sans-serif"/>
          <w:color w:val="000000"/>
          <w:sz w:val="20"/>
        </w:rPr>
        <w:t>[***]</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bookmarkStart w:id="25" w:name="phat-ex31_1.htm"/>
      <w:bookmarkStart w:id="26" w:name="ksphat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EXECUTIVE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Terrie Curran,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66" w:type="dxa"/>
        <w:jc w:val="left"/>
        <w:tblInd w:w="0" w:type="dxa"/>
        <w:tblLayout w:type="fixed"/>
        <w:tblCellMar>
          <w:top w:w="28" w:type="dxa"/>
          <w:left w:w="28" w:type="dxa"/>
          <w:bottom w:w="28" w:type="dxa"/>
          <w:right w:w="28" w:type="dxa"/>
        </w:tblCellMar>
      </w:tblPr>
      <w:tblGrid>
        <w:gridCol w:w="2255"/>
        <w:gridCol w:w="3211"/>
      </w:tblGrid>
      <w:tr>
        <w:trPr/>
        <w:tc>
          <w:tcPr>
            <w:tcW w:w="2255"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2255" w:type="dxa"/>
            <w:tcBorders/>
            <w:vAlign w:val="center"/>
          </w:tcPr>
          <w:p>
            <w:pPr>
              <w:pStyle w:val="TableContents"/>
              <w:bidi w:val="0"/>
              <w:spacing w:before="0" w:after="283"/>
              <w:ind w:left="0" w:right="0" w:firstLine="154"/>
              <w:jc w:val="left"/>
              <w:rPr>
                <w:rFonts w:ascii="Times New Roman" w:hAnsi="Times New Roman"/>
                <w:color w:val="000000"/>
                <w:sz w:val="19"/>
              </w:rPr>
            </w:pPr>
            <w:r>
              <w:rPr>
                <w:rFonts w:ascii="Times New Roman" w:hAnsi="Times New Roman"/>
                <w:color w:val="000000"/>
                <w:sz w:val="19"/>
              </w:rPr>
              <w:t>Date: November 7, 2024</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Terrie Curran</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Terrie Curran</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Executive Officer and President</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phat-ex31_2.htm"/>
      <w:bookmarkStart w:id="28" w:name="ksphat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Molly Henderson, certify that: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1.</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I have reviewed this Quarterly Report on Form 10-Q of Phathom Pharmaceuticals, Inc.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2.</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3.</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4.</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pPr>
      <w:r>
        <w:rPr>
          <w:rFonts w:ascii="Times New Roman" w:hAnsi="Times New Roman"/>
          <w:color w:val="000000"/>
          <w:sz w:val="1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10000"/>
          <w:sz w:val="19"/>
        </w:rPr>
        <w:t>;</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c)</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5.</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b)</w:t>
      </w:r>
    </w:p>
    <w:p>
      <w:pPr>
        <w:pStyle w:val="TextBody"/>
        <w:bidi w:val="0"/>
        <w:spacing w:before="240" w:after="283"/>
        <w:jc w:val="left"/>
        <w:rPr>
          <w:rFonts w:ascii="Times New Roman" w:hAnsi="Times New Roman"/>
          <w:color w:val="000000"/>
          <w:sz w:val="19"/>
        </w:rPr>
      </w:pPr>
      <w:r>
        <w:rPr>
          <w:rFonts w:ascii="Times New Roman" w:hAnsi="Times New Roman"/>
          <w:color w:val="000000"/>
          <w:sz w:val="19"/>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21" w:type="dxa"/>
        <w:jc w:val="left"/>
        <w:tblInd w:w="0" w:type="dxa"/>
        <w:tblLayout w:type="fixed"/>
        <w:tblCellMar>
          <w:top w:w="28" w:type="dxa"/>
          <w:left w:w="28" w:type="dxa"/>
          <w:bottom w:w="28" w:type="dxa"/>
          <w:right w:w="28" w:type="dxa"/>
        </w:tblCellMar>
      </w:tblPr>
      <w:tblGrid>
        <w:gridCol w:w="2255"/>
        <w:gridCol w:w="3766"/>
      </w:tblGrid>
      <w:tr>
        <w:trPr/>
        <w:tc>
          <w:tcPr>
            <w:tcW w:w="2255"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ind w:left="0" w:right="0" w:firstLine="154"/>
              <w:jc w:val="left"/>
              <w:rPr>
                <w:sz w:val="4"/>
                <w:szCs w:val="4"/>
              </w:rPr>
            </w:pPr>
            <w:r>
              <w:rPr>
                <w:sz w:val="4"/>
                <w:szCs w:val="4"/>
              </w:rPr>
            </w:r>
          </w:p>
        </w:tc>
      </w:tr>
      <w:tr>
        <w:trPr/>
        <w:tc>
          <w:tcPr>
            <w:tcW w:w="2255" w:type="dxa"/>
            <w:tcBorders/>
            <w:vAlign w:val="center"/>
          </w:tcPr>
          <w:p>
            <w:pPr>
              <w:pStyle w:val="TableContents"/>
              <w:bidi w:val="0"/>
              <w:spacing w:before="0" w:after="283"/>
              <w:ind w:left="0" w:right="0" w:firstLine="154"/>
              <w:jc w:val="left"/>
              <w:rPr>
                <w:rFonts w:ascii="Times New Roman" w:hAnsi="Times New Roman"/>
                <w:color w:val="000000"/>
                <w:sz w:val="19"/>
              </w:rPr>
            </w:pPr>
            <w:r>
              <w:rPr>
                <w:rFonts w:ascii="Times New Roman" w:hAnsi="Times New Roman"/>
                <w:color w:val="000000"/>
                <w:sz w:val="19"/>
              </w:rPr>
              <w:t>Date: November 7, 2024</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 Molly Henderson</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Molly Henderson</w:t>
            </w:r>
          </w:p>
        </w:tc>
      </w:tr>
      <w:tr>
        <w:trPr/>
        <w:tc>
          <w:tcPr>
            <w:tcW w:w="2255"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jc w:val="left"/>
              <w:rPr>
                <w:rFonts w:ascii="Times New Roman" w:hAnsi="Times New Roman"/>
                <w:color w:val="000000"/>
                <w:sz w:val="19"/>
              </w:rPr>
            </w:pPr>
            <w:r>
              <w:rPr>
                <w:rFonts w:ascii="Times New Roman" w:hAnsi="Times New Roman"/>
                <w:color w:val="000000"/>
                <w:sz w:val="19"/>
              </w:rPr>
              <w:t>Chief Financial and Business Officer</w:t>
            </w:r>
          </w:p>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29" w:name="phat-ex32_1.htm"/>
      <w:bookmarkStart w:id="30" w:name="ksphatex32_1"/>
      <w:bookmarkEnd w:id="29"/>
      <w:bookmarkEnd w:id="30"/>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September 30, 2024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58" w:type="dxa"/>
        <w:jc w:val="left"/>
        <w:tblInd w:w="0" w:type="dxa"/>
        <w:tblLayout w:type="fixed"/>
        <w:tblCellMar>
          <w:top w:w="28" w:type="dxa"/>
          <w:left w:w="28" w:type="dxa"/>
          <w:bottom w:w="28" w:type="dxa"/>
          <w:right w:w="28" w:type="dxa"/>
        </w:tblCellMar>
      </w:tblPr>
      <w:tblGrid>
        <w:gridCol w:w="2101"/>
        <w:gridCol w:w="146"/>
        <w:gridCol w:w="321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Terrie Curran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Terrie Curran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64"/>
        <w:jc w:val="right"/>
        <w:rPr>
          <w:rFonts w:ascii="Times New Roman" w:hAnsi="Times New Roman"/>
          <w:sz w:val="20"/>
        </w:rPr>
      </w:pPr>
      <w:bookmarkStart w:id="31" w:name="phat-ex32_2.htm"/>
      <w:bookmarkStart w:id="32" w:name="ksphatex32_2"/>
      <w:bookmarkEnd w:id="31"/>
      <w:bookmarkEnd w:id="32"/>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0" w:after="264"/>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spacing w:before="0" w:after="264"/>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In connection with the Quarterly Report on Form 10-Q of Phathom Pharmaceuticals, Inc. (the “Company”) for the quarter ended September 30, 2024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64"/>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013" w:type="dxa"/>
        <w:jc w:val="left"/>
        <w:tblInd w:w="0" w:type="dxa"/>
        <w:tblLayout w:type="fixed"/>
        <w:tblCellMar>
          <w:top w:w="28" w:type="dxa"/>
          <w:left w:w="28" w:type="dxa"/>
          <w:bottom w:w="28" w:type="dxa"/>
          <w:right w:w="28" w:type="dxa"/>
        </w:tblCellMar>
      </w:tblPr>
      <w:tblGrid>
        <w:gridCol w:w="2101"/>
        <w:gridCol w:w="146"/>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2024</w:t>
            </w:r>
          </w:p>
        </w:tc>
        <w:tc>
          <w:tcPr>
            <w:tcW w:w="146" w:type="dxa"/>
            <w:tcBorders/>
            <w:vAlign w:val="center"/>
          </w:tcPr>
          <w:p>
            <w:pPr>
              <w:pStyle w:val="TableContents"/>
              <w:bidi w:val="0"/>
              <w:spacing w:before="0" w:after="283"/>
              <w:jc w:val="left"/>
              <w:rPr/>
            </w:pPr>
            <w:r>
              <w:rPr/>
              <w:t> </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Molly Henderson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Molly Henderson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and Business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Calibri">
    <w:charset w:val="01"/>
    <w:family w:val="auto"/>
    <w:pitch w:val="default"/>
  </w:font>
  <w:font w:name="Arial">
    <w:charset w:val="01"/>
    <w:family w:val="auto"/>
    <w:pitch w:val="default"/>
  </w:font>
  <w:font w:name="Trebuchet MS">
    <w:altName w:val="sans-serif"/>
    <w:charset w:val="01"/>
    <w:family w:val="auto"/>
    <w:pitch w:val="default"/>
  </w:font>
  <w:font w:name="Trebuchet M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3183/000119312519277761/d795888dex31.htm" TargetMode="External"/><Relationship Id="rId3" Type="http://schemas.openxmlformats.org/officeDocument/2006/relationships/hyperlink" Target="https://www.sec.gov/Archives/edgar/data/1783183/000119312523156713/d487635dex31.htm" TargetMode="External"/><Relationship Id="rId4" Type="http://schemas.openxmlformats.org/officeDocument/2006/relationships/hyperlink" Target="https://www.sec.gov/ix?doc=/Archives/edgar/data/0001783183/000119312523296630/d602391d8k.htm" TargetMode="External"/><Relationship Id="rId5" Type="http://schemas.openxmlformats.org/officeDocument/2006/relationships/hyperlink" Target="https://www.sec.gov/Archives/edgar/data/1783183/000119312519267053/d63338dex41.htm" TargetMode="External"/><Relationship Id="rId6" Type="http://schemas.openxmlformats.org/officeDocument/2006/relationships/hyperlink" Target="https://www.sec.gov/Archives/edgar/data/1783183/000119312519258922/d63338dex43.htm" TargetMode="External"/><Relationship Id="rId7" Type="http://schemas.openxmlformats.org/officeDocument/2006/relationships/hyperlink" Target="https://www.sec.gov/Archives/edgar/data/1783183/000119312519258922/d63338dex44.htm" TargetMode="External"/><Relationship Id="rId8" Type="http://schemas.openxmlformats.org/officeDocument/2006/relationships/hyperlink" Target="https://www.sec.gov/Archives/edgar/data/1783183/000156459021055073/phat-ex102_212.htm" TargetMode="External"/><Relationship Id="rId9" Type="http://schemas.openxmlformats.org/officeDocument/2006/relationships/hyperlink" Target="https://www.sec.gov/Archives/edgar/data/1783183/000095017023020109/phat-ex4_5.htm" TargetMode="External"/><Relationship Id="rId10" Type="http://schemas.openxmlformats.org/officeDocument/2006/relationships/hyperlink" Target="https://www.sec.gov/Archives/edgar/data/1783183/000095017023020109/phat-ex4_6.htm" TargetMode="External"/><Relationship Id="rId11" Type="http://schemas.openxmlformats.org/officeDocument/2006/relationships/hyperlink" Target="https://www.sec.gov/Archives/edgar/data/1783183/000119312519267053/d63338dex45.htm" TargetMode="External"/><Relationship Id="rId12" Type="http://schemas.openxmlformats.org/officeDocument/2006/relationships/hyperlink" Target="https://www.sec.gov/Archives/edgar/data/1783183/000119312524202879/d816262dex41.htm" TargetMode="External"/><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26852</Words>
  <Characters>147346</Characters>
  <CharactersWithSpaces>175137</CharactersWithSpaces>
  <Paragraphs>4732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